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9A686">
      <w:pPr>
        <w:spacing w:line="560" w:lineRule="exact"/>
        <w:jc w:val="center"/>
        <w:outlineLvl w:val="9"/>
        <w:rPr>
          <w:rFonts w:ascii="楷体_GB2312" w:eastAsia="楷体_GB2312"/>
          <w:b/>
          <w:sz w:val="52"/>
          <w:szCs w:val="52"/>
          <w:highlight w:val="none"/>
        </w:rPr>
      </w:pPr>
      <w:bookmarkStart w:id="0" w:name="_Toc247085669"/>
      <w:bookmarkStart w:id="1" w:name="_Toc246996898"/>
      <w:bookmarkStart w:id="2" w:name="_Toc296602400"/>
    </w:p>
    <w:p w14:paraId="2A640AC5">
      <w:pPr>
        <w:spacing w:line="400" w:lineRule="exact"/>
        <w:jc w:val="center"/>
        <w:rPr>
          <w:highlight w:val="none"/>
        </w:rPr>
      </w:pPr>
      <w:r>
        <w:rPr>
          <w:rFonts w:hint="eastAsia" w:ascii="Times New Roman" w:hAnsi="Times New Roman" w:eastAsia="宋体" w:cs="Times New Roman"/>
          <w:sz w:val="32"/>
          <w:szCs w:val="32"/>
          <w:lang w:eastAsia="zh-CN"/>
        </w:rPr>
        <w:t>开封市司法局关于开封市专门学校观护服务采购</w:t>
      </w:r>
      <w:r>
        <w:rPr>
          <w:rFonts w:hint="eastAsia" w:ascii="Times New Roman" w:hAnsi="Times New Roman" w:eastAsia="宋体" w:cs="Times New Roman"/>
          <w:sz w:val="32"/>
          <w:szCs w:val="32"/>
        </w:rPr>
        <w:t>项目</w:t>
      </w:r>
    </w:p>
    <w:p w14:paraId="74798369">
      <w:pPr>
        <w:spacing w:line="400" w:lineRule="exact"/>
        <w:jc w:val="center"/>
        <w:rPr>
          <w:highlight w:val="none"/>
        </w:rPr>
      </w:pPr>
    </w:p>
    <w:p w14:paraId="4402132A">
      <w:pPr>
        <w:spacing w:line="400" w:lineRule="exact"/>
        <w:jc w:val="center"/>
        <w:rPr>
          <w:highlight w:val="none"/>
        </w:rPr>
      </w:pPr>
    </w:p>
    <w:p w14:paraId="27295F22">
      <w:pPr>
        <w:spacing w:line="400" w:lineRule="exact"/>
        <w:jc w:val="center"/>
        <w:rPr>
          <w:highlight w:val="none"/>
        </w:rPr>
      </w:pPr>
    </w:p>
    <w:p w14:paraId="65958327">
      <w:pPr>
        <w:spacing w:line="400" w:lineRule="exact"/>
        <w:jc w:val="center"/>
        <w:rPr>
          <w:highlight w:val="none"/>
        </w:rPr>
      </w:pPr>
    </w:p>
    <w:p w14:paraId="5A42E401">
      <w:pPr>
        <w:spacing w:line="400" w:lineRule="exact"/>
        <w:jc w:val="center"/>
        <w:rPr>
          <w:highlight w:val="none"/>
        </w:rPr>
      </w:pPr>
    </w:p>
    <w:p w14:paraId="134419D7">
      <w:pPr>
        <w:spacing w:line="400" w:lineRule="exact"/>
        <w:jc w:val="center"/>
        <w:rPr>
          <w:highlight w:val="none"/>
        </w:rPr>
      </w:pPr>
    </w:p>
    <w:p w14:paraId="232A6037">
      <w:pPr>
        <w:jc w:val="center"/>
        <w:rPr>
          <w:highlight w:val="none"/>
        </w:rPr>
      </w:pPr>
    </w:p>
    <w:p w14:paraId="20C3182C">
      <w:pPr>
        <w:jc w:val="center"/>
        <w:rPr>
          <w:highlight w:val="none"/>
        </w:rPr>
      </w:pPr>
    </w:p>
    <w:p w14:paraId="30F2C996">
      <w:pPr>
        <w:jc w:val="center"/>
        <w:rPr>
          <w:highlight w:val="none"/>
        </w:rPr>
      </w:pPr>
    </w:p>
    <w:p w14:paraId="64C6DAB3">
      <w:pPr>
        <w:jc w:val="center"/>
        <w:rPr>
          <w:highlight w:val="none"/>
        </w:rPr>
      </w:pPr>
    </w:p>
    <w:p w14:paraId="0DE37B03">
      <w:pPr>
        <w:jc w:val="center"/>
        <w:rPr>
          <w:highlight w:val="none"/>
        </w:rPr>
      </w:pPr>
    </w:p>
    <w:p w14:paraId="2D8A2C4D">
      <w:pPr>
        <w:jc w:val="center"/>
        <w:rPr>
          <w:highlight w:val="none"/>
        </w:rPr>
      </w:pPr>
    </w:p>
    <w:p w14:paraId="00ECB711">
      <w:pPr>
        <w:jc w:val="center"/>
        <w:rPr>
          <w:rFonts w:ascii="楷体_GB2312" w:eastAsia="楷体_GB2312"/>
          <w:sz w:val="96"/>
          <w:szCs w:val="96"/>
          <w:highlight w:val="none"/>
        </w:rPr>
      </w:pPr>
      <w:r>
        <w:rPr>
          <w:rFonts w:hint="eastAsia" w:ascii="楷体_GB2312" w:hAnsi="宋体" w:eastAsia="楷体_GB2312"/>
          <w:b/>
          <w:bCs/>
          <w:sz w:val="120"/>
          <w:szCs w:val="120"/>
          <w:highlight w:val="none"/>
        </w:rPr>
        <w:t>招标文件</w:t>
      </w:r>
    </w:p>
    <w:p w14:paraId="3458DB7F">
      <w:pPr>
        <w:jc w:val="center"/>
        <w:rPr>
          <w:rFonts w:hint="default" w:ascii="宋体" w:hAnsi="宋体" w:eastAsia="楷体_GB2312"/>
          <w:sz w:val="48"/>
          <w:szCs w:val="48"/>
          <w:highlight w:val="none"/>
          <w:lang w:val="en-US" w:eastAsia="zh-CN"/>
        </w:rPr>
      </w:pPr>
      <w:r>
        <w:rPr>
          <w:rFonts w:hint="eastAsia" w:ascii="楷体_GB2312" w:hAnsi="宋体" w:eastAsia="楷体_GB2312"/>
          <w:b/>
          <w:sz w:val="32"/>
          <w:szCs w:val="32"/>
          <w:highlight w:val="none"/>
        </w:rPr>
        <w:t>项目编号：汴财招标</w:t>
      </w:r>
      <w:r>
        <w:rPr>
          <w:rFonts w:hint="eastAsia" w:ascii="楷体_GB2312" w:hAnsi="宋体" w:eastAsia="楷体_GB2312" w:cs="宋体"/>
          <w:b/>
          <w:sz w:val="32"/>
          <w:szCs w:val="32"/>
          <w:highlight w:val="none"/>
        </w:rPr>
        <w:t>采购-202</w:t>
      </w:r>
      <w:r>
        <w:rPr>
          <w:rFonts w:hint="eastAsia" w:ascii="楷体_GB2312" w:hAnsi="宋体" w:eastAsia="楷体_GB2312" w:cs="宋体"/>
          <w:b/>
          <w:sz w:val="32"/>
          <w:szCs w:val="32"/>
          <w:highlight w:val="none"/>
          <w:lang w:val="en-US" w:eastAsia="zh-CN"/>
        </w:rPr>
        <w:t>6</w:t>
      </w:r>
      <w:r>
        <w:rPr>
          <w:rFonts w:hint="eastAsia" w:ascii="楷体_GB2312" w:hAnsi="宋体" w:eastAsia="楷体_GB2312" w:cs="宋体"/>
          <w:b/>
          <w:sz w:val="32"/>
          <w:szCs w:val="32"/>
          <w:highlight w:val="none"/>
        </w:rPr>
        <w:t>-</w:t>
      </w:r>
      <w:r>
        <w:rPr>
          <w:rFonts w:hint="eastAsia" w:ascii="楷体_GB2312" w:hAnsi="宋体" w:eastAsia="楷体_GB2312" w:cs="宋体"/>
          <w:b/>
          <w:sz w:val="32"/>
          <w:szCs w:val="32"/>
          <w:highlight w:val="none"/>
          <w:lang w:val="en-US" w:eastAsia="zh-CN"/>
        </w:rPr>
        <w:t>58</w:t>
      </w:r>
    </w:p>
    <w:p w14:paraId="27B774C1">
      <w:pPr>
        <w:jc w:val="center"/>
        <w:rPr>
          <w:rFonts w:ascii="楷体_GB2312" w:eastAsia="楷体_GB2312"/>
          <w:sz w:val="32"/>
          <w:szCs w:val="32"/>
          <w:highlight w:val="none"/>
        </w:rPr>
      </w:pPr>
    </w:p>
    <w:p w14:paraId="3E2A20F8">
      <w:pPr>
        <w:spacing w:line="400" w:lineRule="exact"/>
        <w:jc w:val="center"/>
        <w:rPr>
          <w:highlight w:val="none"/>
        </w:rPr>
      </w:pPr>
    </w:p>
    <w:p w14:paraId="3BB77C7B">
      <w:pPr>
        <w:spacing w:line="400" w:lineRule="exact"/>
        <w:jc w:val="center"/>
        <w:rPr>
          <w:highlight w:val="none"/>
        </w:rPr>
      </w:pPr>
    </w:p>
    <w:p w14:paraId="15C3B62D">
      <w:pPr>
        <w:spacing w:line="400" w:lineRule="exact"/>
        <w:jc w:val="center"/>
        <w:rPr>
          <w:highlight w:val="none"/>
        </w:rPr>
      </w:pPr>
    </w:p>
    <w:p w14:paraId="0484B379">
      <w:pPr>
        <w:spacing w:line="400" w:lineRule="exact"/>
        <w:jc w:val="center"/>
        <w:rPr>
          <w:highlight w:val="none"/>
        </w:rPr>
      </w:pPr>
    </w:p>
    <w:p w14:paraId="53193583">
      <w:pPr>
        <w:spacing w:line="400" w:lineRule="exact"/>
        <w:jc w:val="center"/>
        <w:rPr>
          <w:highlight w:val="none"/>
        </w:rPr>
      </w:pPr>
    </w:p>
    <w:p w14:paraId="10E96C6D">
      <w:pPr>
        <w:spacing w:line="400" w:lineRule="exact"/>
        <w:jc w:val="center"/>
        <w:rPr>
          <w:highlight w:val="none"/>
        </w:rPr>
      </w:pPr>
    </w:p>
    <w:p w14:paraId="24D1FF76">
      <w:pPr>
        <w:spacing w:line="400" w:lineRule="exact"/>
        <w:jc w:val="center"/>
        <w:rPr>
          <w:highlight w:val="none"/>
        </w:rPr>
      </w:pPr>
    </w:p>
    <w:p w14:paraId="4626F053">
      <w:pPr>
        <w:spacing w:line="400" w:lineRule="exact"/>
        <w:jc w:val="center"/>
        <w:rPr>
          <w:highlight w:val="none"/>
        </w:rPr>
      </w:pPr>
    </w:p>
    <w:p w14:paraId="0A696D27">
      <w:pPr>
        <w:spacing w:line="400" w:lineRule="exact"/>
        <w:jc w:val="center"/>
        <w:rPr>
          <w:highlight w:val="none"/>
        </w:rPr>
      </w:pPr>
    </w:p>
    <w:p w14:paraId="6027562E">
      <w:pPr>
        <w:spacing w:line="400" w:lineRule="exact"/>
        <w:jc w:val="center"/>
        <w:rPr>
          <w:highlight w:val="none"/>
        </w:rPr>
      </w:pPr>
    </w:p>
    <w:p w14:paraId="5E788FF3">
      <w:pPr>
        <w:spacing w:line="560" w:lineRule="exact"/>
        <w:jc w:val="center"/>
        <w:rPr>
          <w:rFonts w:ascii="宋体" w:hAnsi="宋体"/>
          <w:sz w:val="44"/>
          <w:szCs w:val="44"/>
          <w:highlight w:val="none"/>
        </w:rPr>
        <w:sectPr>
          <w:headerReference r:id="rId4" w:type="first"/>
          <w:headerReference r:id="rId3" w:type="default"/>
          <w:footerReference r:id="rId5" w:type="default"/>
          <w:pgSz w:w="11906" w:h="16838"/>
          <w:pgMar w:top="1417" w:right="1474" w:bottom="1417" w:left="1588" w:header="851" w:footer="992" w:gutter="0"/>
          <w:pgNumType w:start="1"/>
          <w:cols w:space="720" w:num="1"/>
          <w:titlePg/>
          <w:docGrid w:type="lines" w:linePitch="312" w:charSpace="0"/>
        </w:sectPr>
      </w:pPr>
      <w:r>
        <w:rPr>
          <w:rFonts w:hint="eastAsia" w:ascii="楷体_GB2312" w:eastAsia="楷体_GB2312"/>
          <w:b/>
          <w:spacing w:val="40"/>
          <w:sz w:val="36"/>
          <w:szCs w:val="36"/>
          <w:highlight w:val="none"/>
        </w:rPr>
        <w:t>开封市政府采购中心</w:t>
      </w:r>
    </w:p>
    <w:bookmarkEnd w:id="0"/>
    <w:bookmarkEnd w:id="1"/>
    <w:bookmarkEnd w:id="2"/>
    <w:sdt>
      <w:sdtPr>
        <w:rPr>
          <w:rFonts w:hint="eastAsia" w:ascii="宋体" w:hAnsi="宋体"/>
          <w:highlight w:val="none"/>
          <w:lang w:val="en-US" w:eastAsia="zh-CN"/>
        </w:rPr>
        <w:id w:val="147478811"/>
        <w15:color w:val="DBDBDB"/>
        <w:docPartObj>
          <w:docPartGallery w:val="Table of Contents"/>
          <w:docPartUnique/>
        </w:docPartObj>
      </w:sdtPr>
      <w:sdtEndPr>
        <w:rPr>
          <w:rFonts w:hint="eastAsia" w:ascii="Times New Roman" w:hAnsi="Times New Roman" w:eastAsia="宋体" w:cs="Times New Roman"/>
          <w:kern w:val="2"/>
          <w:sz w:val="21"/>
          <w:szCs w:val="24"/>
          <w:highlight w:val="none"/>
          <w:lang w:val="en-US" w:eastAsia="zh-CN" w:bidi="ar-SA"/>
        </w:rPr>
      </w:sdtEndPr>
      <w:sdtContent>
        <w:p w14:paraId="0AAA1374">
          <w:pPr>
            <w:pStyle w:val="2"/>
            <w:tabs>
              <w:tab w:val="right" w:leader="dot" w:pos="8834"/>
            </w:tabs>
            <w:jc w:val="center"/>
            <w:outlineLvl w:val="9"/>
            <w:rPr>
              <w:rFonts w:hint="eastAsia" w:ascii="宋体" w:hAnsi="宋体"/>
              <w:highlight w:val="none"/>
              <w:lang w:val="en-US" w:eastAsia="zh-CN"/>
            </w:rPr>
          </w:pPr>
          <w:r>
            <w:rPr>
              <w:rFonts w:hint="eastAsia" w:ascii="宋体" w:hAnsi="宋体"/>
              <w:highlight w:val="none"/>
              <w:lang w:val="en-US" w:eastAsia="zh-CN"/>
            </w:rPr>
            <w:t>目  录</w:t>
          </w:r>
        </w:p>
        <w:p w14:paraId="04A374ED">
          <w:pPr>
            <w:pStyle w:val="21"/>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TOC \o "1-2" \h \u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_Toc11693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第一章 招标公告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_Toc11693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0A8BD27">
          <w:pPr>
            <w:pStyle w:val="21"/>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_Toc6588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第二章 供应商须知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_Toc6588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791D4AD">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_Toc18929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供应商须知前附表</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_Toc18929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41BE8FE">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_Toc17625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 总则</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_Toc17625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A5F0917">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_Toc14198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 招标文件</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_Toc14198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9B1E219">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_Toc25551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 投标文件</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_Toc25551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16</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CE2CB96">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_Toc1961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 投标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_Toc1961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67C15B6">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_Toc16670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 开标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_Toc16670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1441608A">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_Toc1700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6. 评标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_Toc1700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2AC7249A">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_Toc32146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7. 合同授予</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_Toc32146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19</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7B6627B0">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_Toc10938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8. 纪律和监督</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_Toc10938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20</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618DDA1">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_Toc29725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9. 政府采购政策</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_Toc29725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2B8CBF1C">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_Toc20820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10. 需要补充的其他内容</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_Toc20820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199F3C0F">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_Toc18875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11．电子招标投标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_Toc18875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9C9FC29">
          <w:pPr>
            <w:pStyle w:val="21"/>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_Toc15313 </w:instrText>
          </w:r>
          <w:r>
            <w:rPr>
              <w:rFonts w:hint="eastAsia" w:ascii="宋体" w:hAnsi="宋体" w:eastAsia="宋体" w:cs="宋体"/>
              <w:sz w:val="28"/>
              <w:szCs w:val="28"/>
              <w:highlight w:val="none"/>
            </w:rPr>
            <w:fldChar w:fldCharType="separate"/>
          </w:r>
          <w:r>
            <w:rPr>
              <w:rFonts w:hint="eastAsia" w:ascii="宋体" w:hAnsi="宋体" w:eastAsia="宋体" w:cs="宋体"/>
              <w:bCs w:val="0"/>
              <w:sz w:val="28"/>
              <w:szCs w:val="28"/>
              <w:highlight w:val="none"/>
            </w:rPr>
            <w:t>第三章 评标办法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_Toc15313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1887E540">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_Toc29020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评标办法前附表</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_Toc29020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7094C950">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_Toc5190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 评标方法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_Toc5190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16C74D7E">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_Toc27676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 评审标准</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_Toc27676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2391BCF0">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_Toc16714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 评标程序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_Toc16714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8A7F88B">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_Toc4190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附件</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_Toc4190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9AD08C0">
          <w:pPr>
            <w:pStyle w:val="21"/>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_Toc18750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第四章 合同条款及格式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_Toc18750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1C906AD6">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_Toc13944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开封</w:t>
          </w:r>
          <w:r>
            <w:rPr>
              <w:rFonts w:hint="eastAsia" w:ascii="宋体" w:hAnsi="宋体" w:eastAsia="宋体" w:cs="宋体"/>
              <w:sz w:val="28"/>
              <w:szCs w:val="28"/>
              <w:highlight w:val="none"/>
              <w:lang w:val="en-US" w:eastAsia="zh-CN"/>
            </w:rPr>
            <w:t>市</w:t>
          </w:r>
          <w:r>
            <w:rPr>
              <w:rFonts w:hint="eastAsia" w:ascii="宋体" w:hAnsi="宋体" w:eastAsia="宋体" w:cs="宋体"/>
              <w:sz w:val="28"/>
              <w:szCs w:val="28"/>
              <w:highlight w:val="none"/>
            </w:rPr>
            <w:t>政府采购合同融资政策告知函</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_Toc13944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46</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3A3018E">
          <w:pPr>
            <w:pStyle w:val="24"/>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_Toc18603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开封</w:t>
          </w:r>
          <w:r>
            <w:rPr>
              <w:rFonts w:hint="eastAsia" w:ascii="宋体" w:hAnsi="宋体" w:eastAsia="宋体" w:cs="宋体"/>
              <w:sz w:val="28"/>
              <w:szCs w:val="28"/>
              <w:highlight w:val="none"/>
              <w:lang w:val="en-US" w:eastAsia="zh-CN"/>
            </w:rPr>
            <w:t>市</w:t>
          </w:r>
          <w:r>
            <w:rPr>
              <w:rFonts w:hint="eastAsia" w:ascii="宋体" w:hAnsi="宋体" w:eastAsia="宋体" w:cs="宋体"/>
              <w:sz w:val="28"/>
              <w:szCs w:val="28"/>
              <w:highlight w:val="none"/>
            </w:rPr>
            <w:t>政府采购合同履约保函政策告知函</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_Toc18603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719CBC9">
          <w:pPr>
            <w:pStyle w:val="21"/>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_Toc24602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第五章  招标内容及商务技术要求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_Toc24602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1601C03">
          <w:pPr>
            <w:pStyle w:val="21"/>
            <w:tabs>
              <w:tab w:val="right" w:leader="dot" w:pos="8844"/>
            </w:tabs>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_Toc23721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第六章  投标文件格式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_Toc23721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61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307B4E84">
          <w:pPr>
            <w:rPr>
              <w:highlight w:val="none"/>
            </w:rPr>
          </w:pPr>
          <w:r>
            <w:rPr>
              <w:rFonts w:hint="eastAsia" w:ascii="宋体" w:hAnsi="宋体" w:eastAsia="宋体" w:cs="宋体"/>
              <w:sz w:val="28"/>
              <w:szCs w:val="28"/>
              <w:highlight w:val="none"/>
            </w:rPr>
            <w:fldChar w:fldCharType="end"/>
          </w:r>
          <w:bookmarkStart w:id="3" w:name="_Toc17934"/>
        </w:p>
        <w:p w14:paraId="1BCA5A76">
          <w:pPr>
            <w:rPr>
              <w:rFonts w:ascii="Times New Roman" w:hAnsi="Times New Roman" w:eastAsia="宋体" w:cs="Times New Roman"/>
              <w:kern w:val="2"/>
              <w:sz w:val="21"/>
              <w:szCs w:val="24"/>
              <w:highlight w:val="none"/>
              <w:lang w:val="en-US" w:eastAsia="zh-CN" w:bidi="ar-SA"/>
            </w:rPr>
            <w:sectPr>
              <w:headerReference r:id="rId6" w:type="first"/>
              <w:footerReference r:id="rId8" w:type="first"/>
              <w:footerReference r:id="rId7" w:type="default"/>
              <w:pgSz w:w="11906" w:h="16838"/>
              <w:pgMar w:top="1440" w:right="1800" w:bottom="1440" w:left="1800" w:header="851" w:footer="992" w:gutter="0"/>
              <w:pgNumType w:start="1"/>
              <w:cols w:space="720" w:num="1"/>
              <w:titlePg/>
              <w:docGrid w:type="lines" w:linePitch="312" w:charSpace="0"/>
            </w:sectPr>
          </w:pPr>
        </w:p>
        <w:p w14:paraId="63AFB29E">
          <w:pPr>
            <w:rPr>
              <w:highlight w:val="none"/>
            </w:rPr>
          </w:pPr>
        </w:p>
      </w:sdtContent>
    </w:sdt>
    <w:p w14:paraId="65991252">
      <w:pPr>
        <w:pStyle w:val="2"/>
        <w:numPr>
          <w:ilvl w:val="0"/>
          <w:numId w:val="1"/>
        </w:numPr>
        <w:jc w:val="center"/>
        <w:rPr>
          <w:rFonts w:ascii="宋体" w:hAnsi="宋体"/>
          <w:highlight w:val="none"/>
        </w:rPr>
      </w:pPr>
      <w:r>
        <w:rPr>
          <w:rFonts w:hint="eastAsia" w:ascii="宋体" w:hAnsi="宋体"/>
          <w:highlight w:val="none"/>
        </w:rPr>
        <w:t xml:space="preserve"> </w:t>
      </w:r>
      <w:bookmarkStart w:id="4" w:name="_Toc26571"/>
      <w:bookmarkStart w:id="5" w:name="_Toc2387"/>
      <w:bookmarkStart w:id="6" w:name="_Toc11693"/>
      <w:bookmarkStart w:id="7" w:name="_Toc11499"/>
      <w:r>
        <w:rPr>
          <w:rFonts w:hint="eastAsia" w:ascii="宋体" w:hAnsi="宋体"/>
          <w:highlight w:val="none"/>
        </w:rPr>
        <w:t>招标公告</w:t>
      </w:r>
      <w:bookmarkEnd w:id="3"/>
      <w:bookmarkEnd w:id="4"/>
      <w:bookmarkEnd w:id="5"/>
      <w:bookmarkEnd w:id="6"/>
      <w:bookmarkEnd w:id="7"/>
    </w:p>
    <w:p w14:paraId="4B87A3A9">
      <w:pPr>
        <w:jc w:val="center"/>
        <w:outlineLvl w:val="9"/>
        <w:rPr>
          <w:rFonts w:hint="eastAsia" w:ascii="Times New Roman" w:hAnsi="Times New Roman" w:eastAsia="宋体" w:cs="Times New Roman"/>
          <w:sz w:val="32"/>
          <w:szCs w:val="32"/>
        </w:rPr>
      </w:pPr>
      <w:r>
        <w:rPr>
          <w:rFonts w:hint="eastAsia" w:ascii="Times New Roman" w:hAnsi="Times New Roman" w:eastAsia="宋体" w:cs="Times New Roman"/>
          <w:sz w:val="32"/>
          <w:szCs w:val="32"/>
          <w:lang w:eastAsia="zh-CN"/>
        </w:rPr>
        <w:t>开封市司法局关于开封市专门学校观护服务采购</w:t>
      </w:r>
      <w:r>
        <w:rPr>
          <w:rFonts w:hint="eastAsia" w:ascii="Times New Roman" w:hAnsi="Times New Roman" w:eastAsia="宋体" w:cs="Times New Roman"/>
          <w:sz w:val="32"/>
          <w:szCs w:val="32"/>
        </w:rPr>
        <w:t>项目</w:t>
      </w:r>
    </w:p>
    <w:p w14:paraId="1C9853C8">
      <w:pPr>
        <w:jc w:val="center"/>
        <w:outlineLvl w:val="9"/>
        <w:rPr>
          <w:rFonts w:ascii="宋体" w:hAnsi="宋体" w:cs="宋体"/>
          <w:bCs/>
          <w:kern w:val="0"/>
          <w:sz w:val="32"/>
          <w:szCs w:val="32"/>
          <w:highlight w:val="none"/>
        </w:rPr>
      </w:pPr>
      <w:r>
        <w:rPr>
          <w:rFonts w:hint="eastAsia" w:ascii="宋体" w:hAnsi="宋体" w:cs="宋体"/>
          <w:bCs/>
          <w:spacing w:val="-10"/>
          <w:kern w:val="0"/>
          <w:sz w:val="32"/>
          <w:szCs w:val="32"/>
          <w:highlight w:val="none"/>
        </w:rPr>
        <w:t>公开招标</w:t>
      </w:r>
      <w:r>
        <w:rPr>
          <w:rFonts w:hint="eastAsia" w:ascii="宋体" w:hAnsi="宋体" w:cs="宋体"/>
          <w:bCs/>
          <w:kern w:val="0"/>
          <w:sz w:val="32"/>
          <w:szCs w:val="32"/>
          <w:highlight w:val="none"/>
        </w:rPr>
        <w:t>公告</w:t>
      </w:r>
    </w:p>
    <w:p w14:paraId="74739293">
      <w:pPr>
        <w:jc w:val="center"/>
        <w:rPr>
          <w:rFonts w:ascii="宋体" w:hAnsi="宋体" w:cs="宋体"/>
          <w:bCs/>
          <w:kern w:val="0"/>
          <w:sz w:val="32"/>
          <w:szCs w:val="32"/>
          <w:highlight w:val="none"/>
        </w:rPr>
      </w:pPr>
    </w:p>
    <w:p w14:paraId="2DBE2EB1">
      <w:pPr>
        <w:widowControl/>
        <w:adjustRightInd w:val="0"/>
        <w:snapToGrid w:val="0"/>
        <w:spacing w:line="360" w:lineRule="auto"/>
        <w:jc w:val="left"/>
        <w:outlineLvl w:val="1"/>
        <w:rPr>
          <w:rFonts w:ascii="宋体" w:hAnsi="宋体" w:cs="宋体"/>
          <w:kern w:val="0"/>
          <w:sz w:val="24"/>
          <w:highlight w:val="none"/>
        </w:rPr>
      </w:pPr>
      <w:bookmarkStart w:id="8" w:name="_Toc26894"/>
      <w:r>
        <w:rPr>
          <w:rFonts w:hint="eastAsia" w:ascii="宋体" w:hAnsi="宋体" w:cs="宋体"/>
          <w:kern w:val="0"/>
          <w:sz w:val="24"/>
          <w:highlight w:val="none"/>
        </w:rPr>
        <w:t>一、项目基本情况</w:t>
      </w:r>
      <w:bookmarkEnd w:id="8"/>
      <w:r>
        <w:rPr>
          <w:rFonts w:hint="eastAsia" w:ascii="宋体" w:hAnsi="宋体" w:cs="宋体"/>
          <w:kern w:val="0"/>
          <w:sz w:val="24"/>
          <w:highlight w:val="none"/>
        </w:rPr>
        <w:t xml:space="preserve"> </w:t>
      </w:r>
    </w:p>
    <w:p w14:paraId="35F82078">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1、项目编号：</w:t>
      </w:r>
      <w:r>
        <w:rPr>
          <w:rFonts w:hint="eastAsia" w:ascii="宋体" w:hAnsi="宋体"/>
          <w:sz w:val="24"/>
          <w:highlight w:val="none"/>
        </w:rPr>
        <w:t>汴财招标</w:t>
      </w:r>
      <w:r>
        <w:rPr>
          <w:rFonts w:hint="eastAsia" w:ascii="宋体" w:hAnsi="宋体" w:cs="宋体"/>
          <w:sz w:val="24"/>
          <w:highlight w:val="none"/>
        </w:rPr>
        <w:t>采购</w:t>
      </w:r>
      <w:r>
        <w:rPr>
          <w:rFonts w:hint="eastAsia" w:ascii="宋体" w:hAnsi="宋体" w:cs="宋体"/>
          <w:sz w:val="24"/>
          <w:highlight w:val="none"/>
          <w:lang w:val="en-US" w:eastAsia="zh-CN"/>
        </w:rPr>
        <w:t>-2026-58</w:t>
      </w:r>
      <w:r>
        <w:rPr>
          <w:rFonts w:hint="eastAsia" w:ascii="宋体" w:hAnsi="宋体" w:cs="宋体"/>
          <w:sz w:val="24"/>
          <w:highlight w:val="none"/>
        </w:rPr>
        <w:t xml:space="preserve"> </w:t>
      </w:r>
      <w:r>
        <w:rPr>
          <w:rFonts w:hint="eastAsia" w:ascii="宋体" w:hAnsi="宋体" w:cs="宋体"/>
          <w:kern w:val="0"/>
          <w:sz w:val="24"/>
          <w:highlight w:val="none"/>
        </w:rPr>
        <w:t xml:space="preserve">  </w:t>
      </w:r>
    </w:p>
    <w:p w14:paraId="5B5F6F54">
      <w:pPr>
        <w:widowControl/>
        <w:adjustRightInd w:val="0"/>
        <w:snapToGrid w:val="0"/>
        <w:spacing w:line="360" w:lineRule="auto"/>
        <w:ind w:firstLine="420"/>
        <w:jc w:val="left"/>
        <w:rPr>
          <w:rFonts w:hint="eastAsia" w:ascii="宋体" w:hAnsi="宋体" w:eastAsia="宋体" w:cs="宋体"/>
          <w:kern w:val="0"/>
          <w:sz w:val="24"/>
          <w:highlight w:val="none"/>
        </w:rPr>
      </w:pPr>
      <w:r>
        <w:rPr>
          <w:rFonts w:hint="eastAsia" w:ascii="宋体" w:hAnsi="宋体" w:cs="宋体"/>
          <w:kern w:val="0"/>
          <w:sz w:val="24"/>
          <w:highlight w:val="none"/>
        </w:rPr>
        <w:t>2、项目名称：</w:t>
      </w:r>
      <w:r>
        <w:rPr>
          <w:rFonts w:hint="eastAsia" w:ascii="宋体" w:hAnsi="宋体" w:eastAsia="宋体" w:cs="宋体"/>
          <w:kern w:val="0"/>
          <w:sz w:val="24"/>
          <w:highlight w:val="none"/>
          <w:lang w:eastAsia="zh-CN"/>
        </w:rPr>
        <w:t>开封市司法局关于开封市专门学校观护服务采购</w:t>
      </w:r>
      <w:r>
        <w:rPr>
          <w:rFonts w:hint="eastAsia" w:ascii="宋体" w:hAnsi="宋体" w:eastAsia="宋体" w:cs="宋体"/>
          <w:kern w:val="0"/>
          <w:sz w:val="24"/>
          <w:highlight w:val="none"/>
        </w:rPr>
        <w:t xml:space="preserve">项目   </w:t>
      </w:r>
    </w:p>
    <w:p w14:paraId="4A93886D">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 xml:space="preserve">3、采购方式：公开招标 </w:t>
      </w:r>
    </w:p>
    <w:p w14:paraId="7AD9E5B0">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4、预算金额：</w:t>
      </w:r>
      <w:r>
        <w:rPr>
          <w:rFonts w:hint="eastAsia" w:ascii="宋体" w:hAnsi="宋体"/>
          <w:sz w:val="24"/>
          <w:highlight w:val="none"/>
          <w:u w:val="none"/>
          <w:lang w:val="en-US" w:eastAsia="zh-CN"/>
        </w:rPr>
        <w:t>2097000元</w:t>
      </w:r>
      <w:r>
        <w:rPr>
          <w:rFonts w:hint="eastAsia" w:ascii="宋体" w:hAnsi="宋体" w:cs="宋体"/>
          <w:kern w:val="0"/>
          <w:sz w:val="24"/>
          <w:highlight w:val="none"/>
        </w:rPr>
        <w:t xml:space="preserve">   </w:t>
      </w:r>
    </w:p>
    <w:p w14:paraId="31021F56">
      <w:pPr>
        <w:widowControl/>
        <w:adjustRightInd w:val="0"/>
        <w:snapToGrid w:val="0"/>
        <w:spacing w:line="360" w:lineRule="auto"/>
        <w:ind w:firstLine="720" w:firstLineChars="300"/>
        <w:jc w:val="left"/>
        <w:rPr>
          <w:rFonts w:ascii="宋体" w:hAnsi="宋体" w:cs="宋体"/>
          <w:kern w:val="0"/>
          <w:sz w:val="24"/>
          <w:highlight w:val="none"/>
        </w:rPr>
      </w:pPr>
      <w:r>
        <w:rPr>
          <w:rFonts w:hint="eastAsia" w:ascii="宋体" w:hAnsi="宋体" w:cs="宋体"/>
          <w:kern w:val="0"/>
          <w:sz w:val="24"/>
          <w:highlight w:val="none"/>
        </w:rPr>
        <w:t>最高限价：</w:t>
      </w:r>
      <w:r>
        <w:rPr>
          <w:rFonts w:hint="eastAsia" w:ascii="宋体" w:hAnsi="宋体"/>
          <w:sz w:val="24"/>
          <w:highlight w:val="none"/>
          <w:u w:val="none"/>
          <w:lang w:val="en-US" w:eastAsia="zh-CN"/>
        </w:rPr>
        <w:t>2097000元</w:t>
      </w:r>
      <w:r>
        <w:rPr>
          <w:rFonts w:hint="eastAsia" w:ascii="宋体" w:hAnsi="宋体" w:cs="宋体"/>
          <w:kern w:val="0"/>
          <w:sz w:val="24"/>
          <w:highlight w:val="none"/>
        </w:rPr>
        <w:t xml:space="preserve">    </w:t>
      </w:r>
    </w:p>
    <w:tbl>
      <w:tblPr>
        <w:tblStyle w:val="32"/>
        <w:tblW w:w="7128" w:type="dxa"/>
        <w:jc w:val="center"/>
        <w:tblCellSpacing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77"/>
        <w:gridCol w:w="3090"/>
        <w:gridCol w:w="1485"/>
        <w:gridCol w:w="1876"/>
      </w:tblGrid>
      <w:tr w14:paraId="4E69A80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7" w:hRule="atLeast"/>
          <w:tblCellSpacing w:w="0" w:type="dxa"/>
          <w:jc w:val="center"/>
        </w:trPr>
        <w:tc>
          <w:tcPr>
            <w:tcW w:w="677" w:type="dxa"/>
            <w:vAlign w:val="center"/>
          </w:tcPr>
          <w:p w14:paraId="140359B3">
            <w:pPr>
              <w:widowControl/>
              <w:adjustRightInd w:val="0"/>
              <w:snapToGrid w:val="0"/>
              <w:jc w:val="center"/>
              <w:rPr>
                <w:rFonts w:ascii="宋体" w:hAnsi="宋体" w:cs="宋体"/>
                <w:kern w:val="0"/>
                <w:sz w:val="24"/>
                <w:highlight w:val="none"/>
              </w:rPr>
            </w:pPr>
            <w:r>
              <w:rPr>
                <w:rFonts w:hint="eastAsia" w:ascii="宋体" w:hAnsi="宋体" w:cs="宋体"/>
                <w:kern w:val="0"/>
                <w:sz w:val="24"/>
                <w:highlight w:val="none"/>
              </w:rPr>
              <w:t>序号</w:t>
            </w:r>
          </w:p>
        </w:tc>
        <w:tc>
          <w:tcPr>
            <w:tcW w:w="3090" w:type="dxa"/>
            <w:vAlign w:val="center"/>
          </w:tcPr>
          <w:p w14:paraId="2D0636D6">
            <w:pPr>
              <w:widowControl/>
              <w:adjustRightInd w:val="0"/>
              <w:snapToGrid w:val="0"/>
              <w:jc w:val="center"/>
              <w:rPr>
                <w:rFonts w:ascii="宋体" w:hAnsi="宋体" w:cs="宋体"/>
                <w:kern w:val="0"/>
                <w:sz w:val="24"/>
                <w:highlight w:val="none"/>
              </w:rPr>
            </w:pPr>
            <w:r>
              <w:rPr>
                <w:rFonts w:hint="eastAsia" w:ascii="宋体" w:hAnsi="宋体" w:cs="宋体"/>
                <w:kern w:val="0"/>
                <w:sz w:val="24"/>
                <w:highlight w:val="none"/>
              </w:rPr>
              <w:t>包名称</w:t>
            </w:r>
          </w:p>
        </w:tc>
        <w:tc>
          <w:tcPr>
            <w:tcW w:w="1485" w:type="dxa"/>
            <w:vAlign w:val="center"/>
          </w:tcPr>
          <w:p w14:paraId="0CCD7BCA">
            <w:pPr>
              <w:widowControl/>
              <w:adjustRightInd w:val="0"/>
              <w:snapToGrid w:val="0"/>
              <w:jc w:val="center"/>
              <w:rPr>
                <w:rFonts w:ascii="宋体" w:hAnsi="宋体" w:cs="宋体"/>
                <w:kern w:val="0"/>
                <w:sz w:val="24"/>
                <w:highlight w:val="none"/>
              </w:rPr>
            </w:pPr>
            <w:r>
              <w:rPr>
                <w:rFonts w:hint="eastAsia" w:ascii="宋体" w:hAnsi="宋体" w:cs="宋体"/>
                <w:kern w:val="0"/>
                <w:sz w:val="24"/>
                <w:highlight w:val="none"/>
              </w:rPr>
              <w:t>包预算（元）</w:t>
            </w:r>
          </w:p>
        </w:tc>
        <w:tc>
          <w:tcPr>
            <w:tcW w:w="1876" w:type="dxa"/>
            <w:vAlign w:val="center"/>
          </w:tcPr>
          <w:p w14:paraId="0C344A5B">
            <w:pPr>
              <w:widowControl/>
              <w:adjustRightInd w:val="0"/>
              <w:snapToGrid w:val="0"/>
              <w:jc w:val="center"/>
              <w:rPr>
                <w:rFonts w:ascii="宋体" w:hAnsi="宋体" w:cs="宋体"/>
                <w:kern w:val="0"/>
                <w:sz w:val="24"/>
                <w:highlight w:val="none"/>
              </w:rPr>
            </w:pPr>
            <w:r>
              <w:rPr>
                <w:rFonts w:hint="eastAsia" w:ascii="宋体" w:hAnsi="宋体" w:cs="宋体"/>
                <w:kern w:val="0"/>
                <w:sz w:val="24"/>
                <w:highlight w:val="none"/>
              </w:rPr>
              <w:t>包最高限价（元）</w:t>
            </w:r>
          </w:p>
        </w:tc>
      </w:tr>
      <w:tr w14:paraId="38A533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87" w:hRule="atLeast"/>
          <w:tblCellSpacing w:w="0" w:type="dxa"/>
          <w:jc w:val="center"/>
        </w:trPr>
        <w:tc>
          <w:tcPr>
            <w:tcW w:w="677" w:type="dxa"/>
            <w:vAlign w:val="center"/>
          </w:tcPr>
          <w:p w14:paraId="4CD838C9">
            <w:pPr>
              <w:widowControl/>
              <w:adjustRightInd w:val="0"/>
              <w:snapToGrid w:val="0"/>
              <w:jc w:val="center"/>
              <w:rPr>
                <w:rFonts w:ascii="宋体" w:hAnsi="宋体" w:cs="宋体"/>
                <w:kern w:val="0"/>
                <w:sz w:val="24"/>
                <w:highlight w:val="none"/>
              </w:rPr>
            </w:pPr>
            <w:r>
              <w:rPr>
                <w:rFonts w:hint="eastAsia" w:ascii="宋体" w:hAnsi="宋体" w:cs="宋体"/>
                <w:kern w:val="0"/>
                <w:sz w:val="24"/>
                <w:highlight w:val="none"/>
              </w:rPr>
              <w:t>1</w:t>
            </w:r>
          </w:p>
        </w:tc>
        <w:tc>
          <w:tcPr>
            <w:tcW w:w="3090" w:type="dxa"/>
            <w:vAlign w:val="center"/>
          </w:tcPr>
          <w:p w14:paraId="64E4DEE3">
            <w:pPr>
              <w:widowControl/>
              <w:adjustRightInd w:val="0"/>
              <w:snapToGrid w:val="0"/>
              <w:jc w:val="center"/>
              <w:rPr>
                <w:rFonts w:ascii="宋体" w:hAnsi="宋体" w:cs="宋体"/>
                <w:kern w:val="0"/>
                <w:sz w:val="24"/>
                <w:highlight w:val="none"/>
              </w:rPr>
            </w:pPr>
            <w:r>
              <w:rPr>
                <w:rFonts w:hint="eastAsia" w:ascii="宋体" w:hAnsi="宋体" w:eastAsia="宋体" w:cs="宋体"/>
                <w:kern w:val="0"/>
                <w:sz w:val="24"/>
                <w:highlight w:val="none"/>
                <w:lang w:eastAsia="zh-CN"/>
              </w:rPr>
              <w:t>开封市司法局关于开封市专门学校观护服务采购</w:t>
            </w:r>
            <w:r>
              <w:rPr>
                <w:rFonts w:hint="eastAsia" w:ascii="宋体" w:hAnsi="宋体" w:eastAsia="宋体" w:cs="宋体"/>
                <w:kern w:val="0"/>
                <w:sz w:val="24"/>
                <w:highlight w:val="none"/>
              </w:rPr>
              <w:t>项目</w:t>
            </w:r>
          </w:p>
        </w:tc>
        <w:tc>
          <w:tcPr>
            <w:tcW w:w="1485" w:type="dxa"/>
            <w:vAlign w:val="center"/>
          </w:tcPr>
          <w:p w14:paraId="1F007350">
            <w:pPr>
              <w:widowControl/>
              <w:adjustRightInd w:val="0"/>
              <w:snapToGrid w:val="0"/>
              <w:ind w:firstLine="240" w:firstLineChars="100"/>
              <w:jc w:val="both"/>
              <w:rPr>
                <w:rFonts w:ascii="宋体" w:hAnsi="宋体" w:cs="宋体"/>
                <w:kern w:val="0"/>
                <w:sz w:val="24"/>
                <w:highlight w:val="none"/>
              </w:rPr>
            </w:pPr>
            <w:r>
              <w:rPr>
                <w:rFonts w:hint="eastAsia" w:ascii="宋体" w:hAnsi="宋体"/>
                <w:sz w:val="24"/>
                <w:highlight w:val="none"/>
                <w:u w:val="none"/>
                <w:lang w:val="en-US" w:eastAsia="zh-CN"/>
              </w:rPr>
              <w:t>2097000</w:t>
            </w:r>
          </w:p>
        </w:tc>
        <w:tc>
          <w:tcPr>
            <w:tcW w:w="1876" w:type="dxa"/>
            <w:vAlign w:val="center"/>
          </w:tcPr>
          <w:p w14:paraId="7AF7EC92">
            <w:pPr>
              <w:widowControl/>
              <w:adjustRightInd w:val="0"/>
              <w:snapToGrid w:val="0"/>
              <w:ind w:firstLine="480" w:firstLineChars="200"/>
              <w:jc w:val="both"/>
              <w:rPr>
                <w:rFonts w:ascii="宋体" w:hAnsi="宋体" w:cs="宋体"/>
                <w:kern w:val="0"/>
                <w:sz w:val="24"/>
                <w:highlight w:val="none"/>
              </w:rPr>
            </w:pPr>
            <w:r>
              <w:rPr>
                <w:rFonts w:hint="eastAsia" w:ascii="宋体" w:hAnsi="宋体"/>
                <w:sz w:val="24"/>
                <w:highlight w:val="none"/>
                <w:u w:val="none"/>
                <w:lang w:val="en-US" w:eastAsia="zh-CN"/>
              </w:rPr>
              <w:t>2097000</w:t>
            </w:r>
          </w:p>
        </w:tc>
      </w:tr>
    </w:tbl>
    <w:p w14:paraId="7A1ED072">
      <w:pPr>
        <w:widowControl/>
        <w:adjustRightInd w:val="0"/>
        <w:snapToGrid w:val="0"/>
        <w:spacing w:line="360" w:lineRule="auto"/>
        <w:ind w:firstLine="840"/>
        <w:jc w:val="left"/>
        <w:rPr>
          <w:rFonts w:ascii="宋体" w:hAnsi="宋体" w:cs="宋体"/>
          <w:kern w:val="0"/>
          <w:sz w:val="24"/>
          <w:highlight w:val="none"/>
        </w:rPr>
      </w:pPr>
    </w:p>
    <w:p w14:paraId="6040D2CD">
      <w:pPr>
        <w:widowControl/>
        <w:numPr>
          <w:ilvl w:val="0"/>
          <w:numId w:val="2"/>
        </w:numPr>
        <w:adjustRightInd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 xml:space="preserve">采购需求（包括但不限于标的的名称、数量、简要技术需求或服务要求等） </w:t>
      </w:r>
    </w:p>
    <w:p w14:paraId="47256586">
      <w:pPr>
        <w:widowControl/>
        <w:numPr>
          <w:ilvl w:val="0"/>
          <w:numId w:val="0"/>
        </w:numPr>
        <w:adjustRightInd w:val="0"/>
        <w:snapToGrid w:val="0"/>
        <w:spacing w:line="360" w:lineRule="auto"/>
        <w:ind w:firstLine="480" w:firstLineChars="200"/>
        <w:jc w:val="left"/>
        <w:rPr>
          <w:rFonts w:hint="eastAsia" w:ascii="宋体" w:hAnsi="宋体" w:cs="宋体"/>
          <w:kern w:val="0"/>
          <w:sz w:val="24"/>
          <w:lang w:val="en-US" w:eastAsia="zh-CN"/>
        </w:rPr>
      </w:pPr>
      <w:r>
        <w:rPr>
          <w:rFonts w:hint="eastAsia" w:ascii="宋体" w:hAnsi="宋体" w:cs="宋体"/>
          <w:kern w:val="0"/>
          <w:sz w:val="24"/>
          <w:lang w:val="en-US" w:eastAsia="zh-CN"/>
        </w:rPr>
        <w:t>为充实开封市专门学校一线工作力量，保障学校正常运行，有序开展入校未成年人监督、管束及教育转化工作，服务供应商需为在校收教未成年人提供24小时贴身观护服务，依托现代化管理模式与方法，落实全时段行为观察、秩序维护及安全保障工作，有效预防安全责任事故，确保校园环境稳定；同时协助任课教师维护课堂教学秩序，履行军事教官职责完成收教学生军事训练任务，严格按照采购人要求完成其他相关工作。</w:t>
      </w:r>
    </w:p>
    <w:p w14:paraId="34C9C778">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6、合同履行期限：</w:t>
      </w:r>
      <w:r>
        <w:rPr>
          <w:rFonts w:hint="eastAsia" w:ascii="宋体" w:hAnsi="宋体" w:cs="宋体"/>
          <w:kern w:val="0"/>
          <w:sz w:val="24"/>
          <w:highlight w:val="none"/>
          <w:lang w:val="en-US" w:eastAsia="zh-CN"/>
        </w:rPr>
        <w:t>1年</w:t>
      </w:r>
      <w:r>
        <w:rPr>
          <w:rFonts w:hint="eastAsia" w:ascii="宋体" w:hAnsi="宋体" w:cs="宋体"/>
          <w:kern w:val="0"/>
          <w:sz w:val="24"/>
          <w:highlight w:val="none"/>
        </w:rPr>
        <w:t xml:space="preserve">   </w:t>
      </w:r>
    </w:p>
    <w:p w14:paraId="75A491FB">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 xml:space="preserve">7、本项目是否接受联合体投标：否 </w:t>
      </w:r>
    </w:p>
    <w:p w14:paraId="4EEFC17A">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 xml:space="preserve">8、是否接受进口产品：否 </w:t>
      </w:r>
    </w:p>
    <w:p w14:paraId="79595125">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9、</w:t>
      </w:r>
      <w:r>
        <w:rPr>
          <w:rFonts w:hint="eastAsia" w:ascii="宋体" w:hAnsi="宋体" w:eastAsia="宋体" w:cs="宋体"/>
          <w:kern w:val="0"/>
          <w:sz w:val="24"/>
          <w:highlight w:val="none"/>
        </w:rPr>
        <w:t>是否为只面向中小企业采购：否</w:t>
      </w:r>
    </w:p>
    <w:p w14:paraId="62EB09B0">
      <w:pPr>
        <w:widowControl/>
        <w:adjustRightInd w:val="0"/>
        <w:snapToGrid w:val="0"/>
        <w:spacing w:line="360" w:lineRule="auto"/>
        <w:jc w:val="left"/>
        <w:outlineLvl w:val="1"/>
        <w:rPr>
          <w:rFonts w:ascii="宋体" w:hAnsi="宋体" w:cs="宋体"/>
          <w:kern w:val="0"/>
          <w:sz w:val="24"/>
          <w:highlight w:val="none"/>
        </w:rPr>
      </w:pPr>
      <w:bookmarkStart w:id="9" w:name="_Toc15459"/>
      <w:r>
        <w:rPr>
          <w:rFonts w:hint="eastAsia" w:ascii="宋体" w:hAnsi="宋体" w:cs="宋体"/>
          <w:kern w:val="0"/>
          <w:sz w:val="24"/>
          <w:highlight w:val="none"/>
        </w:rPr>
        <w:t>二、申请人资格要求：</w:t>
      </w:r>
      <w:bookmarkEnd w:id="9"/>
      <w:r>
        <w:rPr>
          <w:rFonts w:hint="eastAsia" w:ascii="宋体" w:hAnsi="宋体" w:cs="宋体"/>
          <w:kern w:val="0"/>
          <w:sz w:val="24"/>
          <w:highlight w:val="none"/>
        </w:rPr>
        <w:t xml:space="preserve"> </w:t>
      </w:r>
    </w:p>
    <w:p w14:paraId="5697E6CE">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 xml:space="preserve">1、满足《中华人民共和国政府采购法》第二十二条规定； </w:t>
      </w:r>
    </w:p>
    <w:p w14:paraId="4327C8D3">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2、落实政府采购政策满足的资格要求：</w:t>
      </w:r>
    </w:p>
    <w:p w14:paraId="4CFDD611">
      <w:pPr>
        <w:widowControl/>
        <w:adjustRightInd w:val="0"/>
        <w:snapToGrid w:val="0"/>
        <w:spacing w:line="360" w:lineRule="auto"/>
        <w:ind w:firstLine="960" w:firstLineChars="400"/>
        <w:jc w:val="left"/>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无。</w:t>
      </w:r>
      <w:r>
        <w:rPr>
          <w:rFonts w:hint="eastAsia" w:ascii="宋体" w:hAnsi="宋体" w:cs="宋体"/>
          <w:color w:val="auto"/>
          <w:kern w:val="0"/>
          <w:sz w:val="24"/>
          <w:highlight w:val="none"/>
        </w:rPr>
        <w:t xml:space="preserve"> </w:t>
      </w:r>
    </w:p>
    <w:p w14:paraId="170CE3E8">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 xml:space="preserve">3、本项目的特定资格要求 </w:t>
      </w:r>
    </w:p>
    <w:p w14:paraId="4E505A15">
      <w:pPr>
        <w:widowControl/>
        <w:numPr>
          <w:ilvl w:val="0"/>
          <w:numId w:val="3"/>
        </w:numPr>
        <w:adjustRightInd w:val="0"/>
        <w:snapToGrid w:val="0"/>
        <w:spacing w:line="360" w:lineRule="auto"/>
        <w:ind w:left="845" w:leftChars="0" w:hanging="425" w:firstLineChars="0"/>
        <w:jc w:val="left"/>
        <w:outlineLvl w:val="3"/>
        <w:rPr>
          <w:rFonts w:ascii="宋体" w:hAnsi="宋体" w:cs="宋体"/>
          <w:kern w:val="0"/>
          <w:sz w:val="24"/>
          <w:highlight w:val="none"/>
        </w:rPr>
      </w:pPr>
      <w:r>
        <w:rPr>
          <w:rFonts w:hint="eastAsia" w:ascii="宋体" w:hAnsi="宋体" w:cs="宋体"/>
          <w:kern w:val="0"/>
          <w:sz w:val="24"/>
          <w:highlight w:val="none"/>
        </w:rPr>
        <w:t>供应商应具备下列条件，并提供相应材料：</w:t>
      </w:r>
    </w:p>
    <w:p w14:paraId="0EA71AFB">
      <w:pPr>
        <w:widowControl/>
        <w:numPr>
          <w:ilvl w:val="0"/>
          <w:numId w:val="4"/>
        </w:numPr>
        <w:adjustRightInd w:val="0"/>
        <w:snapToGrid w:val="0"/>
        <w:spacing w:line="360" w:lineRule="auto"/>
        <w:ind w:left="645" w:hanging="5"/>
        <w:jc w:val="left"/>
        <w:rPr>
          <w:rFonts w:ascii="宋体" w:hAnsi="宋体" w:cs="宋体"/>
          <w:kern w:val="0"/>
          <w:sz w:val="24"/>
          <w:highlight w:val="none"/>
        </w:rPr>
      </w:pPr>
      <w:r>
        <w:rPr>
          <w:rFonts w:hint="eastAsia" w:ascii="宋体" w:hAnsi="宋体" w:cs="宋体"/>
          <w:kern w:val="0"/>
          <w:sz w:val="24"/>
          <w:highlight w:val="none"/>
        </w:rPr>
        <w:t>营业执照等证明材料，具有独立承担民事责任的能力。（提供原件</w:t>
      </w:r>
      <w:r>
        <w:rPr>
          <w:rFonts w:hint="eastAsia" w:ascii="宋体" w:hAnsi="宋体" w:cs="宋体"/>
          <w:kern w:val="0"/>
          <w:sz w:val="24"/>
          <w:highlight w:val="none"/>
          <w:lang w:val="en-US" w:eastAsia="zh-CN"/>
        </w:rPr>
        <w:t>彩色</w:t>
      </w:r>
      <w:r>
        <w:rPr>
          <w:rFonts w:hint="eastAsia" w:ascii="宋体" w:hAnsi="宋体" w:cs="宋体"/>
          <w:kern w:val="0"/>
          <w:sz w:val="24"/>
          <w:highlight w:val="none"/>
        </w:rPr>
        <w:t>扫描件，经营内容与本项目采购内容及履约能力相适合。）</w:t>
      </w:r>
    </w:p>
    <w:p w14:paraId="3383A9F1">
      <w:pPr>
        <w:widowControl/>
        <w:numPr>
          <w:ilvl w:val="0"/>
          <w:numId w:val="4"/>
        </w:numPr>
        <w:adjustRightInd w:val="0"/>
        <w:snapToGrid w:val="0"/>
        <w:spacing w:line="360" w:lineRule="auto"/>
        <w:ind w:left="645" w:hanging="5"/>
        <w:jc w:val="left"/>
        <w:rPr>
          <w:rFonts w:ascii="宋体" w:hAnsi="宋体" w:cs="宋体"/>
          <w:kern w:val="0"/>
          <w:sz w:val="24"/>
          <w:highlight w:val="none"/>
        </w:rPr>
      </w:pPr>
      <w:r>
        <w:rPr>
          <w:rFonts w:hint="eastAsia" w:ascii="宋体" w:hAnsi="宋体" w:cs="宋体"/>
          <w:kern w:val="0"/>
          <w:sz w:val="24"/>
          <w:highlight w:val="none"/>
        </w:rPr>
        <w:t>财务状况报告。（是法人的，提供经审计的财务报告，或其基本开户银行出具的资信证明。是其他组织和自然人的，提供银行出具的资信证明。资信证明出具时间距开标不超过一年；财务报告出具时间为本年或上一年。提供原件</w:t>
      </w:r>
      <w:r>
        <w:rPr>
          <w:rFonts w:hint="eastAsia" w:ascii="宋体" w:hAnsi="宋体" w:cs="宋体"/>
          <w:kern w:val="0"/>
          <w:sz w:val="24"/>
          <w:highlight w:val="none"/>
          <w:lang w:val="en-US" w:eastAsia="zh-CN"/>
        </w:rPr>
        <w:t>彩色</w:t>
      </w:r>
      <w:r>
        <w:rPr>
          <w:rFonts w:hint="eastAsia" w:ascii="宋体" w:hAnsi="宋体" w:cs="宋体"/>
          <w:kern w:val="0"/>
          <w:sz w:val="24"/>
          <w:highlight w:val="none"/>
        </w:rPr>
        <w:t>扫描件。）</w:t>
      </w:r>
    </w:p>
    <w:p w14:paraId="11BB7D93">
      <w:pPr>
        <w:widowControl/>
        <w:numPr>
          <w:ilvl w:val="0"/>
          <w:numId w:val="4"/>
        </w:numPr>
        <w:adjustRightInd w:val="0"/>
        <w:snapToGrid w:val="0"/>
        <w:spacing w:line="360" w:lineRule="auto"/>
        <w:ind w:left="645" w:hanging="5"/>
        <w:jc w:val="left"/>
        <w:rPr>
          <w:rFonts w:ascii="宋体" w:hAnsi="宋体" w:cs="宋体"/>
          <w:kern w:val="0"/>
          <w:sz w:val="24"/>
          <w:highlight w:val="none"/>
        </w:rPr>
      </w:pPr>
      <w:r>
        <w:rPr>
          <w:rFonts w:hint="eastAsia" w:ascii="宋体" w:hAnsi="宋体" w:cs="宋体"/>
          <w:kern w:val="0"/>
          <w:sz w:val="24"/>
          <w:highlight w:val="none"/>
        </w:rPr>
        <w:t>依法缴纳税收的证明材料。</w:t>
      </w:r>
      <w:r>
        <w:rPr>
          <w:rFonts w:hint="eastAsia" w:ascii="宋体" w:hAnsi="宋体" w:cs="宋体"/>
          <w:kern w:val="0"/>
          <w:sz w:val="24"/>
          <w:highlight w:val="none"/>
          <w:lang w:val="en-US" w:eastAsia="zh-CN"/>
        </w:rPr>
        <w:t>[提供距开标不超过6个月</w:t>
      </w:r>
      <w:r>
        <w:rPr>
          <w:rFonts w:hint="eastAsia" w:ascii="宋体" w:hAnsi="宋体" w:cs="宋体"/>
          <w:kern w:val="0"/>
          <w:sz w:val="24"/>
          <w:highlight w:val="none"/>
        </w:rPr>
        <w:t>任意一次（缴款日期、入库日期等）税务</w:t>
      </w:r>
      <w:r>
        <w:rPr>
          <w:rFonts w:hint="eastAsia" w:ascii="宋体" w:hAnsi="宋体" w:cs="宋体"/>
          <w:kern w:val="0"/>
          <w:sz w:val="24"/>
          <w:highlight w:val="none"/>
          <w:lang w:val="en-US" w:eastAsia="zh-CN"/>
        </w:rPr>
        <w:t>机关</w:t>
      </w:r>
      <w:r>
        <w:rPr>
          <w:rFonts w:hint="eastAsia" w:ascii="宋体" w:hAnsi="宋体" w:cs="宋体"/>
          <w:kern w:val="0"/>
          <w:sz w:val="24"/>
          <w:highlight w:val="none"/>
        </w:rPr>
        <w:t>出具的</w:t>
      </w:r>
      <w:r>
        <w:rPr>
          <w:rFonts w:hint="eastAsia" w:ascii="宋体" w:hAnsi="宋体" w:cs="宋体"/>
          <w:kern w:val="0"/>
          <w:sz w:val="24"/>
          <w:highlight w:val="none"/>
          <w:lang w:val="en-US" w:eastAsia="zh-CN"/>
        </w:rPr>
        <w:t>完税证明或</w:t>
      </w:r>
      <w:r>
        <w:rPr>
          <w:rFonts w:hint="eastAsia" w:ascii="宋体" w:hAnsi="宋体" w:cs="宋体"/>
          <w:kern w:val="0"/>
          <w:sz w:val="24"/>
          <w:highlight w:val="none"/>
        </w:rPr>
        <w:t>无欠税证明原件</w:t>
      </w:r>
      <w:r>
        <w:rPr>
          <w:rFonts w:hint="eastAsia" w:ascii="宋体" w:hAnsi="宋体" w:cs="宋体"/>
          <w:kern w:val="0"/>
          <w:sz w:val="24"/>
          <w:highlight w:val="none"/>
          <w:lang w:val="en-US" w:eastAsia="zh-CN"/>
        </w:rPr>
        <w:t>彩色</w:t>
      </w:r>
      <w:r>
        <w:rPr>
          <w:rFonts w:hint="eastAsia" w:ascii="宋体" w:hAnsi="宋体" w:cs="宋体"/>
          <w:kern w:val="0"/>
          <w:sz w:val="24"/>
          <w:highlight w:val="none"/>
        </w:rPr>
        <w:t>扫描件</w:t>
      </w:r>
      <w:r>
        <w:rPr>
          <w:rFonts w:hint="eastAsia" w:ascii="宋体" w:hAnsi="宋体" w:cs="宋体"/>
          <w:kern w:val="0"/>
          <w:sz w:val="24"/>
          <w:highlight w:val="none"/>
          <w:lang w:eastAsia="zh-CN"/>
        </w:rPr>
        <w:t>。</w:t>
      </w:r>
      <w:r>
        <w:rPr>
          <w:rFonts w:hint="eastAsia" w:ascii="宋体" w:hAnsi="宋体" w:cs="宋体"/>
          <w:kern w:val="0"/>
          <w:sz w:val="24"/>
          <w:highlight w:val="none"/>
        </w:rPr>
        <w:t>属于免税对象者，自行出具免税声明或提供其他证明材料。</w:t>
      </w:r>
      <w:r>
        <w:rPr>
          <w:rFonts w:hint="eastAsia" w:ascii="宋体" w:hAnsi="宋体" w:cs="宋体"/>
          <w:kern w:val="0"/>
          <w:sz w:val="24"/>
          <w:highlight w:val="none"/>
          <w:lang w:val="en-US" w:eastAsia="zh-CN"/>
        </w:rPr>
        <w:t>]</w:t>
      </w:r>
    </w:p>
    <w:p w14:paraId="05BFE26B">
      <w:pPr>
        <w:widowControl/>
        <w:numPr>
          <w:ilvl w:val="0"/>
          <w:numId w:val="4"/>
        </w:numPr>
        <w:adjustRightInd w:val="0"/>
        <w:snapToGrid w:val="0"/>
        <w:spacing w:line="360" w:lineRule="auto"/>
        <w:ind w:left="645" w:hanging="5"/>
        <w:jc w:val="left"/>
        <w:rPr>
          <w:rFonts w:ascii="宋体" w:hAnsi="宋体" w:cs="宋体"/>
          <w:kern w:val="0"/>
          <w:sz w:val="24"/>
          <w:highlight w:val="none"/>
        </w:rPr>
      </w:pPr>
      <w:r>
        <w:rPr>
          <w:rFonts w:hint="eastAsia" w:ascii="宋体" w:hAnsi="宋体" w:cs="宋体"/>
          <w:kern w:val="0"/>
          <w:sz w:val="24"/>
          <w:highlight w:val="none"/>
        </w:rPr>
        <w:t>依法缴纳社会保障资金的证明材料。</w:t>
      </w:r>
      <w:r>
        <w:rPr>
          <w:rFonts w:hint="eastAsia" w:ascii="宋体" w:hAnsi="宋体" w:cs="宋体"/>
          <w:kern w:val="0"/>
          <w:sz w:val="24"/>
          <w:highlight w:val="none"/>
          <w:lang w:val="en-US" w:eastAsia="zh-CN"/>
        </w:rPr>
        <w:t>[提供</w:t>
      </w:r>
      <w:r>
        <w:rPr>
          <w:rFonts w:hint="eastAsia" w:ascii="宋体" w:hAnsi="宋体" w:cs="宋体"/>
          <w:kern w:val="0"/>
          <w:sz w:val="24"/>
          <w:highlight w:val="none"/>
        </w:rPr>
        <w:t>距开标不超过</w:t>
      </w:r>
      <w:r>
        <w:rPr>
          <w:rFonts w:hint="eastAsia" w:ascii="宋体" w:hAnsi="宋体" w:cs="宋体"/>
          <w:kern w:val="0"/>
          <w:sz w:val="24"/>
          <w:highlight w:val="none"/>
          <w:lang w:val="en-US" w:eastAsia="zh-CN"/>
        </w:rPr>
        <w:t>6个月</w:t>
      </w:r>
      <w:r>
        <w:rPr>
          <w:rFonts w:hint="eastAsia" w:ascii="宋体" w:hAnsi="宋体" w:cs="宋体"/>
          <w:kern w:val="0"/>
          <w:sz w:val="24"/>
          <w:highlight w:val="none"/>
        </w:rPr>
        <w:t>任意一次为职工缴纳社会保险</w:t>
      </w:r>
      <w:r>
        <w:rPr>
          <w:rFonts w:hint="eastAsia" w:ascii="宋体" w:hAnsi="宋体" w:cs="宋体"/>
          <w:kern w:val="0"/>
          <w:sz w:val="24"/>
          <w:highlight w:val="none"/>
          <w:lang w:val="en-US" w:eastAsia="zh-CN"/>
        </w:rPr>
        <w:t>(含养老保险)</w:t>
      </w:r>
      <w:r>
        <w:rPr>
          <w:rFonts w:hint="eastAsia" w:ascii="宋体" w:hAnsi="宋体" w:cs="宋体"/>
          <w:kern w:val="0"/>
          <w:sz w:val="24"/>
          <w:highlight w:val="none"/>
        </w:rPr>
        <w:t>的</w:t>
      </w:r>
      <w:r>
        <w:rPr>
          <w:rFonts w:hint="eastAsia" w:ascii="宋体" w:hAnsi="宋体" w:cs="宋体"/>
          <w:kern w:val="0"/>
          <w:sz w:val="24"/>
          <w:highlight w:val="none"/>
          <w:lang w:val="en-US" w:eastAsia="zh-CN"/>
        </w:rPr>
        <w:t>完税证明或缴款凭证或</w:t>
      </w:r>
      <w:r>
        <w:rPr>
          <w:rFonts w:hint="eastAsia" w:ascii="宋体" w:hAnsi="宋体" w:cs="宋体"/>
          <w:kern w:val="0"/>
          <w:sz w:val="24"/>
          <w:highlight w:val="none"/>
        </w:rPr>
        <w:t>社保部门证明原件</w:t>
      </w:r>
      <w:r>
        <w:rPr>
          <w:rFonts w:hint="eastAsia" w:ascii="宋体" w:hAnsi="宋体" w:cs="宋体"/>
          <w:kern w:val="0"/>
          <w:sz w:val="24"/>
          <w:highlight w:val="none"/>
          <w:lang w:val="en-US" w:eastAsia="zh-CN"/>
        </w:rPr>
        <w:t>彩色</w:t>
      </w:r>
      <w:r>
        <w:rPr>
          <w:rFonts w:hint="eastAsia" w:ascii="宋体" w:hAnsi="宋体" w:cs="宋体"/>
          <w:kern w:val="0"/>
          <w:sz w:val="24"/>
          <w:highlight w:val="none"/>
        </w:rPr>
        <w:t>扫描件。</w:t>
      </w:r>
      <w:r>
        <w:rPr>
          <w:rFonts w:hint="eastAsia" w:ascii="宋体" w:hAnsi="宋体" w:cs="宋体"/>
          <w:kern w:val="0"/>
          <w:sz w:val="24"/>
          <w:highlight w:val="none"/>
          <w:lang w:val="en-US" w:eastAsia="zh-CN"/>
        </w:rPr>
        <w:t>]</w:t>
      </w:r>
    </w:p>
    <w:p w14:paraId="12D3BBDC">
      <w:pPr>
        <w:widowControl/>
        <w:numPr>
          <w:ilvl w:val="0"/>
          <w:numId w:val="4"/>
        </w:numPr>
        <w:adjustRightInd w:val="0"/>
        <w:snapToGrid w:val="0"/>
        <w:spacing w:line="360" w:lineRule="auto"/>
        <w:ind w:left="645" w:leftChars="0" w:hanging="5" w:firstLineChars="0"/>
        <w:jc w:val="left"/>
        <w:outlineLvl w:val="4"/>
        <w:rPr>
          <w:rFonts w:ascii="宋体" w:hAnsi="宋体" w:cs="宋体"/>
          <w:kern w:val="0"/>
          <w:sz w:val="24"/>
          <w:highlight w:val="none"/>
        </w:rPr>
      </w:pPr>
      <w:r>
        <w:rPr>
          <w:rFonts w:hint="eastAsia" w:ascii="宋体" w:hAnsi="宋体" w:cs="宋体"/>
          <w:kern w:val="0"/>
          <w:sz w:val="24"/>
          <w:highlight w:val="none"/>
        </w:rPr>
        <w:t>具备履行合同所必需的设备和专业技术能力的承诺。</w:t>
      </w:r>
    </w:p>
    <w:p w14:paraId="265B9A2C">
      <w:pPr>
        <w:widowControl/>
        <w:numPr>
          <w:ilvl w:val="0"/>
          <w:numId w:val="4"/>
        </w:numPr>
        <w:adjustRightInd w:val="0"/>
        <w:snapToGrid w:val="0"/>
        <w:spacing w:line="360" w:lineRule="auto"/>
        <w:ind w:left="645" w:hanging="5"/>
        <w:jc w:val="left"/>
        <w:rPr>
          <w:rFonts w:ascii="宋体" w:hAnsi="宋体" w:cs="宋体"/>
          <w:kern w:val="0"/>
          <w:sz w:val="24"/>
          <w:highlight w:val="none"/>
        </w:rPr>
      </w:pPr>
      <w:r>
        <w:rPr>
          <w:rFonts w:hint="eastAsia" w:ascii="宋体" w:hAnsi="宋体" w:cs="宋体"/>
          <w:kern w:val="0"/>
          <w:sz w:val="24"/>
          <w:highlight w:val="none"/>
        </w:rPr>
        <w:t>供应商开标前三年内在经营活动中无重大违法记录的书面声明。</w:t>
      </w:r>
    </w:p>
    <w:p w14:paraId="1B0DE130">
      <w:pPr>
        <w:widowControl/>
        <w:numPr>
          <w:ilvl w:val="0"/>
          <w:numId w:val="3"/>
        </w:numPr>
        <w:adjustRightInd w:val="0"/>
        <w:snapToGrid w:val="0"/>
        <w:spacing w:line="360" w:lineRule="auto"/>
        <w:ind w:left="5" w:firstLine="415"/>
        <w:jc w:val="left"/>
        <w:rPr>
          <w:rFonts w:ascii="宋体" w:hAnsi="宋体" w:cs="宋体"/>
          <w:kern w:val="0"/>
          <w:sz w:val="24"/>
          <w:highlight w:val="none"/>
        </w:rPr>
      </w:pPr>
      <w:r>
        <w:rPr>
          <w:rFonts w:hint="eastAsia" w:ascii="宋体" w:hAnsi="宋体" w:cs="宋体"/>
          <w:kern w:val="0"/>
          <w:sz w:val="24"/>
          <w:highlight w:val="none"/>
        </w:rPr>
        <w:t>具有良好的商业信誉。截至投标文件递交截止时间，供应商在“信用中国”网站列入“失信被执行人、重大税收违法失信主体”，或者在“中国政府采购网”上列入“政府采购严重违法失信行为信息记录”的，为无效投标。采购人、采购代理机构于开标后查询。【查询渠道：“信用中国”网</w:t>
      </w:r>
      <w:r>
        <w:rPr>
          <w:rFonts w:hint="eastAsia" w:ascii="宋体" w:hAnsi="宋体" w:cs="宋体"/>
          <w:kern w:val="0"/>
          <w:sz w:val="24"/>
          <w:highlight w:val="none"/>
          <w:lang w:val="en-US" w:eastAsia="zh-CN"/>
        </w:rPr>
        <w:t>址：</w:t>
      </w:r>
      <w:r>
        <w:rPr>
          <w:rFonts w:hint="eastAsia" w:ascii="宋体" w:hAnsi="宋体" w:cs="宋体"/>
          <w:kern w:val="0"/>
          <w:sz w:val="24"/>
          <w:highlight w:val="none"/>
        </w:rPr>
        <w:t>（http://www.creditchina.gov.cn）、“中国政府采购网”</w:t>
      </w:r>
      <w:r>
        <w:rPr>
          <w:rFonts w:hint="eastAsia" w:ascii="宋体" w:hAnsi="宋体" w:cs="宋体"/>
          <w:kern w:val="0"/>
          <w:sz w:val="24"/>
          <w:highlight w:val="none"/>
          <w:lang w:val="en-US" w:eastAsia="zh-CN"/>
        </w:rPr>
        <w:t>网址：</w:t>
      </w:r>
      <w:r>
        <w:rPr>
          <w:rFonts w:hint="eastAsia" w:ascii="宋体" w:hAnsi="宋体" w:cs="宋体"/>
          <w:kern w:val="0"/>
          <w:sz w:val="24"/>
          <w:highlight w:val="none"/>
        </w:rPr>
        <w:t>（http://www.ccgp.gov.cn）。】</w:t>
      </w:r>
    </w:p>
    <w:p w14:paraId="446CEF1C">
      <w:pPr>
        <w:widowControl/>
        <w:numPr>
          <w:ilvl w:val="0"/>
          <w:numId w:val="3"/>
        </w:numPr>
        <w:adjustRightInd w:val="0"/>
        <w:snapToGrid w:val="0"/>
        <w:spacing w:line="360" w:lineRule="auto"/>
        <w:ind w:left="5" w:firstLine="415"/>
        <w:jc w:val="left"/>
        <w:rPr>
          <w:rFonts w:ascii="宋体" w:hAnsi="宋体" w:cs="宋体"/>
          <w:kern w:val="0"/>
          <w:sz w:val="24"/>
          <w:highlight w:val="none"/>
        </w:rPr>
      </w:pPr>
      <w:r>
        <w:rPr>
          <w:rFonts w:hint="eastAsia" w:ascii="宋体" w:hAnsi="宋体" w:cs="宋体"/>
          <w:kern w:val="0"/>
          <w:sz w:val="24"/>
          <w:lang w:eastAsia="zh-CN"/>
        </w:rPr>
        <w:t>供应商具有公安部门颁发的保安服务许可证。（提供原件扫描件或电子证照）</w:t>
      </w:r>
    </w:p>
    <w:p w14:paraId="78CFC94B">
      <w:pPr>
        <w:widowControl/>
        <w:adjustRightInd w:val="0"/>
        <w:snapToGrid w:val="0"/>
        <w:spacing w:line="360" w:lineRule="auto"/>
        <w:jc w:val="left"/>
        <w:outlineLvl w:val="1"/>
        <w:rPr>
          <w:rFonts w:ascii="宋体" w:hAnsi="宋体" w:cs="宋体"/>
          <w:kern w:val="0"/>
          <w:sz w:val="24"/>
          <w:highlight w:val="none"/>
        </w:rPr>
      </w:pPr>
      <w:bookmarkStart w:id="10" w:name="_Toc13718"/>
      <w:r>
        <w:rPr>
          <w:rFonts w:hint="eastAsia" w:ascii="宋体" w:hAnsi="宋体" w:cs="宋体"/>
          <w:kern w:val="0"/>
          <w:sz w:val="24"/>
          <w:highlight w:val="none"/>
        </w:rPr>
        <w:t>三、获取招标文件</w:t>
      </w:r>
      <w:bookmarkEnd w:id="10"/>
      <w:r>
        <w:rPr>
          <w:rFonts w:hint="eastAsia" w:ascii="宋体" w:hAnsi="宋体" w:cs="宋体"/>
          <w:kern w:val="0"/>
          <w:sz w:val="24"/>
          <w:highlight w:val="none"/>
        </w:rPr>
        <w:t xml:space="preserve"> </w:t>
      </w:r>
    </w:p>
    <w:p w14:paraId="074466AD">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1.时间：202</w:t>
      </w:r>
      <w:r>
        <w:rPr>
          <w:rFonts w:hint="eastAsia" w:ascii="宋体" w:hAnsi="宋体" w:cs="宋体"/>
          <w:kern w:val="0"/>
          <w:sz w:val="24"/>
          <w:highlight w:val="none"/>
          <w:lang w:val="en-US" w:eastAsia="zh-CN"/>
        </w:rPr>
        <w:t>6</w:t>
      </w:r>
      <w:r>
        <w:rPr>
          <w:rFonts w:hint="eastAsia" w:ascii="宋体" w:hAnsi="宋体" w:cs="宋体"/>
          <w:kern w:val="0"/>
          <w:sz w:val="24"/>
          <w:highlight w:val="none"/>
        </w:rPr>
        <w:t>年</w:t>
      </w:r>
      <w:r>
        <w:rPr>
          <w:rFonts w:hint="eastAsia" w:ascii="宋体" w:hAnsi="宋体" w:cs="宋体"/>
          <w:kern w:val="0"/>
          <w:sz w:val="24"/>
          <w:highlight w:val="none"/>
          <w:lang w:val="en-US" w:eastAsia="zh-CN"/>
        </w:rPr>
        <w:t>8</w:t>
      </w:r>
      <w:r>
        <w:rPr>
          <w:rFonts w:hint="eastAsia" w:ascii="宋体" w:hAnsi="宋体" w:cs="宋体"/>
          <w:kern w:val="0"/>
          <w:sz w:val="24"/>
          <w:highlight w:val="none"/>
        </w:rPr>
        <w:t>月</w:t>
      </w:r>
      <w:r>
        <w:rPr>
          <w:rFonts w:hint="eastAsia" w:ascii="宋体" w:hAnsi="宋体" w:cs="宋体"/>
          <w:kern w:val="0"/>
          <w:sz w:val="24"/>
          <w:highlight w:val="none"/>
          <w:lang w:val="en-US" w:eastAsia="zh-CN"/>
        </w:rPr>
        <w:t>5</w:t>
      </w:r>
      <w:r>
        <w:rPr>
          <w:rFonts w:hint="eastAsia" w:ascii="宋体" w:hAnsi="宋体" w:cs="宋体"/>
          <w:kern w:val="0"/>
          <w:sz w:val="24"/>
          <w:highlight w:val="none"/>
        </w:rPr>
        <w:t>日 至202</w:t>
      </w:r>
      <w:r>
        <w:rPr>
          <w:rFonts w:hint="eastAsia" w:ascii="宋体" w:hAnsi="宋体" w:cs="宋体"/>
          <w:kern w:val="0"/>
          <w:sz w:val="24"/>
          <w:highlight w:val="none"/>
          <w:lang w:val="en-US" w:eastAsia="zh-CN"/>
        </w:rPr>
        <w:t>6</w:t>
      </w:r>
      <w:r>
        <w:rPr>
          <w:rFonts w:hint="eastAsia" w:ascii="宋体" w:hAnsi="宋体" w:cs="宋体"/>
          <w:kern w:val="0"/>
          <w:sz w:val="24"/>
          <w:highlight w:val="none"/>
        </w:rPr>
        <w:t>年</w:t>
      </w:r>
      <w:r>
        <w:rPr>
          <w:rFonts w:hint="eastAsia" w:ascii="宋体" w:hAnsi="宋体" w:cs="宋体"/>
          <w:kern w:val="0"/>
          <w:sz w:val="24"/>
          <w:highlight w:val="none"/>
          <w:lang w:val="en-US" w:eastAsia="zh-CN"/>
        </w:rPr>
        <w:t>8</w:t>
      </w:r>
      <w:r>
        <w:rPr>
          <w:rFonts w:hint="eastAsia" w:ascii="宋体" w:hAnsi="宋体" w:cs="宋体"/>
          <w:kern w:val="0"/>
          <w:sz w:val="24"/>
          <w:highlight w:val="none"/>
        </w:rPr>
        <w:t>月</w:t>
      </w:r>
      <w:r>
        <w:rPr>
          <w:rFonts w:hint="eastAsia" w:ascii="宋体" w:hAnsi="宋体" w:cs="宋体"/>
          <w:kern w:val="0"/>
          <w:sz w:val="24"/>
          <w:highlight w:val="none"/>
          <w:lang w:val="en-US" w:eastAsia="zh-CN"/>
        </w:rPr>
        <w:t>24</w:t>
      </w:r>
      <w:r>
        <w:rPr>
          <w:rFonts w:hint="eastAsia" w:ascii="宋体" w:hAnsi="宋体" w:cs="宋体"/>
          <w:kern w:val="0"/>
          <w:sz w:val="24"/>
          <w:highlight w:val="none"/>
        </w:rPr>
        <w:t>日，每天上午00:0</w:t>
      </w:r>
      <w:r>
        <w:rPr>
          <w:rFonts w:hint="eastAsia" w:ascii="宋体" w:hAnsi="宋体" w:cs="宋体"/>
          <w:kern w:val="0"/>
          <w:sz w:val="24"/>
          <w:highlight w:val="none"/>
          <w:lang w:val="en-US" w:eastAsia="zh-CN"/>
        </w:rPr>
        <w:t>1</w:t>
      </w:r>
      <w:r>
        <w:rPr>
          <w:rFonts w:hint="eastAsia" w:ascii="宋体" w:hAnsi="宋体" w:cs="宋体"/>
          <w:kern w:val="0"/>
          <w:sz w:val="24"/>
          <w:highlight w:val="none"/>
        </w:rPr>
        <w:t xml:space="preserve">至12:00，下午12:00至23:59（北京时间，法定节假日除外。） </w:t>
      </w:r>
    </w:p>
    <w:p w14:paraId="19A60A09">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 xml:space="preserve">2.地点：《开封市公共资源交易信息网》电子交易系统。 </w:t>
      </w:r>
    </w:p>
    <w:p w14:paraId="417D97B8">
      <w:pPr>
        <w:widowControl/>
        <w:adjustRightInd w:val="0"/>
        <w:snapToGrid w:val="0"/>
        <w:spacing w:line="360" w:lineRule="auto"/>
        <w:ind w:firstLine="420"/>
        <w:jc w:val="left"/>
        <w:rPr>
          <w:rFonts w:ascii="宋体" w:hAnsi="宋体" w:eastAsia="微软雅黑" w:cs="宋体"/>
          <w:kern w:val="0"/>
          <w:sz w:val="24"/>
          <w:highlight w:val="none"/>
        </w:rPr>
      </w:pPr>
      <w:r>
        <w:rPr>
          <w:rFonts w:hint="eastAsia" w:ascii="宋体" w:hAnsi="宋体" w:cs="宋体"/>
          <w:kern w:val="0"/>
          <w:sz w:val="24"/>
          <w:highlight w:val="none"/>
        </w:rPr>
        <w:t>3.方式：凭CA密钥登录电子交易系统“政采、工程业务系统”自行下载招标文件及资料（详见http://www.kfsggzyjyw.cn办事指南-操作规程)。</w:t>
      </w:r>
    </w:p>
    <w:p w14:paraId="375978A8">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 xml:space="preserve">4.售价：0元 </w:t>
      </w:r>
    </w:p>
    <w:p w14:paraId="1B6803EE">
      <w:pPr>
        <w:widowControl/>
        <w:adjustRightInd w:val="0"/>
        <w:snapToGrid w:val="0"/>
        <w:spacing w:line="360" w:lineRule="auto"/>
        <w:jc w:val="left"/>
        <w:outlineLvl w:val="1"/>
        <w:rPr>
          <w:rFonts w:ascii="宋体" w:hAnsi="宋体" w:cs="宋体"/>
          <w:kern w:val="0"/>
          <w:sz w:val="24"/>
          <w:highlight w:val="none"/>
        </w:rPr>
      </w:pPr>
      <w:bookmarkStart w:id="11" w:name="_Toc4379"/>
      <w:r>
        <w:rPr>
          <w:rFonts w:hint="eastAsia" w:ascii="宋体" w:hAnsi="宋体" w:cs="宋体"/>
          <w:kern w:val="0"/>
          <w:sz w:val="24"/>
          <w:highlight w:val="none"/>
        </w:rPr>
        <w:t>四、投标截止时间及地点</w:t>
      </w:r>
      <w:bookmarkEnd w:id="11"/>
      <w:r>
        <w:rPr>
          <w:rFonts w:hint="eastAsia" w:ascii="宋体" w:hAnsi="宋体" w:cs="宋体"/>
          <w:kern w:val="0"/>
          <w:sz w:val="24"/>
          <w:highlight w:val="none"/>
        </w:rPr>
        <w:t xml:space="preserve"> </w:t>
      </w:r>
    </w:p>
    <w:p w14:paraId="11DCFC3C">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1.时间：202</w:t>
      </w:r>
      <w:r>
        <w:rPr>
          <w:rFonts w:hint="eastAsia" w:ascii="宋体" w:hAnsi="宋体" w:cs="宋体"/>
          <w:kern w:val="0"/>
          <w:sz w:val="24"/>
          <w:highlight w:val="none"/>
          <w:lang w:val="en-US" w:eastAsia="zh-CN"/>
        </w:rPr>
        <w:t>6</w:t>
      </w:r>
      <w:r>
        <w:rPr>
          <w:rFonts w:hint="eastAsia" w:ascii="宋体" w:hAnsi="宋体" w:cs="宋体"/>
          <w:kern w:val="0"/>
          <w:sz w:val="24"/>
          <w:highlight w:val="none"/>
        </w:rPr>
        <w:t>年</w:t>
      </w:r>
      <w:r>
        <w:rPr>
          <w:rFonts w:hint="eastAsia" w:ascii="宋体" w:hAnsi="宋体" w:cs="宋体"/>
          <w:kern w:val="0"/>
          <w:sz w:val="24"/>
          <w:highlight w:val="none"/>
          <w:lang w:val="en-US" w:eastAsia="zh-CN"/>
        </w:rPr>
        <w:t>8</w:t>
      </w:r>
      <w:r>
        <w:rPr>
          <w:rFonts w:hint="eastAsia" w:ascii="宋体" w:hAnsi="宋体" w:cs="宋体"/>
          <w:kern w:val="0"/>
          <w:sz w:val="24"/>
          <w:highlight w:val="none"/>
        </w:rPr>
        <w:t>月</w:t>
      </w:r>
      <w:r>
        <w:rPr>
          <w:rFonts w:hint="eastAsia" w:ascii="宋体" w:hAnsi="宋体" w:cs="宋体"/>
          <w:kern w:val="0"/>
          <w:sz w:val="24"/>
          <w:highlight w:val="none"/>
          <w:lang w:val="en-US" w:eastAsia="zh-CN"/>
        </w:rPr>
        <w:t>25</w:t>
      </w:r>
      <w:r>
        <w:rPr>
          <w:rFonts w:hint="eastAsia" w:ascii="宋体" w:hAnsi="宋体" w:cs="宋体"/>
          <w:kern w:val="0"/>
          <w:sz w:val="24"/>
          <w:highlight w:val="none"/>
        </w:rPr>
        <w:t>日09时</w:t>
      </w:r>
      <w:r>
        <w:rPr>
          <w:rFonts w:hint="eastAsia" w:ascii="宋体" w:hAnsi="宋体" w:cs="宋体"/>
          <w:kern w:val="0"/>
          <w:sz w:val="24"/>
          <w:highlight w:val="none"/>
          <w:lang w:val="en-US" w:eastAsia="zh-CN"/>
        </w:rPr>
        <w:t>30</w:t>
      </w:r>
      <w:r>
        <w:rPr>
          <w:rFonts w:hint="eastAsia" w:ascii="宋体" w:hAnsi="宋体" w:cs="宋体"/>
          <w:kern w:val="0"/>
          <w:sz w:val="24"/>
          <w:highlight w:val="none"/>
        </w:rPr>
        <w:t xml:space="preserve">分（北京时间） </w:t>
      </w:r>
    </w:p>
    <w:p w14:paraId="4DDDDD0C">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2.地点：</w:t>
      </w:r>
      <w:r>
        <w:rPr>
          <w:rFonts w:hint="eastAsia" w:ascii="宋体" w:hAnsi="宋体" w:cs="宋体"/>
          <w:kern w:val="0"/>
          <w:sz w:val="24"/>
          <w:highlight w:val="none"/>
          <w:lang w:val="zh-CN"/>
        </w:rPr>
        <w:t>在投标截止时间前，通过原下载招标文件的电子交易系统按提示上传、提交投标文件。</w:t>
      </w:r>
      <w:r>
        <w:rPr>
          <w:rFonts w:hint="eastAsia" w:ascii="宋体" w:hAnsi="宋体" w:cs="宋体"/>
          <w:kern w:val="0"/>
          <w:sz w:val="24"/>
          <w:highlight w:val="none"/>
        </w:rPr>
        <w:t xml:space="preserve"> </w:t>
      </w:r>
    </w:p>
    <w:p w14:paraId="4D42DBAA">
      <w:pPr>
        <w:widowControl/>
        <w:adjustRightInd w:val="0"/>
        <w:snapToGrid w:val="0"/>
        <w:spacing w:line="360" w:lineRule="auto"/>
        <w:jc w:val="left"/>
        <w:outlineLvl w:val="1"/>
        <w:rPr>
          <w:rFonts w:ascii="宋体" w:hAnsi="宋体" w:cs="宋体"/>
          <w:kern w:val="0"/>
          <w:sz w:val="24"/>
          <w:highlight w:val="none"/>
        </w:rPr>
      </w:pPr>
      <w:bookmarkStart w:id="12" w:name="_Toc1825"/>
      <w:r>
        <w:rPr>
          <w:rFonts w:hint="eastAsia" w:ascii="宋体" w:hAnsi="宋体" w:cs="宋体"/>
          <w:kern w:val="0"/>
          <w:sz w:val="24"/>
          <w:highlight w:val="none"/>
        </w:rPr>
        <w:t>五、开标时间及地点</w:t>
      </w:r>
      <w:bookmarkEnd w:id="12"/>
      <w:r>
        <w:rPr>
          <w:rFonts w:hint="eastAsia" w:ascii="宋体" w:hAnsi="宋体" w:cs="宋体"/>
          <w:kern w:val="0"/>
          <w:sz w:val="24"/>
          <w:highlight w:val="none"/>
        </w:rPr>
        <w:t xml:space="preserve"> </w:t>
      </w:r>
    </w:p>
    <w:p w14:paraId="25ABD034">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1.时间：202</w:t>
      </w:r>
      <w:r>
        <w:rPr>
          <w:rFonts w:hint="eastAsia" w:ascii="宋体" w:hAnsi="宋体" w:cs="宋体"/>
          <w:kern w:val="0"/>
          <w:sz w:val="24"/>
          <w:highlight w:val="none"/>
          <w:lang w:val="en-US" w:eastAsia="zh-CN"/>
        </w:rPr>
        <w:t>6</w:t>
      </w:r>
      <w:r>
        <w:rPr>
          <w:rFonts w:hint="eastAsia" w:ascii="宋体" w:hAnsi="宋体" w:cs="宋体"/>
          <w:kern w:val="0"/>
          <w:sz w:val="24"/>
          <w:highlight w:val="none"/>
        </w:rPr>
        <w:t>年</w:t>
      </w:r>
      <w:r>
        <w:rPr>
          <w:rFonts w:hint="eastAsia" w:ascii="宋体" w:hAnsi="宋体" w:cs="宋体"/>
          <w:kern w:val="0"/>
          <w:sz w:val="24"/>
          <w:highlight w:val="none"/>
          <w:lang w:val="en-US" w:eastAsia="zh-CN"/>
        </w:rPr>
        <w:t>8</w:t>
      </w:r>
      <w:r>
        <w:rPr>
          <w:rFonts w:hint="eastAsia" w:ascii="宋体" w:hAnsi="宋体" w:cs="宋体"/>
          <w:kern w:val="0"/>
          <w:sz w:val="24"/>
          <w:highlight w:val="none"/>
        </w:rPr>
        <w:t>月</w:t>
      </w:r>
      <w:r>
        <w:rPr>
          <w:rFonts w:hint="eastAsia" w:ascii="宋体" w:hAnsi="宋体" w:cs="宋体"/>
          <w:kern w:val="0"/>
          <w:sz w:val="24"/>
          <w:highlight w:val="none"/>
          <w:lang w:val="en-US" w:eastAsia="zh-CN"/>
        </w:rPr>
        <w:t>25</w:t>
      </w:r>
      <w:r>
        <w:rPr>
          <w:rFonts w:hint="eastAsia" w:ascii="宋体" w:hAnsi="宋体" w:cs="宋体"/>
          <w:kern w:val="0"/>
          <w:sz w:val="24"/>
          <w:highlight w:val="none"/>
        </w:rPr>
        <w:t>日09时</w:t>
      </w:r>
      <w:r>
        <w:rPr>
          <w:rFonts w:hint="eastAsia" w:ascii="宋体" w:hAnsi="宋体" w:cs="宋体"/>
          <w:kern w:val="0"/>
          <w:sz w:val="24"/>
          <w:highlight w:val="none"/>
          <w:lang w:val="en-US" w:eastAsia="zh-CN"/>
        </w:rPr>
        <w:t>30</w:t>
      </w:r>
      <w:r>
        <w:rPr>
          <w:rFonts w:hint="eastAsia" w:ascii="宋体" w:hAnsi="宋体" w:cs="宋体"/>
          <w:kern w:val="0"/>
          <w:sz w:val="24"/>
          <w:highlight w:val="none"/>
        </w:rPr>
        <w:t xml:space="preserve">分（北京时间） </w:t>
      </w:r>
    </w:p>
    <w:p w14:paraId="15A642CC">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2.地点：《开封市公共资源交易信息网》（http://www.kfsggzyjyw.cn）</w:t>
      </w:r>
    </w:p>
    <w:p w14:paraId="7254EE25">
      <w:pPr>
        <w:widowControl/>
        <w:adjustRightInd w:val="0"/>
        <w:snapToGrid w:val="0"/>
        <w:spacing w:line="360" w:lineRule="auto"/>
        <w:jc w:val="left"/>
        <w:outlineLvl w:val="1"/>
        <w:rPr>
          <w:rFonts w:ascii="宋体" w:hAnsi="宋体" w:cs="宋体"/>
          <w:kern w:val="0"/>
          <w:sz w:val="24"/>
          <w:highlight w:val="none"/>
        </w:rPr>
      </w:pPr>
      <w:bookmarkStart w:id="13" w:name="_Toc12675"/>
      <w:r>
        <w:rPr>
          <w:rFonts w:hint="eastAsia" w:ascii="宋体" w:hAnsi="宋体" w:cs="宋体"/>
          <w:kern w:val="0"/>
          <w:sz w:val="24"/>
          <w:highlight w:val="none"/>
        </w:rPr>
        <w:t>六、发布公告的媒介及招标公告期限</w:t>
      </w:r>
      <w:bookmarkEnd w:id="13"/>
      <w:r>
        <w:rPr>
          <w:rFonts w:hint="eastAsia" w:ascii="宋体" w:hAnsi="宋体" w:cs="宋体"/>
          <w:kern w:val="0"/>
          <w:sz w:val="24"/>
          <w:highlight w:val="none"/>
        </w:rPr>
        <w:t xml:space="preserve"> </w:t>
      </w:r>
    </w:p>
    <w:p w14:paraId="43609184">
      <w:pPr>
        <w:widowControl/>
        <w:adjustRightInd w:val="0"/>
        <w:snapToGrid w:val="0"/>
        <w:spacing w:line="360" w:lineRule="auto"/>
        <w:ind w:firstLine="420"/>
        <w:jc w:val="left"/>
        <w:rPr>
          <w:rFonts w:ascii="宋体" w:hAnsi="宋体" w:cs="宋体"/>
          <w:kern w:val="0"/>
          <w:sz w:val="24"/>
          <w:highlight w:val="none"/>
        </w:rPr>
      </w:pPr>
      <w:r>
        <w:rPr>
          <w:rFonts w:hint="eastAsia" w:ascii="宋体" w:hAnsi="宋体" w:cs="宋体"/>
          <w:kern w:val="0"/>
          <w:sz w:val="24"/>
          <w:highlight w:val="none"/>
        </w:rPr>
        <w:t xml:space="preserve">本次招标公告在《河南省政府采购网》《开封市公共资源交易信息网》上发布。招标公告期限为五个工作日。  </w:t>
      </w:r>
    </w:p>
    <w:p w14:paraId="79AC3F3D">
      <w:pPr>
        <w:widowControl/>
        <w:adjustRightInd w:val="0"/>
        <w:snapToGrid w:val="0"/>
        <w:spacing w:line="360" w:lineRule="auto"/>
        <w:jc w:val="left"/>
        <w:outlineLvl w:val="1"/>
        <w:rPr>
          <w:rFonts w:ascii="宋体" w:hAnsi="宋体" w:cs="宋体"/>
          <w:kern w:val="0"/>
          <w:sz w:val="24"/>
          <w:highlight w:val="none"/>
        </w:rPr>
      </w:pPr>
      <w:bookmarkStart w:id="14" w:name="_Toc23150"/>
      <w:r>
        <w:rPr>
          <w:rFonts w:hint="eastAsia" w:ascii="宋体" w:hAnsi="宋体" w:cs="宋体"/>
          <w:kern w:val="0"/>
          <w:sz w:val="24"/>
          <w:highlight w:val="none"/>
        </w:rPr>
        <w:t>七、其他补充事宜</w:t>
      </w:r>
      <w:bookmarkEnd w:id="14"/>
      <w:r>
        <w:rPr>
          <w:rFonts w:hint="eastAsia" w:ascii="宋体" w:hAnsi="宋体" w:cs="宋体"/>
          <w:kern w:val="0"/>
          <w:sz w:val="24"/>
          <w:highlight w:val="none"/>
        </w:rPr>
        <w:t xml:space="preserve"> </w:t>
      </w:r>
    </w:p>
    <w:p w14:paraId="4BFCD4EF">
      <w:pPr>
        <w:widowControl/>
        <w:adjustRightInd w:val="0"/>
        <w:snapToGri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1、供应商须提前注册成为《开封市公共资源交易信息网》会员并取得CA密钥（登录网站首页&gt;办事指南&gt;数字证书），已办理的请确保在有效期内，需更新的请联系CA服务机构。</w:t>
      </w:r>
    </w:p>
    <w:p w14:paraId="20A74F84">
      <w:pPr>
        <w:widowControl/>
        <w:adjustRightInd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2、供应商应当充分熟悉该电子交易系统相关操作规则、要求、流程，知晓因未严格按操作手册要求和系统提示进行操作可能会出现不确定的异常情况，愿意承担电子招投标可能产生的风险。在投标过程中涉及系统平台操作的技术问题，可联系交易平台技术方咨询，</w:t>
      </w:r>
      <w:r>
        <w:rPr>
          <w:rFonts w:hint="eastAsia" w:ascii="宋体" w:hAnsi="宋体" w:cs="宋体"/>
          <w:kern w:val="0"/>
          <w:sz w:val="24"/>
          <w:highlight w:val="none"/>
          <w:lang w:val="en-US" w:eastAsia="zh-CN"/>
        </w:rPr>
        <w:t>联系方式</w:t>
      </w:r>
      <w:r>
        <w:rPr>
          <w:rFonts w:hint="eastAsia" w:ascii="宋体" w:hAnsi="宋体" w:cs="宋体"/>
          <w:kern w:val="0"/>
          <w:sz w:val="24"/>
          <w:highlight w:val="none"/>
        </w:rPr>
        <w:t>：0371-23859291；采购人及采购中心仅作为平台使用方不负责解决技术问题。</w:t>
      </w:r>
    </w:p>
    <w:p w14:paraId="7DF7B730">
      <w:pPr>
        <w:widowControl/>
        <w:adjustRightInd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lang w:val="en-US" w:eastAsia="zh-CN"/>
        </w:rPr>
        <w:t>3、监督单位名称：开封市财政局政府采购监督管理办公室 联系方式：0371-23876034</w:t>
      </w:r>
    </w:p>
    <w:p w14:paraId="320787EE">
      <w:pPr>
        <w:widowControl/>
        <w:adjustRightInd w:val="0"/>
        <w:snapToGrid w:val="0"/>
        <w:spacing w:line="360" w:lineRule="auto"/>
        <w:jc w:val="left"/>
        <w:outlineLvl w:val="1"/>
        <w:rPr>
          <w:rFonts w:ascii="宋体" w:hAnsi="宋体" w:cs="宋体"/>
          <w:kern w:val="0"/>
          <w:sz w:val="24"/>
          <w:highlight w:val="none"/>
        </w:rPr>
      </w:pPr>
      <w:bookmarkStart w:id="15" w:name="_Toc16168"/>
      <w:r>
        <w:rPr>
          <w:rFonts w:hint="eastAsia" w:ascii="宋体" w:hAnsi="宋体" w:cs="宋体"/>
          <w:kern w:val="0"/>
          <w:sz w:val="24"/>
          <w:highlight w:val="none"/>
        </w:rPr>
        <w:t>八、凡对本次招标提出询问，请按照以下方式联系</w:t>
      </w:r>
      <w:bookmarkEnd w:id="15"/>
      <w:r>
        <w:rPr>
          <w:rFonts w:hint="eastAsia" w:ascii="宋体" w:hAnsi="宋体" w:cs="宋体"/>
          <w:kern w:val="0"/>
          <w:sz w:val="24"/>
          <w:highlight w:val="none"/>
        </w:rPr>
        <w:t xml:space="preserve"> </w:t>
      </w:r>
    </w:p>
    <w:p w14:paraId="110178B2">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 xml:space="preserve">1. 采购人信息 </w:t>
      </w:r>
    </w:p>
    <w:p w14:paraId="4381C04F">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名称：</w:t>
      </w:r>
      <w:r>
        <w:rPr>
          <w:rFonts w:hint="eastAsia" w:ascii="宋体" w:hAnsi="宋体" w:cs="宋体"/>
          <w:kern w:val="0"/>
          <w:sz w:val="24"/>
          <w:lang w:eastAsia="zh-CN"/>
        </w:rPr>
        <w:t>开封市司法局</w:t>
      </w:r>
      <w:r>
        <w:rPr>
          <w:rFonts w:hint="eastAsia" w:ascii="宋体" w:hAnsi="宋体" w:cs="宋体"/>
          <w:kern w:val="0"/>
          <w:sz w:val="24"/>
          <w:highlight w:val="none"/>
        </w:rPr>
        <w:t xml:space="preserve"> </w:t>
      </w:r>
    </w:p>
    <w:p w14:paraId="029C952E">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地址：</w:t>
      </w:r>
      <w:r>
        <w:rPr>
          <w:rFonts w:hint="eastAsia" w:ascii="宋体" w:hAnsi="宋体" w:cs="宋体"/>
          <w:kern w:val="0"/>
          <w:sz w:val="24"/>
          <w:lang w:eastAsia="zh-CN"/>
        </w:rPr>
        <w:t>开封市龙亭区汉兴路</w:t>
      </w:r>
      <w:r>
        <w:rPr>
          <w:rFonts w:hint="eastAsia" w:ascii="宋体" w:hAnsi="宋体" w:cs="宋体"/>
          <w:kern w:val="0"/>
          <w:sz w:val="24"/>
          <w:lang w:val="en-US" w:eastAsia="zh-CN"/>
        </w:rPr>
        <w:t>159号</w:t>
      </w:r>
      <w:r>
        <w:rPr>
          <w:rFonts w:hint="eastAsia" w:ascii="宋体" w:hAnsi="宋体" w:cs="宋体"/>
          <w:kern w:val="0"/>
          <w:sz w:val="24"/>
          <w:highlight w:val="none"/>
        </w:rPr>
        <w:t xml:space="preserve">  </w:t>
      </w:r>
    </w:p>
    <w:p w14:paraId="2640CCE5">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联系人：</w:t>
      </w:r>
      <w:r>
        <w:rPr>
          <w:rFonts w:hint="eastAsia" w:ascii="宋体" w:hAnsi="宋体" w:cs="宋体"/>
          <w:kern w:val="0"/>
          <w:sz w:val="24"/>
          <w:lang w:val="en-US" w:eastAsia="zh-CN"/>
        </w:rPr>
        <w:t>石</w:t>
      </w:r>
      <w:r>
        <w:rPr>
          <w:rFonts w:hint="eastAsia" w:ascii="宋体" w:hAnsi="宋体" w:cs="宋体"/>
          <w:kern w:val="0"/>
          <w:sz w:val="24"/>
          <w:lang w:eastAsia="zh-CN"/>
        </w:rPr>
        <w:t>先生</w:t>
      </w:r>
      <w:r>
        <w:rPr>
          <w:rFonts w:hint="eastAsia" w:ascii="宋体" w:hAnsi="宋体" w:cs="宋体"/>
          <w:kern w:val="0"/>
          <w:sz w:val="24"/>
          <w:lang w:val="en-US" w:eastAsia="zh-CN"/>
        </w:rPr>
        <w:t xml:space="preserve">  </w:t>
      </w:r>
      <w:r>
        <w:rPr>
          <w:rFonts w:hint="eastAsia" w:ascii="宋体" w:hAnsi="宋体" w:cs="宋体"/>
          <w:kern w:val="0"/>
          <w:sz w:val="24"/>
          <w:lang w:eastAsia="zh-CN"/>
        </w:rPr>
        <w:t>时先生</w:t>
      </w:r>
      <w:r>
        <w:rPr>
          <w:rFonts w:hint="eastAsia" w:ascii="宋体" w:hAnsi="宋体" w:cs="宋体"/>
          <w:kern w:val="0"/>
          <w:sz w:val="24"/>
        </w:rPr>
        <w:t xml:space="preserve"> </w:t>
      </w:r>
      <w:r>
        <w:rPr>
          <w:rFonts w:hint="eastAsia" w:ascii="宋体" w:hAnsi="宋体" w:cs="宋体"/>
          <w:kern w:val="0"/>
          <w:sz w:val="24"/>
          <w:highlight w:val="none"/>
        </w:rPr>
        <w:t xml:space="preserve">  </w:t>
      </w:r>
    </w:p>
    <w:p w14:paraId="316444A6">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联系方式：</w:t>
      </w:r>
      <w:r>
        <w:rPr>
          <w:rFonts w:hint="eastAsia" w:ascii="宋体" w:hAnsi="宋体" w:cs="宋体"/>
          <w:kern w:val="0"/>
          <w:sz w:val="24"/>
          <w:lang w:val="en-US" w:eastAsia="zh-CN"/>
        </w:rPr>
        <w:t>0371-238885</w:t>
      </w:r>
      <w:r>
        <w:rPr>
          <w:rFonts w:hint="default" w:ascii="宋体" w:hAnsi="宋体" w:cs="宋体"/>
          <w:kern w:val="0"/>
          <w:sz w:val="24"/>
          <w:lang w:val="en" w:eastAsia="zh-CN"/>
        </w:rPr>
        <w:t>19</w:t>
      </w:r>
      <w:r>
        <w:rPr>
          <w:rFonts w:hint="eastAsia" w:ascii="宋体" w:hAnsi="宋体" w:cs="宋体"/>
          <w:kern w:val="0"/>
          <w:sz w:val="24"/>
          <w:lang w:val="en-US" w:eastAsia="zh-CN"/>
        </w:rPr>
        <w:t xml:space="preserve">  22616012 </w:t>
      </w:r>
      <w:r>
        <w:rPr>
          <w:rFonts w:hint="eastAsia" w:ascii="宋体" w:hAnsi="宋体" w:cs="宋体"/>
          <w:kern w:val="0"/>
          <w:sz w:val="24"/>
          <w:highlight w:val="none"/>
        </w:rPr>
        <w:t xml:space="preserve">  </w:t>
      </w:r>
    </w:p>
    <w:p w14:paraId="377D7E6F">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 xml:space="preserve">2.采购代理机构信息 </w:t>
      </w:r>
    </w:p>
    <w:p w14:paraId="5D81DA16">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 xml:space="preserve">名称：开封市政府采购中心 </w:t>
      </w:r>
    </w:p>
    <w:p w14:paraId="06AB901B">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 xml:space="preserve">地址：开封市民之家6楼西头向北6067房间 </w:t>
      </w:r>
    </w:p>
    <w:p w14:paraId="182ED6C0">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联系人：</w:t>
      </w:r>
      <w:r>
        <w:rPr>
          <w:rFonts w:hint="eastAsia" w:ascii="宋体" w:hAnsi="宋体" w:cs="宋体"/>
          <w:kern w:val="0"/>
          <w:sz w:val="24"/>
          <w:lang w:eastAsia="zh-CN"/>
        </w:rPr>
        <w:t>王女士</w:t>
      </w:r>
      <w:r>
        <w:rPr>
          <w:rFonts w:hint="eastAsia" w:ascii="宋体" w:hAnsi="宋体" w:cs="宋体"/>
          <w:kern w:val="0"/>
          <w:sz w:val="24"/>
          <w:highlight w:val="none"/>
        </w:rPr>
        <w:t xml:space="preserve">  </w:t>
      </w:r>
    </w:p>
    <w:p w14:paraId="322472FC">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联系方式：0371—23856102  23856103</w:t>
      </w:r>
    </w:p>
    <w:p w14:paraId="25A93D4F">
      <w:pPr>
        <w:widowControl/>
        <w:adjustRightInd w:val="0"/>
        <w:snapToGrid w:val="0"/>
        <w:spacing w:line="360" w:lineRule="auto"/>
        <w:ind w:firstLine="420" w:firstLineChars="0"/>
        <w:jc w:val="left"/>
        <w:outlineLvl w:val="2"/>
        <w:rPr>
          <w:rFonts w:ascii="宋体" w:hAnsi="宋体" w:cs="宋体"/>
          <w:kern w:val="0"/>
          <w:sz w:val="24"/>
          <w:highlight w:val="none"/>
        </w:rPr>
      </w:pPr>
      <w:r>
        <w:rPr>
          <w:rFonts w:hint="eastAsia" w:ascii="宋体" w:hAnsi="宋体" w:cs="宋体"/>
          <w:kern w:val="0"/>
          <w:sz w:val="24"/>
          <w:highlight w:val="none"/>
        </w:rPr>
        <w:t xml:space="preserve">3.项目联系方式 </w:t>
      </w:r>
    </w:p>
    <w:p w14:paraId="6CE731A5">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项目联系人：</w:t>
      </w:r>
      <w:r>
        <w:rPr>
          <w:rFonts w:hint="eastAsia" w:ascii="宋体" w:hAnsi="宋体" w:cs="宋体"/>
          <w:kern w:val="0"/>
          <w:sz w:val="24"/>
          <w:lang w:eastAsia="zh-CN"/>
        </w:rPr>
        <w:t>王女士</w:t>
      </w:r>
      <w:r>
        <w:rPr>
          <w:rFonts w:hint="eastAsia" w:ascii="宋体" w:hAnsi="宋体" w:cs="宋体"/>
          <w:kern w:val="0"/>
          <w:sz w:val="24"/>
          <w:highlight w:val="none"/>
        </w:rPr>
        <w:t xml:space="preserve">  </w:t>
      </w:r>
    </w:p>
    <w:p w14:paraId="404ABFAE">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联系方式：0371—23856102  23856103</w:t>
      </w:r>
    </w:p>
    <w:p w14:paraId="4C2A566F">
      <w:pPr>
        <w:widowControl/>
        <w:adjustRightInd w:val="0"/>
        <w:snapToGrid w:val="0"/>
        <w:spacing w:line="360" w:lineRule="auto"/>
        <w:ind w:left="420" w:firstLine="420"/>
        <w:jc w:val="left"/>
        <w:rPr>
          <w:rFonts w:ascii="宋体" w:hAnsi="宋体" w:cs="宋体"/>
          <w:kern w:val="0"/>
          <w:sz w:val="24"/>
          <w:highlight w:val="none"/>
        </w:rPr>
      </w:pPr>
      <w:r>
        <w:rPr>
          <w:rFonts w:hint="eastAsia" w:ascii="宋体" w:hAnsi="宋体" w:cs="宋体"/>
          <w:kern w:val="0"/>
          <w:sz w:val="24"/>
          <w:highlight w:val="none"/>
        </w:rPr>
        <w:t xml:space="preserve">  </w:t>
      </w:r>
    </w:p>
    <w:p w14:paraId="6DC27804">
      <w:pPr>
        <w:spacing w:line="312" w:lineRule="auto"/>
        <w:ind w:firstLine="421"/>
        <w:rPr>
          <w:rFonts w:ascii="宋体" w:hAnsi="宋体"/>
          <w:sz w:val="24"/>
          <w:highlight w:val="none"/>
          <w:lang w:val="zh-CN"/>
        </w:rPr>
      </w:pPr>
    </w:p>
    <w:p w14:paraId="171E2CF9">
      <w:pPr>
        <w:pStyle w:val="2"/>
        <w:jc w:val="center"/>
        <w:rPr>
          <w:rFonts w:ascii="宋体" w:hAnsi="宋体"/>
          <w:highlight w:val="none"/>
        </w:rPr>
      </w:pPr>
      <w:bookmarkStart w:id="16" w:name="_Toc338840479"/>
      <w:bookmarkStart w:id="17" w:name="_Toc247085687"/>
      <w:bookmarkStart w:id="18" w:name="_Toc144974495"/>
      <w:bookmarkStart w:id="19" w:name="_Toc179632544"/>
      <w:bookmarkStart w:id="20" w:name="_Toc152045527"/>
      <w:bookmarkStart w:id="21" w:name="_Toc246996916"/>
      <w:bookmarkStart w:id="22" w:name="_Toc346523400"/>
      <w:bookmarkStart w:id="23" w:name="_Toc346523463"/>
      <w:bookmarkStart w:id="24" w:name="_Toc152042303"/>
      <w:bookmarkStart w:id="25" w:name="_Toc246996173"/>
      <w:bookmarkStart w:id="26" w:name="_Toc494093427"/>
      <w:bookmarkStart w:id="27" w:name="_Toc28703"/>
      <w:bookmarkStart w:id="28" w:name="_Toc494526399"/>
      <w:bookmarkStart w:id="29" w:name="_Toc338840185"/>
      <w:bookmarkStart w:id="30" w:name="_Toc338840440"/>
      <w:bookmarkStart w:id="31" w:name="_Toc3179"/>
      <w:bookmarkStart w:id="32" w:name="_Toc8884"/>
      <w:r>
        <w:rPr>
          <w:rFonts w:hint="eastAsia" w:ascii="宋体" w:hAnsi="宋体"/>
          <w:highlight w:val="none"/>
        </w:rPr>
        <w:br w:type="page"/>
      </w:r>
      <w:bookmarkStart w:id="33" w:name="_Toc13151"/>
      <w:bookmarkStart w:id="34" w:name="_Toc6588"/>
      <w:bookmarkStart w:id="35" w:name="_Toc11131"/>
      <w:r>
        <w:rPr>
          <w:rFonts w:hint="eastAsia" w:ascii="宋体" w:hAnsi="宋体"/>
          <w:highlight w:val="none"/>
        </w:rPr>
        <w:t>第二章 供应商须知</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22519E02">
      <w:pPr>
        <w:pStyle w:val="3"/>
        <w:jc w:val="center"/>
        <w:outlineLvl w:val="1"/>
        <w:rPr>
          <w:rFonts w:ascii="宋体" w:hAnsi="宋体" w:eastAsia="宋体"/>
          <w:highlight w:val="none"/>
        </w:rPr>
      </w:pPr>
      <w:bookmarkStart w:id="36" w:name="_Toc338840186"/>
      <w:bookmarkStart w:id="37" w:name="_Toc247085688"/>
      <w:bookmarkStart w:id="38" w:name="_Toc18612"/>
      <w:bookmarkStart w:id="39" w:name="_Toc152042304"/>
      <w:bookmarkStart w:id="40" w:name="_Toc23185"/>
      <w:bookmarkStart w:id="41" w:name="_Toc338840441"/>
      <w:bookmarkStart w:id="42" w:name="_Toc346523464"/>
      <w:bookmarkStart w:id="43" w:name="_Toc144974496"/>
      <w:bookmarkStart w:id="44" w:name="_Toc494526400"/>
      <w:bookmarkStart w:id="45" w:name="_Toc246996174"/>
      <w:bookmarkStart w:id="46" w:name="_Toc338840480"/>
      <w:bookmarkStart w:id="47" w:name="_Toc11060"/>
      <w:bookmarkStart w:id="48" w:name="_Toc18827"/>
      <w:bookmarkStart w:id="49" w:name="_Toc346523401"/>
      <w:bookmarkStart w:id="50" w:name="_Toc494093428"/>
      <w:bookmarkStart w:id="51" w:name="_Toc246996917"/>
      <w:bookmarkStart w:id="52" w:name="_Toc11304"/>
      <w:bookmarkStart w:id="53" w:name="_Toc18929"/>
      <w:bookmarkStart w:id="54" w:name="_Toc152045528"/>
      <w:bookmarkStart w:id="55" w:name="_Toc179632545"/>
      <w:r>
        <w:rPr>
          <w:rFonts w:hint="eastAsia" w:ascii="宋体" w:hAnsi="宋体" w:eastAsia="宋体"/>
          <w:highlight w:val="none"/>
        </w:rPr>
        <w:t>供应商须知前附表</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A20D408">
      <w:pPr>
        <w:rPr>
          <w:rFonts w:ascii="宋体" w:hAnsi="宋体"/>
          <w:highlight w:val="none"/>
        </w:rPr>
      </w:pPr>
      <w:r>
        <w:rPr>
          <w:rFonts w:hint="eastAsia" w:ascii="宋体" w:hAnsi="宋体"/>
          <w:highlight w:val="none"/>
        </w:rPr>
        <w:t>注：本供应商须知前附表内容与供应商须知正文内容不一致时以本前附表内容为准。</w:t>
      </w:r>
    </w:p>
    <w:tbl>
      <w:tblPr>
        <w:tblStyle w:val="32"/>
        <w:tblW w:w="0" w:type="auto"/>
        <w:tblInd w:w="0" w:type="dxa"/>
        <w:tblLayout w:type="fixed"/>
        <w:tblCellMar>
          <w:top w:w="0" w:type="dxa"/>
          <w:left w:w="108" w:type="dxa"/>
          <w:bottom w:w="0" w:type="dxa"/>
          <w:right w:w="108" w:type="dxa"/>
        </w:tblCellMar>
      </w:tblPr>
      <w:tblGrid>
        <w:gridCol w:w="1008"/>
        <w:gridCol w:w="1980"/>
        <w:gridCol w:w="5534"/>
      </w:tblGrid>
      <w:tr w14:paraId="0F0E3960">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23E97F2">
            <w:pPr>
              <w:spacing w:line="440" w:lineRule="atLeast"/>
              <w:jc w:val="center"/>
              <w:rPr>
                <w:rFonts w:ascii="宋体" w:hAnsi="宋体"/>
                <w:b/>
                <w:szCs w:val="21"/>
                <w:highlight w:val="none"/>
              </w:rPr>
            </w:pPr>
            <w:r>
              <w:rPr>
                <w:rFonts w:ascii="宋体" w:hAnsi="宋体"/>
                <w:b/>
                <w:szCs w:val="21"/>
                <w:highlight w:val="none"/>
              </w:rPr>
              <w:t>条款号</w:t>
            </w:r>
          </w:p>
        </w:tc>
        <w:tc>
          <w:tcPr>
            <w:tcW w:w="1980" w:type="dxa"/>
            <w:tcBorders>
              <w:top w:val="single" w:color="auto" w:sz="4" w:space="0"/>
              <w:left w:val="single" w:color="auto" w:sz="4" w:space="0"/>
              <w:bottom w:val="single" w:color="auto" w:sz="4" w:space="0"/>
              <w:right w:val="single" w:color="auto" w:sz="4" w:space="0"/>
            </w:tcBorders>
            <w:vAlign w:val="center"/>
          </w:tcPr>
          <w:p w14:paraId="32BF276A">
            <w:pPr>
              <w:spacing w:line="440" w:lineRule="atLeast"/>
              <w:jc w:val="center"/>
              <w:rPr>
                <w:rFonts w:ascii="宋体" w:hAnsi="宋体"/>
                <w:b/>
                <w:szCs w:val="21"/>
                <w:highlight w:val="none"/>
              </w:rPr>
            </w:pPr>
            <w:r>
              <w:rPr>
                <w:rFonts w:ascii="宋体" w:hAnsi="宋体"/>
                <w:b/>
                <w:szCs w:val="21"/>
                <w:highlight w:val="none"/>
              </w:rPr>
              <w:t>条  款  名  称</w:t>
            </w:r>
          </w:p>
        </w:tc>
        <w:tc>
          <w:tcPr>
            <w:tcW w:w="5534" w:type="dxa"/>
            <w:tcBorders>
              <w:top w:val="single" w:color="auto" w:sz="4" w:space="0"/>
              <w:left w:val="single" w:color="auto" w:sz="4" w:space="0"/>
              <w:bottom w:val="single" w:color="auto" w:sz="4" w:space="0"/>
              <w:right w:val="single" w:color="auto" w:sz="4" w:space="0"/>
            </w:tcBorders>
            <w:vAlign w:val="center"/>
          </w:tcPr>
          <w:p w14:paraId="3C64AA71">
            <w:pPr>
              <w:spacing w:line="440" w:lineRule="atLeast"/>
              <w:jc w:val="center"/>
              <w:rPr>
                <w:rFonts w:ascii="宋体" w:hAnsi="宋体"/>
                <w:b/>
                <w:szCs w:val="21"/>
                <w:highlight w:val="none"/>
              </w:rPr>
            </w:pPr>
            <w:r>
              <w:rPr>
                <w:rFonts w:ascii="宋体" w:hAnsi="宋体"/>
                <w:b/>
                <w:szCs w:val="21"/>
                <w:highlight w:val="none"/>
              </w:rPr>
              <w:t>编  列  内  容</w:t>
            </w:r>
          </w:p>
        </w:tc>
      </w:tr>
      <w:tr w14:paraId="26F9956C">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1ADDDA6">
            <w:pPr>
              <w:spacing w:line="440" w:lineRule="atLeast"/>
              <w:jc w:val="center"/>
              <w:rPr>
                <w:rFonts w:ascii="宋体" w:hAnsi="宋体"/>
                <w:szCs w:val="21"/>
                <w:highlight w:val="none"/>
              </w:rPr>
            </w:pPr>
            <w:r>
              <w:rPr>
                <w:rFonts w:ascii="宋体" w:hAnsi="宋体"/>
                <w:szCs w:val="21"/>
                <w:highlight w:val="none"/>
              </w:rPr>
              <w:t>1.1.2</w:t>
            </w:r>
          </w:p>
        </w:tc>
        <w:tc>
          <w:tcPr>
            <w:tcW w:w="1980" w:type="dxa"/>
            <w:tcBorders>
              <w:top w:val="single" w:color="auto" w:sz="4" w:space="0"/>
              <w:left w:val="single" w:color="auto" w:sz="4" w:space="0"/>
              <w:bottom w:val="single" w:color="auto" w:sz="4" w:space="0"/>
              <w:right w:val="single" w:color="auto" w:sz="4" w:space="0"/>
            </w:tcBorders>
            <w:vAlign w:val="center"/>
          </w:tcPr>
          <w:p w14:paraId="5501E069">
            <w:pPr>
              <w:spacing w:line="440" w:lineRule="atLeast"/>
              <w:jc w:val="center"/>
              <w:rPr>
                <w:rFonts w:ascii="宋体" w:hAnsi="宋体"/>
                <w:szCs w:val="21"/>
                <w:highlight w:val="none"/>
              </w:rPr>
            </w:pPr>
            <w:r>
              <w:rPr>
                <w:rFonts w:ascii="宋体" w:hAnsi="宋体"/>
                <w:szCs w:val="21"/>
                <w:highlight w:val="none"/>
              </w:rPr>
              <w:t>采购人</w:t>
            </w:r>
          </w:p>
        </w:tc>
        <w:tc>
          <w:tcPr>
            <w:tcW w:w="5534" w:type="dxa"/>
            <w:tcBorders>
              <w:top w:val="single" w:color="auto" w:sz="4" w:space="0"/>
              <w:left w:val="single" w:color="auto" w:sz="4" w:space="0"/>
              <w:bottom w:val="single" w:color="auto" w:sz="4" w:space="0"/>
              <w:right w:val="single" w:color="auto" w:sz="4" w:space="0"/>
            </w:tcBorders>
            <w:vAlign w:val="center"/>
          </w:tcPr>
          <w:p w14:paraId="76E868CF">
            <w:pPr>
              <w:spacing w:line="440" w:lineRule="atLeast"/>
              <w:rPr>
                <w:rFonts w:ascii="宋体" w:hAnsi="宋体"/>
                <w:szCs w:val="21"/>
                <w:highlight w:val="none"/>
              </w:rPr>
            </w:pPr>
            <w:r>
              <w:rPr>
                <w:rFonts w:ascii="宋体" w:hAnsi="宋体"/>
                <w:szCs w:val="21"/>
                <w:highlight w:val="none"/>
              </w:rPr>
              <w:t>名称</w:t>
            </w:r>
            <w:r>
              <w:rPr>
                <w:rFonts w:hint="eastAsia" w:ascii="宋体" w:hAnsi="宋体"/>
                <w:szCs w:val="21"/>
                <w:highlight w:val="none"/>
              </w:rPr>
              <w:t>：</w:t>
            </w:r>
            <w:r>
              <w:rPr>
                <w:rFonts w:hint="eastAsia" w:ascii="宋体" w:hAnsi="宋体"/>
                <w:szCs w:val="21"/>
                <w:lang w:eastAsia="zh-CN"/>
              </w:rPr>
              <w:t>开封市司法局</w:t>
            </w:r>
          </w:p>
          <w:p w14:paraId="6E1E67BE">
            <w:pPr>
              <w:spacing w:line="440" w:lineRule="atLeast"/>
              <w:rPr>
                <w:rFonts w:ascii="宋体" w:hAnsi="宋体"/>
                <w:szCs w:val="21"/>
                <w:highlight w:val="none"/>
              </w:rPr>
            </w:pPr>
            <w:r>
              <w:rPr>
                <w:rFonts w:ascii="宋体" w:hAnsi="宋体"/>
                <w:szCs w:val="21"/>
                <w:highlight w:val="none"/>
              </w:rPr>
              <w:t>地址：</w:t>
            </w:r>
            <w:r>
              <w:rPr>
                <w:rFonts w:hint="eastAsia" w:ascii="宋体" w:hAnsi="宋体"/>
                <w:szCs w:val="21"/>
                <w:lang w:eastAsia="zh-CN"/>
              </w:rPr>
              <w:t>开封市龙亭区汉兴路</w:t>
            </w:r>
            <w:r>
              <w:rPr>
                <w:rFonts w:hint="eastAsia" w:ascii="宋体" w:hAnsi="宋体"/>
                <w:szCs w:val="21"/>
                <w:lang w:val="en-US" w:eastAsia="zh-CN"/>
              </w:rPr>
              <w:t>159号</w:t>
            </w:r>
          </w:p>
          <w:p w14:paraId="56802833">
            <w:pPr>
              <w:spacing w:line="440" w:lineRule="atLeast"/>
              <w:rPr>
                <w:rFonts w:ascii="宋体" w:hAnsi="宋体"/>
                <w:szCs w:val="21"/>
                <w:highlight w:val="none"/>
              </w:rPr>
            </w:pPr>
            <w:r>
              <w:rPr>
                <w:rFonts w:ascii="宋体" w:hAnsi="宋体"/>
                <w:szCs w:val="21"/>
                <w:highlight w:val="none"/>
              </w:rPr>
              <w:t>联系人：</w:t>
            </w:r>
            <w:r>
              <w:rPr>
                <w:rFonts w:hint="eastAsia" w:ascii="宋体" w:hAnsi="宋体"/>
                <w:szCs w:val="21"/>
                <w:lang w:eastAsia="zh-CN"/>
              </w:rPr>
              <w:t>石先生</w:t>
            </w:r>
            <w:r>
              <w:rPr>
                <w:rFonts w:hint="eastAsia" w:ascii="宋体" w:hAnsi="宋体"/>
                <w:szCs w:val="21"/>
                <w:lang w:val="en-US" w:eastAsia="zh-CN"/>
              </w:rPr>
              <w:t xml:space="preserve">  </w:t>
            </w:r>
            <w:r>
              <w:rPr>
                <w:rFonts w:hint="eastAsia" w:ascii="宋体" w:hAnsi="宋体"/>
                <w:szCs w:val="21"/>
                <w:lang w:eastAsia="zh-CN"/>
              </w:rPr>
              <w:t>时先生</w:t>
            </w:r>
          </w:p>
          <w:p w14:paraId="370B6345">
            <w:pPr>
              <w:spacing w:line="440" w:lineRule="atLeast"/>
              <w:rPr>
                <w:rFonts w:ascii="宋体" w:hAnsi="宋体"/>
                <w:szCs w:val="21"/>
                <w:highlight w:val="none"/>
              </w:rPr>
            </w:pPr>
            <w:r>
              <w:rPr>
                <w:rFonts w:ascii="宋体" w:hAnsi="宋体"/>
                <w:szCs w:val="21"/>
                <w:highlight w:val="none"/>
              </w:rPr>
              <w:t>电话：</w:t>
            </w:r>
            <w:r>
              <w:rPr>
                <w:rFonts w:hint="eastAsia" w:ascii="宋体" w:hAnsi="宋体"/>
                <w:szCs w:val="21"/>
                <w:lang w:val="en-US" w:eastAsia="zh-CN"/>
              </w:rPr>
              <w:t>0371-23888519  22616012</w:t>
            </w:r>
            <w:r>
              <w:rPr>
                <w:rFonts w:hint="eastAsia" w:ascii="宋体" w:hAnsi="宋体"/>
                <w:szCs w:val="21"/>
                <w:highlight w:val="none"/>
              </w:rPr>
              <w:t>　　　</w:t>
            </w:r>
          </w:p>
        </w:tc>
      </w:tr>
      <w:tr w14:paraId="21F36EA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8176BAB">
            <w:pPr>
              <w:spacing w:line="440" w:lineRule="atLeast"/>
              <w:jc w:val="center"/>
              <w:rPr>
                <w:rFonts w:ascii="宋体" w:hAnsi="宋体"/>
                <w:szCs w:val="21"/>
                <w:highlight w:val="none"/>
              </w:rPr>
            </w:pPr>
            <w:r>
              <w:rPr>
                <w:rFonts w:ascii="宋体" w:hAnsi="宋体"/>
                <w:szCs w:val="21"/>
                <w:highlight w:val="none"/>
              </w:rPr>
              <w:t>1.1.3</w:t>
            </w:r>
          </w:p>
        </w:tc>
        <w:tc>
          <w:tcPr>
            <w:tcW w:w="1980" w:type="dxa"/>
            <w:tcBorders>
              <w:top w:val="single" w:color="auto" w:sz="4" w:space="0"/>
              <w:left w:val="single" w:color="auto" w:sz="4" w:space="0"/>
              <w:bottom w:val="single" w:color="auto" w:sz="4" w:space="0"/>
              <w:right w:val="single" w:color="auto" w:sz="4" w:space="0"/>
            </w:tcBorders>
            <w:vAlign w:val="center"/>
          </w:tcPr>
          <w:p w14:paraId="4E1F8D52">
            <w:pPr>
              <w:spacing w:line="440" w:lineRule="atLeast"/>
              <w:jc w:val="center"/>
              <w:rPr>
                <w:rFonts w:ascii="宋体" w:hAnsi="宋体"/>
                <w:szCs w:val="21"/>
                <w:highlight w:val="none"/>
              </w:rPr>
            </w:pPr>
            <w:r>
              <w:rPr>
                <w:rFonts w:ascii="宋体" w:hAnsi="宋体"/>
                <w:szCs w:val="21"/>
                <w:highlight w:val="none"/>
              </w:rPr>
              <w:t>采购代理机构</w:t>
            </w:r>
          </w:p>
        </w:tc>
        <w:tc>
          <w:tcPr>
            <w:tcW w:w="5534" w:type="dxa"/>
            <w:tcBorders>
              <w:top w:val="single" w:color="auto" w:sz="4" w:space="0"/>
              <w:left w:val="single" w:color="auto" w:sz="4" w:space="0"/>
              <w:bottom w:val="single" w:color="auto" w:sz="4" w:space="0"/>
              <w:right w:val="single" w:color="auto" w:sz="4" w:space="0"/>
            </w:tcBorders>
            <w:vAlign w:val="center"/>
          </w:tcPr>
          <w:p w14:paraId="69D64C4A">
            <w:pPr>
              <w:spacing w:line="440" w:lineRule="atLeast"/>
              <w:rPr>
                <w:rFonts w:ascii="宋体" w:hAnsi="宋体"/>
                <w:szCs w:val="21"/>
                <w:highlight w:val="none"/>
              </w:rPr>
            </w:pPr>
            <w:r>
              <w:rPr>
                <w:rFonts w:ascii="宋体" w:hAnsi="宋体"/>
                <w:szCs w:val="21"/>
                <w:highlight w:val="none"/>
              </w:rPr>
              <w:t>名称：</w:t>
            </w:r>
            <w:r>
              <w:rPr>
                <w:rFonts w:hint="eastAsia" w:ascii="宋体" w:hAnsi="宋体"/>
                <w:szCs w:val="21"/>
                <w:highlight w:val="none"/>
              </w:rPr>
              <w:t>开封市政府采购中心</w:t>
            </w:r>
          </w:p>
          <w:p w14:paraId="0B6B72D1">
            <w:pPr>
              <w:spacing w:line="440" w:lineRule="atLeast"/>
              <w:rPr>
                <w:rFonts w:ascii="宋体" w:hAnsi="宋体"/>
                <w:szCs w:val="21"/>
                <w:highlight w:val="none"/>
              </w:rPr>
            </w:pPr>
            <w:r>
              <w:rPr>
                <w:rFonts w:ascii="宋体" w:hAnsi="宋体"/>
                <w:szCs w:val="21"/>
                <w:highlight w:val="none"/>
              </w:rPr>
              <w:t>地址：</w:t>
            </w:r>
            <w:r>
              <w:rPr>
                <w:rFonts w:hint="eastAsia" w:ascii="宋体" w:hAnsi="宋体"/>
                <w:szCs w:val="21"/>
                <w:highlight w:val="none"/>
              </w:rPr>
              <w:t>开封市郑开大道与三大街交汇处路北，开封市民之家6楼西头向北6067房间（政府采购）</w:t>
            </w:r>
          </w:p>
          <w:p w14:paraId="6CC3B4C4">
            <w:pPr>
              <w:spacing w:line="440" w:lineRule="atLeast"/>
              <w:rPr>
                <w:rFonts w:ascii="宋体" w:hAnsi="宋体"/>
                <w:color w:val="auto"/>
                <w:szCs w:val="21"/>
                <w:highlight w:val="none"/>
              </w:rPr>
            </w:pPr>
            <w:r>
              <w:rPr>
                <w:rFonts w:hint="eastAsia" w:ascii="宋体" w:hAnsi="宋体"/>
                <w:color w:val="auto"/>
                <w:szCs w:val="21"/>
                <w:highlight w:val="none"/>
              </w:rPr>
              <w:t>项目</w:t>
            </w:r>
            <w:r>
              <w:rPr>
                <w:rFonts w:ascii="宋体" w:hAnsi="宋体"/>
                <w:color w:val="auto"/>
                <w:szCs w:val="21"/>
                <w:highlight w:val="none"/>
              </w:rPr>
              <w:t>联系人：</w:t>
            </w:r>
            <w:r>
              <w:rPr>
                <w:rFonts w:hint="eastAsia" w:ascii="宋体" w:hAnsi="宋体"/>
                <w:color w:val="auto"/>
                <w:szCs w:val="21"/>
                <w:lang w:eastAsia="zh-CN"/>
              </w:rPr>
              <w:t>王女士</w:t>
            </w:r>
          </w:p>
          <w:p w14:paraId="02D5CEE7">
            <w:pPr>
              <w:spacing w:line="440" w:lineRule="atLeast"/>
              <w:rPr>
                <w:rFonts w:ascii="宋体" w:hAnsi="宋体"/>
                <w:color w:val="FF0000"/>
                <w:szCs w:val="21"/>
                <w:highlight w:val="none"/>
              </w:rPr>
            </w:pPr>
            <w:r>
              <w:rPr>
                <w:rFonts w:ascii="宋体" w:hAnsi="宋体"/>
                <w:color w:val="auto"/>
                <w:szCs w:val="21"/>
                <w:highlight w:val="none"/>
              </w:rPr>
              <w:t>电话：</w:t>
            </w:r>
            <w:r>
              <w:rPr>
                <w:rFonts w:hint="eastAsia" w:ascii="宋体" w:hAnsi="宋体"/>
                <w:color w:val="auto"/>
                <w:szCs w:val="21"/>
                <w:highlight w:val="none"/>
              </w:rPr>
              <w:t>0371—23856102   23856103</w:t>
            </w:r>
          </w:p>
        </w:tc>
      </w:tr>
      <w:tr w14:paraId="083EEE95">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2DE06376">
            <w:pPr>
              <w:spacing w:line="440" w:lineRule="atLeast"/>
              <w:jc w:val="center"/>
              <w:rPr>
                <w:rFonts w:ascii="宋体" w:hAnsi="宋体"/>
                <w:szCs w:val="21"/>
                <w:highlight w:val="none"/>
              </w:rPr>
            </w:pPr>
            <w:r>
              <w:rPr>
                <w:rFonts w:ascii="宋体" w:hAnsi="宋体"/>
                <w:szCs w:val="21"/>
                <w:highlight w:val="none"/>
              </w:rPr>
              <w:t>1.1.4</w:t>
            </w:r>
          </w:p>
        </w:tc>
        <w:tc>
          <w:tcPr>
            <w:tcW w:w="1980" w:type="dxa"/>
            <w:tcBorders>
              <w:top w:val="single" w:color="auto" w:sz="4" w:space="0"/>
              <w:left w:val="single" w:color="auto" w:sz="4" w:space="0"/>
              <w:bottom w:val="single" w:color="auto" w:sz="4" w:space="0"/>
              <w:right w:val="single" w:color="auto" w:sz="4" w:space="0"/>
            </w:tcBorders>
            <w:vAlign w:val="center"/>
          </w:tcPr>
          <w:p w14:paraId="1F175978">
            <w:pPr>
              <w:spacing w:line="440" w:lineRule="atLeast"/>
              <w:jc w:val="center"/>
              <w:rPr>
                <w:rFonts w:ascii="宋体" w:hAnsi="宋体"/>
                <w:szCs w:val="21"/>
                <w:highlight w:val="none"/>
              </w:rPr>
            </w:pPr>
            <w:r>
              <w:rPr>
                <w:rFonts w:ascii="宋体" w:hAnsi="宋体"/>
                <w:szCs w:val="21"/>
                <w:highlight w:val="none"/>
              </w:rPr>
              <w:t>项目名称</w:t>
            </w:r>
          </w:p>
        </w:tc>
        <w:tc>
          <w:tcPr>
            <w:tcW w:w="5534" w:type="dxa"/>
            <w:tcBorders>
              <w:top w:val="single" w:color="auto" w:sz="4" w:space="0"/>
              <w:left w:val="single" w:color="auto" w:sz="4" w:space="0"/>
              <w:bottom w:val="single" w:color="auto" w:sz="4" w:space="0"/>
              <w:right w:val="single" w:color="auto" w:sz="4" w:space="0"/>
            </w:tcBorders>
            <w:vAlign w:val="center"/>
          </w:tcPr>
          <w:p w14:paraId="7217C630">
            <w:pPr>
              <w:spacing w:line="440" w:lineRule="atLeast"/>
              <w:rPr>
                <w:rFonts w:ascii="宋体" w:hAnsi="宋体"/>
                <w:szCs w:val="21"/>
                <w:highlight w:val="none"/>
              </w:rPr>
            </w:pPr>
            <w:r>
              <w:rPr>
                <w:rFonts w:hint="eastAsia" w:ascii="宋体" w:hAnsi="宋体"/>
                <w:szCs w:val="21"/>
                <w:highlight w:val="none"/>
                <w:lang w:val="en-US" w:eastAsia="zh-CN"/>
              </w:rPr>
              <w:t>同</w:t>
            </w:r>
            <w:r>
              <w:rPr>
                <w:rFonts w:hint="eastAsia" w:ascii="宋体" w:hAnsi="宋体"/>
                <w:szCs w:val="21"/>
                <w:highlight w:val="none"/>
              </w:rPr>
              <w:t>招标公告</w:t>
            </w:r>
          </w:p>
        </w:tc>
      </w:tr>
      <w:tr w14:paraId="1D4B43E7">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0C81908">
            <w:pPr>
              <w:spacing w:line="440" w:lineRule="atLeast"/>
              <w:jc w:val="center"/>
              <w:rPr>
                <w:rFonts w:ascii="宋体" w:hAnsi="宋体"/>
                <w:szCs w:val="21"/>
                <w:highlight w:val="none"/>
              </w:rPr>
            </w:pPr>
            <w:r>
              <w:rPr>
                <w:rFonts w:ascii="宋体" w:hAnsi="宋体"/>
                <w:szCs w:val="21"/>
                <w:highlight w:val="none"/>
              </w:rPr>
              <w:t>1.1.5</w:t>
            </w:r>
          </w:p>
        </w:tc>
        <w:tc>
          <w:tcPr>
            <w:tcW w:w="1980" w:type="dxa"/>
            <w:tcBorders>
              <w:top w:val="single" w:color="auto" w:sz="4" w:space="0"/>
              <w:left w:val="single" w:color="auto" w:sz="4" w:space="0"/>
              <w:bottom w:val="single" w:color="auto" w:sz="4" w:space="0"/>
              <w:right w:val="single" w:color="auto" w:sz="4" w:space="0"/>
            </w:tcBorders>
            <w:vAlign w:val="center"/>
          </w:tcPr>
          <w:p w14:paraId="0B36C72F">
            <w:pPr>
              <w:spacing w:line="440" w:lineRule="atLeast"/>
              <w:jc w:val="center"/>
              <w:rPr>
                <w:rFonts w:ascii="宋体" w:hAnsi="宋体"/>
                <w:szCs w:val="21"/>
                <w:highlight w:val="none"/>
              </w:rPr>
            </w:pPr>
            <w:r>
              <w:rPr>
                <w:rFonts w:hint="eastAsia" w:ascii="宋体" w:hAnsi="宋体"/>
                <w:szCs w:val="21"/>
                <w:highlight w:val="none"/>
              </w:rPr>
              <w:t>合同履行</w:t>
            </w:r>
            <w:r>
              <w:rPr>
                <w:rFonts w:ascii="宋体" w:hAnsi="宋体"/>
                <w:szCs w:val="21"/>
                <w:highlight w:val="none"/>
              </w:rPr>
              <w:t>地点</w:t>
            </w:r>
          </w:p>
        </w:tc>
        <w:tc>
          <w:tcPr>
            <w:tcW w:w="5534" w:type="dxa"/>
            <w:tcBorders>
              <w:top w:val="single" w:color="auto" w:sz="4" w:space="0"/>
              <w:left w:val="single" w:color="auto" w:sz="4" w:space="0"/>
              <w:bottom w:val="single" w:color="auto" w:sz="4" w:space="0"/>
              <w:right w:val="single" w:color="auto" w:sz="4" w:space="0"/>
            </w:tcBorders>
            <w:vAlign w:val="center"/>
          </w:tcPr>
          <w:p w14:paraId="009453B0">
            <w:pPr>
              <w:spacing w:line="440" w:lineRule="atLeast"/>
              <w:rPr>
                <w:rFonts w:ascii="宋体" w:hAnsi="宋体"/>
                <w:szCs w:val="21"/>
                <w:highlight w:val="none"/>
              </w:rPr>
            </w:pPr>
            <w:r>
              <w:rPr>
                <w:rFonts w:hint="eastAsia" w:ascii="宋体" w:hAnsi="宋体"/>
                <w:szCs w:val="21"/>
                <w:lang w:eastAsia="zh-CN"/>
              </w:rPr>
              <w:t>采购人指定地点</w:t>
            </w:r>
          </w:p>
        </w:tc>
      </w:tr>
      <w:tr w14:paraId="6B8B3A0F">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65C544BA">
            <w:pPr>
              <w:spacing w:line="440" w:lineRule="atLeast"/>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1.1.6.1</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979EA7B">
            <w:pPr>
              <w:spacing w:line="440" w:lineRule="atLeast"/>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项目属性</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0D29DA65">
            <w:pPr>
              <w:spacing w:line="440" w:lineRule="atLeast"/>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□货物项目</w:t>
            </w:r>
          </w:p>
          <w:p w14:paraId="4592F01F">
            <w:pPr>
              <w:spacing w:line="440" w:lineRule="atLeast"/>
              <w:jc w:val="left"/>
              <w:rPr>
                <w:rFonts w:hint="default" w:ascii="宋体" w:hAnsi="宋体" w:eastAsia="宋体" w:cs="Times New Roman"/>
                <w:kern w:val="2"/>
                <w:sz w:val="21"/>
                <w:szCs w:val="21"/>
                <w:highlight w:val="none"/>
                <w:lang w:val="en-US" w:eastAsia="zh-CN" w:bidi="ar-SA"/>
              </w:rPr>
            </w:pPr>
            <w:r>
              <w:rPr>
                <w:rFonts w:hint="eastAsia" w:ascii="宋体" w:hAnsi="宋体"/>
                <w:color w:val="auto"/>
                <w:szCs w:val="21"/>
                <w:highlight w:val="none"/>
                <w:lang w:val="en-US" w:eastAsia="zh-CN"/>
              </w:rPr>
              <w:t>☑服务项目</w:t>
            </w:r>
          </w:p>
        </w:tc>
      </w:tr>
      <w:tr w14:paraId="4D9ACB52">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4A91093A">
            <w:pPr>
              <w:spacing w:line="440" w:lineRule="atLeast"/>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1.1.6.2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0C5865A">
            <w:pPr>
              <w:spacing w:line="440" w:lineRule="atLeast"/>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核心产品</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0630DF60">
            <w:pPr>
              <w:spacing w:line="440" w:lineRule="atLeast"/>
              <w:jc w:val="left"/>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（采购标的含有多种产品时）本项目标段标明的核心产品见第五章 三 招标内容及技术要求</w:t>
            </w:r>
          </w:p>
        </w:tc>
      </w:tr>
      <w:tr w14:paraId="3D1DFB2A">
        <w:tblPrEx>
          <w:tblCellMar>
            <w:top w:w="0" w:type="dxa"/>
            <w:left w:w="108" w:type="dxa"/>
            <w:bottom w:w="0" w:type="dxa"/>
            <w:right w:w="108" w:type="dxa"/>
          </w:tblCellMar>
        </w:tblPrEx>
        <w:tc>
          <w:tcPr>
            <w:tcW w:w="1008" w:type="dxa"/>
            <w:tcBorders>
              <w:left w:val="single" w:color="auto" w:sz="4" w:space="0"/>
              <w:bottom w:val="single" w:color="auto" w:sz="4" w:space="0"/>
              <w:right w:val="single" w:color="auto" w:sz="4" w:space="0"/>
            </w:tcBorders>
            <w:shd w:val="clear" w:color="auto" w:fill="auto"/>
            <w:vAlign w:val="center"/>
          </w:tcPr>
          <w:p w14:paraId="3E086904">
            <w:pPr>
              <w:spacing w:line="440" w:lineRule="atLeast"/>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1.1.6.4</w:t>
            </w:r>
          </w:p>
        </w:tc>
        <w:tc>
          <w:tcPr>
            <w:tcW w:w="1980" w:type="dxa"/>
            <w:tcBorders>
              <w:left w:val="single" w:color="auto" w:sz="4" w:space="0"/>
              <w:bottom w:val="single" w:color="auto" w:sz="4" w:space="0"/>
              <w:right w:val="single" w:color="auto" w:sz="4" w:space="0"/>
            </w:tcBorders>
            <w:shd w:val="clear" w:color="auto" w:fill="auto"/>
            <w:vAlign w:val="center"/>
          </w:tcPr>
          <w:p w14:paraId="30D4CBBB">
            <w:pPr>
              <w:spacing w:line="440" w:lineRule="atLeast"/>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联合体投标</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2C2A47F9">
            <w:pPr>
              <w:spacing w:line="440" w:lineRule="atLeast"/>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是否接受联合体投标见第一章 招标公告</w:t>
            </w:r>
          </w:p>
        </w:tc>
      </w:tr>
      <w:tr w14:paraId="1C278B01">
        <w:tblPrEx>
          <w:tblCellMar>
            <w:top w:w="0" w:type="dxa"/>
            <w:left w:w="108" w:type="dxa"/>
            <w:bottom w:w="0" w:type="dxa"/>
            <w:right w:w="108" w:type="dxa"/>
          </w:tblCellMar>
        </w:tblPrEx>
        <w:tc>
          <w:tcPr>
            <w:tcW w:w="1008" w:type="dxa"/>
            <w:tcBorders>
              <w:left w:val="single" w:color="auto" w:sz="4" w:space="0"/>
              <w:bottom w:val="single" w:color="auto" w:sz="4" w:space="0"/>
              <w:right w:val="single" w:color="auto" w:sz="4" w:space="0"/>
            </w:tcBorders>
            <w:shd w:val="clear" w:color="auto" w:fill="auto"/>
            <w:vAlign w:val="center"/>
          </w:tcPr>
          <w:p w14:paraId="187A378A">
            <w:pPr>
              <w:spacing w:line="440" w:lineRule="atLeast"/>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1.1.6.5</w:t>
            </w:r>
          </w:p>
        </w:tc>
        <w:tc>
          <w:tcPr>
            <w:tcW w:w="1980" w:type="dxa"/>
            <w:tcBorders>
              <w:left w:val="single" w:color="auto" w:sz="4" w:space="0"/>
              <w:bottom w:val="single" w:color="auto" w:sz="4" w:space="0"/>
              <w:right w:val="single" w:color="auto" w:sz="4" w:space="0"/>
            </w:tcBorders>
            <w:shd w:val="clear" w:color="auto" w:fill="auto"/>
            <w:vAlign w:val="center"/>
          </w:tcPr>
          <w:p w14:paraId="2E966DED">
            <w:pPr>
              <w:spacing w:line="440" w:lineRule="atLeast"/>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进口产品投标</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284179B8">
            <w:pPr>
              <w:spacing w:line="440" w:lineRule="atLeast"/>
              <w:jc w:val="left"/>
              <w:rPr>
                <w:rFonts w:hint="eastAsia" w:ascii="宋体" w:hAnsi="宋体" w:eastAsia="宋体" w:cs="Times New Roman"/>
                <w:kern w:val="2"/>
                <w:sz w:val="21"/>
                <w:szCs w:val="24"/>
                <w:highlight w:val="none"/>
                <w:lang w:val="en-US" w:eastAsia="zh-CN" w:bidi="ar-SA"/>
              </w:rPr>
            </w:pPr>
            <w:r>
              <w:rPr>
                <w:rFonts w:hint="eastAsia" w:ascii="宋体" w:hAnsi="宋体"/>
                <w:szCs w:val="21"/>
                <w:highlight w:val="none"/>
                <w:lang w:val="en-US" w:eastAsia="zh-CN"/>
              </w:rPr>
              <w:t>是否接受进口产品投标见第一章 招标公告</w:t>
            </w:r>
          </w:p>
        </w:tc>
      </w:tr>
      <w:tr w14:paraId="2FDAFB74">
        <w:tblPrEx>
          <w:tblCellMar>
            <w:top w:w="0" w:type="dxa"/>
            <w:left w:w="108" w:type="dxa"/>
            <w:bottom w:w="0" w:type="dxa"/>
            <w:right w:w="108" w:type="dxa"/>
          </w:tblCellMar>
        </w:tblPrEx>
        <w:tc>
          <w:tcPr>
            <w:tcW w:w="1008" w:type="dxa"/>
            <w:tcBorders>
              <w:left w:val="single" w:color="auto" w:sz="4" w:space="0"/>
              <w:bottom w:val="single" w:color="auto" w:sz="4" w:space="0"/>
              <w:right w:val="single" w:color="auto" w:sz="4" w:space="0"/>
            </w:tcBorders>
            <w:shd w:val="clear" w:color="auto" w:fill="auto"/>
            <w:vAlign w:val="center"/>
          </w:tcPr>
          <w:p w14:paraId="7ED8AA83">
            <w:pPr>
              <w:spacing w:line="440" w:lineRule="atLeast"/>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1.1.6.6</w:t>
            </w:r>
          </w:p>
        </w:tc>
        <w:tc>
          <w:tcPr>
            <w:tcW w:w="1980" w:type="dxa"/>
            <w:tcBorders>
              <w:left w:val="single" w:color="auto" w:sz="4" w:space="0"/>
              <w:bottom w:val="single" w:color="auto" w:sz="4" w:space="0"/>
              <w:right w:val="single" w:color="auto" w:sz="4" w:space="0"/>
            </w:tcBorders>
            <w:shd w:val="clear" w:color="auto" w:fill="auto"/>
            <w:vAlign w:val="center"/>
          </w:tcPr>
          <w:p w14:paraId="5594E590">
            <w:pPr>
              <w:spacing w:line="440" w:lineRule="atLeast"/>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是否允许分包</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2815A64B">
            <w:pPr>
              <w:spacing w:line="440" w:lineRule="atLeast"/>
              <w:jc w:val="left"/>
              <w:rPr>
                <w:rFonts w:hint="eastAsia" w:ascii="宋体" w:hAnsi="宋体"/>
                <w:szCs w:val="21"/>
                <w:highlight w:val="none"/>
                <w:lang w:val="en-US" w:eastAsia="zh-CN"/>
              </w:rPr>
            </w:pPr>
            <w:r>
              <w:rPr>
                <w:rFonts w:hint="eastAsia" w:ascii="宋体" w:hAnsi="宋体"/>
                <w:szCs w:val="21"/>
                <w:highlight w:val="none"/>
                <w:lang w:val="en-US" w:eastAsia="zh-CN"/>
              </w:rPr>
              <w:t>☑不允许将项目内容分包给他人履行</w:t>
            </w:r>
          </w:p>
          <w:p w14:paraId="38BD4C91">
            <w:pPr>
              <w:spacing w:line="440" w:lineRule="atLeast"/>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 xml:space="preserve">□允许，允许向人分包履行的非主体、非关键性工作的内容、金额及具体要求见第五章 </w:t>
            </w:r>
            <w:r>
              <w:rPr>
                <w:rFonts w:hint="eastAsia" w:ascii="宋体" w:hAnsi="宋体"/>
                <w:highlight w:val="none"/>
              </w:rPr>
              <w:t>招标内容及商务技术要求</w:t>
            </w:r>
          </w:p>
        </w:tc>
      </w:tr>
      <w:tr w14:paraId="18807C76">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4DF9916A">
            <w:pPr>
              <w:spacing w:line="440" w:lineRule="atLeast"/>
              <w:jc w:val="center"/>
              <w:rPr>
                <w:rFonts w:ascii="宋体" w:hAnsi="宋体"/>
                <w:szCs w:val="21"/>
                <w:highlight w:val="none"/>
              </w:rPr>
            </w:pPr>
            <w:r>
              <w:rPr>
                <w:rFonts w:ascii="宋体" w:hAnsi="宋体"/>
                <w:szCs w:val="21"/>
                <w:highlight w:val="none"/>
              </w:rPr>
              <w:t>1.2.1</w:t>
            </w:r>
          </w:p>
        </w:tc>
        <w:tc>
          <w:tcPr>
            <w:tcW w:w="1980" w:type="dxa"/>
            <w:tcBorders>
              <w:top w:val="single" w:color="auto" w:sz="4" w:space="0"/>
              <w:left w:val="single" w:color="auto" w:sz="4" w:space="0"/>
              <w:bottom w:val="single" w:color="auto" w:sz="4" w:space="0"/>
              <w:right w:val="single" w:color="auto" w:sz="4" w:space="0"/>
            </w:tcBorders>
            <w:vAlign w:val="center"/>
          </w:tcPr>
          <w:p w14:paraId="5BB462F7">
            <w:pPr>
              <w:spacing w:line="440" w:lineRule="atLeast"/>
              <w:jc w:val="center"/>
              <w:rPr>
                <w:rFonts w:ascii="宋体" w:hAnsi="宋体"/>
                <w:color w:val="auto"/>
                <w:szCs w:val="21"/>
                <w:highlight w:val="none"/>
              </w:rPr>
            </w:pPr>
            <w:r>
              <w:rPr>
                <w:rFonts w:ascii="宋体" w:hAnsi="宋体"/>
                <w:color w:val="auto"/>
                <w:szCs w:val="21"/>
                <w:highlight w:val="none"/>
              </w:rPr>
              <w:t>资金来源</w:t>
            </w:r>
            <w:r>
              <w:rPr>
                <w:rFonts w:hint="eastAsia" w:ascii="宋体" w:hAnsi="宋体"/>
                <w:color w:val="auto"/>
                <w:szCs w:val="21"/>
                <w:highlight w:val="none"/>
              </w:rPr>
              <w:t>及比例</w:t>
            </w:r>
          </w:p>
        </w:tc>
        <w:tc>
          <w:tcPr>
            <w:tcW w:w="5534" w:type="dxa"/>
            <w:tcBorders>
              <w:top w:val="single" w:color="auto" w:sz="4" w:space="0"/>
              <w:left w:val="single" w:color="auto" w:sz="4" w:space="0"/>
              <w:bottom w:val="single" w:color="auto" w:sz="4" w:space="0"/>
              <w:right w:val="single" w:color="auto" w:sz="4" w:space="0"/>
            </w:tcBorders>
            <w:vAlign w:val="center"/>
          </w:tcPr>
          <w:p w14:paraId="0F052E82">
            <w:pPr>
              <w:spacing w:line="440" w:lineRule="atLeast"/>
              <w:rPr>
                <w:rFonts w:ascii="宋体" w:hAnsi="宋体"/>
                <w:color w:val="auto"/>
                <w:szCs w:val="21"/>
                <w:highlight w:val="none"/>
              </w:rPr>
            </w:pPr>
            <w:r>
              <w:rPr>
                <w:rFonts w:hint="eastAsia" w:ascii="宋体" w:hAnsi="宋体"/>
                <w:color w:val="auto"/>
                <w:szCs w:val="21"/>
                <w:highlight w:val="none"/>
              </w:rPr>
              <w:t>100%财政</w:t>
            </w:r>
            <w:r>
              <w:rPr>
                <w:rFonts w:hint="eastAsia" w:ascii="宋体" w:hAnsi="宋体"/>
                <w:color w:val="auto"/>
                <w:szCs w:val="21"/>
                <w:highlight w:val="none"/>
                <w:lang w:val="en-US" w:eastAsia="zh-CN"/>
              </w:rPr>
              <w:t>性</w:t>
            </w:r>
            <w:r>
              <w:rPr>
                <w:rFonts w:hint="eastAsia" w:ascii="宋体" w:hAnsi="宋体"/>
                <w:color w:val="auto"/>
                <w:szCs w:val="21"/>
                <w:highlight w:val="none"/>
              </w:rPr>
              <w:t>资金</w:t>
            </w:r>
          </w:p>
        </w:tc>
      </w:tr>
      <w:tr w14:paraId="188E5548">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4B9ED129">
            <w:pPr>
              <w:spacing w:line="440" w:lineRule="atLeast"/>
              <w:jc w:val="center"/>
              <w:rPr>
                <w:rFonts w:ascii="宋体" w:hAnsi="宋体"/>
                <w:szCs w:val="21"/>
                <w:highlight w:val="none"/>
              </w:rPr>
            </w:pPr>
            <w:r>
              <w:rPr>
                <w:rFonts w:ascii="宋体" w:hAnsi="宋体"/>
                <w:szCs w:val="21"/>
                <w:highlight w:val="none"/>
              </w:rPr>
              <w:t>1.2.2</w:t>
            </w:r>
          </w:p>
        </w:tc>
        <w:tc>
          <w:tcPr>
            <w:tcW w:w="1980" w:type="dxa"/>
            <w:tcBorders>
              <w:top w:val="single" w:color="auto" w:sz="4" w:space="0"/>
              <w:left w:val="single" w:color="auto" w:sz="4" w:space="0"/>
              <w:bottom w:val="single" w:color="auto" w:sz="4" w:space="0"/>
              <w:right w:val="single" w:color="auto" w:sz="4" w:space="0"/>
            </w:tcBorders>
            <w:vAlign w:val="center"/>
          </w:tcPr>
          <w:p w14:paraId="56B20B51">
            <w:pPr>
              <w:spacing w:line="440" w:lineRule="atLeast"/>
              <w:jc w:val="center"/>
              <w:rPr>
                <w:rFonts w:ascii="宋体" w:hAnsi="宋体"/>
                <w:szCs w:val="21"/>
                <w:highlight w:val="none"/>
              </w:rPr>
            </w:pPr>
            <w:r>
              <w:rPr>
                <w:rFonts w:hint="eastAsia" w:ascii="宋体" w:hAnsi="宋体"/>
                <w:szCs w:val="21"/>
                <w:highlight w:val="none"/>
              </w:rPr>
              <w:t>资金</w:t>
            </w:r>
            <w:r>
              <w:rPr>
                <w:rFonts w:ascii="宋体" w:hAnsi="宋体"/>
                <w:szCs w:val="21"/>
                <w:highlight w:val="none"/>
              </w:rPr>
              <w:t>落实情况</w:t>
            </w:r>
          </w:p>
        </w:tc>
        <w:tc>
          <w:tcPr>
            <w:tcW w:w="5534" w:type="dxa"/>
            <w:tcBorders>
              <w:top w:val="single" w:color="auto" w:sz="4" w:space="0"/>
              <w:left w:val="single" w:color="auto" w:sz="4" w:space="0"/>
              <w:bottom w:val="single" w:color="auto" w:sz="4" w:space="0"/>
              <w:right w:val="single" w:color="auto" w:sz="4" w:space="0"/>
            </w:tcBorders>
            <w:vAlign w:val="center"/>
          </w:tcPr>
          <w:p w14:paraId="3D5DBC94">
            <w:pPr>
              <w:spacing w:line="440" w:lineRule="atLeast"/>
              <w:rPr>
                <w:rFonts w:ascii="宋体" w:hAnsi="宋体"/>
                <w:szCs w:val="21"/>
                <w:highlight w:val="none"/>
              </w:rPr>
            </w:pPr>
            <w:r>
              <w:rPr>
                <w:rFonts w:hint="eastAsia" w:ascii="宋体" w:hAnsi="宋体"/>
                <w:szCs w:val="21"/>
                <w:highlight w:val="none"/>
              </w:rPr>
              <w:t>已落实</w:t>
            </w:r>
          </w:p>
        </w:tc>
      </w:tr>
      <w:tr w14:paraId="65508797">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7589E0B7">
            <w:pPr>
              <w:spacing w:line="440" w:lineRule="atLeast"/>
              <w:jc w:val="center"/>
              <w:rPr>
                <w:rFonts w:ascii="宋体" w:hAns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.1</w:t>
            </w:r>
          </w:p>
        </w:tc>
        <w:tc>
          <w:tcPr>
            <w:tcW w:w="1980" w:type="dxa"/>
            <w:tcBorders>
              <w:top w:val="single" w:color="auto" w:sz="4" w:space="0"/>
              <w:left w:val="single" w:color="auto" w:sz="4" w:space="0"/>
              <w:bottom w:val="single" w:color="auto" w:sz="4" w:space="0"/>
              <w:right w:val="single" w:color="auto" w:sz="4" w:space="0"/>
            </w:tcBorders>
            <w:vAlign w:val="center"/>
          </w:tcPr>
          <w:p w14:paraId="5D038304">
            <w:pPr>
              <w:spacing w:line="440" w:lineRule="atLeast"/>
              <w:jc w:val="center"/>
              <w:rPr>
                <w:rFonts w:ascii="宋体" w:hAnsi="宋体"/>
                <w:szCs w:val="21"/>
                <w:highlight w:val="none"/>
              </w:rPr>
            </w:pPr>
            <w:r>
              <w:rPr>
                <w:rFonts w:ascii="宋体" w:hAnsi="宋体"/>
                <w:szCs w:val="21"/>
                <w:highlight w:val="none"/>
              </w:rPr>
              <w:t>招标</w:t>
            </w:r>
            <w:r>
              <w:rPr>
                <w:rFonts w:hint="eastAsia" w:ascii="宋体" w:hAnsi="宋体"/>
                <w:szCs w:val="21"/>
                <w:highlight w:val="none"/>
              </w:rPr>
              <w:t>范围</w:t>
            </w:r>
          </w:p>
        </w:tc>
        <w:tc>
          <w:tcPr>
            <w:tcW w:w="5534" w:type="dxa"/>
            <w:tcBorders>
              <w:top w:val="single" w:color="auto" w:sz="4" w:space="0"/>
              <w:left w:val="single" w:color="auto" w:sz="4" w:space="0"/>
              <w:bottom w:val="single" w:color="auto" w:sz="4" w:space="0"/>
              <w:right w:val="single" w:color="auto" w:sz="4" w:space="0"/>
            </w:tcBorders>
            <w:vAlign w:val="center"/>
          </w:tcPr>
          <w:p w14:paraId="26FA4061">
            <w:pPr>
              <w:spacing w:line="440" w:lineRule="atLeast"/>
              <w:rPr>
                <w:rFonts w:ascii="宋体" w:hAnsi="宋体"/>
                <w:szCs w:val="21"/>
                <w:highlight w:val="none"/>
              </w:rPr>
            </w:pPr>
            <w:r>
              <w:rPr>
                <w:rFonts w:hint="eastAsia" w:ascii="宋体" w:hAnsi="宋体"/>
                <w:szCs w:val="21"/>
                <w:highlight w:val="none"/>
              </w:rPr>
              <w:t>第五章“招标内容及商务技术要求”范围内的招标标的及数量</w:t>
            </w:r>
          </w:p>
        </w:tc>
      </w:tr>
      <w:tr w14:paraId="2D4E425B">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24AA282">
            <w:pPr>
              <w:spacing w:line="440" w:lineRule="atLeast"/>
              <w:jc w:val="center"/>
              <w:rPr>
                <w:rFonts w:ascii="宋体" w:hAnsi="宋体"/>
                <w:szCs w:val="21"/>
                <w:highlight w:val="none"/>
              </w:rPr>
            </w:pPr>
            <w:r>
              <w:rPr>
                <w:rFonts w:ascii="宋体" w:hAnsi="宋体"/>
                <w:szCs w:val="21"/>
                <w:highlight w:val="none"/>
              </w:rPr>
              <w:t>1.3.2</w:t>
            </w:r>
          </w:p>
        </w:tc>
        <w:tc>
          <w:tcPr>
            <w:tcW w:w="1980" w:type="dxa"/>
            <w:tcBorders>
              <w:top w:val="single" w:color="auto" w:sz="4" w:space="0"/>
              <w:left w:val="single" w:color="auto" w:sz="4" w:space="0"/>
              <w:bottom w:val="single" w:color="auto" w:sz="4" w:space="0"/>
              <w:right w:val="single" w:color="auto" w:sz="4" w:space="0"/>
            </w:tcBorders>
            <w:vAlign w:val="center"/>
          </w:tcPr>
          <w:p w14:paraId="75C0A549">
            <w:pPr>
              <w:spacing w:line="440" w:lineRule="atLeast"/>
              <w:jc w:val="center"/>
              <w:rPr>
                <w:rFonts w:ascii="宋体" w:hAnsi="宋体"/>
                <w:szCs w:val="21"/>
                <w:highlight w:val="none"/>
              </w:rPr>
            </w:pPr>
            <w:r>
              <w:rPr>
                <w:rFonts w:hint="eastAsia" w:ascii="宋体" w:hAnsi="宋体"/>
                <w:szCs w:val="21"/>
                <w:highlight w:val="none"/>
              </w:rPr>
              <w:t>合同履行期限</w:t>
            </w:r>
          </w:p>
        </w:tc>
        <w:tc>
          <w:tcPr>
            <w:tcW w:w="5534" w:type="dxa"/>
            <w:tcBorders>
              <w:top w:val="single" w:color="auto" w:sz="4" w:space="0"/>
              <w:left w:val="single" w:color="auto" w:sz="4" w:space="0"/>
              <w:bottom w:val="single" w:color="auto" w:sz="4" w:space="0"/>
              <w:right w:val="single" w:color="auto" w:sz="4" w:space="0"/>
            </w:tcBorders>
            <w:vAlign w:val="center"/>
          </w:tcPr>
          <w:p w14:paraId="4919D03F">
            <w:pPr>
              <w:spacing w:line="440" w:lineRule="atLeast"/>
              <w:rPr>
                <w:rFonts w:ascii="宋体" w:hAnsi="宋体"/>
                <w:szCs w:val="21"/>
                <w:highlight w:val="none"/>
              </w:rPr>
            </w:pPr>
            <w:r>
              <w:rPr>
                <w:rFonts w:hint="eastAsia" w:ascii="宋体" w:hAnsi="宋体"/>
                <w:color w:val="auto"/>
                <w:szCs w:val="21"/>
                <w:highlight w:val="none"/>
                <w:u w:val="none"/>
              </w:rPr>
              <w:t>合同签订生效后</w:t>
            </w:r>
            <w:r>
              <w:rPr>
                <w:rFonts w:hint="eastAsia" w:ascii="宋体" w:hAnsi="宋体"/>
                <w:color w:val="auto"/>
                <w:szCs w:val="21"/>
                <w:highlight w:val="none"/>
                <w:u w:val="none"/>
                <w:lang w:val="en-US" w:eastAsia="zh-CN"/>
              </w:rPr>
              <w:t>1年</w:t>
            </w:r>
            <w:r>
              <w:rPr>
                <w:rFonts w:hint="eastAsia" w:ascii="宋体" w:hAnsi="宋体"/>
                <w:color w:val="auto"/>
                <w:szCs w:val="21"/>
                <w:highlight w:val="none"/>
                <w:u w:val="none"/>
              </w:rPr>
              <w:t>完成项目全部工作。</w:t>
            </w:r>
          </w:p>
        </w:tc>
      </w:tr>
      <w:tr w14:paraId="20F93714">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98EBFA7">
            <w:pPr>
              <w:spacing w:line="440" w:lineRule="atLeast"/>
              <w:jc w:val="center"/>
              <w:rPr>
                <w:rFonts w:ascii="宋体" w:hAnsi="宋体"/>
                <w:szCs w:val="21"/>
                <w:highlight w:val="none"/>
              </w:rPr>
            </w:pPr>
            <w:r>
              <w:rPr>
                <w:rFonts w:ascii="宋体" w:hAnsi="宋体"/>
                <w:szCs w:val="21"/>
                <w:highlight w:val="none"/>
              </w:rPr>
              <w:t>1.3.3</w:t>
            </w:r>
          </w:p>
        </w:tc>
        <w:tc>
          <w:tcPr>
            <w:tcW w:w="1980" w:type="dxa"/>
            <w:tcBorders>
              <w:top w:val="single" w:color="auto" w:sz="4" w:space="0"/>
              <w:left w:val="single" w:color="auto" w:sz="4" w:space="0"/>
              <w:bottom w:val="single" w:color="auto" w:sz="4" w:space="0"/>
              <w:right w:val="single" w:color="auto" w:sz="4" w:space="0"/>
            </w:tcBorders>
            <w:vAlign w:val="center"/>
          </w:tcPr>
          <w:p w14:paraId="24342AA8">
            <w:pPr>
              <w:spacing w:line="440" w:lineRule="atLeast"/>
              <w:jc w:val="center"/>
              <w:rPr>
                <w:rFonts w:ascii="宋体" w:hAnsi="宋体"/>
                <w:szCs w:val="21"/>
                <w:highlight w:val="none"/>
              </w:rPr>
            </w:pPr>
            <w:r>
              <w:rPr>
                <w:rFonts w:ascii="宋体" w:hAnsi="宋体"/>
                <w:szCs w:val="21"/>
                <w:highlight w:val="none"/>
              </w:rPr>
              <w:t>质量要求</w:t>
            </w:r>
          </w:p>
        </w:tc>
        <w:tc>
          <w:tcPr>
            <w:tcW w:w="5534" w:type="dxa"/>
            <w:tcBorders>
              <w:top w:val="single" w:color="auto" w:sz="4" w:space="0"/>
              <w:left w:val="single" w:color="auto" w:sz="4" w:space="0"/>
              <w:bottom w:val="single" w:color="auto" w:sz="4" w:space="0"/>
              <w:right w:val="single" w:color="auto" w:sz="4" w:space="0"/>
            </w:tcBorders>
            <w:vAlign w:val="center"/>
          </w:tcPr>
          <w:p w14:paraId="13327DB1">
            <w:pPr>
              <w:spacing w:line="440" w:lineRule="atLeast"/>
              <w:rPr>
                <w:rFonts w:ascii="宋体" w:hAnsi="宋体"/>
                <w:szCs w:val="21"/>
                <w:highlight w:val="none"/>
              </w:rPr>
            </w:pPr>
            <w:r>
              <w:rPr>
                <w:rFonts w:hint="eastAsia" w:ascii="宋体" w:hAnsi="宋体"/>
                <w:szCs w:val="21"/>
                <w:highlight w:val="none"/>
              </w:rPr>
              <w:t>质量符合</w:t>
            </w:r>
            <w:r>
              <w:rPr>
                <w:rFonts w:hint="eastAsia" w:ascii="宋体" w:hAnsi="宋体"/>
                <w:szCs w:val="21"/>
                <w:highlight w:val="none"/>
                <w:u w:val="single"/>
              </w:rPr>
              <w:t>　国家标准　</w:t>
            </w:r>
            <w:r>
              <w:rPr>
                <w:rFonts w:hint="eastAsia" w:ascii="宋体" w:hAnsi="宋体"/>
                <w:szCs w:val="21"/>
                <w:highlight w:val="none"/>
              </w:rPr>
              <w:t>。本项内容要求与第五章“采购内容及商务技术要求”内容不一致时以后者为准。</w:t>
            </w:r>
          </w:p>
        </w:tc>
      </w:tr>
      <w:tr w14:paraId="2FD85191">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138C78BE">
            <w:pPr>
              <w:spacing w:line="440" w:lineRule="atLeast"/>
              <w:jc w:val="center"/>
              <w:rPr>
                <w:rFonts w:ascii="宋体" w:hAnsi="宋体"/>
                <w:szCs w:val="21"/>
                <w:highlight w:val="none"/>
              </w:rPr>
            </w:pPr>
            <w:r>
              <w:rPr>
                <w:rFonts w:ascii="宋体" w:hAnsi="宋体"/>
                <w:szCs w:val="21"/>
                <w:highlight w:val="none"/>
              </w:rPr>
              <w:t>1.4.1</w:t>
            </w:r>
          </w:p>
        </w:tc>
        <w:tc>
          <w:tcPr>
            <w:tcW w:w="1980" w:type="dxa"/>
            <w:tcBorders>
              <w:top w:val="single" w:color="auto" w:sz="4" w:space="0"/>
              <w:left w:val="single" w:color="auto" w:sz="4" w:space="0"/>
              <w:bottom w:val="single" w:color="auto" w:sz="4" w:space="0"/>
              <w:right w:val="single" w:color="auto" w:sz="4" w:space="0"/>
            </w:tcBorders>
            <w:vAlign w:val="center"/>
          </w:tcPr>
          <w:p w14:paraId="75217553">
            <w:pPr>
              <w:spacing w:line="440" w:lineRule="atLeast"/>
              <w:jc w:val="center"/>
              <w:rPr>
                <w:rFonts w:ascii="宋体" w:hAnsi="宋体"/>
                <w:szCs w:val="21"/>
                <w:highlight w:val="none"/>
              </w:rPr>
            </w:pPr>
            <w:r>
              <w:rPr>
                <w:rFonts w:ascii="宋体" w:hAnsi="宋体"/>
                <w:szCs w:val="21"/>
                <w:highlight w:val="none"/>
              </w:rPr>
              <w:t>供应商资</w:t>
            </w:r>
            <w:r>
              <w:rPr>
                <w:rFonts w:hint="eastAsia" w:ascii="宋体" w:hAnsi="宋体"/>
                <w:szCs w:val="21"/>
                <w:highlight w:val="none"/>
              </w:rPr>
              <w:t>格要求</w:t>
            </w:r>
          </w:p>
        </w:tc>
        <w:tc>
          <w:tcPr>
            <w:tcW w:w="5534" w:type="dxa"/>
            <w:tcBorders>
              <w:top w:val="single" w:color="auto" w:sz="4" w:space="0"/>
              <w:left w:val="single" w:color="auto" w:sz="4" w:space="0"/>
              <w:bottom w:val="single" w:color="auto" w:sz="4" w:space="0"/>
              <w:right w:val="single" w:color="auto" w:sz="4" w:space="0"/>
            </w:tcBorders>
            <w:vAlign w:val="center"/>
          </w:tcPr>
          <w:p w14:paraId="51F3722E">
            <w:pPr>
              <w:spacing w:line="440" w:lineRule="atLeast"/>
              <w:jc w:val="both"/>
              <w:rPr>
                <w:rFonts w:hint="eastAsia" w:ascii="宋体" w:hAnsi="宋体"/>
                <w:szCs w:val="21"/>
                <w:highlight w:val="none"/>
                <w:lang w:val="en-US" w:eastAsia="zh-CN"/>
              </w:rPr>
            </w:pPr>
            <w:r>
              <w:rPr>
                <w:rFonts w:hint="eastAsia" w:ascii="宋体" w:hAnsi="宋体"/>
                <w:szCs w:val="21"/>
                <w:highlight w:val="none"/>
                <w:lang w:val="en-US" w:eastAsia="zh-CN"/>
              </w:rPr>
              <w:t>供应商资格要求内容同</w:t>
            </w:r>
            <w:r>
              <w:rPr>
                <w:rFonts w:hint="eastAsia" w:ascii="宋体" w:hAnsi="宋体"/>
                <w:szCs w:val="21"/>
                <w:highlight w:val="none"/>
              </w:rPr>
              <w:t>招标公告</w:t>
            </w:r>
            <w:r>
              <w:rPr>
                <w:rFonts w:hint="eastAsia" w:ascii="宋体" w:hAnsi="宋体"/>
                <w:szCs w:val="21"/>
                <w:highlight w:val="none"/>
                <w:lang w:eastAsia="zh-CN"/>
              </w:rPr>
              <w:t>（</w:t>
            </w:r>
            <w:r>
              <w:rPr>
                <w:rFonts w:hint="eastAsia" w:ascii="宋体" w:hAnsi="宋体"/>
                <w:szCs w:val="21"/>
                <w:highlight w:val="none"/>
                <w:lang w:val="en-US" w:eastAsia="zh-CN"/>
              </w:rPr>
              <w:t>投标邀请函</w:t>
            </w:r>
            <w:r>
              <w:rPr>
                <w:rFonts w:hint="eastAsia" w:ascii="宋体" w:hAnsi="宋体"/>
                <w:szCs w:val="21"/>
                <w:highlight w:val="none"/>
                <w:lang w:eastAsia="zh-CN"/>
              </w:rPr>
              <w:t>）</w:t>
            </w:r>
            <w:r>
              <w:rPr>
                <w:rFonts w:hint="eastAsia" w:ascii="宋体" w:hAnsi="宋体"/>
                <w:szCs w:val="21"/>
                <w:highlight w:val="none"/>
                <w:lang w:val="en-US" w:eastAsia="zh-CN"/>
              </w:rPr>
              <w:t>中“</w:t>
            </w:r>
            <w:r>
              <w:rPr>
                <w:rFonts w:hint="eastAsia" w:ascii="宋体" w:hAnsi="宋体"/>
                <w:szCs w:val="21"/>
                <w:highlight w:val="none"/>
              </w:rPr>
              <w:t>申请人资格要求</w:t>
            </w:r>
            <w:r>
              <w:rPr>
                <w:rFonts w:hint="eastAsia" w:ascii="宋体" w:hAnsi="宋体"/>
                <w:szCs w:val="21"/>
                <w:highlight w:val="none"/>
                <w:lang w:val="en-US" w:eastAsia="zh-CN"/>
              </w:rPr>
              <w:t>”。</w:t>
            </w:r>
          </w:p>
          <w:p w14:paraId="66CEEC14">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szCs w:val="21"/>
                <w:highlight w:val="none"/>
                <w:lang w:val="en-US" w:eastAsia="zh-CN"/>
              </w:rPr>
            </w:pPr>
          </w:p>
          <w:p w14:paraId="46B55EF9">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szCs w:val="21"/>
                <w:highlight w:val="none"/>
                <w:lang w:val="en-US" w:eastAsia="zh-CN"/>
              </w:rPr>
            </w:pPr>
            <w:r>
              <w:rPr>
                <w:rFonts w:hint="eastAsia" w:ascii="宋体" w:hAnsi="宋体"/>
                <w:szCs w:val="21"/>
                <w:highlight w:val="none"/>
                <w:lang w:val="en-US" w:eastAsia="zh-CN"/>
              </w:rPr>
              <w:t>注：资格要求中“营业执照等证明材料”可分为如下情况：</w:t>
            </w:r>
          </w:p>
          <w:p w14:paraId="7087A408">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eastAsia="宋体"/>
                <w:szCs w:val="21"/>
                <w:highlight w:val="none"/>
                <w:lang w:eastAsia="zh-CN"/>
              </w:rPr>
            </w:pPr>
            <w:r>
              <w:rPr>
                <w:rFonts w:hint="eastAsia" w:ascii="宋体" w:hAnsi="宋体"/>
                <w:szCs w:val="21"/>
                <w:highlight w:val="none"/>
                <w:lang w:val="en-US" w:eastAsia="zh-CN"/>
              </w:rPr>
              <w:t>供应商是</w:t>
            </w:r>
            <w:r>
              <w:rPr>
                <w:rFonts w:hint="eastAsia" w:ascii="宋体" w:hAnsi="宋体"/>
                <w:szCs w:val="21"/>
                <w:highlight w:val="none"/>
              </w:rPr>
              <w:t>企业的，应提供有效的</w:t>
            </w:r>
            <w:r>
              <w:rPr>
                <w:rFonts w:hint="eastAsia" w:ascii="宋体" w:hAnsi="宋体"/>
                <w:szCs w:val="21"/>
                <w:highlight w:val="none"/>
                <w:lang w:val="en-US" w:eastAsia="zh-CN"/>
              </w:rPr>
              <w:t>企业法人</w:t>
            </w:r>
            <w:r>
              <w:rPr>
                <w:rFonts w:hint="eastAsia" w:ascii="宋体" w:hAnsi="宋体"/>
                <w:szCs w:val="21"/>
                <w:highlight w:val="none"/>
              </w:rPr>
              <w:t>“营业执照”</w:t>
            </w:r>
            <w:r>
              <w:rPr>
                <w:rFonts w:hint="eastAsia" w:ascii="宋体" w:hAnsi="宋体"/>
                <w:szCs w:val="21"/>
                <w:highlight w:val="none"/>
                <w:lang w:eastAsia="zh-CN"/>
              </w:rPr>
              <w:t>。</w:t>
            </w:r>
          </w:p>
          <w:p w14:paraId="367BDC1E">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供应商</w:t>
            </w:r>
            <w:r>
              <w:rPr>
                <w:rFonts w:hint="eastAsia" w:ascii="宋体" w:hAnsi="宋体"/>
                <w:szCs w:val="21"/>
                <w:highlight w:val="none"/>
                <w:lang w:val="en-US" w:eastAsia="zh-CN"/>
              </w:rPr>
              <w:t>是</w:t>
            </w:r>
            <w:r>
              <w:rPr>
                <w:rFonts w:hint="eastAsia" w:ascii="宋体" w:hAnsi="宋体"/>
                <w:szCs w:val="21"/>
                <w:highlight w:val="none"/>
              </w:rPr>
              <w:t>事业单位的，应提供有效的“事业单位法人证书”</w:t>
            </w:r>
            <w:r>
              <w:rPr>
                <w:rFonts w:hint="eastAsia" w:ascii="宋体" w:hAnsi="宋体"/>
                <w:szCs w:val="21"/>
                <w:highlight w:val="none"/>
                <w:lang w:eastAsia="zh-CN"/>
              </w:rPr>
              <w:t>。</w:t>
            </w:r>
          </w:p>
          <w:p w14:paraId="28994102">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供应商</w:t>
            </w:r>
            <w:r>
              <w:rPr>
                <w:rFonts w:hint="eastAsia" w:ascii="宋体" w:hAnsi="宋体"/>
                <w:szCs w:val="21"/>
                <w:highlight w:val="none"/>
              </w:rPr>
              <w:t>是非企业机构的，应提供有效的“执业许可证”、“登记证书”等证明文件</w:t>
            </w:r>
            <w:r>
              <w:rPr>
                <w:rFonts w:hint="eastAsia" w:ascii="宋体" w:hAnsi="宋体"/>
                <w:szCs w:val="21"/>
                <w:highlight w:val="none"/>
                <w:lang w:eastAsia="zh-CN"/>
              </w:rPr>
              <w:t>。</w:t>
            </w:r>
          </w:p>
          <w:p w14:paraId="76102E9C">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供应商</w:t>
            </w:r>
            <w:r>
              <w:rPr>
                <w:rFonts w:hint="eastAsia" w:ascii="宋体" w:hAnsi="宋体"/>
                <w:szCs w:val="21"/>
                <w:highlight w:val="none"/>
              </w:rPr>
              <w:t>是个体工商户的，应提供有效的个体工商户“营业执照”</w:t>
            </w:r>
            <w:r>
              <w:rPr>
                <w:rFonts w:hint="eastAsia" w:ascii="宋体" w:hAnsi="宋体"/>
                <w:szCs w:val="21"/>
                <w:highlight w:val="none"/>
                <w:lang w:eastAsia="zh-CN"/>
              </w:rPr>
              <w:t>。</w:t>
            </w:r>
          </w:p>
          <w:p w14:paraId="5697917C">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供应商</w:t>
            </w:r>
            <w:r>
              <w:rPr>
                <w:rFonts w:hint="eastAsia" w:ascii="宋体" w:hAnsi="宋体"/>
                <w:szCs w:val="21"/>
                <w:highlight w:val="none"/>
              </w:rPr>
              <w:t>是自然人的，应提供有效的自然人身份证明。</w:t>
            </w:r>
            <w:r>
              <w:rPr>
                <w:rFonts w:hint="eastAsia" w:ascii="宋体" w:hAnsi="宋体"/>
                <w:szCs w:val="21"/>
                <w:highlight w:val="none"/>
                <w:lang w:eastAsia="zh-CN"/>
              </w:rPr>
              <w:t>（</w:t>
            </w:r>
            <w:r>
              <w:rPr>
                <w:rFonts w:hint="eastAsia" w:ascii="宋体" w:hAnsi="宋体"/>
                <w:szCs w:val="21"/>
                <w:highlight w:val="none"/>
                <w:lang w:val="en-US" w:eastAsia="zh-CN"/>
              </w:rPr>
              <w:t>采购文件允许自然人参加投标时适用。</w:t>
            </w:r>
            <w:r>
              <w:rPr>
                <w:rFonts w:hint="eastAsia" w:ascii="宋体" w:hAnsi="宋体"/>
                <w:szCs w:val="21"/>
                <w:highlight w:val="none"/>
                <w:lang w:eastAsia="zh-CN"/>
              </w:rPr>
              <w:t>）</w:t>
            </w:r>
          </w:p>
          <w:p w14:paraId="375757BE">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highlight w:val="none"/>
              </w:rPr>
            </w:pPr>
            <w:r>
              <w:rPr>
                <w:rFonts w:hint="eastAsia" w:ascii="宋体" w:hAnsi="宋体"/>
                <w:szCs w:val="21"/>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r>
              <w:rPr>
                <w:rFonts w:hint="eastAsia" w:ascii="宋体" w:hAnsi="宋体"/>
                <w:szCs w:val="21"/>
                <w:highlight w:val="none"/>
                <w:lang w:eastAsia="zh-CN"/>
              </w:rPr>
              <w:t>（</w:t>
            </w:r>
            <w:r>
              <w:rPr>
                <w:rFonts w:hint="eastAsia" w:ascii="宋体" w:hAnsi="宋体"/>
                <w:szCs w:val="21"/>
                <w:highlight w:val="none"/>
                <w:lang w:val="en-US" w:eastAsia="zh-CN"/>
              </w:rPr>
              <w:t>采购文件允许不具备独立法人资格的分支机构参加投标时适用。</w:t>
            </w:r>
            <w:r>
              <w:rPr>
                <w:rFonts w:hint="eastAsia" w:ascii="宋体" w:hAnsi="宋体"/>
                <w:szCs w:val="21"/>
                <w:highlight w:val="none"/>
                <w:lang w:eastAsia="zh-CN"/>
              </w:rPr>
              <w:t>）</w:t>
            </w:r>
          </w:p>
        </w:tc>
      </w:tr>
      <w:tr w14:paraId="44C9C064">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5D4BB205">
            <w:pPr>
              <w:spacing w:line="440" w:lineRule="atLeast"/>
              <w:jc w:val="center"/>
              <w:rPr>
                <w:rFonts w:ascii="宋体" w:hAnsi="宋体"/>
                <w:szCs w:val="21"/>
                <w:highlight w:val="none"/>
              </w:rPr>
            </w:pPr>
            <w:r>
              <w:rPr>
                <w:rFonts w:ascii="宋体" w:hAnsi="宋体"/>
                <w:szCs w:val="21"/>
                <w:highlight w:val="none"/>
              </w:rPr>
              <w:t>1.</w:t>
            </w:r>
            <w:r>
              <w:rPr>
                <w:rFonts w:hint="eastAsia" w:ascii="宋体" w:hAnsi="宋体"/>
                <w:szCs w:val="21"/>
                <w:highlight w:val="none"/>
              </w:rPr>
              <w:t>9</w:t>
            </w:r>
            <w:r>
              <w:rPr>
                <w:rFonts w:ascii="宋体" w:hAnsi="宋体"/>
                <w:szCs w:val="21"/>
                <w:highlight w:val="none"/>
              </w:rPr>
              <w:t>.1</w:t>
            </w:r>
          </w:p>
        </w:tc>
        <w:tc>
          <w:tcPr>
            <w:tcW w:w="1980" w:type="dxa"/>
            <w:tcBorders>
              <w:top w:val="single" w:color="auto" w:sz="4" w:space="0"/>
              <w:left w:val="single" w:color="auto" w:sz="4" w:space="0"/>
              <w:bottom w:val="single" w:color="auto" w:sz="4" w:space="0"/>
              <w:right w:val="single" w:color="auto" w:sz="4" w:space="0"/>
            </w:tcBorders>
            <w:vAlign w:val="center"/>
          </w:tcPr>
          <w:p w14:paraId="4DD26C6C">
            <w:pPr>
              <w:spacing w:line="440" w:lineRule="atLeast"/>
              <w:jc w:val="center"/>
              <w:rPr>
                <w:rFonts w:ascii="宋体" w:hAnsi="宋体"/>
                <w:szCs w:val="21"/>
                <w:highlight w:val="none"/>
              </w:rPr>
            </w:pPr>
            <w:r>
              <w:rPr>
                <w:rFonts w:hint="eastAsia" w:ascii="宋体" w:hAnsi="宋体"/>
                <w:szCs w:val="21"/>
                <w:highlight w:val="none"/>
              </w:rPr>
              <w:t>踏勘现场</w:t>
            </w:r>
          </w:p>
        </w:tc>
        <w:tc>
          <w:tcPr>
            <w:tcW w:w="5534" w:type="dxa"/>
            <w:tcBorders>
              <w:top w:val="single" w:color="auto" w:sz="4" w:space="0"/>
              <w:left w:val="single" w:color="auto" w:sz="4" w:space="0"/>
              <w:bottom w:val="single" w:color="auto" w:sz="4" w:space="0"/>
              <w:right w:val="single" w:color="auto" w:sz="4" w:space="0"/>
            </w:tcBorders>
            <w:vAlign w:val="center"/>
          </w:tcPr>
          <w:p w14:paraId="63CDB188">
            <w:pPr>
              <w:pStyle w:val="9"/>
              <w:topLinePunct/>
              <w:spacing w:line="440" w:lineRule="atLeast"/>
              <w:rPr>
                <w:rFonts w:hAnsi="宋体"/>
                <w:sz w:val="21"/>
                <w:szCs w:val="21"/>
                <w:highlight w:val="none"/>
              </w:rPr>
            </w:pPr>
            <w:r>
              <w:rPr>
                <w:rFonts w:hAnsi="宋体"/>
                <w:sz w:val="21"/>
                <w:szCs w:val="21"/>
                <w:highlight w:val="none"/>
              </w:rPr>
              <w:sym w:font="Wingdings" w:char="F0FE"/>
            </w:r>
            <w:r>
              <w:rPr>
                <w:rFonts w:hint="eastAsia" w:hAnsi="宋体"/>
                <w:sz w:val="21"/>
                <w:szCs w:val="21"/>
                <w:highlight w:val="none"/>
              </w:rPr>
              <w:t>不组织，各供应商自行踏勘</w:t>
            </w:r>
          </w:p>
          <w:p w14:paraId="083A3E24">
            <w:pPr>
              <w:spacing w:line="440" w:lineRule="atLeast"/>
              <w:rPr>
                <w:rFonts w:ascii="宋体" w:hAnsi="宋体"/>
                <w:szCs w:val="21"/>
                <w:highlight w:val="none"/>
              </w:rPr>
            </w:pPr>
            <w:r>
              <w:rPr>
                <w:rFonts w:ascii="宋体" w:hAnsi="宋体"/>
                <w:szCs w:val="21"/>
                <w:highlight w:val="none"/>
              </w:rPr>
              <w:t>□</w:t>
            </w:r>
            <w:r>
              <w:rPr>
                <w:rFonts w:hint="eastAsia" w:ascii="宋体" w:hAnsi="宋体"/>
                <w:szCs w:val="21"/>
                <w:highlight w:val="none"/>
              </w:rPr>
              <w:t>组织，踏勘时间：　　　踏勘集中地点：</w:t>
            </w:r>
          </w:p>
        </w:tc>
      </w:tr>
      <w:tr w14:paraId="6146ECB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2226E20">
            <w:pPr>
              <w:spacing w:line="440" w:lineRule="atLeast"/>
              <w:jc w:val="center"/>
              <w:rPr>
                <w:rFonts w:ascii="宋体" w:hAnsi="宋体"/>
                <w:szCs w:val="21"/>
                <w:highlight w:val="none"/>
              </w:rPr>
            </w:pPr>
            <w:r>
              <w:rPr>
                <w:rFonts w:ascii="宋体" w:hAnsi="宋体"/>
                <w:szCs w:val="21"/>
                <w:highlight w:val="none"/>
              </w:rPr>
              <w:t>1.</w:t>
            </w:r>
            <w:r>
              <w:rPr>
                <w:rFonts w:hint="eastAsia" w:ascii="宋体" w:hAnsi="宋体"/>
                <w:szCs w:val="21"/>
                <w:highlight w:val="none"/>
              </w:rPr>
              <w:t>10</w:t>
            </w:r>
            <w:r>
              <w:rPr>
                <w:rFonts w:ascii="宋体" w:hAnsi="宋体"/>
                <w:szCs w:val="21"/>
                <w:highlight w:val="none"/>
              </w:rPr>
              <w:t>.1</w:t>
            </w:r>
          </w:p>
        </w:tc>
        <w:tc>
          <w:tcPr>
            <w:tcW w:w="1980" w:type="dxa"/>
            <w:tcBorders>
              <w:top w:val="single" w:color="auto" w:sz="4" w:space="0"/>
              <w:left w:val="single" w:color="auto" w:sz="4" w:space="0"/>
              <w:bottom w:val="single" w:color="auto" w:sz="4" w:space="0"/>
              <w:right w:val="single" w:color="auto" w:sz="4" w:space="0"/>
            </w:tcBorders>
            <w:vAlign w:val="center"/>
          </w:tcPr>
          <w:p w14:paraId="3114C5A1">
            <w:pPr>
              <w:spacing w:line="440" w:lineRule="atLeast"/>
              <w:jc w:val="center"/>
              <w:rPr>
                <w:rFonts w:ascii="宋体" w:hAnsi="宋体"/>
                <w:szCs w:val="21"/>
                <w:highlight w:val="none"/>
              </w:rPr>
            </w:pPr>
            <w:r>
              <w:rPr>
                <w:rFonts w:hint="eastAsia" w:ascii="宋体" w:hAnsi="宋体"/>
                <w:szCs w:val="21"/>
                <w:highlight w:val="none"/>
              </w:rPr>
              <w:t>投标预备会</w:t>
            </w:r>
          </w:p>
        </w:tc>
        <w:tc>
          <w:tcPr>
            <w:tcW w:w="5534" w:type="dxa"/>
            <w:tcBorders>
              <w:top w:val="single" w:color="auto" w:sz="4" w:space="0"/>
              <w:left w:val="single" w:color="auto" w:sz="4" w:space="0"/>
              <w:bottom w:val="single" w:color="auto" w:sz="4" w:space="0"/>
              <w:right w:val="single" w:color="auto" w:sz="4" w:space="0"/>
            </w:tcBorders>
            <w:vAlign w:val="center"/>
          </w:tcPr>
          <w:p w14:paraId="2BA33027">
            <w:pPr>
              <w:pStyle w:val="9"/>
              <w:topLinePunct/>
              <w:spacing w:line="440" w:lineRule="atLeast"/>
              <w:rPr>
                <w:rFonts w:hAnsi="宋体"/>
                <w:sz w:val="21"/>
                <w:szCs w:val="21"/>
                <w:highlight w:val="none"/>
              </w:rPr>
            </w:pPr>
            <w:r>
              <w:rPr>
                <w:rFonts w:hAnsi="宋体"/>
                <w:sz w:val="21"/>
                <w:szCs w:val="21"/>
                <w:highlight w:val="none"/>
              </w:rPr>
              <w:sym w:font="Wingdings" w:char="F0FE"/>
            </w:r>
            <w:r>
              <w:rPr>
                <w:rFonts w:hint="eastAsia" w:hAnsi="宋体"/>
                <w:sz w:val="21"/>
                <w:szCs w:val="21"/>
                <w:highlight w:val="none"/>
              </w:rPr>
              <w:t>不召开</w:t>
            </w:r>
          </w:p>
          <w:p w14:paraId="1ED2BC52">
            <w:pPr>
              <w:spacing w:line="440" w:lineRule="atLeast"/>
              <w:rPr>
                <w:rFonts w:ascii="宋体" w:hAnsi="宋体"/>
                <w:szCs w:val="21"/>
                <w:highlight w:val="none"/>
              </w:rPr>
            </w:pPr>
            <w:r>
              <w:rPr>
                <w:rFonts w:ascii="宋体" w:hAnsi="宋体"/>
                <w:sz w:val="32"/>
                <w:szCs w:val="32"/>
                <w:highlight w:val="none"/>
              </w:rPr>
              <w:t>□</w:t>
            </w:r>
            <w:r>
              <w:rPr>
                <w:rFonts w:hint="eastAsia" w:ascii="宋体" w:hAnsi="宋体"/>
                <w:highlight w:val="none"/>
              </w:rPr>
              <w:t>召开，召开时间：　　　　　召开地点：</w:t>
            </w:r>
          </w:p>
        </w:tc>
      </w:tr>
      <w:tr w14:paraId="4DE191F6">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18FD56D0">
            <w:pPr>
              <w:spacing w:line="440" w:lineRule="atLeast"/>
              <w:jc w:val="center"/>
              <w:rPr>
                <w:rFonts w:ascii="宋体" w:hAnsi="宋体"/>
                <w:szCs w:val="21"/>
                <w:highlight w:val="none"/>
              </w:rPr>
            </w:pPr>
            <w:r>
              <w:rPr>
                <w:rFonts w:hint="eastAsia" w:ascii="宋体" w:hAnsi="宋体"/>
                <w:szCs w:val="21"/>
                <w:highlight w:val="none"/>
              </w:rPr>
              <w:t>1.11.1</w:t>
            </w:r>
          </w:p>
        </w:tc>
        <w:tc>
          <w:tcPr>
            <w:tcW w:w="1980" w:type="dxa"/>
            <w:tcBorders>
              <w:top w:val="single" w:color="auto" w:sz="4" w:space="0"/>
              <w:left w:val="single" w:color="auto" w:sz="4" w:space="0"/>
              <w:bottom w:val="single" w:color="auto" w:sz="4" w:space="0"/>
              <w:right w:val="single" w:color="auto" w:sz="4" w:space="0"/>
            </w:tcBorders>
            <w:vAlign w:val="center"/>
          </w:tcPr>
          <w:p w14:paraId="4865FF5F">
            <w:pPr>
              <w:spacing w:line="440" w:lineRule="atLeast"/>
              <w:jc w:val="center"/>
              <w:rPr>
                <w:rFonts w:ascii="宋体" w:hAnsi="宋体"/>
                <w:szCs w:val="21"/>
                <w:highlight w:val="none"/>
              </w:rPr>
            </w:pPr>
            <w:r>
              <w:rPr>
                <w:rFonts w:hint="eastAsia" w:ascii="宋体" w:hAnsi="宋体"/>
                <w:szCs w:val="21"/>
                <w:highlight w:val="none"/>
              </w:rPr>
              <w:t>实质性要求和条件</w:t>
            </w:r>
          </w:p>
        </w:tc>
        <w:tc>
          <w:tcPr>
            <w:tcW w:w="5534" w:type="dxa"/>
            <w:tcBorders>
              <w:top w:val="single" w:color="auto" w:sz="4" w:space="0"/>
              <w:left w:val="single" w:color="auto" w:sz="4" w:space="0"/>
              <w:bottom w:val="single" w:color="auto" w:sz="4" w:space="0"/>
              <w:right w:val="single" w:color="auto" w:sz="4" w:space="0"/>
            </w:tcBorders>
            <w:vAlign w:val="center"/>
          </w:tcPr>
          <w:p w14:paraId="70219CFB">
            <w:pPr>
              <w:pStyle w:val="9"/>
              <w:topLinePunct/>
              <w:spacing w:line="440" w:lineRule="atLeast"/>
              <w:rPr>
                <w:rFonts w:hAnsi="宋体"/>
                <w:sz w:val="21"/>
                <w:szCs w:val="21"/>
                <w:highlight w:val="none"/>
              </w:rPr>
            </w:pPr>
            <w:r>
              <w:rPr>
                <w:rFonts w:hint="eastAsia" w:hAnsi="宋体"/>
                <w:sz w:val="21"/>
                <w:szCs w:val="21"/>
                <w:highlight w:val="none"/>
              </w:rPr>
              <w:t>1、“资格要求”内容。</w:t>
            </w:r>
          </w:p>
          <w:p w14:paraId="53D5B6E3">
            <w:pPr>
              <w:pStyle w:val="9"/>
              <w:topLinePunct/>
              <w:spacing w:line="440" w:lineRule="atLeast"/>
              <w:rPr>
                <w:rFonts w:hAnsi="宋体"/>
                <w:sz w:val="21"/>
                <w:szCs w:val="21"/>
                <w:highlight w:val="none"/>
              </w:rPr>
            </w:pPr>
            <w:r>
              <w:rPr>
                <w:rFonts w:hint="eastAsia" w:hAnsi="宋体"/>
                <w:sz w:val="21"/>
                <w:szCs w:val="21"/>
                <w:highlight w:val="none"/>
              </w:rPr>
              <w:t>2、评标办法前附表中“符合性审查”内容。</w:t>
            </w:r>
          </w:p>
          <w:p w14:paraId="4DA2FAB9">
            <w:pPr>
              <w:pStyle w:val="9"/>
              <w:topLinePunct/>
              <w:spacing w:line="440" w:lineRule="atLeast"/>
              <w:rPr>
                <w:rFonts w:hAnsi="宋体"/>
                <w:sz w:val="21"/>
                <w:szCs w:val="21"/>
                <w:highlight w:val="none"/>
              </w:rPr>
            </w:pPr>
            <w:r>
              <w:rPr>
                <w:rFonts w:hint="eastAsia" w:hAnsi="宋体"/>
                <w:sz w:val="21"/>
                <w:szCs w:val="21"/>
                <w:highlight w:val="none"/>
              </w:rPr>
              <w:t>3、采购</w:t>
            </w:r>
            <w:r>
              <w:rPr>
                <w:rFonts w:hint="eastAsia" w:hAnsi="宋体"/>
                <w:sz w:val="21"/>
                <w:szCs w:val="21"/>
                <w:highlight w:val="none"/>
                <w:lang w:val="en-US" w:eastAsia="zh-CN"/>
              </w:rPr>
              <w:t>文件中注明“实质性要求”内容、或明确不接受的条件、或</w:t>
            </w:r>
            <w:r>
              <w:rPr>
                <w:rFonts w:hint="eastAsia" w:hAnsi="宋体"/>
                <w:sz w:val="21"/>
                <w:szCs w:val="21"/>
                <w:highlight w:val="none"/>
              </w:rPr>
              <w:t>列明的其他构成无效投标的内容。</w:t>
            </w:r>
          </w:p>
        </w:tc>
      </w:tr>
      <w:tr w14:paraId="3F6D0FD7">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DE9DC5B">
            <w:pPr>
              <w:spacing w:line="440" w:lineRule="atLeast"/>
              <w:jc w:val="center"/>
              <w:rPr>
                <w:rFonts w:ascii="宋体" w:hAnsi="宋体"/>
                <w:szCs w:val="21"/>
                <w:highlight w:val="none"/>
              </w:rPr>
            </w:pPr>
            <w:r>
              <w:rPr>
                <w:rFonts w:ascii="宋体" w:hAnsi="宋体"/>
                <w:szCs w:val="21"/>
                <w:highlight w:val="none"/>
              </w:rPr>
              <w:t>2.1</w:t>
            </w:r>
          </w:p>
        </w:tc>
        <w:tc>
          <w:tcPr>
            <w:tcW w:w="1980" w:type="dxa"/>
            <w:tcBorders>
              <w:top w:val="single" w:color="auto" w:sz="4" w:space="0"/>
              <w:left w:val="single" w:color="auto" w:sz="4" w:space="0"/>
              <w:bottom w:val="single" w:color="auto" w:sz="4" w:space="0"/>
              <w:right w:val="single" w:color="auto" w:sz="4" w:space="0"/>
            </w:tcBorders>
            <w:vAlign w:val="center"/>
          </w:tcPr>
          <w:p w14:paraId="5C866228">
            <w:pPr>
              <w:spacing w:line="440" w:lineRule="atLeast"/>
              <w:jc w:val="center"/>
              <w:rPr>
                <w:rFonts w:ascii="宋体" w:hAnsi="宋体"/>
                <w:szCs w:val="21"/>
                <w:highlight w:val="none"/>
              </w:rPr>
            </w:pPr>
            <w:r>
              <w:rPr>
                <w:rFonts w:ascii="宋体" w:hAnsi="宋体"/>
                <w:szCs w:val="21"/>
                <w:highlight w:val="none"/>
              </w:rPr>
              <w:t>构成招标文件的其他材料</w:t>
            </w:r>
          </w:p>
        </w:tc>
        <w:tc>
          <w:tcPr>
            <w:tcW w:w="5534" w:type="dxa"/>
            <w:tcBorders>
              <w:top w:val="single" w:color="auto" w:sz="4" w:space="0"/>
              <w:left w:val="single" w:color="auto" w:sz="4" w:space="0"/>
              <w:bottom w:val="single" w:color="auto" w:sz="4" w:space="0"/>
              <w:right w:val="single" w:color="auto" w:sz="4" w:space="0"/>
            </w:tcBorders>
            <w:vAlign w:val="center"/>
          </w:tcPr>
          <w:p w14:paraId="6EFB2738">
            <w:pPr>
              <w:spacing w:line="440" w:lineRule="atLeast"/>
              <w:rPr>
                <w:rFonts w:ascii="宋体" w:hAnsi="宋体"/>
                <w:szCs w:val="21"/>
                <w:highlight w:val="none"/>
              </w:rPr>
            </w:pPr>
            <w:r>
              <w:rPr>
                <w:rFonts w:hint="eastAsia" w:ascii="宋体" w:hAnsi="宋体"/>
                <w:szCs w:val="21"/>
                <w:highlight w:val="none"/>
              </w:rPr>
              <w:t>///</w:t>
            </w:r>
          </w:p>
        </w:tc>
      </w:tr>
      <w:tr w14:paraId="79F13385">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7384BBA1">
            <w:pPr>
              <w:spacing w:line="440" w:lineRule="atLeast"/>
              <w:jc w:val="center"/>
              <w:rPr>
                <w:rFonts w:ascii="宋体" w:hAnsi="宋体"/>
                <w:szCs w:val="21"/>
                <w:highlight w:val="none"/>
              </w:rPr>
            </w:pPr>
            <w:r>
              <w:rPr>
                <w:rFonts w:ascii="宋体" w:hAnsi="宋体"/>
                <w:szCs w:val="21"/>
                <w:highlight w:val="none"/>
              </w:rPr>
              <w:t>2.2.1</w:t>
            </w:r>
          </w:p>
        </w:tc>
        <w:tc>
          <w:tcPr>
            <w:tcW w:w="1980" w:type="dxa"/>
            <w:tcBorders>
              <w:top w:val="single" w:color="auto" w:sz="4" w:space="0"/>
              <w:left w:val="single" w:color="auto" w:sz="4" w:space="0"/>
              <w:bottom w:val="single" w:color="auto" w:sz="4" w:space="0"/>
              <w:right w:val="single" w:color="auto" w:sz="4" w:space="0"/>
            </w:tcBorders>
            <w:vAlign w:val="center"/>
          </w:tcPr>
          <w:p w14:paraId="021E64EA">
            <w:pPr>
              <w:spacing w:line="440" w:lineRule="atLeast"/>
              <w:jc w:val="center"/>
              <w:rPr>
                <w:rFonts w:ascii="宋体" w:hAnsi="宋体"/>
                <w:szCs w:val="21"/>
                <w:highlight w:val="none"/>
              </w:rPr>
            </w:pPr>
            <w:r>
              <w:rPr>
                <w:rFonts w:ascii="宋体" w:hAnsi="宋体"/>
                <w:szCs w:val="21"/>
                <w:highlight w:val="none"/>
              </w:rPr>
              <w:t>供应商</w:t>
            </w:r>
            <w:r>
              <w:rPr>
                <w:rFonts w:hint="eastAsia" w:ascii="宋体" w:hAnsi="宋体"/>
                <w:szCs w:val="21"/>
                <w:highlight w:val="none"/>
              </w:rPr>
              <w:t>要求对</w:t>
            </w:r>
            <w:r>
              <w:rPr>
                <w:rFonts w:ascii="宋体" w:hAnsi="宋体"/>
                <w:szCs w:val="21"/>
                <w:highlight w:val="none"/>
              </w:rPr>
              <w:t>招标文件</w:t>
            </w:r>
            <w:r>
              <w:rPr>
                <w:rFonts w:hint="eastAsia" w:ascii="宋体" w:hAnsi="宋体"/>
                <w:szCs w:val="21"/>
                <w:highlight w:val="none"/>
              </w:rPr>
              <w:t>澄清</w:t>
            </w:r>
            <w:r>
              <w:rPr>
                <w:rFonts w:ascii="宋体" w:hAnsi="宋体"/>
                <w:szCs w:val="21"/>
                <w:highlight w:val="none"/>
              </w:rPr>
              <w:t>的时间</w:t>
            </w:r>
          </w:p>
        </w:tc>
        <w:tc>
          <w:tcPr>
            <w:tcW w:w="5534" w:type="dxa"/>
            <w:tcBorders>
              <w:top w:val="single" w:color="auto" w:sz="4" w:space="0"/>
              <w:left w:val="single" w:color="auto" w:sz="4" w:space="0"/>
              <w:bottom w:val="single" w:color="auto" w:sz="4" w:space="0"/>
              <w:right w:val="single" w:color="auto" w:sz="4" w:space="0"/>
            </w:tcBorders>
            <w:vAlign w:val="center"/>
          </w:tcPr>
          <w:p w14:paraId="408EBFF7">
            <w:pPr>
              <w:spacing w:line="440" w:lineRule="atLeast"/>
              <w:rPr>
                <w:rFonts w:ascii="宋体" w:hAnsi="宋体" w:cs="宋体"/>
                <w:color w:val="000000"/>
                <w:kern w:val="0"/>
                <w:szCs w:val="21"/>
                <w:highlight w:val="none"/>
              </w:rPr>
            </w:pPr>
            <w:r>
              <w:rPr>
                <w:rFonts w:hint="eastAsia" w:ascii="宋体" w:hAnsi="宋体" w:cs="宋体"/>
                <w:color w:val="000000"/>
                <w:kern w:val="0"/>
                <w:szCs w:val="21"/>
                <w:highlight w:val="none"/>
              </w:rPr>
              <w:t>获得招标文件之日或招标公告期限届满之日起7个工作日内。</w:t>
            </w:r>
          </w:p>
        </w:tc>
      </w:tr>
      <w:tr w14:paraId="6A744E71">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2E80000D">
            <w:pPr>
              <w:spacing w:line="440" w:lineRule="atLeast"/>
              <w:jc w:val="center"/>
              <w:rPr>
                <w:rFonts w:ascii="宋体" w:hAnsi="宋体"/>
                <w:szCs w:val="21"/>
                <w:highlight w:val="none"/>
              </w:rPr>
            </w:pPr>
            <w:r>
              <w:rPr>
                <w:rFonts w:hint="eastAsia" w:ascii="宋体" w:hAnsi="宋体"/>
                <w:szCs w:val="21"/>
                <w:highlight w:val="none"/>
              </w:rPr>
              <w:t>2.2.2</w:t>
            </w:r>
          </w:p>
        </w:tc>
        <w:tc>
          <w:tcPr>
            <w:tcW w:w="1980" w:type="dxa"/>
            <w:tcBorders>
              <w:top w:val="single" w:color="auto" w:sz="4" w:space="0"/>
              <w:left w:val="single" w:color="auto" w:sz="4" w:space="0"/>
              <w:bottom w:val="single" w:color="auto" w:sz="4" w:space="0"/>
              <w:right w:val="single" w:color="auto" w:sz="4" w:space="0"/>
            </w:tcBorders>
            <w:vAlign w:val="center"/>
          </w:tcPr>
          <w:p w14:paraId="3E302FBA">
            <w:pPr>
              <w:spacing w:line="440" w:lineRule="atLeast"/>
              <w:jc w:val="center"/>
              <w:rPr>
                <w:rFonts w:ascii="宋体" w:hAnsi="宋体"/>
                <w:szCs w:val="21"/>
                <w:highlight w:val="none"/>
              </w:rPr>
            </w:pPr>
            <w:r>
              <w:rPr>
                <w:rFonts w:hint="eastAsia" w:ascii="宋体" w:hAnsi="宋体"/>
                <w:szCs w:val="21"/>
                <w:highlight w:val="none"/>
              </w:rPr>
              <w:t>招标文件澄清和修改发出形式</w:t>
            </w:r>
          </w:p>
        </w:tc>
        <w:tc>
          <w:tcPr>
            <w:tcW w:w="5534" w:type="dxa"/>
            <w:tcBorders>
              <w:top w:val="single" w:color="auto" w:sz="4" w:space="0"/>
              <w:left w:val="single" w:color="auto" w:sz="4" w:space="0"/>
              <w:bottom w:val="single" w:color="auto" w:sz="4" w:space="0"/>
              <w:right w:val="single" w:color="auto" w:sz="4" w:space="0"/>
            </w:tcBorders>
            <w:vAlign w:val="center"/>
          </w:tcPr>
          <w:p w14:paraId="09472E2D">
            <w:pPr>
              <w:spacing w:line="440" w:lineRule="atLeast"/>
              <w:rPr>
                <w:rFonts w:ascii="宋体" w:hAnsi="宋体" w:cs="宋体"/>
                <w:color w:val="000000"/>
                <w:kern w:val="0"/>
                <w:szCs w:val="21"/>
                <w:highlight w:val="none"/>
              </w:rPr>
            </w:pPr>
            <w:r>
              <w:rPr>
                <w:rFonts w:hint="eastAsia" w:ascii="宋体" w:hAnsi="宋体" w:cs="宋体"/>
                <w:color w:val="000000"/>
                <w:kern w:val="0"/>
                <w:szCs w:val="21"/>
                <w:highlight w:val="none"/>
              </w:rPr>
              <w:t>在《河南省政府采购网》和《开封市公共资源交易信息网》公布。</w:t>
            </w:r>
          </w:p>
        </w:tc>
      </w:tr>
      <w:tr w14:paraId="6E0EBF86">
        <w:tblPrEx>
          <w:tblCellMar>
            <w:top w:w="0" w:type="dxa"/>
            <w:left w:w="108" w:type="dxa"/>
            <w:bottom w:w="0" w:type="dxa"/>
            <w:right w:w="108" w:type="dxa"/>
          </w:tblCellMar>
        </w:tblPrEx>
        <w:trPr>
          <w:trHeight w:val="755" w:hRule="atLeast"/>
        </w:trPr>
        <w:tc>
          <w:tcPr>
            <w:tcW w:w="1008" w:type="dxa"/>
            <w:tcBorders>
              <w:top w:val="single" w:color="auto" w:sz="4" w:space="0"/>
              <w:left w:val="single" w:color="auto" w:sz="4" w:space="0"/>
              <w:bottom w:val="single" w:color="auto" w:sz="4" w:space="0"/>
              <w:right w:val="single" w:color="auto" w:sz="4" w:space="0"/>
            </w:tcBorders>
            <w:vAlign w:val="center"/>
          </w:tcPr>
          <w:p w14:paraId="371D8055">
            <w:pPr>
              <w:spacing w:line="440" w:lineRule="atLeast"/>
              <w:jc w:val="center"/>
              <w:rPr>
                <w:rFonts w:ascii="宋体" w:hAnsi="宋体"/>
                <w:szCs w:val="21"/>
                <w:highlight w:val="none"/>
              </w:rPr>
            </w:pPr>
            <w:r>
              <w:rPr>
                <w:rFonts w:ascii="宋体" w:hAnsi="宋体"/>
                <w:szCs w:val="21"/>
                <w:highlight w:val="none"/>
              </w:rPr>
              <w:t>2.</w:t>
            </w:r>
            <w:r>
              <w:rPr>
                <w:rFonts w:hint="eastAsia" w:ascii="宋体" w:hAnsi="宋体"/>
                <w:szCs w:val="21"/>
                <w:highlight w:val="none"/>
              </w:rPr>
              <w:t>2</w:t>
            </w:r>
            <w:r>
              <w:rPr>
                <w:rFonts w:ascii="宋体" w:hAnsi="宋体"/>
                <w:szCs w:val="21"/>
                <w:highlight w:val="none"/>
              </w:rPr>
              <w:t>.</w:t>
            </w:r>
            <w:r>
              <w:rPr>
                <w:rFonts w:hint="eastAsia" w:ascii="宋体" w:hAnsi="宋体"/>
                <w:szCs w:val="21"/>
                <w:highlight w:val="none"/>
              </w:rPr>
              <w:t>3</w:t>
            </w:r>
          </w:p>
        </w:tc>
        <w:tc>
          <w:tcPr>
            <w:tcW w:w="1980" w:type="dxa"/>
            <w:tcBorders>
              <w:top w:val="single" w:color="auto" w:sz="4" w:space="0"/>
              <w:left w:val="single" w:color="auto" w:sz="4" w:space="0"/>
              <w:bottom w:val="single" w:color="auto" w:sz="4" w:space="0"/>
              <w:right w:val="single" w:color="auto" w:sz="4" w:space="0"/>
            </w:tcBorders>
            <w:vAlign w:val="center"/>
          </w:tcPr>
          <w:p w14:paraId="42FB3F48">
            <w:pPr>
              <w:jc w:val="center"/>
              <w:rPr>
                <w:rFonts w:ascii="宋体" w:hAnsi="宋体"/>
                <w:szCs w:val="21"/>
                <w:highlight w:val="none"/>
              </w:rPr>
            </w:pPr>
            <w:r>
              <w:rPr>
                <w:rFonts w:hint="eastAsia" w:ascii="宋体" w:hAnsi="宋体"/>
                <w:szCs w:val="21"/>
                <w:highlight w:val="none"/>
              </w:rPr>
              <w:t>供应商确认收到招标文件澄清和修改的时间</w:t>
            </w:r>
          </w:p>
        </w:tc>
        <w:tc>
          <w:tcPr>
            <w:tcW w:w="5534" w:type="dxa"/>
            <w:tcBorders>
              <w:top w:val="single" w:color="auto" w:sz="4" w:space="0"/>
              <w:left w:val="single" w:color="auto" w:sz="4" w:space="0"/>
              <w:bottom w:val="single" w:color="auto" w:sz="4" w:space="0"/>
              <w:right w:val="single" w:color="auto" w:sz="4" w:space="0"/>
            </w:tcBorders>
            <w:vAlign w:val="center"/>
          </w:tcPr>
          <w:p w14:paraId="6097B692">
            <w:pPr>
              <w:spacing w:line="440" w:lineRule="atLeast"/>
              <w:rPr>
                <w:rFonts w:ascii="宋体" w:hAnsi="宋体"/>
                <w:szCs w:val="21"/>
                <w:highlight w:val="none"/>
              </w:rPr>
            </w:pPr>
            <w:r>
              <w:rPr>
                <w:rFonts w:hint="eastAsia" w:ascii="宋体" w:hAnsi="宋体"/>
                <w:szCs w:val="21"/>
                <w:highlight w:val="none"/>
              </w:rPr>
              <w:t>自招标文件澄清或修改在相关网站发布起，即默认为供应商收到。</w:t>
            </w:r>
          </w:p>
        </w:tc>
      </w:tr>
      <w:tr w14:paraId="2316B234">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6DF0927">
            <w:pPr>
              <w:spacing w:line="440" w:lineRule="atLeast"/>
              <w:jc w:val="center"/>
              <w:rPr>
                <w:rFonts w:ascii="宋体" w:hAnsi="宋体"/>
                <w:szCs w:val="21"/>
                <w:highlight w:val="none"/>
              </w:rPr>
            </w:pPr>
            <w:r>
              <w:rPr>
                <w:rFonts w:ascii="宋体" w:hAnsi="宋体"/>
                <w:szCs w:val="21"/>
                <w:highlight w:val="none"/>
              </w:rPr>
              <w:t>3.1</w:t>
            </w:r>
            <w:r>
              <w:rPr>
                <w:rFonts w:hint="eastAsia" w:ascii="宋体" w:hAnsi="宋体"/>
                <w:szCs w:val="21"/>
                <w:highlight w:val="none"/>
              </w:rPr>
              <w:t>.1</w:t>
            </w:r>
          </w:p>
        </w:tc>
        <w:tc>
          <w:tcPr>
            <w:tcW w:w="1980" w:type="dxa"/>
            <w:tcBorders>
              <w:top w:val="single" w:color="auto" w:sz="4" w:space="0"/>
              <w:left w:val="single" w:color="auto" w:sz="4" w:space="0"/>
              <w:bottom w:val="single" w:color="auto" w:sz="4" w:space="0"/>
              <w:right w:val="single" w:color="auto" w:sz="4" w:space="0"/>
            </w:tcBorders>
            <w:vAlign w:val="center"/>
          </w:tcPr>
          <w:p w14:paraId="6FF8C6BE">
            <w:pPr>
              <w:jc w:val="center"/>
              <w:rPr>
                <w:rFonts w:ascii="宋体" w:hAnsi="宋体"/>
                <w:szCs w:val="21"/>
                <w:highlight w:val="none"/>
              </w:rPr>
            </w:pPr>
            <w:r>
              <w:rPr>
                <w:rFonts w:ascii="宋体" w:hAnsi="宋体"/>
                <w:szCs w:val="21"/>
                <w:highlight w:val="none"/>
              </w:rPr>
              <w:t>构成投标文件的其他材料</w:t>
            </w:r>
          </w:p>
        </w:tc>
        <w:tc>
          <w:tcPr>
            <w:tcW w:w="5534" w:type="dxa"/>
            <w:tcBorders>
              <w:top w:val="single" w:color="auto" w:sz="4" w:space="0"/>
              <w:left w:val="single" w:color="auto" w:sz="4" w:space="0"/>
              <w:bottom w:val="single" w:color="auto" w:sz="4" w:space="0"/>
              <w:right w:val="single" w:color="auto" w:sz="4" w:space="0"/>
            </w:tcBorders>
            <w:vAlign w:val="center"/>
          </w:tcPr>
          <w:p w14:paraId="0A15E0EF">
            <w:pPr>
              <w:spacing w:line="440" w:lineRule="atLeast"/>
              <w:rPr>
                <w:rFonts w:ascii="宋体" w:hAnsi="宋体"/>
                <w:szCs w:val="21"/>
                <w:highlight w:val="none"/>
              </w:rPr>
            </w:pPr>
            <w:r>
              <w:rPr>
                <w:rFonts w:hint="eastAsia" w:ascii="宋体" w:hAnsi="宋体"/>
                <w:szCs w:val="21"/>
                <w:highlight w:val="none"/>
              </w:rPr>
              <w:t>///</w:t>
            </w:r>
          </w:p>
        </w:tc>
      </w:tr>
      <w:tr w14:paraId="4E083817">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B877E0F">
            <w:pPr>
              <w:spacing w:line="440" w:lineRule="atLeast"/>
              <w:jc w:val="center"/>
              <w:rPr>
                <w:rFonts w:ascii="宋体" w:hAnsi="宋体"/>
                <w:szCs w:val="21"/>
                <w:highlight w:val="none"/>
              </w:rPr>
            </w:pPr>
            <w:r>
              <w:rPr>
                <w:rFonts w:hint="eastAsia" w:ascii="宋体" w:hAnsi="宋体"/>
                <w:szCs w:val="21"/>
                <w:highlight w:val="none"/>
              </w:rPr>
              <w:t>3.2.1</w:t>
            </w:r>
          </w:p>
        </w:tc>
        <w:tc>
          <w:tcPr>
            <w:tcW w:w="1980" w:type="dxa"/>
            <w:tcBorders>
              <w:top w:val="single" w:color="auto" w:sz="4" w:space="0"/>
              <w:left w:val="single" w:color="auto" w:sz="4" w:space="0"/>
              <w:bottom w:val="single" w:color="auto" w:sz="4" w:space="0"/>
              <w:right w:val="single" w:color="auto" w:sz="4" w:space="0"/>
            </w:tcBorders>
            <w:vAlign w:val="center"/>
          </w:tcPr>
          <w:p w14:paraId="5ABB9087">
            <w:pPr>
              <w:spacing w:line="440" w:lineRule="atLeast"/>
              <w:jc w:val="center"/>
              <w:rPr>
                <w:rFonts w:ascii="宋体" w:hAnsi="宋体"/>
                <w:szCs w:val="21"/>
                <w:highlight w:val="none"/>
              </w:rPr>
            </w:pPr>
            <w:r>
              <w:rPr>
                <w:rFonts w:hint="eastAsia" w:ascii="宋体" w:hAnsi="宋体"/>
                <w:szCs w:val="21"/>
                <w:highlight w:val="none"/>
              </w:rPr>
              <w:t>报价范围</w:t>
            </w:r>
          </w:p>
        </w:tc>
        <w:tc>
          <w:tcPr>
            <w:tcW w:w="5534" w:type="dxa"/>
            <w:tcBorders>
              <w:top w:val="single" w:color="auto" w:sz="4" w:space="0"/>
              <w:left w:val="single" w:color="auto" w:sz="4" w:space="0"/>
              <w:bottom w:val="single" w:color="auto" w:sz="4" w:space="0"/>
              <w:right w:val="single" w:color="auto" w:sz="4" w:space="0"/>
            </w:tcBorders>
            <w:vAlign w:val="center"/>
          </w:tcPr>
          <w:p w14:paraId="2D06158C">
            <w:pPr>
              <w:spacing w:line="440" w:lineRule="atLeast"/>
              <w:rPr>
                <w:szCs w:val="21"/>
                <w:highlight w:val="none"/>
              </w:rPr>
            </w:pPr>
            <w:r>
              <w:rPr>
                <w:rFonts w:hint="eastAsia" w:ascii="宋体" w:hAnsi="宋体"/>
                <w:szCs w:val="21"/>
                <w:highlight w:val="none"/>
              </w:rPr>
              <w:t>投标人应按第五章“招标内容及商务技术要求” 内容进行报价。（涉及货物者，所报的价格中包含本招标采购对象及与之相关的设计、制造、包装、运输、装卸、安装、调试、质量检验、各项税费、保险费、意外事故等验收合格前全部费用，以及备品备件、专用工具、技术培训、技术资料、质量保证期内的各项保修和系统维护、相应的伴随服务和售后服务费用等。）</w:t>
            </w:r>
          </w:p>
        </w:tc>
      </w:tr>
      <w:tr w14:paraId="0FE0F0C6">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163F5DC">
            <w:pPr>
              <w:spacing w:line="440" w:lineRule="atLeast"/>
              <w:jc w:val="center"/>
              <w:rPr>
                <w:rFonts w:ascii="宋体" w:hAnsi="宋体"/>
                <w:szCs w:val="21"/>
                <w:highlight w:val="none"/>
              </w:rPr>
            </w:pPr>
            <w:r>
              <w:rPr>
                <w:rFonts w:hint="eastAsia" w:ascii="宋体" w:hAnsi="宋体"/>
                <w:szCs w:val="21"/>
                <w:highlight w:val="none"/>
              </w:rPr>
              <w:t>3.2.3</w:t>
            </w:r>
          </w:p>
        </w:tc>
        <w:tc>
          <w:tcPr>
            <w:tcW w:w="1980" w:type="dxa"/>
            <w:tcBorders>
              <w:top w:val="single" w:color="auto" w:sz="4" w:space="0"/>
              <w:left w:val="single" w:color="auto" w:sz="4" w:space="0"/>
              <w:bottom w:val="single" w:color="auto" w:sz="4" w:space="0"/>
              <w:right w:val="single" w:color="auto" w:sz="4" w:space="0"/>
            </w:tcBorders>
            <w:vAlign w:val="center"/>
          </w:tcPr>
          <w:p w14:paraId="26E25F43">
            <w:pPr>
              <w:spacing w:line="440" w:lineRule="atLeast"/>
              <w:jc w:val="center"/>
              <w:rPr>
                <w:rFonts w:ascii="宋体" w:hAnsi="宋体"/>
                <w:szCs w:val="21"/>
                <w:highlight w:val="none"/>
              </w:rPr>
            </w:pPr>
            <w:r>
              <w:rPr>
                <w:rFonts w:hint="eastAsia" w:ascii="宋体" w:hAnsi="宋体"/>
                <w:szCs w:val="21"/>
                <w:highlight w:val="none"/>
              </w:rPr>
              <w:t>最高限价</w:t>
            </w:r>
          </w:p>
          <w:p w14:paraId="15C7701E">
            <w:pPr>
              <w:spacing w:line="440" w:lineRule="atLeast"/>
              <w:jc w:val="center"/>
              <w:rPr>
                <w:rFonts w:ascii="宋体" w:hAnsi="宋体"/>
                <w:szCs w:val="21"/>
                <w:highlight w:val="none"/>
              </w:rPr>
            </w:pPr>
            <w:r>
              <w:rPr>
                <w:rFonts w:hint="eastAsia" w:ascii="宋体" w:hAnsi="宋体"/>
                <w:sz w:val="32"/>
                <w:szCs w:val="32"/>
                <w:highlight w:val="none"/>
              </w:rPr>
              <w:t>/</w:t>
            </w:r>
            <w:r>
              <w:rPr>
                <w:rFonts w:hint="eastAsia" w:ascii="宋体" w:hAnsi="宋体"/>
                <w:szCs w:val="21"/>
                <w:highlight w:val="none"/>
              </w:rPr>
              <w:t>项目预算金额</w:t>
            </w:r>
          </w:p>
        </w:tc>
        <w:tc>
          <w:tcPr>
            <w:tcW w:w="5534" w:type="dxa"/>
            <w:tcBorders>
              <w:top w:val="single" w:color="auto" w:sz="4" w:space="0"/>
              <w:left w:val="single" w:color="auto" w:sz="4" w:space="0"/>
              <w:bottom w:val="single" w:color="auto" w:sz="4" w:space="0"/>
              <w:right w:val="single" w:color="auto" w:sz="4" w:space="0"/>
            </w:tcBorders>
            <w:vAlign w:val="center"/>
          </w:tcPr>
          <w:p w14:paraId="70065C3B">
            <w:pPr>
              <w:spacing w:line="440" w:lineRule="atLeast"/>
              <w:rPr>
                <w:rFonts w:ascii="宋体" w:hAnsi="宋体"/>
                <w:kern w:val="0"/>
                <w:szCs w:val="21"/>
                <w:highlight w:val="none"/>
              </w:rPr>
            </w:pPr>
            <w:r>
              <w:rPr>
                <w:rFonts w:hint="eastAsia" w:ascii="宋体" w:hAnsi="宋体"/>
                <w:kern w:val="0"/>
                <w:szCs w:val="21"/>
                <w:highlight w:val="none"/>
              </w:rPr>
              <w:t>□不设最高限价。</w:t>
            </w:r>
          </w:p>
          <w:p w14:paraId="5E11DCE0">
            <w:pPr>
              <w:spacing w:line="440" w:lineRule="atLeast"/>
              <w:rPr>
                <w:rFonts w:ascii="宋体" w:hAnsi="宋体"/>
                <w:color w:val="auto"/>
                <w:szCs w:val="21"/>
                <w:highlight w:val="none"/>
              </w:rPr>
            </w:pPr>
            <w:r>
              <w:rPr>
                <w:rFonts w:ascii="宋体" w:hAnsi="宋体"/>
                <w:szCs w:val="21"/>
                <w:highlight w:val="none"/>
              </w:rPr>
              <w:sym w:font="Wingdings" w:char="F0FE"/>
            </w:r>
            <w:r>
              <w:rPr>
                <w:rFonts w:hint="eastAsia" w:ascii="宋体" w:hAnsi="宋体"/>
                <w:szCs w:val="21"/>
                <w:highlight w:val="none"/>
              </w:rPr>
              <w:t>设最高限</w:t>
            </w:r>
            <w:r>
              <w:rPr>
                <w:rFonts w:hint="eastAsia" w:ascii="宋体" w:hAnsi="宋体"/>
                <w:color w:val="auto"/>
                <w:szCs w:val="21"/>
                <w:highlight w:val="none"/>
              </w:rPr>
              <w:t>价，最高限价为</w:t>
            </w:r>
            <w:r>
              <w:rPr>
                <w:rFonts w:hint="eastAsia" w:ascii="宋体" w:hAnsi="宋体"/>
                <w:color w:val="auto"/>
                <w:sz w:val="24"/>
                <w:highlight w:val="none"/>
                <w:u w:val="none"/>
                <w:lang w:val="en-US" w:eastAsia="zh-CN"/>
              </w:rPr>
              <w:t>2097000</w:t>
            </w:r>
            <w:r>
              <w:rPr>
                <w:rFonts w:hint="eastAsia" w:ascii="宋体" w:hAnsi="宋体"/>
                <w:color w:val="auto"/>
                <w:szCs w:val="21"/>
                <w:highlight w:val="none"/>
              </w:rPr>
              <w:t>元。</w:t>
            </w:r>
          </w:p>
          <w:p w14:paraId="435D9255">
            <w:pPr>
              <w:spacing w:line="440" w:lineRule="atLeast"/>
              <w:rPr>
                <w:rFonts w:ascii="宋体" w:hAnsi="宋体"/>
                <w:color w:val="auto"/>
                <w:szCs w:val="21"/>
                <w:highlight w:val="none"/>
              </w:rPr>
            </w:pPr>
            <w:r>
              <w:rPr>
                <w:rFonts w:hint="eastAsia" w:ascii="宋体" w:hAnsi="宋体"/>
                <w:color w:val="auto"/>
                <w:szCs w:val="21"/>
                <w:highlight w:val="none"/>
              </w:rPr>
              <w:t>项目预算金额：</w:t>
            </w:r>
            <w:r>
              <w:rPr>
                <w:rFonts w:hint="eastAsia" w:ascii="宋体" w:hAnsi="宋体"/>
                <w:color w:val="auto"/>
                <w:sz w:val="24"/>
                <w:highlight w:val="none"/>
                <w:u w:val="none"/>
                <w:lang w:val="en-US" w:eastAsia="zh-CN"/>
              </w:rPr>
              <w:t>2097000</w:t>
            </w:r>
            <w:r>
              <w:rPr>
                <w:rFonts w:hint="eastAsia" w:ascii="宋体" w:hAnsi="宋体"/>
                <w:color w:val="auto"/>
                <w:szCs w:val="21"/>
                <w:highlight w:val="none"/>
              </w:rPr>
              <w:t>元。</w:t>
            </w:r>
          </w:p>
          <w:p w14:paraId="75E401F1">
            <w:pPr>
              <w:spacing w:line="440" w:lineRule="atLeast"/>
              <w:rPr>
                <w:rFonts w:ascii="宋体" w:hAnsi="宋体"/>
                <w:szCs w:val="21"/>
                <w:highlight w:val="none"/>
                <w:u w:val="single"/>
              </w:rPr>
            </w:pPr>
            <w:r>
              <w:rPr>
                <w:rFonts w:hint="eastAsia" w:ascii="宋体" w:hAnsi="宋体"/>
                <w:szCs w:val="21"/>
                <w:highlight w:val="none"/>
              </w:rPr>
              <w:t>投标报价高于最高限价的为无效投标。</w:t>
            </w:r>
          </w:p>
        </w:tc>
      </w:tr>
      <w:tr w14:paraId="3BE37FC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165AA8EF">
            <w:pPr>
              <w:spacing w:line="440" w:lineRule="atLeast"/>
              <w:jc w:val="center"/>
              <w:rPr>
                <w:rFonts w:ascii="宋体" w:hAnsi="宋体"/>
                <w:szCs w:val="21"/>
                <w:highlight w:val="none"/>
              </w:rPr>
            </w:pPr>
            <w:r>
              <w:rPr>
                <w:rFonts w:hint="eastAsia" w:ascii="宋体" w:hAnsi="宋体"/>
                <w:szCs w:val="21"/>
                <w:highlight w:val="none"/>
              </w:rPr>
              <w:t>3.2.4</w:t>
            </w:r>
          </w:p>
        </w:tc>
        <w:tc>
          <w:tcPr>
            <w:tcW w:w="1980" w:type="dxa"/>
            <w:tcBorders>
              <w:top w:val="single" w:color="auto" w:sz="4" w:space="0"/>
              <w:left w:val="single" w:color="auto" w:sz="4" w:space="0"/>
              <w:bottom w:val="single" w:color="auto" w:sz="4" w:space="0"/>
              <w:right w:val="single" w:color="auto" w:sz="4" w:space="0"/>
            </w:tcBorders>
            <w:vAlign w:val="center"/>
          </w:tcPr>
          <w:p w14:paraId="0B45C4F7">
            <w:pPr>
              <w:spacing w:line="440" w:lineRule="atLeast"/>
              <w:jc w:val="center"/>
              <w:rPr>
                <w:rFonts w:ascii="宋体" w:hAnsi="宋体"/>
                <w:szCs w:val="21"/>
                <w:highlight w:val="none"/>
              </w:rPr>
            </w:pPr>
            <w:r>
              <w:rPr>
                <w:rFonts w:hint="eastAsia" w:ascii="宋体" w:hAnsi="宋体"/>
                <w:szCs w:val="21"/>
                <w:highlight w:val="none"/>
              </w:rPr>
              <w:t>报价币种</w:t>
            </w:r>
          </w:p>
        </w:tc>
        <w:tc>
          <w:tcPr>
            <w:tcW w:w="5534" w:type="dxa"/>
            <w:tcBorders>
              <w:top w:val="single" w:color="auto" w:sz="4" w:space="0"/>
              <w:left w:val="single" w:color="auto" w:sz="4" w:space="0"/>
              <w:bottom w:val="single" w:color="auto" w:sz="4" w:space="0"/>
              <w:right w:val="single" w:color="auto" w:sz="4" w:space="0"/>
            </w:tcBorders>
            <w:vAlign w:val="center"/>
          </w:tcPr>
          <w:p w14:paraId="6074079A">
            <w:pPr>
              <w:spacing w:line="440" w:lineRule="atLeast"/>
              <w:rPr>
                <w:rFonts w:ascii="宋体" w:hAnsi="宋体"/>
                <w:szCs w:val="21"/>
                <w:highlight w:val="none"/>
              </w:rPr>
            </w:pPr>
            <w:r>
              <w:rPr>
                <w:rFonts w:hint="eastAsia" w:ascii="宋体" w:hAnsi="宋体"/>
                <w:szCs w:val="21"/>
                <w:highlight w:val="none"/>
              </w:rPr>
              <w:t>全部报价均应以人民币为计量货币，并以人民币进行结算。</w:t>
            </w:r>
          </w:p>
        </w:tc>
      </w:tr>
      <w:tr w14:paraId="36BD2183">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364D290">
            <w:pPr>
              <w:spacing w:line="440" w:lineRule="atLeast"/>
              <w:jc w:val="center"/>
              <w:rPr>
                <w:rFonts w:ascii="宋体" w:hAnsi="宋体"/>
                <w:szCs w:val="21"/>
                <w:highlight w:val="none"/>
              </w:rPr>
            </w:pPr>
            <w:r>
              <w:rPr>
                <w:rFonts w:ascii="宋体" w:hAnsi="宋体"/>
                <w:szCs w:val="21"/>
                <w:highlight w:val="none"/>
              </w:rPr>
              <w:t>3.3</w:t>
            </w:r>
            <w:r>
              <w:rPr>
                <w:rFonts w:hint="eastAsia" w:ascii="宋体" w:hAnsi="宋体"/>
                <w:szCs w:val="21"/>
                <w:highlight w:val="none"/>
              </w:rPr>
              <w:t>.1</w:t>
            </w:r>
          </w:p>
        </w:tc>
        <w:tc>
          <w:tcPr>
            <w:tcW w:w="1980" w:type="dxa"/>
            <w:tcBorders>
              <w:top w:val="single" w:color="auto" w:sz="4" w:space="0"/>
              <w:left w:val="single" w:color="auto" w:sz="4" w:space="0"/>
              <w:bottom w:val="single" w:color="auto" w:sz="4" w:space="0"/>
              <w:right w:val="single" w:color="auto" w:sz="4" w:space="0"/>
            </w:tcBorders>
            <w:vAlign w:val="center"/>
          </w:tcPr>
          <w:p w14:paraId="2C8CD448">
            <w:pPr>
              <w:spacing w:line="440" w:lineRule="atLeast"/>
              <w:jc w:val="center"/>
              <w:rPr>
                <w:rFonts w:ascii="宋体" w:hAnsi="宋体"/>
                <w:szCs w:val="21"/>
                <w:highlight w:val="none"/>
              </w:rPr>
            </w:pPr>
            <w:r>
              <w:rPr>
                <w:rFonts w:ascii="宋体" w:hAnsi="宋体"/>
                <w:szCs w:val="21"/>
                <w:highlight w:val="none"/>
              </w:rPr>
              <w:t>投标有效期</w:t>
            </w:r>
          </w:p>
        </w:tc>
        <w:tc>
          <w:tcPr>
            <w:tcW w:w="5534" w:type="dxa"/>
            <w:tcBorders>
              <w:top w:val="single" w:color="auto" w:sz="4" w:space="0"/>
              <w:left w:val="single" w:color="auto" w:sz="4" w:space="0"/>
              <w:bottom w:val="single" w:color="auto" w:sz="4" w:space="0"/>
              <w:right w:val="single" w:color="auto" w:sz="4" w:space="0"/>
            </w:tcBorders>
            <w:vAlign w:val="center"/>
          </w:tcPr>
          <w:p w14:paraId="4BCF5727">
            <w:pPr>
              <w:spacing w:line="440" w:lineRule="atLeast"/>
              <w:rPr>
                <w:rFonts w:ascii="宋体" w:hAnsi="宋体"/>
                <w:szCs w:val="21"/>
                <w:highlight w:val="none"/>
              </w:rPr>
            </w:pPr>
            <w:r>
              <w:rPr>
                <w:rFonts w:hint="eastAsia" w:ascii="宋体" w:hAnsi="宋体"/>
                <w:szCs w:val="21"/>
                <w:highlight w:val="none"/>
              </w:rPr>
              <w:t>自投标截止日起</w:t>
            </w:r>
            <w:r>
              <w:rPr>
                <w:rFonts w:hint="eastAsia" w:ascii="宋体" w:hAnsi="宋体"/>
                <w:szCs w:val="21"/>
                <w:highlight w:val="none"/>
                <w:u w:val="single"/>
              </w:rPr>
              <w:t>　60　</w:t>
            </w:r>
            <w:r>
              <w:rPr>
                <w:rFonts w:hint="eastAsia" w:ascii="宋体" w:hAnsi="宋体"/>
                <w:szCs w:val="21"/>
                <w:highlight w:val="none"/>
              </w:rPr>
              <w:t>日历天（供应商承诺的投标有效期不得少于该时间要求）。</w:t>
            </w:r>
          </w:p>
        </w:tc>
      </w:tr>
      <w:tr w14:paraId="117BB170">
        <w:tblPrEx>
          <w:tblCellMar>
            <w:top w:w="0" w:type="dxa"/>
            <w:left w:w="108" w:type="dxa"/>
            <w:bottom w:w="0" w:type="dxa"/>
            <w:right w:w="108" w:type="dxa"/>
          </w:tblCellMar>
        </w:tblPrEx>
        <w:trPr>
          <w:trHeight w:val="240" w:hRule="atLeast"/>
        </w:trPr>
        <w:tc>
          <w:tcPr>
            <w:tcW w:w="1008" w:type="dxa"/>
            <w:tcBorders>
              <w:top w:val="single" w:color="auto" w:sz="4" w:space="0"/>
              <w:left w:val="single" w:color="auto" w:sz="4" w:space="0"/>
              <w:bottom w:val="single" w:color="auto" w:sz="4" w:space="0"/>
              <w:right w:val="single" w:color="auto" w:sz="4" w:space="0"/>
            </w:tcBorders>
            <w:vAlign w:val="center"/>
          </w:tcPr>
          <w:p w14:paraId="6987BEE7">
            <w:pPr>
              <w:spacing w:line="440" w:lineRule="atLeast"/>
              <w:jc w:val="center"/>
              <w:rPr>
                <w:rFonts w:ascii="宋体" w:hAnsi="宋体"/>
                <w:szCs w:val="21"/>
                <w:highlight w:val="none"/>
              </w:rPr>
            </w:pPr>
            <w:r>
              <w:rPr>
                <w:rFonts w:ascii="宋体" w:hAnsi="宋体"/>
                <w:szCs w:val="21"/>
                <w:highlight w:val="none"/>
              </w:rPr>
              <w:t>3.4.1</w:t>
            </w:r>
          </w:p>
        </w:tc>
        <w:tc>
          <w:tcPr>
            <w:tcW w:w="1980" w:type="dxa"/>
            <w:tcBorders>
              <w:top w:val="single" w:color="auto" w:sz="4" w:space="0"/>
              <w:left w:val="single" w:color="auto" w:sz="4" w:space="0"/>
              <w:bottom w:val="single" w:color="auto" w:sz="4" w:space="0"/>
              <w:right w:val="single" w:color="auto" w:sz="4" w:space="0"/>
            </w:tcBorders>
            <w:vAlign w:val="center"/>
          </w:tcPr>
          <w:p w14:paraId="3E459A54">
            <w:pPr>
              <w:spacing w:line="440" w:lineRule="atLeast"/>
              <w:jc w:val="center"/>
              <w:rPr>
                <w:rFonts w:ascii="宋体" w:hAnsi="宋体"/>
                <w:szCs w:val="21"/>
                <w:highlight w:val="none"/>
              </w:rPr>
            </w:pPr>
            <w:r>
              <w:rPr>
                <w:rFonts w:ascii="宋体" w:hAnsi="宋体"/>
                <w:szCs w:val="21"/>
                <w:highlight w:val="none"/>
              </w:rPr>
              <w:t>投标保证金</w:t>
            </w:r>
          </w:p>
        </w:tc>
        <w:tc>
          <w:tcPr>
            <w:tcW w:w="5534" w:type="dxa"/>
            <w:tcBorders>
              <w:top w:val="single" w:color="auto" w:sz="4" w:space="0"/>
              <w:left w:val="single" w:color="auto" w:sz="4" w:space="0"/>
              <w:bottom w:val="single" w:color="auto" w:sz="4" w:space="0"/>
              <w:right w:val="single" w:color="auto" w:sz="4" w:space="0"/>
            </w:tcBorders>
            <w:vAlign w:val="center"/>
          </w:tcPr>
          <w:p w14:paraId="4915AC84">
            <w:pPr>
              <w:spacing w:line="440" w:lineRule="atLeast"/>
              <w:rPr>
                <w:rFonts w:ascii="宋体" w:hAnsi="宋体"/>
                <w:szCs w:val="21"/>
                <w:highlight w:val="none"/>
              </w:rPr>
            </w:pPr>
            <w:r>
              <w:rPr>
                <w:rFonts w:hint="eastAsia" w:ascii="宋体" w:hAnsi="宋体"/>
                <w:szCs w:val="21"/>
                <w:highlight w:val="none"/>
              </w:rPr>
              <w:t>免收。</w:t>
            </w:r>
          </w:p>
        </w:tc>
      </w:tr>
      <w:tr w14:paraId="6C7C186A">
        <w:tblPrEx>
          <w:tblCellMar>
            <w:top w:w="0" w:type="dxa"/>
            <w:left w:w="108" w:type="dxa"/>
            <w:bottom w:w="0" w:type="dxa"/>
            <w:right w:w="108" w:type="dxa"/>
          </w:tblCellMar>
        </w:tblPrEx>
        <w:trPr>
          <w:trHeight w:val="225" w:hRule="atLeast"/>
        </w:trPr>
        <w:tc>
          <w:tcPr>
            <w:tcW w:w="1008" w:type="dxa"/>
            <w:tcBorders>
              <w:top w:val="single" w:color="auto" w:sz="4" w:space="0"/>
              <w:left w:val="single" w:color="auto" w:sz="4" w:space="0"/>
              <w:bottom w:val="single" w:color="auto" w:sz="4" w:space="0"/>
              <w:right w:val="single" w:color="auto" w:sz="4" w:space="0"/>
            </w:tcBorders>
            <w:vAlign w:val="center"/>
          </w:tcPr>
          <w:p w14:paraId="7378BC20">
            <w:pPr>
              <w:spacing w:line="440" w:lineRule="atLeast"/>
              <w:jc w:val="center"/>
              <w:rPr>
                <w:rFonts w:ascii="宋体" w:hAnsi="宋体"/>
                <w:szCs w:val="21"/>
                <w:highlight w:val="none"/>
              </w:rPr>
            </w:pPr>
            <w:r>
              <w:rPr>
                <w:rFonts w:ascii="宋体" w:hAnsi="宋体"/>
                <w:szCs w:val="21"/>
                <w:highlight w:val="none"/>
              </w:rPr>
              <w:t>3.</w:t>
            </w:r>
            <w:r>
              <w:rPr>
                <w:rFonts w:hint="eastAsia" w:ascii="宋体" w:hAnsi="宋体"/>
                <w:szCs w:val="21"/>
                <w:highlight w:val="none"/>
              </w:rPr>
              <w:t>6</w:t>
            </w:r>
            <w:r>
              <w:rPr>
                <w:rFonts w:ascii="宋体" w:hAnsi="宋体"/>
                <w:szCs w:val="21"/>
                <w:highlight w:val="none"/>
              </w:rPr>
              <w:t>.3</w:t>
            </w:r>
          </w:p>
        </w:tc>
        <w:tc>
          <w:tcPr>
            <w:tcW w:w="1980" w:type="dxa"/>
            <w:tcBorders>
              <w:top w:val="single" w:color="auto" w:sz="4" w:space="0"/>
              <w:left w:val="single" w:color="auto" w:sz="4" w:space="0"/>
              <w:bottom w:val="single" w:color="auto" w:sz="4" w:space="0"/>
              <w:right w:val="single" w:color="auto" w:sz="4" w:space="0"/>
            </w:tcBorders>
            <w:vAlign w:val="center"/>
          </w:tcPr>
          <w:p w14:paraId="566D8C45">
            <w:pPr>
              <w:spacing w:line="440" w:lineRule="atLeast"/>
              <w:jc w:val="center"/>
              <w:rPr>
                <w:rFonts w:ascii="宋体" w:hAnsi="宋体"/>
                <w:szCs w:val="21"/>
                <w:highlight w:val="none"/>
              </w:rPr>
            </w:pPr>
            <w:r>
              <w:rPr>
                <w:rFonts w:ascii="宋体" w:hAnsi="宋体"/>
                <w:szCs w:val="21"/>
                <w:highlight w:val="none"/>
              </w:rPr>
              <w:t>签字</w:t>
            </w:r>
            <w:r>
              <w:rPr>
                <w:rFonts w:hint="eastAsia" w:ascii="宋体" w:hAnsi="宋体"/>
                <w:szCs w:val="21"/>
                <w:highlight w:val="none"/>
              </w:rPr>
              <w:t>、</w:t>
            </w:r>
            <w:r>
              <w:rPr>
                <w:rFonts w:ascii="宋体" w:hAnsi="宋体"/>
                <w:szCs w:val="21"/>
                <w:highlight w:val="none"/>
              </w:rPr>
              <w:t>盖章要求</w:t>
            </w:r>
          </w:p>
        </w:tc>
        <w:tc>
          <w:tcPr>
            <w:tcW w:w="5534" w:type="dxa"/>
            <w:tcBorders>
              <w:top w:val="single" w:color="auto" w:sz="4" w:space="0"/>
              <w:left w:val="single" w:color="auto" w:sz="4" w:space="0"/>
              <w:bottom w:val="single" w:color="auto" w:sz="4" w:space="0"/>
              <w:right w:val="single" w:color="auto" w:sz="4" w:space="0"/>
            </w:tcBorders>
            <w:vAlign w:val="center"/>
          </w:tcPr>
          <w:p w14:paraId="3C33DD94">
            <w:pPr>
              <w:spacing w:line="440" w:lineRule="atLeast"/>
              <w:rPr>
                <w:rFonts w:ascii="宋体" w:hAnsi="宋体"/>
                <w:szCs w:val="21"/>
                <w:highlight w:val="none"/>
              </w:rPr>
            </w:pPr>
            <w:r>
              <w:rPr>
                <w:rFonts w:hint="eastAsia" w:ascii="宋体" w:hAnsi="宋体"/>
                <w:szCs w:val="21"/>
                <w:highlight w:val="none"/>
              </w:rPr>
              <w:t>投标文件中投标函、法定代表人资格证明（或授权委托书）按投标文件格式要求签字、盖章。</w:t>
            </w:r>
          </w:p>
        </w:tc>
      </w:tr>
      <w:tr w14:paraId="7AB3D5A6">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561C6E8">
            <w:pPr>
              <w:spacing w:line="440" w:lineRule="atLeast"/>
              <w:jc w:val="center"/>
              <w:rPr>
                <w:rFonts w:ascii="宋体" w:hAnsi="宋体"/>
                <w:szCs w:val="21"/>
                <w:highlight w:val="none"/>
              </w:rPr>
            </w:pPr>
            <w:r>
              <w:rPr>
                <w:rFonts w:hint="eastAsia" w:ascii="宋体" w:hAnsi="宋体"/>
                <w:szCs w:val="21"/>
                <w:highlight w:val="none"/>
              </w:rPr>
              <w:t>4.1.1</w:t>
            </w:r>
          </w:p>
        </w:tc>
        <w:tc>
          <w:tcPr>
            <w:tcW w:w="1980" w:type="dxa"/>
            <w:tcBorders>
              <w:top w:val="single" w:color="auto" w:sz="4" w:space="0"/>
              <w:left w:val="single" w:color="auto" w:sz="4" w:space="0"/>
              <w:bottom w:val="single" w:color="auto" w:sz="4" w:space="0"/>
              <w:right w:val="single" w:color="auto" w:sz="4" w:space="0"/>
            </w:tcBorders>
            <w:vAlign w:val="center"/>
          </w:tcPr>
          <w:p w14:paraId="64A0FCAC">
            <w:pPr>
              <w:spacing w:line="440" w:lineRule="atLeast"/>
              <w:jc w:val="center"/>
              <w:rPr>
                <w:rFonts w:ascii="宋体" w:hAnsi="宋体"/>
                <w:szCs w:val="21"/>
                <w:highlight w:val="none"/>
              </w:rPr>
            </w:pPr>
            <w:r>
              <w:rPr>
                <w:rFonts w:hint="eastAsia" w:ascii="宋体" w:hAnsi="宋体"/>
                <w:szCs w:val="21"/>
                <w:highlight w:val="none"/>
              </w:rPr>
              <w:t>投标文件的加密</w:t>
            </w:r>
          </w:p>
        </w:tc>
        <w:tc>
          <w:tcPr>
            <w:tcW w:w="5534" w:type="dxa"/>
            <w:tcBorders>
              <w:top w:val="single" w:color="auto" w:sz="4" w:space="0"/>
              <w:left w:val="single" w:color="auto" w:sz="4" w:space="0"/>
              <w:bottom w:val="single" w:color="auto" w:sz="4" w:space="0"/>
              <w:right w:val="single" w:color="auto" w:sz="4" w:space="0"/>
            </w:tcBorders>
            <w:vAlign w:val="center"/>
          </w:tcPr>
          <w:p w14:paraId="42DF2E53">
            <w:pPr>
              <w:spacing w:line="440" w:lineRule="atLeast"/>
              <w:rPr>
                <w:rFonts w:ascii="宋体" w:hAnsi="宋体"/>
                <w:szCs w:val="21"/>
                <w:highlight w:val="none"/>
              </w:rPr>
            </w:pPr>
            <w:r>
              <w:rPr>
                <w:rFonts w:hint="eastAsia" w:ascii="宋体" w:hAnsi="宋体"/>
                <w:szCs w:val="21"/>
                <w:highlight w:val="none"/>
              </w:rPr>
              <w:t>按照网上系统要求进行加密、解密。</w:t>
            </w:r>
          </w:p>
        </w:tc>
      </w:tr>
      <w:tr w14:paraId="11B10A51">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25741AFE">
            <w:pPr>
              <w:spacing w:line="440" w:lineRule="atLeast"/>
              <w:jc w:val="center"/>
              <w:rPr>
                <w:rFonts w:ascii="宋体" w:hAnsi="宋体"/>
                <w:szCs w:val="21"/>
                <w:highlight w:val="none"/>
              </w:rPr>
            </w:pPr>
            <w:r>
              <w:rPr>
                <w:rFonts w:hint="eastAsia" w:ascii="宋体" w:hAnsi="宋体"/>
                <w:szCs w:val="21"/>
                <w:highlight w:val="none"/>
              </w:rPr>
              <w:t>4.2.1</w:t>
            </w:r>
          </w:p>
        </w:tc>
        <w:tc>
          <w:tcPr>
            <w:tcW w:w="1980" w:type="dxa"/>
            <w:tcBorders>
              <w:top w:val="single" w:color="auto" w:sz="4" w:space="0"/>
              <w:left w:val="single" w:color="auto" w:sz="4" w:space="0"/>
              <w:bottom w:val="single" w:color="auto" w:sz="4" w:space="0"/>
              <w:right w:val="single" w:color="auto" w:sz="4" w:space="0"/>
            </w:tcBorders>
            <w:vAlign w:val="center"/>
          </w:tcPr>
          <w:p w14:paraId="31401772">
            <w:pPr>
              <w:spacing w:line="440" w:lineRule="atLeast"/>
              <w:jc w:val="center"/>
              <w:rPr>
                <w:rFonts w:ascii="宋体" w:hAnsi="宋体"/>
                <w:szCs w:val="21"/>
                <w:highlight w:val="none"/>
              </w:rPr>
            </w:pPr>
            <w:r>
              <w:rPr>
                <w:rFonts w:hint="eastAsia" w:ascii="宋体" w:hAnsi="宋体"/>
                <w:szCs w:val="21"/>
                <w:highlight w:val="none"/>
              </w:rPr>
              <w:t>投标文件的递交</w:t>
            </w:r>
          </w:p>
        </w:tc>
        <w:tc>
          <w:tcPr>
            <w:tcW w:w="5534" w:type="dxa"/>
            <w:tcBorders>
              <w:top w:val="single" w:color="auto" w:sz="4" w:space="0"/>
              <w:left w:val="single" w:color="auto" w:sz="4" w:space="0"/>
              <w:bottom w:val="single" w:color="auto" w:sz="4" w:space="0"/>
              <w:right w:val="single" w:color="auto" w:sz="4" w:space="0"/>
            </w:tcBorders>
            <w:vAlign w:val="center"/>
          </w:tcPr>
          <w:p w14:paraId="6F1E05B5">
            <w:pPr>
              <w:spacing w:line="440" w:lineRule="atLeast"/>
              <w:rPr>
                <w:rFonts w:ascii="宋体" w:hAnsi="宋体"/>
                <w:szCs w:val="21"/>
                <w:highlight w:val="none"/>
              </w:rPr>
            </w:pPr>
            <w:r>
              <w:rPr>
                <w:rFonts w:hint="eastAsia" w:ascii="宋体" w:hAnsi="宋体"/>
                <w:szCs w:val="21"/>
                <w:highlight w:val="none"/>
              </w:rPr>
              <w:t>在投标截止时间前，通过原下载招标文件的电子交易系统上传、提交投标文件。</w:t>
            </w:r>
          </w:p>
        </w:tc>
      </w:tr>
      <w:tr w14:paraId="22BBED6F">
        <w:tblPrEx>
          <w:tblCellMar>
            <w:top w:w="0" w:type="dxa"/>
            <w:left w:w="108" w:type="dxa"/>
            <w:bottom w:w="0" w:type="dxa"/>
            <w:right w:w="108" w:type="dxa"/>
          </w:tblCellMar>
        </w:tblPrEx>
        <w:trPr>
          <w:trHeight w:val="274" w:hRule="atLeast"/>
        </w:trPr>
        <w:tc>
          <w:tcPr>
            <w:tcW w:w="1008" w:type="dxa"/>
            <w:tcBorders>
              <w:top w:val="single" w:color="auto" w:sz="4" w:space="0"/>
              <w:left w:val="single" w:color="auto" w:sz="4" w:space="0"/>
              <w:bottom w:val="single" w:color="auto" w:sz="4" w:space="0"/>
              <w:right w:val="single" w:color="auto" w:sz="4" w:space="0"/>
            </w:tcBorders>
            <w:vAlign w:val="center"/>
          </w:tcPr>
          <w:p w14:paraId="5160FA21">
            <w:pPr>
              <w:spacing w:line="440" w:lineRule="atLeast"/>
              <w:jc w:val="center"/>
              <w:rPr>
                <w:rFonts w:ascii="宋体" w:hAnsi="宋体"/>
                <w:szCs w:val="21"/>
                <w:highlight w:val="none"/>
              </w:rPr>
            </w:pPr>
            <w:r>
              <w:rPr>
                <w:rFonts w:ascii="宋体" w:hAnsi="宋体"/>
                <w:szCs w:val="21"/>
                <w:highlight w:val="none"/>
              </w:rPr>
              <w:t>5.1</w:t>
            </w:r>
          </w:p>
        </w:tc>
        <w:tc>
          <w:tcPr>
            <w:tcW w:w="1980" w:type="dxa"/>
            <w:tcBorders>
              <w:top w:val="single" w:color="auto" w:sz="4" w:space="0"/>
              <w:left w:val="single" w:color="auto" w:sz="4" w:space="0"/>
              <w:bottom w:val="single" w:color="auto" w:sz="4" w:space="0"/>
              <w:right w:val="single" w:color="auto" w:sz="4" w:space="0"/>
            </w:tcBorders>
            <w:vAlign w:val="center"/>
          </w:tcPr>
          <w:p w14:paraId="168418FF">
            <w:pPr>
              <w:spacing w:line="440" w:lineRule="atLeast"/>
              <w:jc w:val="center"/>
              <w:rPr>
                <w:rFonts w:ascii="宋体" w:hAnsi="宋体"/>
                <w:szCs w:val="21"/>
                <w:highlight w:val="none"/>
              </w:rPr>
            </w:pPr>
            <w:r>
              <w:rPr>
                <w:rFonts w:hint="eastAsia" w:ascii="宋体" w:hAnsi="宋体"/>
                <w:szCs w:val="21"/>
                <w:highlight w:val="none"/>
              </w:rPr>
              <w:t>投标截止及开标时间、地点</w:t>
            </w:r>
          </w:p>
        </w:tc>
        <w:tc>
          <w:tcPr>
            <w:tcW w:w="5534" w:type="dxa"/>
            <w:tcBorders>
              <w:top w:val="single" w:color="auto" w:sz="4" w:space="0"/>
              <w:left w:val="single" w:color="auto" w:sz="4" w:space="0"/>
              <w:bottom w:val="single" w:color="auto" w:sz="4" w:space="0"/>
              <w:right w:val="single" w:color="auto" w:sz="4" w:space="0"/>
            </w:tcBorders>
            <w:vAlign w:val="center"/>
          </w:tcPr>
          <w:p w14:paraId="24CBB909">
            <w:pPr>
              <w:spacing w:line="440" w:lineRule="atLeast"/>
              <w:rPr>
                <w:rFonts w:ascii="宋体" w:hAnsi="宋体"/>
                <w:color w:val="auto"/>
                <w:szCs w:val="21"/>
                <w:highlight w:val="none"/>
                <w:u w:val="none"/>
              </w:rPr>
            </w:pPr>
            <w:r>
              <w:rPr>
                <w:rFonts w:hint="eastAsia" w:ascii="宋体" w:hAnsi="宋体"/>
                <w:szCs w:val="21"/>
                <w:highlight w:val="none"/>
              </w:rPr>
              <w:t>投标截止及</w:t>
            </w:r>
            <w:r>
              <w:rPr>
                <w:rFonts w:ascii="宋体" w:hAnsi="宋体"/>
                <w:szCs w:val="21"/>
                <w:highlight w:val="none"/>
              </w:rPr>
              <w:t>开标时间</w:t>
            </w:r>
            <w:r>
              <w:rPr>
                <w:rFonts w:hint="eastAsia" w:ascii="宋体" w:hAnsi="宋体"/>
                <w:szCs w:val="21"/>
                <w:highlight w:val="none"/>
              </w:rPr>
              <w:t>：</w:t>
            </w:r>
            <w:r>
              <w:rPr>
                <w:rFonts w:hint="eastAsia" w:ascii="宋体" w:hAnsi="宋体"/>
                <w:color w:val="auto"/>
                <w:szCs w:val="21"/>
                <w:highlight w:val="none"/>
                <w:u w:val="none"/>
                <w:lang w:val="en-US" w:eastAsia="zh-CN"/>
              </w:rPr>
              <w:t>2026</w:t>
            </w:r>
            <w:r>
              <w:rPr>
                <w:rFonts w:hint="eastAsia" w:ascii="宋体" w:hAnsi="宋体"/>
                <w:color w:val="auto"/>
                <w:szCs w:val="21"/>
                <w:highlight w:val="none"/>
                <w:u w:val="none"/>
              </w:rPr>
              <w:t>年</w:t>
            </w:r>
            <w:r>
              <w:rPr>
                <w:rFonts w:hint="eastAsia" w:ascii="宋体" w:hAnsi="宋体"/>
                <w:color w:val="auto"/>
                <w:szCs w:val="21"/>
                <w:highlight w:val="none"/>
                <w:u w:val="none"/>
                <w:lang w:val="en-US" w:eastAsia="zh-CN"/>
              </w:rPr>
              <w:t>8</w:t>
            </w:r>
            <w:r>
              <w:rPr>
                <w:rFonts w:hint="eastAsia" w:ascii="宋体" w:hAnsi="宋体"/>
                <w:color w:val="auto"/>
                <w:szCs w:val="21"/>
                <w:highlight w:val="none"/>
                <w:u w:val="none"/>
              </w:rPr>
              <w:t>月</w:t>
            </w:r>
            <w:r>
              <w:rPr>
                <w:rFonts w:hint="eastAsia" w:ascii="宋体" w:hAnsi="宋体"/>
                <w:color w:val="auto"/>
                <w:szCs w:val="21"/>
                <w:highlight w:val="none"/>
                <w:u w:val="none"/>
                <w:lang w:val="en-US" w:eastAsia="zh-CN"/>
              </w:rPr>
              <w:t>25</w:t>
            </w:r>
            <w:r>
              <w:rPr>
                <w:rFonts w:hint="eastAsia" w:ascii="宋体" w:hAnsi="宋体"/>
                <w:color w:val="auto"/>
                <w:szCs w:val="21"/>
                <w:highlight w:val="none"/>
                <w:u w:val="none"/>
              </w:rPr>
              <w:t>日</w:t>
            </w:r>
            <w:r>
              <w:rPr>
                <w:rFonts w:hint="eastAsia" w:ascii="宋体" w:hAnsi="宋体"/>
                <w:color w:val="auto"/>
                <w:szCs w:val="21"/>
                <w:highlight w:val="none"/>
                <w:u w:val="none"/>
                <w:lang w:val="en-US" w:eastAsia="zh-CN"/>
              </w:rPr>
              <w:t>09</w:t>
            </w:r>
            <w:r>
              <w:rPr>
                <w:rFonts w:hint="eastAsia" w:ascii="宋体" w:hAnsi="宋体"/>
                <w:color w:val="auto"/>
                <w:szCs w:val="21"/>
                <w:highlight w:val="none"/>
                <w:u w:val="none"/>
              </w:rPr>
              <w:t>时</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分（北京时间）</w:t>
            </w:r>
          </w:p>
          <w:p w14:paraId="228D33D9">
            <w:pPr>
              <w:spacing w:line="440" w:lineRule="atLeast"/>
              <w:jc w:val="left"/>
              <w:rPr>
                <w:rFonts w:ascii="宋体" w:hAnsi="宋体"/>
                <w:szCs w:val="21"/>
                <w:highlight w:val="none"/>
              </w:rPr>
            </w:pPr>
            <w:r>
              <w:rPr>
                <w:rFonts w:ascii="宋体" w:hAnsi="宋体"/>
                <w:szCs w:val="21"/>
                <w:highlight w:val="none"/>
              </w:rPr>
              <w:t>开</w:t>
            </w:r>
            <w:r>
              <w:rPr>
                <w:rFonts w:hint="eastAsia" w:ascii="宋体" w:hAnsi="宋体"/>
                <w:szCs w:val="21"/>
                <w:highlight w:val="none"/>
              </w:rPr>
              <w:t>标地点：《开封市公共资源交易信息网》（http://www.kfsggzyjyw.cn）</w:t>
            </w:r>
          </w:p>
        </w:tc>
      </w:tr>
      <w:tr w14:paraId="23658E37">
        <w:tblPrEx>
          <w:tblCellMar>
            <w:top w:w="0" w:type="dxa"/>
            <w:left w:w="108" w:type="dxa"/>
            <w:bottom w:w="0" w:type="dxa"/>
            <w:right w:w="108" w:type="dxa"/>
          </w:tblCellMar>
        </w:tblPrEx>
        <w:trPr>
          <w:trHeight w:val="381" w:hRule="atLeast"/>
        </w:trPr>
        <w:tc>
          <w:tcPr>
            <w:tcW w:w="1008" w:type="dxa"/>
            <w:tcBorders>
              <w:top w:val="single" w:color="auto" w:sz="4" w:space="0"/>
              <w:left w:val="single" w:color="auto" w:sz="4" w:space="0"/>
              <w:bottom w:val="single" w:color="auto" w:sz="4" w:space="0"/>
              <w:right w:val="single" w:color="auto" w:sz="4" w:space="0"/>
            </w:tcBorders>
            <w:vAlign w:val="center"/>
          </w:tcPr>
          <w:p w14:paraId="0E672C7D">
            <w:pPr>
              <w:spacing w:line="440" w:lineRule="atLeast"/>
              <w:jc w:val="center"/>
              <w:rPr>
                <w:rFonts w:ascii="宋体" w:hAnsi="宋体"/>
                <w:szCs w:val="21"/>
                <w:highlight w:val="none"/>
              </w:rPr>
            </w:pPr>
            <w:r>
              <w:rPr>
                <w:rFonts w:hint="eastAsia" w:ascii="宋体" w:hAnsi="宋体"/>
                <w:szCs w:val="21"/>
                <w:highlight w:val="none"/>
              </w:rPr>
              <w:t>5.2</w:t>
            </w:r>
          </w:p>
        </w:tc>
        <w:tc>
          <w:tcPr>
            <w:tcW w:w="1980" w:type="dxa"/>
            <w:tcBorders>
              <w:top w:val="single" w:color="auto" w:sz="4" w:space="0"/>
              <w:left w:val="single" w:color="auto" w:sz="4" w:space="0"/>
              <w:bottom w:val="single" w:color="auto" w:sz="4" w:space="0"/>
              <w:right w:val="single" w:color="auto" w:sz="4" w:space="0"/>
            </w:tcBorders>
            <w:vAlign w:val="center"/>
          </w:tcPr>
          <w:p w14:paraId="790AE762">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开标程序</w:t>
            </w:r>
          </w:p>
        </w:tc>
        <w:tc>
          <w:tcPr>
            <w:tcW w:w="5534" w:type="dxa"/>
            <w:tcBorders>
              <w:top w:val="single" w:color="auto" w:sz="4" w:space="0"/>
              <w:left w:val="single" w:color="auto" w:sz="4" w:space="0"/>
              <w:bottom w:val="single" w:color="auto" w:sz="4" w:space="0"/>
              <w:right w:val="single" w:color="auto" w:sz="4" w:space="0"/>
            </w:tcBorders>
            <w:vAlign w:val="center"/>
          </w:tcPr>
          <w:p w14:paraId="3599D428">
            <w:pPr>
              <w:spacing w:line="440" w:lineRule="atLeast"/>
              <w:ind w:firstLine="420"/>
              <w:rPr>
                <w:rFonts w:ascii="宋体" w:hAnsi="宋体"/>
                <w:szCs w:val="21"/>
                <w:highlight w:val="none"/>
              </w:rPr>
            </w:pPr>
            <w:r>
              <w:rPr>
                <w:rFonts w:hint="eastAsia" w:ascii="宋体" w:hAnsi="宋体"/>
                <w:szCs w:val="21"/>
                <w:highlight w:val="none"/>
              </w:rPr>
              <w:t>网上开标。</w:t>
            </w:r>
          </w:p>
          <w:p w14:paraId="549E7EAE">
            <w:pPr>
              <w:spacing w:line="440" w:lineRule="atLeast"/>
              <w:ind w:firstLine="420"/>
              <w:rPr>
                <w:rFonts w:ascii="宋体" w:hAnsi="宋体"/>
                <w:szCs w:val="21"/>
                <w:highlight w:val="none"/>
              </w:rPr>
            </w:pPr>
            <w:r>
              <w:rPr>
                <w:rFonts w:hint="eastAsia" w:ascii="宋体" w:hAnsi="宋体"/>
                <w:szCs w:val="21"/>
                <w:highlight w:val="none"/>
              </w:rPr>
              <w:t>1、网上解密投标文件。供应商应提前使用CA密钥进入电子交易系统，开标时间到，尽快对其电子投标文件完成解密（系统默认解密时长为40分钟），不能成功解密者，自行承担其投标文件不能开标的责任。</w:t>
            </w:r>
          </w:p>
          <w:p w14:paraId="5756EFF0">
            <w:pPr>
              <w:spacing w:line="440" w:lineRule="atLeast"/>
              <w:ind w:firstLine="420"/>
              <w:rPr>
                <w:rFonts w:ascii="宋体" w:hAnsi="宋体"/>
                <w:szCs w:val="21"/>
                <w:highlight w:val="none"/>
              </w:rPr>
            </w:pPr>
            <w:r>
              <w:rPr>
                <w:rFonts w:hint="eastAsia" w:ascii="宋体" w:hAnsi="宋体"/>
                <w:szCs w:val="21"/>
                <w:highlight w:val="none"/>
              </w:rPr>
              <w:t>2、部分供应商投标文件未解密或解密失败的，程序可以继续进行。若解密成功的投标不足 3 家，该项目标段废标。</w:t>
            </w:r>
          </w:p>
          <w:p w14:paraId="4224D8C5">
            <w:pPr>
              <w:spacing w:line="440" w:lineRule="atLeast"/>
              <w:ind w:firstLine="420"/>
              <w:rPr>
                <w:rFonts w:ascii="宋体" w:hAnsi="宋体"/>
                <w:szCs w:val="21"/>
                <w:highlight w:val="none"/>
              </w:rPr>
            </w:pPr>
            <w:r>
              <w:rPr>
                <w:rFonts w:hint="eastAsia" w:ascii="宋体" w:hAnsi="宋体"/>
                <w:szCs w:val="21"/>
                <w:highlight w:val="none"/>
              </w:rPr>
              <w:t>3、开标结束。</w:t>
            </w:r>
          </w:p>
        </w:tc>
      </w:tr>
      <w:tr w14:paraId="548B74B0">
        <w:tblPrEx>
          <w:tblCellMar>
            <w:top w:w="0" w:type="dxa"/>
            <w:left w:w="108" w:type="dxa"/>
            <w:bottom w:w="0" w:type="dxa"/>
            <w:right w:w="108" w:type="dxa"/>
          </w:tblCellMar>
        </w:tblPrEx>
        <w:trPr>
          <w:trHeight w:val="880" w:hRule="atLeast"/>
        </w:trPr>
        <w:tc>
          <w:tcPr>
            <w:tcW w:w="1008" w:type="dxa"/>
            <w:tcBorders>
              <w:top w:val="single" w:color="auto" w:sz="4" w:space="0"/>
              <w:left w:val="single" w:color="auto" w:sz="4" w:space="0"/>
              <w:bottom w:val="single" w:color="auto" w:sz="4" w:space="0"/>
              <w:right w:val="single" w:color="auto" w:sz="4" w:space="0"/>
            </w:tcBorders>
            <w:vAlign w:val="center"/>
          </w:tcPr>
          <w:p w14:paraId="317F9459">
            <w:pPr>
              <w:spacing w:line="440" w:lineRule="atLeast"/>
              <w:jc w:val="center"/>
              <w:rPr>
                <w:rFonts w:ascii="宋体" w:hAnsi="宋体"/>
                <w:szCs w:val="21"/>
                <w:highlight w:val="none"/>
              </w:rPr>
            </w:pPr>
            <w:r>
              <w:rPr>
                <w:rFonts w:ascii="宋体" w:hAnsi="宋体"/>
                <w:szCs w:val="21"/>
                <w:highlight w:val="none"/>
              </w:rPr>
              <w:t>6.1.1</w:t>
            </w:r>
          </w:p>
        </w:tc>
        <w:tc>
          <w:tcPr>
            <w:tcW w:w="1980" w:type="dxa"/>
            <w:tcBorders>
              <w:top w:val="single" w:color="auto" w:sz="4" w:space="0"/>
              <w:left w:val="single" w:color="auto" w:sz="4" w:space="0"/>
              <w:bottom w:val="single" w:color="auto" w:sz="4" w:space="0"/>
              <w:right w:val="single" w:color="auto" w:sz="4" w:space="0"/>
            </w:tcBorders>
            <w:vAlign w:val="center"/>
          </w:tcPr>
          <w:p w14:paraId="2DA07C1F">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评标委员会的组建</w:t>
            </w:r>
          </w:p>
        </w:tc>
        <w:tc>
          <w:tcPr>
            <w:tcW w:w="5534" w:type="dxa"/>
            <w:tcBorders>
              <w:top w:val="single" w:color="auto" w:sz="4" w:space="0"/>
              <w:left w:val="single" w:color="auto" w:sz="4" w:space="0"/>
              <w:bottom w:val="single" w:color="auto" w:sz="4" w:space="0"/>
              <w:right w:val="single" w:color="auto" w:sz="4" w:space="0"/>
            </w:tcBorders>
            <w:vAlign w:val="center"/>
          </w:tcPr>
          <w:p w14:paraId="57C50261">
            <w:pPr>
              <w:spacing w:line="440" w:lineRule="atLeast"/>
              <w:rPr>
                <w:rFonts w:hint="eastAsia" w:ascii="宋体" w:hAnsi="宋体" w:eastAsia="宋体" w:cs="Times New Roman"/>
                <w:szCs w:val="21"/>
                <w:highlight w:val="none"/>
              </w:rPr>
            </w:pPr>
            <w:r>
              <w:rPr>
                <w:rFonts w:hint="eastAsia" w:ascii="宋体" w:hAnsi="宋体" w:eastAsia="宋体" w:cs="Times New Roman"/>
                <w:szCs w:val="21"/>
                <w:highlight w:val="none"/>
              </w:rPr>
              <w:t>评标委员会构成：由采购人代表和评审专家共</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人组成，其中评审专家不少于成员总数的三分之二。</w:t>
            </w:r>
          </w:p>
          <w:p w14:paraId="15B79875">
            <w:pPr>
              <w:spacing w:line="440" w:lineRule="atLeast"/>
              <w:rPr>
                <w:rFonts w:hint="eastAsia" w:ascii="宋体" w:hAnsi="宋体" w:eastAsia="宋体" w:cs="Times New Roman"/>
                <w:szCs w:val="21"/>
                <w:highlight w:val="none"/>
              </w:rPr>
            </w:pPr>
            <w:r>
              <w:rPr>
                <w:rFonts w:hint="eastAsia" w:ascii="宋体" w:hAnsi="宋体" w:eastAsia="宋体" w:cs="Times New Roman"/>
                <w:szCs w:val="21"/>
                <w:highlight w:val="none"/>
              </w:rPr>
              <w:t>评标专家确定方式：从招投标主管部门专家库中随机抽取。</w:t>
            </w:r>
          </w:p>
        </w:tc>
      </w:tr>
      <w:tr w14:paraId="6D23EBEB">
        <w:tblPrEx>
          <w:tblCellMar>
            <w:top w:w="0" w:type="dxa"/>
            <w:left w:w="108" w:type="dxa"/>
            <w:bottom w:w="0" w:type="dxa"/>
            <w:right w:w="108" w:type="dxa"/>
          </w:tblCellMar>
        </w:tblPrEx>
        <w:trPr>
          <w:trHeight w:val="880" w:hRule="atLeast"/>
        </w:trPr>
        <w:tc>
          <w:tcPr>
            <w:tcW w:w="1008" w:type="dxa"/>
            <w:tcBorders>
              <w:top w:val="single" w:color="auto" w:sz="4" w:space="0"/>
              <w:left w:val="single" w:color="auto" w:sz="4" w:space="0"/>
              <w:right w:val="single" w:color="auto" w:sz="4" w:space="0"/>
            </w:tcBorders>
            <w:vAlign w:val="center"/>
          </w:tcPr>
          <w:p w14:paraId="50AA8FE6">
            <w:pPr>
              <w:spacing w:line="440" w:lineRule="atLeast"/>
              <w:jc w:val="center"/>
              <w:rPr>
                <w:rFonts w:ascii="宋体" w:hAnsi="宋体"/>
                <w:szCs w:val="21"/>
                <w:highlight w:val="none"/>
              </w:rPr>
            </w:pPr>
            <w:r>
              <w:rPr>
                <w:rFonts w:ascii="宋体" w:hAnsi="宋体"/>
                <w:szCs w:val="21"/>
                <w:highlight w:val="none"/>
              </w:rPr>
              <w:t>7.1</w:t>
            </w:r>
          </w:p>
        </w:tc>
        <w:tc>
          <w:tcPr>
            <w:tcW w:w="1980" w:type="dxa"/>
            <w:tcBorders>
              <w:top w:val="single" w:color="auto" w:sz="4" w:space="0"/>
              <w:left w:val="single" w:color="auto" w:sz="4" w:space="0"/>
              <w:right w:val="single" w:color="auto" w:sz="4" w:space="0"/>
            </w:tcBorders>
            <w:vAlign w:val="center"/>
          </w:tcPr>
          <w:p w14:paraId="604BD53A">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是否授权评标委员会确定中标人</w:t>
            </w:r>
          </w:p>
        </w:tc>
        <w:tc>
          <w:tcPr>
            <w:tcW w:w="5534" w:type="dxa"/>
            <w:tcBorders>
              <w:top w:val="single" w:color="auto" w:sz="4" w:space="0"/>
              <w:left w:val="single" w:color="auto" w:sz="4" w:space="0"/>
              <w:right w:val="single" w:color="auto" w:sz="4" w:space="0"/>
            </w:tcBorders>
            <w:vAlign w:val="center"/>
          </w:tcPr>
          <w:p w14:paraId="3BC63B87">
            <w:pPr>
              <w:spacing w:line="440" w:lineRule="atLeast"/>
              <w:rPr>
                <w:rFonts w:ascii="宋体" w:hAnsi="宋体"/>
                <w:szCs w:val="21"/>
                <w:highlight w:val="none"/>
              </w:rPr>
            </w:pPr>
            <w:r>
              <w:rPr>
                <w:rFonts w:ascii="宋体" w:hAnsi="宋体"/>
                <w:szCs w:val="21"/>
                <w:highlight w:val="none"/>
              </w:rPr>
              <w:t>□</w:t>
            </w:r>
            <w:r>
              <w:rPr>
                <w:rFonts w:hint="eastAsia" w:ascii="宋体" w:hAnsi="宋体"/>
                <w:szCs w:val="21"/>
                <w:highlight w:val="none"/>
              </w:rPr>
              <w:t>是</w:t>
            </w:r>
          </w:p>
          <w:p w14:paraId="3E32BCF5">
            <w:pPr>
              <w:spacing w:line="440" w:lineRule="atLeast"/>
              <w:rPr>
                <w:rFonts w:ascii="宋体" w:hAnsi="宋体"/>
                <w:szCs w:val="21"/>
                <w:highlight w:val="none"/>
              </w:rPr>
            </w:pPr>
            <w:r>
              <w:rPr>
                <w:rFonts w:ascii="宋体" w:hAnsi="宋体"/>
                <w:szCs w:val="21"/>
                <w:highlight w:val="none"/>
              </w:rPr>
              <w:sym w:font="Wingdings" w:char="F0FE"/>
            </w:r>
            <w:r>
              <w:rPr>
                <w:rFonts w:hint="eastAsia" w:ascii="宋体" w:hAnsi="宋体"/>
                <w:szCs w:val="21"/>
                <w:highlight w:val="none"/>
              </w:rPr>
              <w:t>否，</w:t>
            </w:r>
            <w:r>
              <w:rPr>
                <w:rFonts w:ascii="宋体" w:hAnsi="宋体"/>
                <w:szCs w:val="21"/>
                <w:highlight w:val="none"/>
              </w:rPr>
              <w:t>推荐的中标候选人数</w:t>
            </w:r>
            <w:r>
              <w:rPr>
                <w:rFonts w:hint="eastAsia" w:ascii="宋体" w:hAnsi="宋体"/>
                <w:szCs w:val="21"/>
                <w:highlight w:val="none"/>
              </w:rPr>
              <w:t>：3人。</w:t>
            </w:r>
          </w:p>
        </w:tc>
      </w:tr>
      <w:tr w14:paraId="48C10A85">
        <w:tblPrEx>
          <w:tblCellMar>
            <w:top w:w="0" w:type="dxa"/>
            <w:left w:w="108" w:type="dxa"/>
            <w:bottom w:w="0" w:type="dxa"/>
            <w:right w:w="108" w:type="dxa"/>
          </w:tblCellMar>
        </w:tblPrEx>
        <w:trPr>
          <w:trHeight w:val="90" w:hRule="atLeast"/>
        </w:trPr>
        <w:tc>
          <w:tcPr>
            <w:tcW w:w="1008" w:type="dxa"/>
            <w:tcBorders>
              <w:top w:val="single" w:color="auto" w:sz="4" w:space="0"/>
              <w:left w:val="single" w:color="auto" w:sz="4" w:space="0"/>
              <w:right w:val="single" w:color="auto" w:sz="4" w:space="0"/>
            </w:tcBorders>
            <w:vAlign w:val="center"/>
          </w:tcPr>
          <w:p w14:paraId="73CEF094">
            <w:pPr>
              <w:spacing w:line="440" w:lineRule="atLeast"/>
              <w:jc w:val="center"/>
              <w:rPr>
                <w:rFonts w:ascii="宋体" w:hAnsi="宋体"/>
                <w:szCs w:val="21"/>
                <w:highlight w:val="none"/>
              </w:rPr>
            </w:pPr>
            <w:r>
              <w:rPr>
                <w:rFonts w:hint="eastAsia" w:ascii="宋体" w:hAnsi="宋体"/>
                <w:szCs w:val="21"/>
                <w:highlight w:val="none"/>
              </w:rPr>
              <w:t>7.2</w:t>
            </w:r>
          </w:p>
        </w:tc>
        <w:tc>
          <w:tcPr>
            <w:tcW w:w="1980" w:type="dxa"/>
            <w:tcBorders>
              <w:top w:val="single" w:color="auto" w:sz="4" w:space="0"/>
              <w:left w:val="single" w:color="auto" w:sz="4" w:space="0"/>
              <w:right w:val="single" w:color="auto" w:sz="4" w:space="0"/>
            </w:tcBorders>
            <w:vAlign w:val="center"/>
          </w:tcPr>
          <w:p w14:paraId="588312E8">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中标人公布媒介</w:t>
            </w:r>
          </w:p>
        </w:tc>
        <w:tc>
          <w:tcPr>
            <w:tcW w:w="5534" w:type="dxa"/>
            <w:tcBorders>
              <w:top w:val="single" w:color="auto" w:sz="4" w:space="0"/>
              <w:left w:val="single" w:color="auto" w:sz="4" w:space="0"/>
              <w:right w:val="single" w:color="auto" w:sz="4" w:space="0"/>
            </w:tcBorders>
            <w:vAlign w:val="center"/>
          </w:tcPr>
          <w:p w14:paraId="04347F64">
            <w:pPr>
              <w:spacing w:line="440" w:lineRule="atLeast"/>
              <w:rPr>
                <w:rFonts w:ascii="宋体" w:hAnsi="宋体"/>
                <w:szCs w:val="21"/>
                <w:highlight w:val="none"/>
              </w:rPr>
            </w:pPr>
            <w:r>
              <w:rPr>
                <w:rFonts w:hint="eastAsia" w:ascii="宋体" w:hAnsi="宋体"/>
                <w:szCs w:val="21"/>
                <w:highlight w:val="none"/>
              </w:rPr>
              <w:t>《河南省政府采购网》《开封市公共资源交易信息网》</w:t>
            </w:r>
          </w:p>
        </w:tc>
      </w:tr>
      <w:tr w14:paraId="64FA5920">
        <w:tblPrEx>
          <w:tblCellMar>
            <w:top w:w="0" w:type="dxa"/>
            <w:left w:w="108" w:type="dxa"/>
            <w:bottom w:w="0" w:type="dxa"/>
            <w:right w:w="108" w:type="dxa"/>
          </w:tblCellMar>
        </w:tblPrEx>
        <w:trPr>
          <w:trHeight w:val="880" w:hRule="atLeast"/>
        </w:trPr>
        <w:tc>
          <w:tcPr>
            <w:tcW w:w="1008" w:type="dxa"/>
            <w:tcBorders>
              <w:top w:val="single" w:color="auto" w:sz="4" w:space="0"/>
              <w:left w:val="single" w:color="auto" w:sz="4" w:space="0"/>
              <w:right w:val="single" w:color="auto" w:sz="4" w:space="0"/>
            </w:tcBorders>
            <w:vAlign w:val="center"/>
          </w:tcPr>
          <w:p w14:paraId="47970E4E">
            <w:pPr>
              <w:spacing w:line="440" w:lineRule="atLeast"/>
              <w:jc w:val="center"/>
              <w:rPr>
                <w:rFonts w:ascii="宋体" w:hAnsi="宋体"/>
                <w:szCs w:val="21"/>
                <w:highlight w:val="none"/>
              </w:rPr>
            </w:pPr>
            <w:r>
              <w:rPr>
                <w:rFonts w:hint="eastAsia" w:ascii="宋体" w:hAnsi="宋体"/>
                <w:szCs w:val="21"/>
                <w:highlight w:val="none"/>
              </w:rPr>
              <w:t>7.3</w:t>
            </w:r>
          </w:p>
        </w:tc>
        <w:tc>
          <w:tcPr>
            <w:tcW w:w="1980" w:type="dxa"/>
            <w:tcBorders>
              <w:top w:val="single" w:color="auto" w:sz="4" w:space="0"/>
              <w:left w:val="single" w:color="auto" w:sz="4" w:space="0"/>
              <w:right w:val="single" w:color="auto" w:sz="4" w:space="0"/>
            </w:tcBorders>
            <w:vAlign w:val="center"/>
          </w:tcPr>
          <w:p w14:paraId="74825697">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中标通知书</w:t>
            </w:r>
          </w:p>
        </w:tc>
        <w:tc>
          <w:tcPr>
            <w:tcW w:w="5534" w:type="dxa"/>
            <w:tcBorders>
              <w:top w:val="single" w:color="auto" w:sz="4" w:space="0"/>
              <w:left w:val="single" w:color="auto" w:sz="4" w:space="0"/>
              <w:right w:val="single" w:color="auto" w:sz="4" w:space="0"/>
            </w:tcBorders>
            <w:vAlign w:val="center"/>
          </w:tcPr>
          <w:p w14:paraId="0EA8CC46">
            <w:pPr>
              <w:spacing w:line="440" w:lineRule="atLeast"/>
              <w:rPr>
                <w:rFonts w:ascii="宋体" w:hAnsi="宋体"/>
                <w:szCs w:val="21"/>
                <w:highlight w:val="none"/>
              </w:rPr>
            </w:pPr>
            <w:r>
              <w:rPr>
                <w:rFonts w:hint="eastAsia" w:ascii="宋体" w:hAnsi="宋体" w:cs="宋体"/>
                <w:color w:val="000000"/>
                <w:szCs w:val="21"/>
                <w:highlight w:val="none"/>
              </w:rPr>
              <w:t>中标人确定后，开封市政府采购中心协同采购人和开封市公共资源交易中心</w:t>
            </w:r>
            <w:r>
              <w:rPr>
                <w:rFonts w:hint="eastAsia" w:ascii="宋体" w:hAnsi="宋体"/>
                <w:color w:val="000000"/>
                <w:szCs w:val="21"/>
                <w:highlight w:val="none"/>
              </w:rPr>
              <w:t>向中标人发出《中标通知书》。</w:t>
            </w:r>
          </w:p>
        </w:tc>
      </w:tr>
      <w:tr w14:paraId="1366C7E8">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057A98F">
            <w:pPr>
              <w:spacing w:line="440" w:lineRule="atLeast"/>
              <w:jc w:val="center"/>
              <w:rPr>
                <w:rFonts w:ascii="宋体" w:hAnsi="宋体"/>
                <w:szCs w:val="21"/>
                <w:highlight w:val="none"/>
              </w:rPr>
            </w:pPr>
            <w:r>
              <w:rPr>
                <w:rFonts w:ascii="宋体" w:hAnsi="宋体"/>
                <w:szCs w:val="21"/>
                <w:highlight w:val="none"/>
              </w:rPr>
              <w:t>7.</w:t>
            </w:r>
            <w:r>
              <w:rPr>
                <w:rFonts w:hint="eastAsia" w:ascii="宋体" w:hAnsi="宋体"/>
                <w:szCs w:val="21"/>
                <w:highlight w:val="none"/>
              </w:rPr>
              <w:t>4</w:t>
            </w:r>
            <w:r>
              <w:rPr>
                <w:rFonts w:ascii="宋体" w:hAnsi="宋体"/>
                <w:szCs w:val="21"/>
                <w:highlight w:val="none"/>
              </w:rPr>
              <w:t>.1</w:t>
            </w:r>
          </w:p>
        </w:tc>
        <w:tc>
          <w:tcPr>
            <w:tcW w:w="1980" w:type="dxa"/>
            <w:tcBorders>
              <w:top w:val="single" w:color="auto" w:sz="4" w:space="0"/>
              <w:left w:val="single" w:color="auto" w:sz="4" w:space="0"/>
              <w:bottom w:val="single" w:color="auto" w:sz="4" w:space="0"/>
              <w:right w:val="single" w:color="auto" w:sz="4" w:space="0"/>
            </w:tcBorders>
            <w:vAlign w:val="center"/>
          </w:tcPr>
          <w:p w14:paraId="518A9E7C">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履约担保</w:t>
            </w:r>
          </w:p>
        </w:tc>
        <w:tc>
          <w:tcPr>
            <w:tcW w:w="5534" w:type="dxa"/>
            <w:tcBorders>
              <w:top w:val="single" w:color="auto" w:sz="4" w:space="0"/>
              <w:left w:val="single" w:color="auto" w:sz="4" w:space="0"/>
              <w:bottom w:val="single" w:color="auto" w:sz="4" w:space="0"/>
              <w:right w:val="single" w:color="auto" w:sz="4" w:space="0"/>
            </w:tcBorders>
            <w:vAlign w:val="center"/>
          </w:tcPr>
          <w:p w14:paraId="36EE0B24">
            <w:pPr>
              <w:spacing w:line="440" w:lineRule="atLeast"/>
              <w:rPr>
                <w:rFonts w:ascii="宋体" w:hAnsi="宋体"/>
                <w:szCs w:val="21"/>
                <w:highlight w:val="none"/>
              </w:rPr>
            </w:pPr>
            <w:r>
              <w:rPr>
                <w:rFonts w:hint="eastAsia" w:ascii="宋体" w:hAnsi="宋体"/>
                <w:szCs w:val="21"/>
                <w:highlight w:val="none"/>
              </w:rPr>
              <w:t>//</w:t>
            </w:r>
          </w:p>
        </w:tc>
      </w:tr>
      <w:tr w14:paraId="0DE15B5F">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345D1B1">
            <w:pPr>
              <w:spacing w:line="440" w:lineRule="atLeast"/>
              <w:jc w:val="center"/>
              <w:rPr>
                <w:rFonts w:ascii="宋体" w:hAnsi="宋体"/>
                <w:szCs w:val="21"/>
                <w:highlight w:val="none"/>
              </w:rPr>
            </w:pPr>
            <w:r>
              <w:rPr>
                <w:rFonts w:hint="eastAsia" w:ascii="宋体" w:hAnsi="宋体"/>
                <w:szCs w:val="21"/>
                <w:highlight w:val="none"/>
              </w:rPr>
              <w:t>7.5.1</w:t>
            </w:r>
          </w:p>
        </w:tc>
        <w:tc>
          <w:tcPr>
            <w:tcW w:w="1980" w:type="dxa"/>
            <w:tcBorders>
              <w:top w:val="single" w:color="auto" w:sz="4" w:space="0"/>
              <w:left w:val="single" w:color="auto" w:sz="4" w:space="0"/>
              <w:bottom w:val="single" w:color="auto" w:sz="4" w:space="0"/>
              <w:right w:val="single" w:color="auto" w:sz="4" w:space="0"/>
            </w:tcBorders>
            <w:vAlign w:val="center"/>
          </w:tcPr>
          <w:p w14:paraId="12661679">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签订合同</w:t>
            </w:r>
          </w:p>
        </w:tc>
        <w:tc>
          <w:tcPr>
            <w:tcW w:w="5534" w:type="dxa"/>
            <w:tcBorders>
              <w:top w:val="single" w:color="auto" w:sz="4" w:space="0"/>
              <w:left w:val="single" w:color="auto" w:sz="4" w:space="0"/>
              <w:bottom w:val="single" w:color="auto" w:sz="4" w:space="0"/>
              <w:right w:val="single" w:color="auto" w:sz="4" w:space="0"/>
            </w:tcBorders>
            <w:vAlign w:val="center"/>
          </w:tcPr>
          <w:p w14:paraId="49C9E0CB">
            <w:pPr>
              <w:spacing w:line="440" w:lineRule="atLeast"/>
              <w:rPr>
                <w:rFonts w:ascii="宋体" w:hAnsi="宋体"/>
                <w:szCs w:val="21"/>
                <w:highlight w:val="none"/>
              </w:rPr>
            </w:pPr>
            <w:r>
              <w:rPr>
                <w:rFonts w:hint="eastAsia" w:ascii="宋体" w:hAnsi="宋体"/>
                <w:szCs w:val="21"/>
                <w:highlight w:val="none"/>
              </w:rPr>
              <w:t>中标人按《中标通知书》约定时间（无约定时，应在中标通知书发出时间30日内），根据招标文件和中标人的投标文件与采购人签订合同。</w:t>
            </w:r>
          </w:p>
        </w:tc>
      </w:tr>
      <w:tr w14:paraId="7B08CDB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4DAD2611">
            <w:pPr>
              <w:spacing w:line="440" w:lineRule="atLeast"/>
              <w:jc w:val="center"/>
              <w:rPr>
                <w:rFonts w:ascii="宋体" w:hAnsi="宋体"/>
                <w:szCs w:val="21"/>
                <w:highlight w:val="none"/>
              </w:rPr>
            </w:pPr>
            <w:r>
              <w:rPr>
                <w:rFonts w:hint="eastAsia" w:ascii="宋体" w:hAnsi="宋体"/>
                <w:szCs w:val="21"/>
                <w:highlight w:val="none"/>
              </w:rPr>
              <w:t>8.5</w:t>
            </w:r>
          </w:p>
        </w:tc>
        <w:tc>
          <w:tcPr>
            <w:tcW w:w="1980" w:type="dxa"/>
            <w:tcBorders>
              <w:top w:val="single" w:color="auto" w:sz="4" w:space="0"/>
              <w:left w:val="single" w:color="auto" w:sz="4" w:space="0"/>
              <w:bottom w:val="single" w:color="auto" w:sz="4" w:space="0"/>
              <w:right w:val="single" w:color="auto" w:sz="4" w:space="0"/>
            </w:tcBorders>
            <w:vAlign w:val="center"/>
          </w:tcPr>
          <w:p w14:paraId="38AF123C">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询问和质疑</w:t>
            </w:r>
          </w:p>
          <w:p w14:paraId="7B74A2C6">
            <w:pPr>
              <w:spacing w:line="440" w:lineRule="atLeast"/>
              <w:jc w:val="center"/>
              <w:rPr>
                <w:rFonts w:hint="eastAsia" w:ascii="宋体" w:hAnsi="宋体" w:eastAsia="宋体" w:cs="Times New Roman"/>
                <w:szCs w:val="21"/>
                <w:highlight w:val="none"/>
              </w:rPr>
            </w:pPr>
          </w:p>
          <w:p w14:paraId="3BC59F13">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rPr>
              <w:t>（包括对招标文件、采购过程、成交或成交结果）</w:t>
            </w:r>
          </w:p>
        </w:tc>
        <w:tc>
          <w:tcPr>
            <w:tcW w:w="5534" w:type="dxa"/>
            <w:tcBorders>
              <w:top w:val="single" w:color="auto" w:sz="4" w:space="0"/>
              <w:left w:val="single" w:color="auto" w:sz="4" w:space="0"/>
              <w:bottom w:val="single" w:color="auto" w:sz="4" w:space="0"/>
              <w:right w:val="single" w:color="auto" w:sz="4" w:space="0"/>
            </w:tcBorders>
            <w:vAlign w:val="center"/>
          </w:tcPr>
          <w:p w14:paraId="1B834A11">
            <w:pPr>
              <w:spacing w:line="440" w:lineRule="atLeast"/>
              <w:rPr>
                <w:rFonts w:ascii="宋体" w:hAnsi="宋体"/>
                <w:szCs w:val="21"/>
                <w:highlight w:val="none"/>
              </w:rPr>
            </w:pPr>
            <w:r>
              <w:rPr>
                <w:rFonts w:hint="eastAsia" w:ascii="宋体" w:hAnsi="宋体"/>
                <w:szCs w:val="21"/>
                <w:highlight w:val="none"/>
              </w:rPr>
              <w:t>　　1、询问。供应商有疑问的，可先按政府采购法第五十一条向采购人、代理机构提出询问，通过面对面、电话形式沟通，属于理解偏差等小问题可当即解决，如仍有异议可提出质疑。（联系人和电话见本表第1.1.2和1.1.3.）</w:t>
            </w:r>
          </w:p>
          <w:p w14:paraId="5610A62B">
            <w:pPr>
              <w:spacing w:line="440" w:lineRule="atLeast"/>
              <w:ind w:firstLine="426"/>
              <w:rPr>
                <w:rFonts w:ascii="宋体" w:hAnsi="宋体"/>
                <w:szCs w:val="21"/>
                <w:highlight w:val="none"/>
              </w:rPr>
            </w:pPr>
            <w:r>
              <w:rPr>
                <w:rFonts w:hint="eastAsia" w:ascii="宋体" w:hAnsi="宋体"/>
                <w:szCs w:val="21"/>
                <w:highlight w:val="none"/>
              </w:rPr>
              <w:t>2、质疑（格式参照财政部2018年发布的《质疑函范本》）。对招标文件的质疑，应当在收到招标文件之日或招标公告期满之日起7个工作日内</w:t>
            </w:r>
            <w:r>
              <w:rPr>
                <w:rFonts w:hint="eastAsia" w:ascii="宋体" w:hAnsi="宋体"/>
                <w:szCs w:val="21"/>
                <w:highlight w:val="none"/>
                <w:lang w:val="en-US" w:eastAsia="zh-CN"/>
              </w:rPr>
              <w:t>且在开标时间前</w:t>
            </w:r>
            <w:r>
              <w:rPr>
                <w:rFonts w:hint="eastAsia" w:ascii="宋体" w:hAnsi="宋体"/>
                <w:szCs w:val="21"/>
                <w:highlight w:val="none"/>
              </w:rPr>
              <w:t>提出（</w:t>
            </w:r>
            <w:r>
              <w:rPr>
                <w:rFonts w:hint="eastAsia" w:ascii="宋体" w:hAnsi="宋体" w:cs="宋体"/>
                <w:color w:val="000000"/>
                <w:kern w:val="0"/>
                <w:szCs w:val="21"/>
                <w:highlight w:val="none"/>
              </w:rPr>
              <w:t>在公告期限届满之前下载招标文件的，对招标文件的质疑期限从下载之日起计算；在招标公告期限届满之后下载招标文件的，对招标文件的质疑期限从公告期限届满之日起计算。</w:t>
            </w:r>
            <w:r>
              <w:rPr>
                <w:rFonts w:hint="eastAsia" w:ascii="宋体" w:hAnsi="宋体"/>
                <w:szCs w:val="21"/>
                <w:highlight w:val="none"/>
              </w:rPr>
              <w:t>）；对</w:t>
            </w:r>
            <w:r>
              <w:rPr>
                <w:rFonts w:hint="eastAsia" w:ascii="宋体" w:hAnsi="宋体"/>
                <w:szCs w:val="21"/>
                <w:highlight w:val="none"/>
                <w:lang w:val="en-US" w:eastAsia="zh-CN"/>
              </w:rPr>
              <w:t>采购</w:t>
            </w:r>
            <w:r>
              <w:rPr>
                <w:rFonts w:hint="eastAsia" w:ascii="宋体" w:hAnsi="宋体"/>
                <w:szCs w:val="21"/>
                <w:highlight w:val="none"/>
              </w:rPr>
              <w:t>过程的质疑，应在知道或者应知其权益受到损害之日起7个工作日内提出； 对</w:t>
            </w:r>
            <w:r>
              <w:rPr>
                <w:rFonts w:hint="eastAsia" w:ascii="宋体" w:hAnsi="宋体"/>
                <w:szCs w:val="21"/>
                <w:highlight w:val="none"/>
                <w:lang w:val="en-US" w:eastAsia="zh-CN"/>
              </w:rPr>
              <w:t>中标</w:t>
            </w:r>
            <w:r>
              <w:rPr>
                <w:rFonts w:hint="eastAsia" w:ascii="宋体" w:hAnsi="宋体"/>
                <w:szCs w:val="21"/>
                <w:highlight w:val="none"/>
              </w:rPr>
              <w:t>或成交结果有质疑的，应在</w:t>
            </w:r>
            <w:r>
              <w:rPr>
                <w:rFonts w:hint="eastAsia" w:ascii="宋体" w:hAnsi="宋体"/>
                <w:szCs w:val="21"/>
                <w:highlight w:val="none"/>
                <w:lang w:val="en-US" w:eastAsia="zh-CN"/>
              </w:rPr>
              <w:t>中标</w:t>
            </w:r>
            <w:r>
              <w:rPr>
                <w:rFonts w:hint="eastAsia" w:ascii="宋体" w:hAnsi="宋体"/>
                <w:szCs w:val="21"/>
                <w:highlight w:val="none"/>
              </w:rPr>
              <w:t>或成交公告期满之日起7个工作日内提出。通过《开封市公共资源交易信息网》凭CA密钥登录，线上提起，并同时打电话提醒采购人和采购代理机构注意及时查收。</w:t>
            </w:r>
          </w:p>
          <w:p w14:paraId="1B61DF6D">
            <w:pPr>
              <w:spacing w:line="440" w:lineRule="atLeast"/>
              <w:ind w:firstLine="426"/>
              <w:rPr>
                <w:rFonts w:ascii="宋体" w:hAnsi="宋体"/>
                <w:szCs w:val="21"/>
                <w:highlight w:val="none"/>
              </w:rPr>
            </w:pPr>
            <w:r>
              <w:rPr>
                <w:rFonts w:hint="eastAsia" w:ascii="宋体" w:hAnsi="宋体"/>
                <w:szCs w:val="21"/>
                <w:highlight w:val="none"/>
              </w:rPr>
              <w:t>供应商应在法定质疑期内一次性提出针对同一采购程序环节的质疑</w:t>
            </w:r>
            <w:r>
              <w:rPr>
                <w:rFonts w:hint="eastAsia" w:ascii="宋体" w:hAnsi="宋体"/>
                <w:szCs w:val="21"/>
                <w:highlight w:val="none"/>
                <w:lang w:eastAsia="zh-CN"/>
              </w:rPr>
              <w:t>，</w:t>
            </w:r>
            <w:r>
              <w:rPr>
                <w:sz w:val="21"/>
                <w:szCs w:val="21"/>
                <w:highlight w:val="none"/>
              </w:rPr>
              <w:t>针对同一采购程序环节再次提出的质疑，采购人、采购代理机构有权不予答复。</w:t>
            </w:r>
          </w:p>
        </w:tc>
      </w:tr>
      <w:tr w14:paraId="7D0F0F56">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2E7E7C8">
            <w:pPr>
              <w:spacing w:line="440" w:lineRule="atLeast"/>
              <w:jc w:val="center"/>
              <w:rPr>
                <w:rFonts w:hint="eastAsia" w:ascii="宋体" w:hAnsi="宋体" w:eastAsia="宋体"/>
                <w:b/>
                <w:bCs/>
                <w:szCs w:val="21"/>
                <w:highlight w:val="none"/>
                <w:lang w:val="en-US" w:eastAsia="zh-CN"/>
              </w:rPr>
            </w:pPr>
            <w:r>
              <w:rPr>
                <w:rFonts w:hint="eastAsia" w:ascii="宋体" w:hAnsi="宋体"/>
                <w:b/>
                <w:bCs/>
                <w:szCs w:val="21"/>
                <w:highlight w:val="none"/>
                <w:lang w:val="en-US" w:eastAsia="zh-CN"/>
              </w:rPr>
              <w:t>9</w:t>
            </w:r>
          </w:p>
        </w:tc>
        <w:tc>
          <w:tcPr>
            <w:tcW w:w="7514" w:type="dxa"/>
            <w:gridSpan w:val="2"/>
            <w:tcBorders>
              <w:top w:val="single" w:color="auto" w:sz="4" w:space="0"/>
              <w:left w:val="single" w:color="auto" w:sz="4" w:space="0"/>
              <w:bottom w:val="single" w:color="auto" w:sz="4" w:space="0"/>
              <w:right w:val="single" w:color="auto" w:sz="4" w:space="0"/>
            </w:tcBorders>
            <w:vAlign w:val="center"/>
          </w:tcPr>
          <w:p w14:paraId="3EA6719E">
            <w:pPr>
              <w:spacing w:line="440" w:lineRule="atLeast"/>
              <w:jc w:val="center"/>
              <w:rPr>
                <w:rFonts w:hint="eastAsia" w:ascii="宋体" w:hAnsi="宋体"/>
                <w:b/>
                <w:bCs/>
                <w:szCs w:val="21"/>
                <w:highlight w:val="none"/>
              </w:rPr>
            </w:pPr>
            <w:r>
              <w:rPr>
                <w:rFonts w:hint="eastAsia" w:ascii="宋体" w:hAnsi="宋体"/>
                <w:b/>
                <w:bCs/>
                <w:szCs w:val="21"/>
                <w:highlight w:val="none"/>
                <w:lang w:val="en-US" w:eastAsia="zh-CN"/>
              </w:rPr>
              <w:t>政府采购政策</w:t>
            </w:r>
          </w:p>
        </w:tc>
      </w:tr>
      <w:tr w14:paraId="3EBDD5F9">
        <w:tblPrEx>
          <w:tblCellMar>
            <w:top w:w="0" w:type="dxa"/>
            <w:left w:w="108" w:type="dxa"/>
            <w:bottom w:w="0" w:type="dxa"/>
            <w:right w:w="108" w:type="dxa"/>
          </w:tblCellMar>
        </w:tblPrEx>
        <w:trPr>
          <w:trHeight w:val="671" w:hRule="atLeast"/>
        </w:trPr>
        <w:tc>
          <w:tcPr>
            <w:tcW w:w="1008" w:type="dxa"/>
            <w:tcBorders>
              <w:top w:val="single" w:color="auto" w:sz="4" w:space="0"/>
              <w:left w:val="single" w:color="auto" w:sz="4" w:space="0"/>
              <w:bottom w:val="single" w:color="auto" w:sz="4" w:space="0"/>
              <w:right w:val="single" w:color="auto" w:sz="4" w:space="0"/>
            </w:tcBorders>
            <w:vAlign w:val="center"/>
          </w:tcPr>
          <w:p w14:paraId="1E51639F">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9.1.1</w:t>
            </w:r>
          </w:p>
        </w:tc>
        <w:tc>
          <w:tcPr>
            <w:tcW w:w="1980" w:type="dxa"/>
            <w:tcBorders>
              <w:top w:val="single" w:color="auto" w:sz="4" w:space="0"/>
              <w:left w:val="single" w:color="auto" w:sz="4" w:space="0"/>
              <w:bottom w:val="single" w:color="auto" w:sz="4" w:space="0"/>
              <w:right w:val="single" w:color="auto" w:sz="4" w:space="0"/>
            </w:tcBorders>
            <w:vAlign w:val="center"/>
          </w:tcPr>
          <w:p w14:paraId="46CE860B">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中小企业扶持政策</w:t>
            </w:r>
          </w:p>
        </w:tc>
        <w:tc>
          <w:tcPr>
            <w:tcW w:w="5534" w:type="dxa"/>
            <w:tcBorders>
              <w:top w:val="single" w:color="auto" w:sz="4" w:space="0"/>
              <w:left w:val="single" w:color="auto" w:sz="4" w:space="0"/>
              <w:bottom w:val="single" w:color="auto" w:sz="4" w:space="0"/>
              <w:right w:val="single" w:color="auto" w:sz="4" w:space="0"/>
            </w:tcBorders>
            <w:vAlign w:val="center"/>
          </w:tcPr>
          <w:p w14:paraId="70B63126">
            <w:pPr>
              <w:spacing w:line="440" w:lineRule="atLeast"/>
              <w:ind w:firstLine="426"/>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符合中小微企业扶持政策的供应商提供符合规定格式要求的《中小企业声明函》。（如涉及）</w:t>
            </w:r>
          </w:p>
        </w:tc>
      </w:tr>
      <w:tr w14:paraId="6DDF5453">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5BD17D5C">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9.1.2</w:t>
            </w:r>
          </w:p>
        </w:tc>
        <w:tc>
          <w:tcPr>
            <w:tcW w:w="1980" w:type="dxa"/>
            <w:tcBorders>
              <w:top w:val="single" w:color="auto" w:sz="4" w:space="0"/>
              <w:left w:val="single" w:color="auto" w:sz="4" w:space="0"/>
              <w:bottom w:val="single" w:color="auto" w:sz="4" w:space="0"/>
              <w:right w:val="single" w:color="auto" w:sz="4" w:space="0"/>
            </w:tcBorders>
            <w:vAlign w:val="center"/>
          </w:tcPr>
          <w:p w14:paraId="157F3CE8">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监狱企业扶持政策</w:t>
            </w:r>
          </w:p>
        </w:tc>
        <w:tc>
          <w:tcPr>
            <w:tcW w:w="5534" w:type="dxa"/>
            <w:tcBorders>
              <w:top w:val="single" w:color="auto" w:sz="4" w:space="0"/>
              <w:left w:val="single" w:color="auto" w:sz="4" w:space="0"/>
              <w:bottom w:val="single" w:color="auto" w:sz="4" w:space="0"/>
              <w:right w:val="single" w:color="auto" w:sz="4" w:space="0"/>
            </w:tcBorders>
            <w:vAlign w:val="center"/>
          </w:tcPr>
          <w:p w14:paraId="1CBA23EB">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符合监狱企业扶持政策的供应商提供由省级以上监狱管理局、戒毒管理局（含新疆生产建设兵团）出具的属于监狱企业的证明文件。（如涉及）</w:t>
            </w:r>
          </w:p>
        </w:tc>
      </w:tr>
      <w:tr w14:paraId="08F38C83">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48AED6FE">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9.1.3</w:t>
            </w:r>
          </w:p>
        </w:tc>
        <w:tc>
          <w:tcPr>
            <w:tcW w:w="1980" w:type="dxa"/>
            <w:tcBorders>
              <w:top w:val="single" w:color="auto" w:sz="4" w:space="0"/>
              <w:left w:val="single" w:color="auto" w:sz="4" w:space="0"/>
              <w:bottom w:val="single" w:color="auto" w:sz="4" w:space="0"/>
              <w:right w:val="single" w:color="auto" w:sz="4" w:space="0"/>
            </w:tcBorders>
            <w:vAlign w:val="center"/>
          </w:tcPr>
          <w:p w14:paraId="7FF7A36E">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残疾人福利性单位扶持政策</w:t>
            </w:r>
          </w:p>
        </w:tc>
        <w:tc>
          <w:tcPr>
            <w:tcW w:w="5534" w:type="dxa"/>
            <w:tcBorders>
              <w:top w:val="single" w:color="auto" w:sz="4" w:space="0"/>
              <w:left w:val="single" w:color="auto" w:sz="4" w:space="0"/>
              <w:bottom w:val="single" w:color="auto" w:sz="4" w:space="0"/>
              <w:right w:val="single" w:color="auto" w:sz="4" w:space="0"/>
            </w:tcBorders>
            <w:vAlign w:val="center"/>
          </w:tcPr>
          <w:p w14:paraId="79694EE6">
            <w:pPr>
              <w:spacing w:line="440" w:lineRule="atLeast"/>
              <w:ind w:firstLine="426"/>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符合残疾人福利性单位扶持政策的供应商提供符合规定格式要求的《残疾人福利性单位声明函》。（如涉及）</w:t>
            </w:r>
          </w:p>
        </w:tc>
      </w:tr>
      <w:tr w14:paraId="3F3E9C43">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5E57C773">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9.2</w:t>
            </w:r>
          </w:p>
        </w:tc>
        <w:tc>
          <w:tcPr>
            <w:tcW w:w="1980" w:type="dxa"/>
            <w:tcBorders>
              <w:top w:val="single" w:color="auto" w:sz="4" w:space="0"/>
              <w:left w:val="single" w:color="auto" w:sz="4" w:space="0"/>
              <w:bottom w:val="single" w:color="auto" w:sz="4" w:space="0"/>
              <w:right w:val="single" w:color="auto" w:sz="4" w:space="0"/>
            </w:tcBorders>
            <w:vAlign w:val="center"/>
          </w:tcPr>
          <w:p w14:paraId="13B1DAD9">
            <w:pPr>
              <w:spacing w:line="440" w:lineRule="atLeast"/>
              <w:jc w:val="center"/>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政府采购节能产品、环境标志产品。</w:t>
            </w:r>
          </w:p>
        </w:tc>
        <w:tc>
          <w:tcPr>
            <w:tcW w:w="5534" w:type="dxa"/>
            <w:tcBorders>
              <w:top w:val="single" w:color="auto" w:sz="4" w:space="0"/>
              <w:left w:val="single" w:color="auto" w:sz="4" w:space="0"/>
              <w:bottom w:val="single" w:color="auto" w:sz="4" w:space="0"/>
              <w:right w:val="single" w:color="auto" w:sz="4" w:space="0"/>
            </w:tcBorders>
            <w:vAlign w:val="center"/>
          </w:tcPr>
          <w:p w14:paraId="462038C7">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采购人拟采购的产品属于品目清单范围中强制采购的，供应商须在投标文件中附所投产品的国家规定的认证机构出具的、处于有效期之内的节能产品认证证书扫描件并加盖公章，否则为无效投标。</w:t>
            </w:r>
          </w:p>
          <w:p w14:paraId="6D8FAC1B">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采购人拟采购的产品属于品目清单范围中优先采购的，供应商须在投标文件中附所投产品的国家规定的认证机构出具的、处于有效期之内的节能产品、环境标志产品认证证书扫描件并加盖公章，否则不享受环境标志产品、节能产品优先采购政策。（如涉及）</w:t>
            </w:r>
          </w:p>
        </w:tc>
      </w:tr>
      <w:tr w14:paraId="4779181E">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7CF22021">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9.3</w:t>
            </w:r>
          </w:p>
          <w:p w14:paraId="0FE6A0D3">
            <w:pPr>
              <w:spacing w:line="440" w:lineRule="atLeast"/>
              <w:jc w:val="center"/>
              <w:rPr>
                <w:rFonts w:hint="eastAsia" w:ascii="宋体" w:hAnsi="宋体"/>
                <w:szCs w:val="21"/>
                <w:highlight w:val="none"/>
                <w:lang w:val="en-US" w:eastAsia="zh-CN"/>
              </w:rPr>
            </w:pPr>
          </w:p>
        </w:tc>
        <w:tc>
          <w:tcPr>
            <w:tcW w:w="1980" w:type="dxa"/>
            <w:tcBorders>
              <w:top w:val="single" w:color="auto" w:sz="4" w:space="0"/>
              <w:left w:val="single" w:color="auto" w:sz="4" w:space="0"/>
              <w:bottom w:val="single" w:color="auto" w:sz="4" w:space="0"/>
              <w:right w:val="single" w:color="auto" w:sz="4" w:space="0"/>
            </w:tcBorders>
            <w:vAlign w:val="center"/>
          </w:tcPr>
          <w:p w14:paraId="752705C5">
            <w:pPr>
              <w:spacing w:line="440" w:lineRule="atLeast"/>
              <w:jc w:val="cente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支持乡村产业振兴</w:t>
            </w:r>
          </w:p>
        </w:tc>
        <w:tc>
          <w:tcPr>
            <w:tcW w:w="5534" w:type="dxa"/>
            <w:tcBorders>
              <w:top w:val="single" w:color="auto" w:sz="4" w:space="0"/>
              <w:left w:val="single" w:color="auto" w:sz="4" w:space="0"/>
              <w:bottom w:val="single" w:color="auto" w:sz="4" w:space="0"/>
              <w:right w:val="single" w:color="auto" w:sz="4" w:space="0"/>
            </w:tcBorders>
            <w:vAlign w:val="center"/>
          </w:tcPr>
          <w:p w14:paraId="580B6903">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落实财库〔2021〕19号文有关要求。本项目对于支持乡村振兴的相关要求见第五章 招标内容及商务技术要求（如涉及）。</w:t>
            </w:r>
          </w:p>
        </w:tc>
      </w:tr>
      <w:tr w14:paraId="774D55E8">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461B9FFE">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9.4</w:t>
            </w:r>
          </w:p>
        </w:tc>
        <w:tc>
          <w:tcPr>
            <w:tcW w:w="1980" w:type="dxa"/>
            <w:tcBorders>
              <w:top w:val="single" w:color="auto" w:sz="4" w:space="0"/>
              <w:left w:val="single" w:color="auto" w:sz="4" w:space="0"/>
              <w:bottom w:val="single" w:color="auto" w:sz="4" w:space="0"/>
              <w:right w:val="single" w:color="auto" w:sz="4" w:space="0"/>
            </w:tcBorders>
            <w:vAlign w:val="center"/>
          </w:tcPr>
          <w:p w14:paraId="2E5824A8">
            <w:pPr>
              <w:spacing w:line="440" w:lineRule="atLeast"/>
              <w:jc w:val="center"/>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正版软件</w:t>
            </w:r>
          </w:p>
        </w:tc>
        <w:tc>
          <w:tcPr>
            <w:tcW w:w="5534" w:type="dxa"/>
            <w:tcBorders>
              <w:top w:val="single" w:color="auto" w:sz="4" w:space="0"/>
              <w:left w:val="single" w:color="auto" w:sz="4" w:space="0"/>
              <w:bottom w:val="single" w:color="auto" w:sz="4" w:space="0"/>
              <w:right w:val="single" w:color="auto" w:sz="4" w:space="0"/>
            </w:tcBorders>
            <w:vAlign w:val="center"/>
          </w:tcPr>
          <w:p w14:paraId="3D122CA9">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各级政府部门在购置计算机办公设备时，必须采购预装正版操作系统软件的计算机产品。相关要求见第五章 招标内容及商务技术要求。（如涉及）</w:t>
            </w:r>
          </w:p>
        </w:tc>
      </w:tr>
      <w:tr w14:paraId="78C0FBA2">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F15D3F6">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9.5</w:t>
            </w:r>
          </w:p>
        </w:tc>
        <w:tc>
          <w:tcPr>
            <w:tcW w:w="1980" w:type="dxa"/>
            <w:tcBorders>
              <w:top w:val="single" w:color="auto" w:sz="4" w:space="0"/>
              <w:left w:val="single" w:color="auto" w:sz="4" w:space="0"/>
              <w:bottom w:val="single" w:color="auto" w:sz="4" w:space="0"/>
              <w:right w:val="single" w:color="auto" w:sz="4" w:space="0"/>
            </w:tcBorders>
            <w:vAlign w:val="center"/>
          </w:tcPr>
          <w:p w14:paraId="54FF14E1">
            <w:pPr>
              <w:spacing w:line="440" w:lineRule="atLeast"/>
              <w:jc w:val="center"/>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政务信息系统</w:t>
            </w:r>
          </w:p>
        </w:tc>
        <w:tc>
          <w:tcPr>
            <w:tcW w:w="5534" w:type="dxa"/>
            <w:tcBorders>
              <w:top w:val="single" w:color="auto" w:sz="4" w:space="0"/>
              <w:left w:val="single" w:color="auto" w:sz="4" w:space="0"/>
              <w:bottom w:val="single" w:color="auto" w:sz="4" w:space="0"/>
              <w:right w:val="single" w:color="auto" w:sz="4" w:space="0"/>
            </w:tcBorders>
            <w:vAlign w:val="center"/>
          </w:tcPr>
          <w:p w14:paraId="27F9D15E">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符合《政务信息系统政府采购管理暂行办法》（财库〔2017〕210号）相关要求。（如涉及）</w:t>
            </w:r>
          </w:p>
        </w:tc>
      </w:tr>
      <w:tr w14:paraId="24215FEE">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A654401">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9.6</w:t>
            </w:r>
          </w:p>
        </w:tc>
        <w:tc>
          <w:tcPr>
            <w:tcW w:w="1980" w:type="dxa"/>
            <w:tcBorders>
              <w:top w:val="single" w:color="auto" w:sz="4" w:space="0"/>
              <w:left w:val="single" w:color="auto" w:sz="4" w:space="0"/>
              <w:bottom w:val="single" w:color="auto" w:sz="4" w:space="0"/>
              <w:right w:val="single" w:color="auto" w:sz="4" w:space="0"/>
            </w:tcBorders>
            <w:vAlign w:val="center"/>
          </w:tcPr>
          <w:p w14:paraId="195B55FE">
            <w:pPr>
              <w:spacing w:line="440" w:lineRule="atLeast"/>
              <w:jc w:val="center"/>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网络关键设备和网络安全专用产品</w:t>
            </w:r>
          </w:p>
        </w:tc>
        <w:tc>
          <w:tcPr>
            <w:tcW w:w="5534" w:type="dxa"/>
            <w:tcBorders>
              <w:top w:val="single" w:color="auto" w:sz="4" w:space="0"/>
              <w:left w:val="single" w:color="auto" w:sz="4" w:space="0"/>
              <w:bottom w:val="single" w:color="auto" w:sz="4" w:space="0"/>
              <w:right w:val="single" w:color="auto" w:sz="4" w:space="0"/>
            </w:tcBorders>
            <w:vAlign w:val="center"/>
          </w:tcPr>
          <w:p w14:paraId="0A5621FF">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列入《网络关键设备和网络安全专用产品目录》的产品应当按照《信息安全技术网络安全专用产品安全技术要求》，由具备资格的机构安全认证合格或者通过安全检测。（如涉及）</w:t>
            </w:r>
          </w:p>
        </w:tc>
      </w:tr>
      <w:tr w14:paraId="5F20296D">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2952E246">
            <w:pPr>
              <w:spacing w:line="440" w:lineRule="atLeast"/>
              <w:jc w:val="center"/>
              <w:rPr>
                <w:rFonts w:hint="default" w:ascii="宋体" w:hAnsi="宋体"/>
                <w:szCs w:val="21"/>
                <w:highlight w:val="none"/>
                <w:lang w:val="en-US" w:eastAsia="zh-CN"/>
              </w:rPr>
            </w:pPr>
            <w:r>
              <w:rPr>
                <w:rFonts w:hint="eastAsia" w:ascii="宋体" w:hAnsi="宋体"/>
                <w:szCs w:val="21"/>
                <w:highlight w:val="none"/>
                <w:lang w:val="en-US" w:eastAsia="zh-CN"/>
              </w:rPr>
              <w:t>9.7</w:t>
            </w:r>
          </w:p>
        </w:tc>
        <w:tc>
          <w:tcPr>
            <w:tcW w:w="1980" w:type="dxa"/>
            <w:tcBorders>
              <w:top w:val="single" w:color="auto" w:sz="4" w:space="0"/>
              <w:left w:val="single" w:color="auto" w:sz="4" w:space="0"/>
              <w:bottom w:val="single" w:color="auto" w:sz="4" w:space="0"/>
              <w:right w:val="single" w:color="auto" w:sz="4" w:space="0"/>
            </w:tcBorders>
            <w:vAlign w:val="center"/>
          </w:tcPr>
          <w:p w14:paraId="78F99868">
            <w:pPr>
              <w:spacing w:line="440" w:lineRule="atLeast"/>
              <w:jc w:val="cente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政府采购需求标准</w:t>
            </w:r>
          </w:p>
        </w:tc>
        <w:tc>
          <w:tcPr>
            <w:tcW w:w="5534" w:type="dxa"/>
            <w:tcBorders>
              <w:top w:val="single" w:color="auto" w:sz="4" w:space="0"/>
              <w:left w:val="single" w:color="auto" w:sz="4" w:space="0"/>
              <w:bottom w:val="single" w:color="auto" w:sz="4" w:space="0"/>
              <w:right w:val="single" w:color="auto" w:sz="4" w:space="0"/>
            </w:tcBorders>
            <w:vAlign w:val="center"/>
          </w:tcPr>
          <w:p w14:paraId="45ACFB37">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关于印发《台式计算机政府采购需求标准（2023年版）》的通知 财库〔2023〕29号；</w:t>
            </w:r>
          </w:p>
          <w:p w14:paraId="30BE4241">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关于印发《便携式计算机政府采购需求标准（2023年版）》的通知 财库〔2023〕30号；</w:t>
            </w:r>
          </w:p>
          <w:p w14:paraId="31CDB536">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关于印发《一体式计算机政府采购需求标准（2023年版）》的通知 财库〔2023〕31号；</w:t>
            </w:r>
          </w:p>
          <w:p w14:paraId="32464D40">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关于印发《工作站政府采购需求标准（2023年版）》的通知 财库〔2023〕32号；</w:t>
            </w:r>
          </w:p>
          <w:p w14:paraId="7DDB6BF4">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关于印发《通用服务器政府采购需求标准（2023年版）》的通知 财库〔2023〕33号；</w:t>
            </w:r>
          </w:p>
          <w:p w14:paraId="475C00D9">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关于印发《操作系统政府采购需求标准（2023年版）》的通知 财库〔2023〕34号；</w:t>
            </w:r>
          </w:p>
          <w:p w14:paraId="00FE94D2">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工业和信息化部 关于印发《数据库政府采购需求标准（2023年版）》的通知 财库〔2023〕35号；</w:t>
            </w:r>
          </w:p>
          <w:p w14:paraId="12FB8D9B">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 生态环境部 工业和信息化部关于印发《绿色数据中心政府采购需求标准（试行）》的通知 财库〔2023</w:t>
            </w:r>
            <w:r>
              <w:rPr>
                <w:rFonts w:hint="default" w:ascii="宋体" w:hAnsi="宋体" w:eastAsia="宋体" w:cs="Times New Roman"/>
                <w:szCs w:val="21"/>
                <w:highlight w:val="none"/>
                <w:lang w:val="en-US" w:eastAsia="zh-CN"/>
              </w:rPr>
              <w:t>〕</w:t>
            </w:r>
            <w:r>
              <w:rPr>
                <w:rFonts w:hint="eastAsia" w:ascii="宋体" w:hAnsi="宋体" w:eastAsia="宋体" w:cs="Times New Roman"/>
                <w:szCs w:val="21"/>
                <w:highlight w:val="none"/>
                <w:lang w:val="en-US" w:eastAsia="zh-CN"/>
              </w:rPr>
              <w:t>7</w:t>
            </w:r>
            <w:r>
              <w:rPr>
                <w:rFonts w:hint="default" w:ascii="宋体" w:hAnsi="宋体" w:eastAsia="宋体" w:cs="Times New Roman"/>
                <w:szCs w:val="21"/>
                <w:highlight w:val="none"/>
                <w:lang w:val="en-US" w:eastAsia="zh-CN"/>
              </w:rPr>
              <w:t>号</w:t>
            </w:r>
            <w:r>
              <w:rPr>
                <w:rFonts w:hint="eastAsia" w:ascii="宋体" w:hAnsi="宋体" w:eastAsia="宋体" w:cs="Times New Roman"/>
                <w:szCs w:val="21"/>
                <w:highlight w:val="none"/>
                <w:lang w:val="en-US" w:eastAsia="zh-CN"/>
              </w:rPr>
              <w:t>；</w:t>
            </w:r>
          </w:p>
          <w:p w14:paraId="506826CC">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财政部办公厅关于印发《物业管理服务政府采购需求标准（办公场所类）（试行）》的通知 财办库〔2024〕113号 （参考使用）。</w:t>
            </w:r>
          </w:p>
          <w:p w14:paraId="6419BCA1">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财政部办公厅 生态环境部办公厅 国家邮政局办公室关于印发《商品包装政府采购需求标准（试行）》、《快递包装政府采购需求标准（试行）》的通知（财办库〔2020〕123号）。</w:t>
            </w:r>
          </w:p>
          <w:p w14:paraId="29072A23">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财政部门会同有关部门制定发布的其他政府采购需求标准。有更新和调整时按最新要求执行。</w:t>
            </w:r>
          </w:p>
          <w:p w14:paraId="3A962C0D">
            <w:pPr>
              <w:spacing w:line="440" w:lineRule="atLeast"/>
              <w:ind w:firstLine="426"/>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（如涉及）</w:t>
            </w:r>
          </w:p>
        </w:tc>
      </w:tr>
      <w:tr w14:paraId="21B74DE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237B9056">
            <w:pPr>
              <w:spacing w:line="440" w:lineRule="atLeast"/>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9.8.4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C6CADBB">
            <w:pPr>
              <w:spacing w:line="440" w:lineRule="atLeast"/>
              <w:jc w:val="center"/>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本国产品支持政策</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6229BFF5">
            <w:pPr>
              <w:spacing w:line="440" w:lineRule="atLeast"/>
              <w:ind w:firstLine="426"/>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供应商根据《国务院办公厅关于在政府采购中实施本国产品标准及相关政策的通知》（国办发〔2025〕34号），按要求提供相关资料。详见供应商须知正文和第三章评标办法前附表有关内容。</w:t>
            </w:r>
          </w:p>
        </w:tc>
      </w:tr>
      <w:tr w14:paraId="47A07702">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0CDC94C9">
            <w:pPr>
              <w:spacing w:line="440" w:lineRule="atLeast"/>
              <w:jc w:val="center"/>
              <w:rPr>
                <w:rFonts w:hint="default" w:ascii="宋体" w:hAnsi="宋体"/>
                <w:szCs w:val="21"/>
                <w:highlight w:val="none"/>
                <w:lang w:val="en-US" w:eastAsia="zh-CN"/>
              </w:rPr>
            </w:pPr>
            <w:r>
              <w:rPr>
                <w:rFonts w:hint="eastAsia" w:ascii="宋体" w:hAnsi="宋体"/>
                <w:b w:val="0"/>
                <w:bCs w:val="0"/>
                <w:color w:val="auto"/>
                <w:szCs w:val="21"/>
                <w:highlight w:val="none"/>
                <w:lang w:val="en-US" w:eastAsia="zh-CN"/>
              </w:rPr>
              <w:t>9.9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95FF2FE">
            <w:pPr>
              <w:spacing w:line="440" w:lineRule="atLeast"/>
              <w:jc w:val="center"/>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政府采购合同融资政策</w:t>
            </w:r>
          </w:p>
        </w:tc>
        <w:tc>
          <w:tcPr>
            <w:tcW w:w="5534" w:type="dxa"/>
            <w:tcBorders>
              <w:top w:val="single" w:color="auto" w:sz="4" w:space="0"/>
              <w:left w:val="single" w:color="auto" w:sz="4" w:space="0"/>
              <w:bottom w:val="single" w:color="auto" w:sz="4" w:space="0"/>
              <w:right w:val="single" w:color="auto" w:sz="4" w:space="0"/>
            </w:tcBorders>
            <w:shd w:val="clear" w:color="auto" w:fill="auto"/>
            <w:vAlign w:val="center"/>
          </w:tcPr>
          <w:p w14:paraId="599320EB">
            <w:pPr>
              <w:spacing w:line="440" w:lineRule="atLeast"/>
              <w:ind w:firstLine="426"/>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融资渠道及要求按照第四章中的 《开封市政府采购合同履约保函政策告知函》有关内容。</w:t>
            </w:r>
          </w:p>
        </w:tc>
      </w:tr>
      <w:tr w14:paraId="4BB4E664">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F1618F7">
            <w:pPr>
              <w:spacing w:line="440" w:lineRule="atLeast"/>
              <w:jc w:val="center"/>
              <w:rPr>
                <w:rFonts w:ascii="宋体" w:hAnsi="宋体"/>
                <w:b/>
                <w:szCs w:val="21"/>
                <w:highlight w:val="none"/>
              </w:rPr>
            </w:pPr>
            <w:r>
              <w:rPr>
                <w:rFonts w:hint="eastAsia" w:ascii="宋体" w:hAnsi="宋体"/>
                <w:b/>
                <w:szCs w:val="21"/>
                <w:highlight w:val="none"/>
              </w:rPr>
              <w:t>10</w:t>
            </w:r>
          </w:p>
        </w:tc>
        <w:tc>
          <w:tcPr>
            <w:tcW w:w="7514" w:type="dxa"/>
            <w:gridSpan w:val="2"/>
            <w:tcBorders>
              <w:top w:val="single" w:color="auto" w:sz="4" w:space="0"/>
              <w:left w:val="single" w:color="auto" w:sz="4" w:space="0"/>
              <w:bottom w:val="single" w:color="auto" w:sz="4" w:space="0"/>
              <w:right w:val="single" w:color="auto" w:sz="4" w:space="0"/>
            </w:tcBorders>
            <w:vAlign w:val="center"/>
          </w:tcPr>
          <w:p w14:paraId="5C860A7A">
            <w:pPr>
              <w:spacing w:line="440" w:lineRule="atLeast"/>
              <w:jc w:val="center"/>
              <w:rPr>
                <w:rFonts w:ascii="宋体" w:hAnsi="宋体"/>
                <w:b/>
                <w:szCs w:val="21"/>
                <w:highlight w:val="none"/>
              </w:rPr>
            </w:pPr>
            <w:r>
              <w:rPr>
                <w:rFonts w:hint="eastAsia" w:ascii="宋体" w:hAnsi="宋体"/>
                <w:b/>
                <w:szCs w:val="21"/>
                <w:highlight w:val="none"/>
              </w:rPr>
              <w:t>需要</w:t>
            </w:r>
            <w:r>
              <w:rPr>
                <w:rFonts w:ascii="宋体" w:hAnsi="宋体"/>
                <w:b/>
                <w:szCs w:val="21"/>
                <w:highlight w:val="none"/>
              </w:rPr>
              <w:t>补充</w:t>
            </w:r>
            <w:r>
              <w:rPr>
                <w:rFonts w:hint="eastAsia" w:ascii="宋体" w:hAnsi="宋体"/>
                <w:b/>
                <w:szCs w:val="21"/>
                <w:highlight w:val="none"/>
              </w:rPr>
              <w:t>的其他</w:t>
            </w:r>
            <w:r>
              <w:rPr>
                <w:rFonts w:ascii="宋体" w:hAnsi="宋体"/>
                <w:b/>
                <w:szCs w:val="21"/>
                <w:highlight w:val="none"/>
              </w:rPr>
              <w:t>内容</w:t>
            </w:r>
          </w:p>
        </w:tc>
      </w:tr>
      <w:tr w14:paraId="638894C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5DB1CB3">
            <w:pPr>
              <w:spacing w:line="440" w:lineRule="atLeast"/>
              <w:jc w:val="center"/>
              <w:rPr>
                <w:rFonts w:ascii="宋体" w:hAnsi="宋体"/>
                <w:szCs w:val="21"/>
                <w:highlight w:val="none"/>
              </w:rPr>
            </w:pPr>
            <w:r>
              <w:rPr>
                <w:rFonts w:hint="eastAsia" w:ascii="宋体" w:hAnsi="宋体"/>
                <w:szCs w:val="21"/>
                <w:highlight w:val="none"/>
              </w:rPr>
              <w:t>10.1</w:t>
            </w:r>
          </w:p>
        </w:tc>
        <w:tc>
          <w:tcPr>
            <w:tcW w:w="1980" w:type="dxa"/>
            <w:tcBorders>
              <w:top w:val="single" w:color="auto" w:sz="4" w:space="0"/>
              <w:left w:val="single" w:color="auto" w:sz="4" w:space="0"/>
              <w:bottom w:val="single" w:color="auto" w:sz="4" w:space="0"/>
              <w:right w:val="single" w:color="auto" w:sz="4" w:space="0"/>
            </w:tcBorders>
            <w:vAlign w:val="center"/>
          </w:tcPr>
          <w:p w14:paraId="7C593D3B">
            <w:pPr>
              <w:spacing w:line="440" w:lineRule="atLeast"/>
              <w:jc w:val="center"/>
              <w:rPr>
                <w:rFonts w:ascii="宋体" w:hAnsi="宋体"/>
                <w:szCs w:val="21"/>
                <w:highlight w:val="none"/>
              </w:rPr>
            </w:pPr>
            <w:r>
              <w:rPr>
                <w:rFonts w:hint="eastAsia" w:ascii="宋体" w:hAnsi="宋体"/>
                <w:szCs w:val="21"/>
                <w:highlight w:val="none"/>
              </w:rPr>
              <w:t>付款方式</w:t>
            </w:r>
          </w:p>
        </w:tc>
        <w:tc>
          <w:tcPr>
            <w:tcW w:w="5534" w:type="dxa"/>
            <w:tcBorders>
              <w:top w:val="single" w:color="auto" w:sz="4" w:space="0"/>
              <w:left w:val="single" w:color="auto" w:sz="4" w:space="0"/>
              <w:bottom w:val="single" w:color="auto" w:sz="4" w:space="0"/>
              <w:right w:val="single" w:color="auto" w:sz="4" w:space="0"/>
            </w:tcBorders>
            <w:vAlign w:val="center"/>
          </w:tcPr>
          <w:p w14:paraId="7ED07F6D">
            <w:pPr>
              <w:spacing w:line="440" w:lineRule="atLeast"/>
              <w:rPr>
                <w:rFonts w:ascii="宋体" w:hAnsi="宋体"/>
                <w:color w:val="000000"/>
                <w:szCs w:val="21"/>
                <w:highlight w:val="none"/>
              </w:rPr>
            </w:pPr>
            <w:r>
              <w:rPr>
                <w:rFonts w:hint="eastAsia" w:ascii="宋体" w:hAnsi="宋体"/>
                <w:color w:val="auto"/>
                <w:szCs w:val="21"/>
                <w:highlight w:val="none"/>
                <w:lang w:eastAsia="zh-CN"/>
              </w:rPr>
              <w:t>采购人</w:t>
            </w:r>
            <w:r>
              <w:rPr>
                <w:rFonts w:hint="eastAsia" w:ascii="宋体" w:hAnsi="宋体"/>
                <w:color w:val="auto"/>
                <w:szCs w:val="21"/>
                <w:highlight w:val="none"/>
              </w:rPr>
              <w:t>于次月</w:t>
            </w:r>
            <w:r>
              <w:rPr>
                <w:rFonts w:hint="eastAsia" w:ascii="宋体" w:hAnsi="宋体"/>
                <w:color w:val="auto"/>
                <w:szCs w:val="21"/>
                <w:highlight w:val="none"/>
                <w:lang w:val="en-US" w:eastAsia="zh-CN"/>
              </w:rPr>
              <w:t>2</w:t>
            </w:r>
            <w:r>
              <w:rPr>
                <w:rFonts w:hint="eastAsia" w:ascii="宋体" w:hAnsi="宋体"/>
                <w:color w:val="auto"/>
                <w:szCs w:val="21"/>
                <w:highlight w:val="none"/>
              </w:rPr>
              <w:t>5日前，将上一个月的承包服务费支付至</w:t>
            </w:r>
            <w:r>
              <w:rPr>
                <w:rFonts w:hint="eastAsia" w:ascii="宋体" w:hAnsi="宋体"/>
                <w:color w:val="auto"/>
                <w:szCs w:val="21"/>
                <w:highlight w:val="none"/>
                <w:lang w:eastAsia="zh-CN"/>
              </w:rPr>
              <w:t>供应商</w:t>
            </w:r>
            <w:r>
              <w:rPr>
                <w:rFonts w:hint="eastAsia" w:ascii="宋体" w:hAnsi="宋体"/>
                <w:color w:val="auto"/>
                <w:szCs w:val="21"/>
                <w:highlight w:val="none"/>
              </w:rPr>
              <w:t>指定的银行账户，</w:t>
            </w:r>
            <w:r>
              <w:rPr>
                <w:rFonts w:hint="eastAsia" w:ascii="宋体" w:hAnsi="宋体"/>
                <w:color w:val="auto"/>
                <w:szCs w:val="21"/>
                <w:highlight w:val="none"/>
                <w:lang w:eastAsia="zh-CN"/>
              </w:rPr>
              <w:t>供应商</w:t>
            </w:r>
            <w:r>
              <w:rPr>
                <w:rFonts w:hint="eastAsia" w:ascii="宋体" w:hAnsi="宋体"/>
                <w:color w:val="auto"/>
                <w:szCs w:val="21"/>
                <w:highlight w:val="none"/>
              </w:rPr>
              <w:t>需提供等额有效发票。</w:t>
            </w:r>
          </w:p>
        </w:tc>
      </w:tr>
      <w:tr w14:paraId="3A21AD6A">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7DB32DEB">
            <w:pPr>
              <w:spacing w:line="440" w:lineRule="atLeast"/>
              <w:jc w:val="center"/>
              <w:rPr>
                <w:rFonts w:ascii="宋体" w:hAnsi="宋体"/>
                <w:szCs w:val="21"/>
                <w:highlight w:val="none"/>
              </w:rPr>
            </w:pPr>
            <w:r>
              <w:rPr>
                <w:rFonts w:hint="eastAsia" w:ascii="宋体" w:hAnsi="宋体"/>
                <w:szCs w:val="21"/>
                <w:highlight w:val="none"/>
              </w:rPr>
              <w:t>10.2</w:t>
            </w:r>
          </w:p>
        </w:tc>
        <w:tc>
          <w:tcPr>
            <w:tcW w:w="1980" w:type="dxa"/>
            <w:tcBorders>
              <w:top w:val="single" w:color="auto" w:sz="4" w:space="0"/>
              <w:left w:val="single" w:color="auto" w:sz="4" w:space="0"/>
              <w:bottom w:val="single" w:color="auto" w:sz="4" w:space="0"/>
              <w:right w:val="single" w:color="auto" w:sz="4" w:space="0"/>
            </w:tcBorders>
            <w:vAlign w:val="center"/>
          </w:tcPr>
          <w:p w14:paraId="76B7ADBA">
            <w:pPr>
              <w:spacing w:line="440" w:lineRule="atLeast"/>
              <w:jc w:val="center"/>
              <w:rPr>
                <w:rFonts w:ascii="宋体" w:hAnsi="宋体"/>
                <w:szCs w:val="21"/>
                <w:highlight w:val="none"/>
              </w:rPr>
            </w:pPr>
            <w:r>
              <w:rPr>
                <w:rFonts w:hint="eastAsia" w:ascii="宋体" w:hAnsi="宋体"/>
                <w:szCs w:val="21"/>
                <w:highlight w:val="none"/>
              </w:rPr>
              <w:t>交易服务费</w:t>
            </w:r>
          </w:p>
        </w:tc>
        <w:tc>
          <w:tcPr>
            <w:tcW w:w="5534" w:type="dxa"/>
            <w:tcBorders>
              <w:top w:val="single" w:color="auto" w:sz="4" w:space="0"/>
              <w:left w:val="single" w:color="auto" w:sz="4" w:space="0"/>
              <w:bottom w:val="single" w:color="auto" w:sz="4" w:space="0"/>
              <w:right w:val="single" w:color="auto" w:sz="4" w:space="0"/>
            </w:tcBorders>
            <w:vAlign w:val="center"/>
          </w:tcPr>
          <w:p w14:paraId="2E9AF21B">
            <w:pPr>
              <w:spacing w:line="440" w:lineRule="atLeast"/>
              <w:rPr>
                <w:rFonts w:ascii="宋体" w:hAnsi="宋体"/>
                <w:szCs w:val="21"/>
                <w:highlight w:val="none"/>
              </w:rPr>
            </w:pPr>
            <w:r>
              <w:rPr>
                <w:rFonts w:hint="eastAsia" w:ascii="宋体" w:hAnsi="宋体"/>
                <w:szCs w:val="21"/>
                <w:highlight w:val="none"/>
              </w:rPr>
              <w:t>免收。</w:t>
            </w:r>
          </w:p>
        </w:tc>
      </w:tr>
      <w:tr w14:paraId="372A6492">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258FDC78">
            <w:pPr>
              <w:spacing w:line="440" w:lineRule="atLeast"/>
              <w:jc w:val="center"/>
              <w:rPr>
                <w:rFonts w:ascii="宋体" w:hAnsi="宋体"/>
                <w:szCs w:val="21"/>
                <w:highlight w:val="none"/>
              </w:rPr>
            </w:pPr>
            <w:r>
              <w:rPr>
                <w:rFonts w:hint="eastAsia" w:ascii="宋体" w:hAnsi="宋体"/>
                <w:szCs w:val="21"/>
                <w:highlight w:val="none"/>
              </w:rPr>
              <w:t>10.3</w:t>
            </w:r>
          </w:p>
        </w:tc>
        <w:tc>
          <w:tcPr>
            <w:tcW w:w="1980" w:type="dxa"/>
            <w:tcBorders>
              <w:top w:val="single" w:color="auto" w:sz="4" w:space="0"/>
              <w:left w:val="single" w:color="auto" w:sz="4" w:space="0"/>
              <w:bottom w:val="single" w:color="auto" w:sz="4" w:space="0"/>
              <w:right w:val="single" w:color="auto" w:sz="4" w:space="0"/>
            </w:tcBorders>
            <w:vAlign w:val="center"/>
          </w:tcPr>
          <w:p w14:paraId="77D12747">
            <w:pPr>
              <w:spacing w:line="440" w:lineRule="atLeast"/>
              <w:jc w:val="center"/>
              <w:rPr>
                <w:rFonts w:ascii="宋体" w:hAnsi="宋体"/>
                <w:szCs w:val="21"/>
                <w:highlight w:val="none"/>
              </w:rPr>
            </w:pPr>
            <w:r>
              <w:rPr>
                <w:rFonts w:hint="eastAsia" w:ascii="宋体" w:hAnsi="宋体"/>
                <w:szCs w:val="21"/>
                <w:highlight w:val="none"/>
              </w:rPr>
              <w:t>中标服务费</w:t>
            </w:r>
          </w:p>
        </w:tc>
        <w:tc>
          <w:tcPr>
            <w:tcW w:w="5534" w:type="dxa"/>
            <w:tcBorders>
              <w:top w:val="single" w:color="auto" w:sz="4" w:space="0"/>
              <w:left w:val="single" w:color="auto" w:sz="4" w:space="0"/>
              <w:bottom w:val="single" w:color="auto" w:sz="4" w:space="0"/>
              <w:right w:val="single" w:color="auto" w:sz="4" w:space="0"/>
            </w:tcBorders>
            <w:vAlign w:val="center"/>
          </w:tcPr>
          <w:p w14:paraId="6A5B9505">
            <w:pPr>
              <w:spacing w:line="440" w:lineRule="atLeast"/>
              <w:jc w:val="left"/>
              <w:rPr>
                <w:rFonts w:ascii="宋体" w:hAnsi="宋体"/>
                <w:szCs w:val="21"/>
                <w:highlight w:val="none"/>
              </w:rPr>
            </w:pPr>
            <w:r>
              <w:rPr>
                <w:rFonts w:hint="eastAsia" w:ascii="宋体" w:hAnsi="宋体"/>
                <w:szCs w:val="21"/>
                <w:highlight w:val="none"/>
              </w:rPr>
              <w:t>免收。</w:t>
            </w:r>
          </w:p>
        </w:tc>
      </w:tr>
      <w:tr w14:paraId="56D89677">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474AF06F">
            <w:pPr>
              <w:spacing w:line="440" w:lineRule="atLeast"/>
              <w:jc w:val="center"/>
              <w:rPr>
                <w:rFonts w:ascii="宋体" w:hAnsi="宋体"/>
                <w:szCs w:val="21"/>
                <w:highlight w:val="none"/>
              </w:rPr>
            </w:pPr>
            <w:r>
              <w:rPr>
                <w:rFonts w:hint="eastAsia" w:ascii="宋体" w:hAnsi="宋体"/>
                <w:szCs w:val="21"/>
                <w:highlight w:val="none"/>
              </w:rPr>
              <w:t>10.4</w:t>
            </w:r>
          </w:p>
        </w:tc>
        <w:tc>
          <w:tcPr>
            <w:tcW w:w="1980" w:type="dxa"/>
            <w:tcBorders>
              <w:top w:val="single" w:color="auto" w:sz="4" w:space="0"/>
              <w:left w:val="single" w:color="auto" w:sz="4" w:space="0"/>
              <w:bottom w:val="single" w:color="auto" w:sz="4" w:space="0"/>
              <w:right w:val="single" w:color="auto" w:sz="4" w:space="0"/>
            </w:tcBorders>
            <w:vAlign w:val="center"/>
          </w:tcPr>
          <w:p w14:paraId="799E26D5">
            <w:pPr>
              <w:spacing w:line="440" w:lineRule="atLeast"/>
              <w:jc w:val="center"/>
              <w:rPr>
                <w:rFonts w:ascii="宋体" w:hAnsi="宋体"/>
                <w:color w:val="000000"/>
                <w:szCs w:val="21"/>
                <w:highlight w:val="none"/>
              </w:rPr>
            </w:pPr>
            <w:r>
              <w:rPr>
                <w:rFonts w:hint="eastAsia" w:ascii="宋体" w:hAnsi="宋体"/>
                <w:color w:val="000000"/>
                <w:szCs w:val="21"/>
                <w:highlight w:val="none"/>
              </w:rPr>
              <w:t>解释权</w:t>
            </w:r>
          </w:p>
        </w:tc>
        <w:tc>
          <w:tcPr>
            <w:tcW w:w="5534" w:type="dxa"/>
            <w:tcBorders>
              <w:top w:val="single" w:color="auto" w:sz="4" w:space="0"/>
              <w:left w:val="single" w:color="auto" w:sz="4" w:space="0"/>
              <w:bottom w:val="single" w:color="auto" w:sz="4" w:space="0"/>
              <w:right w:val="single" w:color="auto" w:sz="4" w:space="0"/>
            </w:tcBorders>
            <w:vAlign w:val="center"/>
          </w:tcPr>
          <w:p w14:paraId="12B449C9">
            <w:pPr>
              <w:spacing w:line="440" w:lineRule="atLeast"/>
              <w:rPr>
                <w:rFonts w:ascii="宋体" w:hAnsi="宋体"/>
                <w:color w:val="000000"/>
                <w:szCs w:val="21"/>
                <w:highlight w:val="none"/>
              </w:rPr>
            </w:pPr>
            <w:r>
              <w:rPr>
                <w:rFonts w:hint="eastAsia" w:ascii="宋体" w:hAnsi="宋体"/>
                <w:color w:val="000000"/>
                <w:szCs w:val="21"/>
                <w:highlight w:val="none"/>
              </w:rPr>
              <w:t>构成本招标文件的各个组成部分应互为解释、互为说明，如有不明确或不一致，除招标文件中有特别规定外，在招标投标和评标阶段的优先解释顺序如下：按招标公告（投标邀请书）、供应商须知、评标办法、招标内容及商务技术要求、投标文件格式的先后顺序解释；同一组成部分中就同一事项的规定或约定不一致的，以编排顺序在后者为准；同一组成部分不同版本之间有不一致的，以形成时间在后者为准。按本款前述规定仍不能形成结论的，由采购人或采购代理机构负责解释。</w:t>
            </w:r>
          </w:p>
        </w:tc>
      </w:tr>
      <w:tr w14:paraId="18264618">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381AF2F5">
            <w:pPr>
              <w:spacing w:line="440" w:lineRule="atLeast"/>
              <w:jc w:val="center"/>
              <w:rPr>
                <w:rFonts w:ascii="宋体" w:hAnsi="宋体"/>
                <w:szCs w:val="21"/>
                <w:highlight w:val="none"/>
              </w:rPr>
            </w:pPr>
            <w:r>
              <w:rPr>
                <w:rFonts w:hint="eastAsia" w:ascii="宋体" w:hAnsi="宋体"/>
                <w:szCs w:val="21"/>
                <w:highlight w:val="none"/>
              </w:rPr>
              <w:t>10.5</w:t>
            </w:r>
          </w:p>
        </w:tc>
        <w:tc>
          <w:tcPr>
            <w:tcW w:w="1980" w:type="dxa"/>
            <w:tcBorders>
              <w:top w:val="single" w:color="auto" w:sz="4" w:space="0"/>
              <w:left w:val="single" w:color="auto" w:sz="4" w:space="0"/>
              <w:bottom w:val="single" w:color="auto" w:sz="4" w:space="0"/>
              <w:right w:val="single" w:color="auto" w:sz="4" w:space="0"/>
            </w:tcBorders>
            <w:vAlign w:val="center"/>
          </w:tcPr>
          <w:p w14:paraId="734DCA7F">
            <w:pPr>
              <w:spacing w:line="440" w:lineRule="atLeast"/>
              <w:jc w:val="center"/>
              <w:rPr>
                <w:rFonts w:ascii="宋体" w:hAnsi="宋体"/>
                <w:color w:val="000000"/>
                <w:szCs w:val="21"/>
                <w:highlight w:val="none"/>
              </w:rPr>
            </w:pPr>
            <w:r>
              <w:rPr>
                <w:rFonts w:hint="eastAsia" w:ascii="宋体" w:hAnsi="宋体"/>
                <w:color w:val="000000"/>
                <w:szCs w:val="21"/>
                <w:highlight w:val="none"/>
              </w:rPr>
              <w:t>业务咨询</w:t>
            </w:r>
          </w:p>
        </w:tc>
        <w:tc>
          <w:tcPr>
            <w:tcW w:w="5534" w:type="dxa"/>
            <w:tcBorders>
              <w:top w:val="single" w:color="auto" w:sz="4" w:space="0"/>
              <w:left w:val="single" w:color="auto" w:sz="4" w:space="0"/>
              <w:bottom w:val="single" w:color="auto" w:sz="4" w:space="0"/>
              <w:right w:val="single" w:color="auto" w:sz="4" w:space="0"/>
            </w:tcBorders>
            <w:vAlign w:val="center"/>
          </w:tcPr>
          <w:p w14:paraId="323EEDE7">
            <w:pPr>
              <w:spacing w:line="440" w:lineRule="atLeast"/>
              <w:rPr>
                <w:rFonts w:ascii="宋体" w:hAnsi="宋体"/>
                <w:color w:val="000000"/>
                <w:szCs w:val="21"/>
                <w:highlight w:val="none"/>
              </w:rPr>
            </w:pPr>
            <w:r>
              <w:rPr>
                <w:rFonts w:hint="eastAsia" w:ascii="宋体" w:hAnsi="宋体"/>
                <w:color w:val="000000"/>
                <w:szCs w:val="21"/>
                <w:highlight w:val="none"/>
              </w:rPr>
              <w:t>开封市政府采购中心免费提供政府采购相关业务咨询。</w:t>
            </w:r>
          </w:p>
          <w:p w14:paraId="5D490EBB">
            <w:pPr>
              <w:spacing w:line="440" w:lineRule="atLeast"/>
              <w:rPr>
                <w:rFonts w:ascii="宋体" w:hAnsi="宋体"/>
                <w:color w:val="000000"/>
                <w:szCs w:val="21"/>
                <w:highlight w:val="none"/>
              </w:rPr>
            </w:pPr>
            <w:r>
              <w:rPr>
                <w:rFonts w:hint="eastAsia" w:ascii="宋体" w:hAnsi="宋体"/>
                <w:color w:val="000000"/>
                <w:szCs w:val="21"/>
                <w:highlight w:val="none"/>
              </w:rPr>
              <w:t>电话：0371—23856102   23856103</w:t>
            </w:r>
          </w:p>
          <w:p w14:paraId="17E99A85">
            <w:pPr>
              <w:spacing w:line="440" w:lineRule="atLeast"/>
              <w:rPr>
                <w:rFonts w:ascii="宋体" w:hAnsi="宋体"/>
                <w:color w:val="000000"/>
                <w:szCs w:val="21"/>
                <w:highlight w:val="none"/>
              </w:rPr>
            </w:pPr>
            <w:r>
              <w:rPr>
                <w:rFonts w:hint="eastAsia" w:ascii="宋体" w:hAnsi="宋体"/>
                <w:color w:val="000000"/>
                <w:szCs w:val="21"/>
                <w:highlight w:val="none"/>
              </w:rPr>
              <w:t>地址：开封市郑开大道与三大街交汇处路北，开封市民之家6楼西头向北6067房间（政府采购）</w:t>
            </w:r>
          </w:p>
        </w:tc>
      </w:tr>
      <w:tr w14:paraId="25D4A421">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74484106">
            <w:pPr>
              <w:spacing w:line="440" w:lineRule="atLeast"/>
              <w:jc w:val="center"/>
              <w:rPr>
                <w:rFonts w:hint="eastAsia" w:ascii="宋体" w:hAnsi="宋体"/>
                <w:szCs w:val="21"/>
                <w:highlight w:val="none"/>
              </w:rPr>
            </w:pPr>
            <w:r>
              <w:rPr>
                <w:rFonts w:hint="eastAsia" w:ascii="宋体" w:hAnsi="宋体"/>
                <w:szCs w:val="21"/>
                <w:highlight w:val="none"/>
                <w:lang w:val="en-US" w:eastAsia="zh-CN"/>
              </w:rPr>
              <w:t>10.6</w:t>
            </w:r>
          </w:p>
        </w:tc>
        <w:tc>
          <w:tcPr>
            <w:tcW w:w="1980" w:type="dxa"/>
            <w:tcBorders>
              <w:top w:val="single" w:color="auto" w:sz="4" w:space="0"/>
              <w:left w:val="single" w:color="auto" w:sz="4" w:space="0"/>
              <w:bottom w:val="single" w:color="auto" w:sz="4" w:space="0"/>
              <w:right w:val="single" w:color="auto" w:sz="4" w:space="0"/>
            </w:tcBorders>
            <w:vAlign w:val="center"/>
          </w:tcPr>
          <w:p w14:paraId="2E97565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color w:val="000000"/>
                <w:szCs w:val="21"/>
                <w:highlight w:val="none"/>
              </w:rPr>
            </w:pPr>
            <w:r>
              <w:rPr>
                <w:rFonts w:hint="eastAsia" w:ascii="宋体" w:hAnsi="宋体" w:eastAsia="宋体" w:cs="宋体"/>
                <w:color w:val="auto"/>
                <w:kern w:val="2"/>
                <w:sz w:val="21"/>
                <w:szCs w:val="21"/>
                <w:highlight w:val="none"/>
                <w:lang w:val="en-US" w:eastAsia="zh-CN" w:bidi="ar-SA"/>
              </w:rPr>
              <w:t>分支机构</w:t>
            </w:r>
          </w:p>
        </w:tc>
        <w:tc>
          <w:tcPr>
            <w:tcW w:w="5534" w:type="dxa"/>
            <w:tcBorders>
              <w:top w:val="single" w:color="auto" w:sz="4" w:space="0"/>
              <w:left w:val="single" w:color="auto" w:sz="4" w:space="0"/>
              <w:bottom w:val="single" w:color="auto" w:sz="4" w:space="0"/>
              <w:right w:val="single" w:color="auto" w:sz="4" w:space="0"/>
            </w:tcBorders>
            <w:vAlign w:val="top"/>
          </w:tcPr>
          <w:p w14:paraId="156BEC63">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根据《中华人民共和国政府采购法实施条例》释义，银行、保险、石油石化、电力、电信等有行业特殊情况的，可以允许法人的分支机构参加投标和政府采购活动。分支机构参加投标或政府采购活动须具有其总公司（行）授权，分支机构资质按其总公司（行）授权范围认定或出具总公司的有关文件或制度等能够证明总公司授权其独立开展业务的证明。具体情况按照采购文件有关要求确定。</w:t>
            </w:r>
          </w:p>
        </w:tc>
      </w:tr>
      <w:tr w14:paraId="43832D00">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07DBA42F">
            <w:pPr>
              <w:spacing w:line="440" w:lineRule="atLeast"/>
              <w:jc w:val="center"/>
              <w:rPr>
                <w:rFonts w:hint="eastAsia" w:ascii="宋体" w:hAnsi="宋体"/>
                <w:szCs w:val="21"/>
                <w:highlight w:val="none"/>
              </w:rPr>
            </w:pPr>
            <w:r>
              <w:rPr>
                <w:rFonts w:hint="eastAsia" w:ascii="宋体" w:hAnsi="宋体"/>
                <w:szCs w:val="21"/>
                <w:highlight w:val="none"/>
                <w:lang w:val="en-US" w:eastAsia="zh-CN"/>
              </w:rPr>
              <w:t>10.7</w:t>
            </w:r>
          </w:p>
        </w:tc>
        <w:tc>
          <w:tcPr>
            <w:tcW w:w="1980" w:type="dxa"/>
            <w:tcBorders>
              <w:top w:val="single" w:color="auto" w:sz="4" w:space="0"/>
              <w:left w:val="single" w:color="auto" w:sz="4" w:space="0"/>
              <w:bottom w:val="single" w:color="auto" w:sz="4" w:space="0"/>
              <w:right w:val="single" w:color="auto" w:sz="4" w:space="0"/>
            </w:tcBorders>
            <w:vAlign w:val="center"/>
          </w:tcPr>
          <w:p w14:paraId="1C682B4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color w:val="000000"/>
                <w:szCs w:val="21"/>
                <w:highlight w:val="none"/>
              </w:rPr>
            </w:pPr>
            <w:r>
              <w:rPr>
                <w:rFonts w:hint="eastAsia" w:ascii="宋体" w:hAnsi="宋体" w:cs="宋体"/>
                <w:color w:val="auto"/>
                <w:kern w:val="2"/>
                <w:sz w:val="21"/>
                <w:szCs w:val="21"/>
                <w:highlight w:val="none"/>
                <w:lang w:val="en-US" w:eastAsia="zh-CN" w:bidi="ar-SA"/>
              </w:rPr>
              <w:t>有关说明</w:t>
            </w:r>
          </w:p>
        </w:tc>
        <w:tc>
          <w:tcPr>
            <w:tcW w:w="5534" w:type="dxa"/>
            <w:tcBorders>
              <w:top w:val="single" w:color="auto" w:sz="4" w:space="0"/>
              <w:left w:val="single" w:color="auto" w:sz="4" w:space="0"/>
              <w:bottom w:val="single" w:color="auto" w:sz="4" w:space="0"/>
              <w:right w:val="single" w:color="auto" w:sz="4" w:space="0"/>
            </w:tcBorders>
            <w:vAlign w:val="top"/>
          </w:tcPr>
          <w:p w14:paraId="699C8B29">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采购文件。为叙述方便，有时将招标文件、谈判文件、询价文件、磋商文件等泛称为采购文件。</w:t>
            </w:r>
          </w:p>
          <w:p w14:paraId="1AF8C459">
            <w:pPr>
              <w:spacing w:line="440" w:lineRule="atLeast"/>
              <w:ind w:firstLine="42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原件扫描件。要求提供的原件扫描件均应为能准确反映原件色彩原貌的彩色扫描件。</w:t>
            </w:r>
          </w:p>
        </w:tc>
      </w:tr>
      <w:tr w14:paraId="77C6B492">
        <w:tblPrEx>
          <w:tblCellMar>
            <w:top w:w="0" w:type="dxa"/>
            <w:left w:w="108" w:type="dxa"/>
            <w:bottom w:w="0" w:type="dxa"/>
            <w:right w:w="108" w:type="dxa"/>
          </w:tblCellMar>
        </w:tblPrEx>
        <w:trPr>
          <w:trHeight w:val="56" w:hRule="atLeast"/>
        </w:trPr>
        <w:tc>
          <w:tcPr>
            <w:tcW w:w="1008" w:type="dxa"/>
            <w:tcBorders>
              <w:top w:val="single" w:color="auto" w:sz="4" w:space="0"/>
              <w:left w:val="single" w:color="auto" w:sz="4" w:space="0"/>
              <w:bottom w:val="single" w:color="auto" w:sz="4" w:space="0"/>
              <w:right w:val="single" w:color="auto" w:sz="4" w:space="0"/>
            </w:tcBorders>
            <w:vAlign w:val="center"/>
          </w:tcPr>
          <w:p w14:paraId="22C76764">
            <w:pPr>
              <w:spacing w:line="440" w:lineRule="atLeast"/>
              <w:jc w:val="center"/>
              <w:rPr>
                <w:rFonts w:ascii="宋体" w:hAnsi="宋体"/>
                <w:szCs w:val="21"/>
                <w:highlight w:val="none"/>
              </w:rPr>
            </w:pPr>
            <w:r>
              <w:rPr>
                <w:rFonts w:ascii="宋体" w:hAnsi="宋体"/>
                <w:szCs w:val="21"/>
                <w:highlight w:val="none"/>
              </w:rPr>
              <w:t>…</w:t>
            </w:r>
          </w:p>
        </w:tc>
        <w:tc>
          <w:tcPr>
            <w:tcW w:w="1980" w:type="dxa"/>
            <w:tcBorders>
              <w:top w:val="single" w:color="auto" w:sz="4" w:space="0"/>
              <w:left w:val="single" w:color="auto" w:sz="4" w:space="0"/>
              <w:bottom w:val="single" w:color="auto" w:sz="4" w:space="0"/>
              <w:right w:val="single" w:color="auto" w:sz="4" w:space="0"/>
            </w:tcBorders>
            <w:vAlign w:val="center"/>
          </w:tcPr>
          <w:p w14:paraId="298A6924">
            <w:pPr>
              <w:spacing w:line="440" w:lineRule="atLeast"/>
              <w:jc w:val="center"/>
              <w:rPr>
                <w:rFonts w:ascii="宋体" w:hAnsi="宋体"/>
                <w:color w:val="000000"/>
                <w:szCs w:val="21"/>
                <w:highlight w:val="none"/>
              </w:rPr>
            </w:pPr>
            <w:r>
              <w:rPr>
                <w:rFonts w:ascii="宋体" w:hAnsi="宋体"/>
                <w:color w:val="000000"/>
                <w:szCs w:val="21"/>
                <w:highlight w:val="none"/>
              </w:rPr>
              <w:t>…</w:t>
            </w:r>
          </w:p>
        </w:tc>
        <w:tc>
          <w:tcPr>
            <w:tcW w:w="5534" w:type="dxa"/>
            <w:tcBorders>
              <w:top w:val="single" w:color="auto" w:sz="4" w:space="0"/>
              <w:left w:val="single" w:color="auto" w:sz="4" w:space="0"/>
              <w:bottom w:val="single" w:color="auto" w:sz="4" w:space="0"/>
              <w:right w:val="single" w:color="auto" w:sz="4" w:space="0"/>
            </w:tcBorders>
            <w:vAlign w:val="center"/>
          </w:tcPr>
          <w:p w14:paraId="097BE349">
            <w:pPr>
              <w:spacing w:line="440" w:lineRule="atLeast"/>
              <w:rPr>
                <w:rFonts w:ascii="宋体" w:hAnsi="宋体" w:cs="宋体"/>
                <w:color w:val="000000"/>
                <w:szCs w:val="21"/>
                <w:highlight w:val="none"/>
              </w:rPr>
            </w:pPr>
            <w:r>
              <w:rPr>
                <w:rFonts w:ascii="宋体" w:hAnsi="宋体" w:cs="宋体"/>
                <w:color w:val="000000"/>
                <w:szCs w:val="21"/>
                <w:highlight w:val="none"/>
              </w:rPr>
              <w:t>…</w:t>
            </w:r>
          </w:p>
        </w:tc>
      </w:tr>
      <w:tr w14:paraId="08E1C2F4">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1E566D9C">
            <w:pPr>
              <w:spacing w:line="440" w:lineRule="atLeast"/>
              <w:jc w:val="center"/>
              <w:rPr>
                <w:rFonts w:ascii="宋体" w:hAnsi="宋体"/>
                <w:b/>
                <w:bCs/>
                <w:color w:val="000000"/>
                <w:szCs w:val="21"/>
                <w:highlight w:val="none"/>
              </w:rPr>
            </w:pPr>
            <w:r>
              <w:rPr>
                <w:rFonts w:hint="eastAsia" w:ascii="宋体" w:hAnsi="宋体"/>
                <w:b/>
                <w:bCs/>
                <w:color w:val="000000"/>
                <w:szCs w:val="21"/>
                <w:highlight w:val="none"/>
              </w:rPr>
              <w:t>11</w:t>
            </w:r>
          </w:p>
        </w:tc>
        <w:tc>
          <w:tcPr>
            <w:tcW w:w="7514" w:type="dxa"/>
            <w:gridSpan w:val="2"/>
            <w:tcBorders>
              <w:top w:val="single" w:color="auto" w:sz="4" w:space="0"/>
              <w:left w:val="single" w:color="auto" w:sz="4" w:space="0"/>
              <w:bottom w:val="single" w:color="auto" w:sz="4" w:space="0"/>
              <w:right w:val="single" w:color="auto" w:sz="4" w:space="0"/>
            </w:tcBorders>
            <w:vAlign w:val="center"/>
          </w:tcPr>
          <w:p w14:paraId="5F28A395">
            <w:pPr>
              <w:spacing w:line="440" w:lineRule="atLeast"/>
              <w:jc w:val="center"/>
              <w:rPr>
                <w:rFonts w:ascii="宋体" w:hAnsi="宋体"/>
                <w:b/>
                <w:bCs/>
                <w:color w:val="000000"/>
                <w:szCs w:val="21"/>
                <w:highlight w:val="none"/>
              </w:rPr>
            </w:pPr>
            <w:r>
              <w:rPr>
                <w:rFonts w:hint="eastAsia" w:ascii="宋体" w:hAnsi="宋体"/>
                <w:b/>
                <w:bCs/>
                <w:color w:val="000000"/>
                <w:szCs w:val="21"/>
                <w:highlight w:val="none"/>
              </w:rPr>
              <w:t>电子招标投标</w:t>
            </w:r>
          </w:p>
        </w:tc>
      </w:tr>
      <w:tr w14:paraId="782ECA88">
        <w:tblPrEx>
          <w:tblCellMar>
            <w:top w:w="0" w:type="dxa"/>
            <w:left w:w="108" w:type="dxa"/>
            <w:bottom w:w="0" w:type="dxa"/>
            <w:right w:w="108" w:type="dxa"/>
          </w:tblCellMar>
        </w:tblPrEx>
        <w:trPr>
          <w:trHeight w:val="56" w:hRule="atLeast"/>
        </w:trPr>
        <w:tc>
          <w:tcPr>
            <w:tcW w:w="1008" w:type="dxa"/>
            <w:tcBorders>
              <w:top w:val="single" w:color="auto" w:sz="4" w:space="0"/>
              <w:left w:val="single" w:color="auto" w:sz="4" w:space="0"/>
              <w:bottom w:val="single" w:color="auto" w:sz="4" w:space="0"/>
              <w:right w:val="single" w:color="auto" w:sz="4" w:space="0"/>
            </w:tcBorders>
            <w:vAlign w:val="center"/>
          </w:tcPr>
          <w:p w14:paraId="3D8C9060">
            <w:pPr>
              <w:spacing w:line="440" w:lineRule="atLeast"/>
              <w:jc w:val="center"/>
              <w:rPr>
                <w:rFonts w:ascii="宋体" w:hAnsi="宋体"/>
                <w:color w:val="000000"/>
                <w:szCs w:val="21"/>
                <w:highlight w:val="none"/>
              </w:rPr>
            </w:pPr>
            <w:r>
              <w:rPr>
                <w:rFonts w:hint="eastAsia" w:ascii="宋体" w:hAnsi="宋体"/>
                <w:color w:val="000000"/>
                <w:szCs w:val="21"/>
                <w:highlight w:val="none"/>
              </w:rPr>
              <w:t>11.1</w:t>
            </w:r>
          </w:p>
        </w:tc>
        <w:tc>
          <w:tcPr>
            <w:tcW w:w="1980" w:type="dxa"/>
            <w:tcBorders>
              <w:top w:val="single" w:color="auto" w:sz="4" w:space="0"/>
              <w:left w:val="single" w:color="auto" w:sz="4" w:space="0"/>
              <w:bottom w:val="single" w:color="auto" w:sz="4" w:space="0"/>
              <w:right w:val="single" w:color="auto" w:sz="4" w:space="0"/>
            </w:tcBorders>
            <w:vAlign w:val="center"/>
          </w:tcPr>
          <w:p w14:paraId="11D1AE41">
            <w:pPr>
              <w:spacing w:line="440" w:lineRule="atLeast"/>
              <w:jc w:val="center"/>
              <w:rPr>
                <w:rFonts w:ascii="宋体" w:hAnsi="宋体"/>
                <w:color w:val="000000"/>
                <w:szCs w:val="21"/>
                <w:highlight w:val="none"/>
              </w:rPr>
            </w:pPr>
            <w:r>
              <w:rPr>
                <w:rFonts w:hint="eastAsia" w:ascii="宋体" w:hAnsi="宋体"/>
                <w:color w:val="000000"/>
                <w:szCs w:val="21"/>
                <w:highlight w:val="none"/>
              </w:rPr>
              <w:t>招标形式</w:t>
            </w:r>
          </w:p>
        </w:tc>
        <w:tc>
          <w:tcPr>
            <w:tcW w:w="5534" w:type="dxa"/>
            <w:tcBorders>
              <w:top w:val="single" w:color="auto" w:sz="4" w:space="0"/>
              <w:left w:val="single" w:color="auto" w:sz="4" w:space="0"/>
              <w:bottom w:val="single" w:color="auto" w:sz="4" w:space="0"/>
              <w:right w:val="single" w:color="auto" w:sz="4" w:space="0"/>
            </w:tcBorders>
            <w:vAlign w:val="center"/>
          </w:tcPr>
          <w:p w14:paraId="142C8FC4">
            <w:pPr>
              <w:spacing w:line="440" w:lineRule="atLeast"/>
              <w:ind w:firstLine="420" w:firstLineChars="200"/>
              <w:rPr>
                <w:rFonts w:ascii="宋体" w:hAnsi="宋体"/>
                <w:szCs w:val="21"/>
                <w:highlight w:val="none"/>
              </w:rPr>
            </w:pPr>
            <w:r>
              <w:rPr>
                <w:rFonts w:hint="eastAsia" w:ascii="宋体" w:hAnsi="宋体"/>
                <w:color w:val="000000"/>
                <w:szCs w:val="21"/>
                <w:highlight w:val="none"/>
              </w:rPr>
              <w:t>本项目采用电子招标投标，供应商应使用电子投标客户端编制电子投标文件并进行线上投标，供应商电子投标文件加密并加盖电子签章。</w:t>
            </w:r>
          </w:p>
        </w:tc>
      </w:tr>
      <w:tr w14:paraId="593898D3">
        <w:tblPrEx>
          <w:tblCellMar>
            <w:top w:w="0" w:type="dxa"/>
            <w:left w:w="108" w:type="dxa"/>
            <w:bottom w:w="0" w:type="dxa"/>
            <w:right w:w="108" w:type="dxa"/>
          </w:tblCellMar>
        </w:tblPrEx>
        <w:trPr>
          <w:trHeight w:val="90" w:hRule="atLeast"/>
        </w:trPr>
        <w:tc>
          <w:tcPr>
            <w:tcW w:w="1008" w:type="dxa"/>
            <w:tcBorders>
              <w:top w:val="single" w:color="auto" w:sz="4" w:space="0"/>
              <w:left w:val="single" w:color="auto" w:sz="4" w:space="0"/>
              <w:bottom w:val="single" w:color="auto" w:sz="4" w:space="0"/>
              <w:right w:val="single" w:color="auto" w:sz="4" w:space="0"/>
            </w:tcBorders>
            <w:vAlign w:val="center"/>
          </w:tcPr>
          <w:p w14:paraId="0B33AF33">
            <w:pPr>
              <w:spacing w:line="440" w:lineRule="atLeast"/>
              <w:jc w:val="center"/>
              <w:rPr>
                <w:rFonts w:ascii="宋体" w:hAnsi="宋体"/>
                <w:color w:val="000000"/>
                <w:szCs w:val="21"/>
                <w:highlight w:val="none"/>
              </w:rPr>
            </w:pPr>
            <w:r>
              <w:rPr>
                <w:rFonts w:hint="eastAsia" w:ascii="宋体" w:hAnsi="宋体"/>
                <w:color w:val="000000"/>
                <w:szCs w:val="21"/>
                <w:highlight w:val="none"/>
              </w:rPr>
              <w:t>11.2</w:t>
            </w:r>
          </w:p>
        </w:tc>
        <w:tc>
          <w:tcPr>
            <w:tcW w:w="1980" w:type="dxa"/>
            <w:tcBorders>
              <w:top w:val="single" w:color="auto" w:sz="4" w:space="0"/>
              <w:left w:val="single" w:color="auto" w:sz="4" w:space="0"/>
              <w:bottom w:val="single" w:color="auto" w:sz="4" w:space="0"/>
              <w:right w:val="single" w:color="auto" w:sz="4" w:space="0"/>
            </w:tcBorders>
            <w:vAlign w:val="center"/>
          </w:tcPr>
          <w:p w14:paraId="10289A6A">
            <w:pPr>
              <w:spacing w:line="440" w:lineRule="atLeast"/>
              <w:jc w:val="center"/>
              <w:rPr>
                <w:rFonts w:ascii="宋体" w:hAnsi="宋体"/>
                <w:color w:val="000000"/>
                <w:szCs w:val="21"/>
                <w:highlight w:val="none"/>
              </w:rPr>
            </w:pPr>
            <w:r>
              <w:rPr>
                <w:rFonts w:hint="eastAsia" w:ascii="宋体" w:hAnsi="宋体"/>
                <w:color w:val="000000"/>
                <w:szCs w:val="21"/>
                <w:highlight w:val="none"/>
              </w:rPr>
              <w:t>注意事项</w:t>
            </w:r>
          </w:p>
        </w:tc>
        <w:tc>
          <w:tcPr>
            <w:tcW w:w="5534" w:type="dxa"/>
            <w:tcBorders>
              <w:top w:val="single" w:color="auto" w:sz="4" w:space="0"/>
              <w:left w:val="single" w:color="auto" w:sz="4" w:space="0"/>
              <w:bottom w:val="single" w:color="auto" w:sz="4" w:space="0"/>
              <w:right w:val="single" w:color="auto" w:sz="4" w:space="0"/>
            </w:tcBorders>
            <w:vAlign w:val="center"/>
          </w:tcPr>
          <w:p w14:paraId="186DB259">
            <w:pPr>
              <w:spacing w:line="440" w:lineRule="atLeast"/>
              <w:ind w:firstLine="420" w:firstLineChars="200"/>
              <w:rPr>
                <w:rFonts w:ascii="宋体" w:hAnsi="宋体"/>
                <w:color w:val="000000"/>
                <w:highlight w:val="none"/>
              </w:rPr>
            </w:pPr>
            <w:r>
              <w:rPr>
                <w:rFonts w:hint="eastAsia" w:ascii="宋体" w:hAnsi="宋体"/>
                <w:szCs w:val="21"/>
                <w:highlight w:val="none"/>
              </w:rPr>
              <w:t>供应商从参与项目开始至结束，应时刻关注电子交易系统中的项目进度和状态，留意变更公告等内容，特别是项目开标后，评标委员会向供应商提出的澄清要求、报价要求等，供应商应自系统发出30分钟（另有约定的从其约定）内回复。错过重要信息者，供应商自行承担责任。</w:t>
            </w:r>
          </w:p>
        </w:tc>
      </w:tr>
      <w:tr w14:paraId="2E5CE925">
        <w:tblPrEx>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14:paraId="61014FCD">
            <w:pPr>
              <w:spacing w:line="440" w:lineRule="atLeast"/>
              <w:jc w:val="center"/>
              <w:rPr>
                <w:rFonts w:ascii="宋体" w:hAnsi="宋体"/>
                <w:szCs w:val="21"/>
                <w:highlight w:val="none"/>
              </w:rPr>
            </w:pPr>
            <w:r>
              <w:rPr>
                <w:rFonts w:ascii="宋体" w:hAnsi="宋体"/>
                <w:szCs w:val="21"/>
                <w:highlight w:val="none"/>
              </w:rPr>
              <w:t>…</w:t>
            </w:r>
          </w:p>
        </w:tc>
        <w:tc>
          <w:tcPr>
            <w:tcW w:w="7514" w:type="dxa"/>
            <w:gridSpan w:val="2"/>
            <w:tcBorders>
              <w:top w:val="single" w:color="auto" w:sz="4" w:space="0"/>
              <w:left w:val="single" w:color="auto" w:sz="4" w:space="0"/>
              <w:bottom w:val="single" w:color="auto" w:sz="4" w:space="0"/>
              <w:right w:val="single" w:color="auto" w:sz="4" w:space="0"/>
            </w:tcBorders>
            <w:vAlign w:val="center"/>
          </w:tcPr>
          <w:p w14:paraId="42A12FFC">
            <w:pPr>
              <w:spacing w:line="440" w:lineRule="atLeast"/>
              <w:jc w:val="center"/>
              <w:rPr>
                <w:rFonts w:ascii="宋体" w:hAnsi="宋体"/>
                <w:szCs w:val="21"/>
                <w:highlight w:val="none"/>
              </w:rPr>
            </w:pPr>
            <w:r>
              <w:rPr>
                <w:rFonts w:ascii="宋体" w:hAnsi="宋体"/>
                <w:szCs w:val="21"/>
                <w:highlight w:val="none"/>
              </w:rPr>
              <w:t>…</w:t>
            </w:r>
          </w:p>
        </w:tc>
      </w:tr>
    </w:tbl>
    <w:p w14:paraId="4128AAEE">
      <w:pPr>
        <w:pStyle w:val="3"/>
        <w:outlineLvl w:val="1"/>
        <w:rPr>
          <w:rFonts w:ascii="宋体" w:hAnsi="宋体" w:eastAsia="宋体"/>
          <w:highlight w:val="none"/>
        </w:rPr>
      </w:pPr>
      <w:bookmarkStart w:id="56" w:name="_Toc338840481"/>
      <w:bookmarkStart w:id="57" w:name="_Toc494526401"/>
      <w:bookmarkStart w:id="58" w:name="_Toc247085689"/>
      <w:bookmarkStart w:id="59" w:name="_Toc246996918"/>
      <w:bookmarkStart w:id="60" w:name="_Toc346523465"/>
      <w:bookmarkStart w:id="61" w:name="_Toc246996175"/>
      <w:bookmarkStart w:id="62" w:name="_Toc494093429"/>
      <w:bookmarkStart w:id="63" w:name="_Toc346523402"/>
      <w:bookmarkStart w:id="64" w:name="_Toc152042305"/>
      <w:bookmarkStart w:id="65" w:name="_Toc338840187"/>
      <w:bookmarkStart w:id="66" w:name="_Toc179632546"/>
      <w:bookmarkStart w:id="67" w:name="_Toc152045529"/>
      <w:bookmarkStart w:id="68" w:name="_Toc338840442"/>
      <w:bookmarkStart w:id="69" w:name="_Toc144974497"/>
      <w:r>
        <w:rPr>
          <w:rFonts w:hint="eastAsia" w:ascii="宋体" w:hAnsi="宋体" w:eastAsia="宋体"/>
          <w:highlight w:val="none"/>
        </w:rPr>
        <w:br w:type="page"/>
      </w:r>
      <w:bookmarkStart w:id="70" w:name="_Toc22947"/>
      <w:bookmarkStart w:id="71" w:name="_Toc18686"/>
      <w:bookmarkStart w:id="72" w:name="_Toc29445"/>
      <w:bookmarkStart w:id="73" w:name="_Toc28332"/>
      <w:bookmarkStart w:id="74" w:name="_Toc25787"/>
      <w:bookmarkStart w:id="75" w:name="_Toc17625"/>
      <w:r>
        <w:rPr>
          <w:rFonts w:hint="eastAsia" w:ascii="宋体" w:hAnsi="宋体" w:eastAsia="宋体"/>
          <w:highlight w:val="none"/>
        </w:rPr>
        <w:t>1. 总则</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139E810F">
      <w:pPr>
        <w:pStyle w:val="4"/>
        <w:outlineLvl w:val="2"/>
        <w:rPr>
          <w:rFonts w:ascii="宋体" w:hAnsi="宋体"/>
          <w:highlight w:val="none"/>
        </w:rPr>
      </w:pPr>
      <w:bookmarkStart w:id="76" w:name="_Toc144974498"/>
      <w:bookmarkStart w:id="77" w:name="_Toc247085690"/>
      <w:bookmarkStart w:id="78" w:name="_Toc179632547"/>
      <w:bookmarkStart w:id="79" w:name="_Toc246996919"/>
      <w:bookmarkStart w:id="80" w:name="_Toc246996176"/>
      <w:bookmarkStart w:id="81" w:name="_Toc152045530"/>
      <w:bookmarkStart w:id="82" w:name="_Toc152042306"/>
      <w:bookmarkStart w:id="83" w:name="_Toc338840188"/>
      <w:r>
        <w:rPr>
          <w:rFonts w:hint="eastAsia" w:ascii="宋体" w:hAnsi="宋体"/>
          <w:highlight w:val="none"/>
        </w:rPr>
        <w:t>1.1 项目概况</w:t>
      </w:r>
      <w:bookmarkEnd w:id="76"/>
      <w:bookmarkEnd w:id="77"/>
      <w:bookmarkEnd w:id="78"/>
      <w:bookmarkEnd w:id="79"/>
      <w:bookmarkEnd w:id="80"/>
      <w:bookmarkEnd w:id="81"/>
      <w:bookmarkEnd w:id="82"/>
      <w:bookmarkEnd w:id="83"/>
    </w:p>
    <w:p w14:paraId="7FA696DE">
      <w:pPr>
        <w:spacing w:line="400" w:lineRule="exact"/>
        <w:ind w:firstLine="420" w:firstLineChars="200"/>
        <w:rPr>
          <w:rFonts w:ascii="宋体" w:hAnsi="宋体"/>
          <w:highlight w:val="none"/>
        </w:rPr>
      </w:pPr>
      <w:r>
        <w:rPr>
          <w:rFonts w:hint="eastAsia" w:ascii="宋体" w:hAnsi="宋体"/>
          <w:highlight w:val="none"/>
        </w:rPr>
        <w:t>1.1.1根据《中华人民共和国政府采购法》等有关法律、法规和规章的规定，本招标项目已具备招标条件，现对本项目进行招标。</w:t>
      </w:r>
    </w:p>
    <w:p w14:paraId="53065A0E">
      <w:pPr>
        <w:spacing w:line="400" w:lineRule="exact"/>
        <w:ind w:firstLine="420" w:firstLineChars="200"/>
        <w:rPr>
          <w:rFonts w:ascii="宋体" w:hAnsi="宋体"/>
          <w:highlight w:val="none"/>
        </w:rPr>
      </w:pPr>
      <w:r>
        <w:rPr>
          <w:rFonts w:hint="eastAsia" w:ascii="宋体" w:hAnsi="宋体"/>
          <w:highlight w:val="none"/>
        </w:rPr>
        <w:t>1.1.2 本招标项目采购人：见供应商须知前附表。</w:t>
      </w:r>
    </w:p>
    <w:p w14:paraId="468862C0">
      <w:pPr>
        <w:spacing w:line="400" w:lineRule="exact"/>
        <w:ind w:firstLine="420" w:firstLineChars="200"/>
        <w:rPr>
          <w:rFonts w:ascii="宋体" w:hAnsi="宋体"/>
          <w:highlight w:val="none"/>
        </w:rPr>
      </w:pPr>
      <w:r>
        <w:rPr>
          <w:rFonts w:hint="eastAsia" w:ascii="宋体" w:hAnsi="宋体"/>
          <w:highlight w:val="none"/>
        </w:rPr>
        <w:t>1.1.3 本招标项目采购代理机构：见供应商须知前附表。</w:t>
      </w:r>
    </w:p>
    <w:p w14:paraId="5B57F462">
      <w:pPr>
        <w:spacing w:line="400" w:lineRule="exact"/>
        <w:ind w:firstLine="420" w:firstLineChars="200"/>
        <w:rPr>
          <w:rFonts w:ascii="宋体" w:hAnsi="宋体"/>
          <w:highlight w:val="none"/>
        </w:rPr>
      </w:pPr>
      <w:r>
        <w:rPr>
          <w:rFonts w:hint="eastAsia" w:ascii="宋体" w:hAnsi="宋体"/>
          <w:highlight w:val="none"/>
        </w:rPr>
        <w:t>1.1.4 本招标项目名称：见供应商须知前附表。</w:t>
      </w:r>
    </w:p>
    <w:p w14:paraId="1E219B62">
      <w:pPr>
        <w:spacing w:line="400" w:lineRule="exact"/>
        <w:ind w:firstLine="420" w:firstLineChars="200"/>
        <w:rPr>
          <w:rFonts w:ascii="宋体" w:hAnsi="宋体"/>
          <w:highlight w:val="none"/>
        </w:rPr>
      </w:pPr>
      <w:r>
        <w:rPr>
          <w:rFonts w:hint="eastAsia" w:ascii="宋体" w:hAnsi="宋体"/>
          <w:highlight w:val="none"/>
        </w:rPr>
        <w:t>1.1.5 本招标项目</w:t>
      </w:r>
      <w:r>
        <w:rPr>
          <w:rFonts w:hint="eastAsia" w:ascii="宋体" w:hAnsi="宋体"/>
          <w:szCs w:val="21"/>
          <w:highlight w:val="none"/>
        </w:rPr>
        <w:t>合同履行地点</w:t>
      </w:r>
      <w:r>
        <w:rPr>
          <w:rFonts w:hint="eastAsia" w:ascii="宋体" w:hAnsi="宋体"/>
          <w:highlight w:val="none"/>
        </w:rPr>
        <w:t>：见供应商须知前附表。</w:t>
      </w:r>
    </w:p>
    <w:p w14:paraId="03B06AD4">
      <w:pPr>
        <w:pStyle w:val="4"/>
        <w:outlineLvl w:val="2"/>
        <w:rPr>
          <w:rFonts w:ascii="宋体" w:hAnsi="宋体"/>
          <w:highlight w:val="none"/>
        </w:rPr>
      </w:pPr>
      <w:bookmarkStart w:id="84" w:name="_Toc179632548"/>
      <w:bookmarkStart w:id="85" w:name="_Toc152045531"/>
      <w:bookmarkStart w:id="86" w:name="_Toc247085691"/>
      <w:bookmarkStart w:id="87" w:name="_Toc246996920"/>
      <w:bookmarkStart w:id="88" w:name="_Toc338840189"/>
      <w:bookmarkStart w:id="89" w:name="_Toc152042307"/>
      <w:bookmarkStart w:id="90" w:name="_Toc144974499"/>
      <w:bookmarkStart w:id="91" w:name="_Toc246996177"/>
      <w:r>
        <w:rPr>
          <w:rFonts w:hint="eastAsia" w:ascii="宋体" w:hAnsi="宋体"/>
          <w:highlight w:val="none"/>
        </w:rPr>
        <w:t>1.2 资金来源和落实情况</w:t>
      </w:r>
      <w:bookmarkEnd w:id="84"/>
      <w:bookmarkEnd w:id="85"/>
      <w:bookmarkEnd w:id="86"/>
      <w:bookmarkEnd w:id="87"/>
      <w:bookmarkEnd w:id="88"/>
      <w:bookmarkEnd w:id="89"/>
      <w:bookmarkEnd w:id="90"/>
      <w:bookmarkEnd w:id="91"/>
    </w:p>
    <w:p w14:paraId="21EF8C4C">
      <w:pPr>
        <w:spacing w:line="400" w:lineRule="exact"/>
        <w:ind w:firstLine="420" w:firstLineChars="200"/>
        <w:rPr>
          <w:rFonts w:ascii="宋体" w:hAnsi="宋体"/>
          <w:highlight w:val="none"/>
        </w:rPr>
      </w:pPr>
      <w:r>
        <w:rPr>
          <w:rFonts w:hint="eastAsia" w:ascii="宋体" w:hAnsi="宋体"/>
          <w:highlight w:val="none"/>
        </w:rPr>
        <w:t>1.2.1 本招标项目的资金来源及出资比例：见供应商须知前附表。</w:t>
      </w:r>
    </w:p>
    <w:p w14:paraId="73C1A9A4">
      <w:pPr>
        <w:spacing w:line="400" w:lineRule="exact"/>
        <w:ind w:firstLine="420" w:firstLineChars="200"/>
        <w:outlineLvl w:val="3"/>
        <w:rPr>
          <w:rFonts w:ascii="宋体" w:hAnsi="宋体"/>
          <w:highlight w:val="none"/>
        </w:rPr>
      </w:pPr>
      <w:r>
        <w:rPr>
          <w:rFonts w:hint="eastAsia" w:ascii="宋体" w:hAnsi="宋体"/>
          <w:highlight w:val="none"/>
        </w:rPr>
        <w:t>1.2.2 本招标项目的资金落实情况：见供应商须知前附表。</w:t>
      </w:r>
    </w:p>
    <w:p w14:paraId="44C1F40B">
      <w:pPr>
        <w:pStyle w:val="4"/>
        <w:outlineLvl w:val="2"/>
        <w:rPr>
          <w:rFonts w:ascii="宋体" w:hAnsi="宋体"/>
          <w:highlight w:val="none"/>
        </w:rPr>
      </w:pPr>
      <w:bookmarkStart w:id="92" w:name="_Toc247085692"/>
      <w:bookmarkStart w:id="93" w:name="_Toc179632549"/>
      <w:bookmarkStart w:id="94" w:name="_Toc338840190"/>
      <w:bookmarkStart w:id="95" w:name="_Toc144974500"/>
      <w:bookmarkStart w:id="96" w:name="_Toc152045532"/>
      <w:bookmarkStart w:id="97" w:name="_Toc246996178"/>
      <w:bookmarkStart w:id="98" w:name="_Toc152042308"/>
      <w:bookmarkStart w:id="99" w:name="_Toc246996921"/>
      <w:r>
        <w:rPr>
          <w:rFonts w:hint="eastAsia" w:ascii="宋体" w:hAnsi="宋体"/>
          <w:highlight w:val="none"/>
        </w:rPr>
        <w:t>1.3 招标范围、合同履行期限、质量要求</w:t>
      </w:r>
      <w:bookmarkEnd w:id="92"/>
      <w:bookmarkEnd w:id="93"/>
      <w:bookmarkEnd w:id="94"/>
      <w:bookmarkEnd w:id="95"/>
      <w:bookmarkEnd w:id="96"/>
      <w:bookmarkEnd w:id="97"/>
      <w:bookmarkEnd w:id="98"/>
      <w:bookmarkEnd w:id="99"/>
    </w:p>
    <w:p w14:paraId="0A44B297">
      <w:pPr>
        <w:spacing w:line="400" w:lineRule="exact"/>
        <w:ind w:firstLine="420" w:firstLineChars="200"/>
        <w:rPr>
          <w:rFonts w:ascii="宋体" w:hAnsi="宋体"/>
          <w:highlight w:val="none"/>
        </w:rPr>
      </w:pPr>
      <w:r>
        <w:rPr>
          <w:rFonts w:hint="eastAsia" w:ascii="宋体" w:hAnsi="宋体"/>
          <w:highlight w:val="none"/>
        </w:rPr>
        <w:t>1.3.1 本次招标范围：见供应商须知前附表。</w:t>
      </w:r>
    </w:p>
    <w:p w14:paraId="3A231211">
      <w:pPr>
        <w:spacing w:line="400" w:lineRule="exact"/>
        <w:ind w:firstLine="420" w:firstLineChars="200"/>
        <w:rPr>
          <w:rFonts w:ascii="宋体" w:hAnsi="宋体"/>
          <w:highlight w:val="none"/>
        </w:rPr>
      </w:pPr>
      <w:r>
        <w:rPr>
          <w:rFonts w:hint="eastAsia" w:ascii="宋体" w:hAnsi="宋体"/>
          <w:highlight w:val="none"/>
        </w:rPr>
        <w:t>1.3.2 本招标项目的合同履行期限：见供应商须知前附表。</w:t>
      </w:r>
    </w:p>
    <w:p w14:paraId="50C8C2F9">
      <w:pPr>
        <w:spacing w:line="400" w:lineRule="exact"/>
        <w:ind w:firstLine="420" w:firstLineChars="200"/>
        <w:rPr>
          <w:rFonts w:ascii="宋体" w:hAnsi="宋体"/>
          <w:highlight w:val="none"/>
        </w:rPr>
      </w:pPr>
      <w:r>
        <w:rPr>
          <w:rFonts w:hint="eastAsia" w:ascii="宋体" w:hAnsi="宋体"/>
          <w:highlight w:val="none"/>
        </w:rPr>
        <w:t>1.3.3 本招标项目的质量要求：见供应商须知前附表。</w:t>
      </w:r>
    </w:p>
    <w:p w14:paraId="266D553E">
      <w:pPr>
        <w:spacing w:line="400" w:lineRule="exact"/>
        <w:ind w:firstLine="420" w:firstLineChars="200"/>
        <w:rPr>
          <w:rFonts w:ascii="宋体" w:hAnsi="宋体"/>
          <w:highlight w:val="none"/>
        </w:rPr>
      </w:pPr>
      <w:r>
        <w:rPr>
          <w:rFonts w:hint="eastAsia" w:ascii="宋体" w:hAnsi="宋体"/>
          <w:highlight w:val="none"/>
        </w:rPr>
        <w:t>1.3.4本招标项目的质量保证期：见供应商须知前附表。</w:t>
      </w:r>
    </w:p>
    <w:p w14:paraId="1B9B36C1">
      <w:pPr>
        <w:pStyle w:val="4"/>
        <w:outlineLvl w:val="2"/>
        <w:rPr>
          <w:rFonts w:ascii="宋体" w:hAnsi="宋体"/>
          <w:highlight w:val="none"/>
        </w:rPr>
      </w:pPr>
      <w:bookmarkStart w:id="100" w:name="_Toc338840191"/>
      <w:bookmarkStart w:id="101" w:name="_Toc152042310"/>
      <w:bookmarkStart w:id="102" w:name="_Toc152045534"/>
      <w:bookmarkStart w:id="103" w:name="_Toc246996179"/>
      <w:bookmarkStart w:id="104" w:name="_Toc247085693"/>
      <w:bookmarkStart w:id="105" w:name="_Toc144974502"/>
      <w:bookmarkStart w:id="106" w:name="_Toc246996922"/>
      <w:bookmarkStart w:id="107" w:name="_Toc179632551"/>
      <w:r>
        <w:rPr>
          <w:rFonts w:hint="eastAsia" w:ascii="宋体" w:hAnsi="宋体"/>
          <w:highlight w:val="none"/>
        </w:rPr>
        <w:t>1.4 供应商资格要求</w:t>
      </w:r>
      <w:bookmarkEnd w:id="100"/>
      <w:bookmarkEnd w:id="101"/>
      <w:bookmarkEnd w:id="102"/>
      <w:bookmarkEnd w:id="103"/>
      <w:bookmarkEnd w:id="104"/>
      <w:bookmarkEnd w:id="105"/>
      <w:bookmarkEnd w:id="106"/>
      <w:bookmarkEnd w:id="107"/>
    </w:p>
    <w:p w14:paraId="3206D836">
      <w:pPr>
        <w:spacing w:line="400" w:lineRule="exact"/>
        <w:ind w:firstLine="359" w:firstLineChars="171"/>
        <w:rPr>
          <w:rFonts w:ascii="宋体" w:hAnsi="宋体"/>
          <w:highlight w:val="none"/>
        </w:rPr>
      </w:pPr>
      <w:r>
        <w:rPr>
          <w:rFonts w:hint="eastAsia" w:ascii="宋体" w:hAnsi="宋体"/>
          <w:highlight w:val="none"/>
        </w:rPr>
        <w:t>1.4.1 供应商应具备承担本项目的资格条件。见供应商须知前附表；</w:t>
      </w:r>
    </w:p>
    <w:p w14:paraId="272FAB2E">
      <w:pPr>
        <w:spacing w:line="400" w:lineRule="exact"/>
        <w:ind w:firstLine="359" w:firstLineChars="171"/>
        <w:outlineLvl w:val="3"/>
        <w:rPr>
          <w:rFonts w:ascii="宋体" w:hAnsi="宋体"/>
          <w:highlight w:val="none"/>
        </w:rPr>
      </w:pPr>
      <w:r>
        <w:rPr>
          <w:rFonts w:hint="eastAsia" w:ascii="宋体" w:hAnsi="宋体"/>
          <w:highlight w:val="none"/>
        </w:rPr>
        <w:t>1.4.2 供应商不得存在下列情形之一：</w:t>
      </w:r>
    </w:p>
    <w:p w14:paraId="5CC2FCF5">
      <w:pPr>
        <w:spacing w:line="400" w:lineRule="exact"/>
        <w:ind w:firstLine="359" w:firstLineChars="171"/>
        <w:rPr>
          <w:rFonts w:ascii="宋体" w:hAnsi="宋体"/>
          <w:highlight w:val="none"/>
        </w:rPr>
      </w:pPr>
      <w:r>
        <w:rPr>
          <w:rFonts w:hint="eastAsia" w:ascii="宋体" w:hAnsi="宋体"/>
          <w:highlight w:val="none"/>
        </w:rPr>
        <w:t>（1）为采购人不具有独立法人资格的附属机构（单位）；</w:t>
      </w:r>
    </w:p>
    <w:p w14:paraId="56B78D90">
      <w:pPr>
        <w:spacing w:line="400" w:lineRule="exact"/>
        <w:ind w:firstLine="359" w:firstLineChars="171"/>
        <w:rPr>
          <w:rFonts w:ascii="宋体" w:hAnsi="宋体"/>
          <w:highlight w:val="none"/>
        </w:rPr>
      </w:pPr>
      <w:r>
        <w:rPr>
          <w:rFonts w:hint="eastAsia" w:ascii="宋体" w:hAnsi="宋体"/>
          <w:highlight w:val="none"/>
        </w:rPr>
        <w:t xml:space="preserve">（2）为本招标项目前期准备提供专业设计或专业咨询服务的； </w:t>
      </w:r>
    </w:p>
    <w:p w14:paraId="6BC95030">
      <w:pPr>
        <w:spacing w:line="400" w:lineRule="exact"/>
        <w:ind w:firstLine="359" w:firstLineChars="171"/>
        <w:rPr>
          <w:rFonts w:ascii="宋体" w:hAnsi="宋体"/>
          <w:highlight w:val="none"/>
        </w:rPr>
      </w:pPr>
      <w:r>
        <w:rPr>
          <w:rFonts w:hint="eastAsia" w:ascii="宋体" w:hAnsi="宋体"/>
          <w:highlight w:val="none"/>
        </w:rPr>
        <w:t>（3）为本招标项目提供招标代理服务的；</w:t>
      </w:r>
    </w:p>
    <w:p w14:paraId="6FD556EA">
      <w:pPr>
        <w:spacing w:line="400" w:lineRule="exact"/>
        <w:ind w:firstLine="359" w:firstLineChars="171"/>
        <w:rPr>
          <w:rFonts w:ascii="宋体" w:hAnsi="宋体"/>
          <w:highlight w:val="none"/>
        </w:rPr>
      </w:pPr>
      <w:r>
        <w:rPr>
          <w:rFonts w:hint="eastAsia" w:ascii="宋体" w:hAnsi="宋体"/>
          <w:highlight w:val="none"/>
        </w:rPr>
        <w:t>（4）被责令停业的；</w:t>
      </w:r>
    </w:p>
    <w:p w14:paraId="4FA87485">
      <w:pPr>
        <w:spacing w:line="400" w:lineRule="exact"/>
        <w:ind w:firstLine="359" w:firstLineChars="171"/>
        <w:rPr>
          <w:rFonts w:ascii="宋体" w:hAnsi="宋体"/>
          <w:highlight w:val="none"/>
        </w:rPr>
      </w:pPr>
      <w:r>
        <w:rPr>
          <w:rFonts w:hint="eastAsia" w:ascii="宋体" w:hAnsi="宋体"/>
          <w:highlight w:val="none"/>
        </w:rPr>
        <w:t>（5）被暂停或取消投标资格的；</w:t>
      </w:r>
    </w:p>
    <w:p w14:paraId="2C9E3987">
      <w:pPr>
        <w:spacing w:line="400" w:lineRule="exact"/>
        <w:ind w:firstLine="359" w:firstLineChars="171"/>
        <w:rPr>
          <w:rFonts w:ascii="宋体" w:hAnsi="宋体"/>
          <w:highlight w:val="none"/>
        </w:rPr>
      </w:pPr>
      <w:r>
        <w:rPr>
          <w:rFonts w:hint="eastAsia" w:ascii="宋体" w:hAnsi="宋体"/>
          <w:highlight w:val="none"/>
        </w:rPr>
        <w:t>（6）财产被接管或冻结的；</w:t>
      </w:r>
    </w:p>
    <w:p w14:paraId="7DD7C3BE">
      <w:pPr>
        <w:spacing w:line="400" w:lineRule="exact"/>
        <w:ind w:firstLine="359" w:firstLineChars="171"/>
        <w:rPr>
          <w:rFonts w:ascii="宋体" w:hAnsi="宋体"/>
          <w:highlight w:val="none"/>
        </w:rPr>
      </w:pPr>
      <w:r>
        <w:rPr>
          <w:rFonts w:hint="eastAsia" w:ascii="宋体" w:hAnsi="宋体"/>
          <w:highlight w:val="none"/>
        </w:rPr>
        <w:t>（7）在最近三年内有骗取中标或严重违约或重大质量问题的。</w:t>
      </w:r>
    </w:p>
    <w:p w14:paraId="55FBE47A">
      <w:pPr>
        <w:pStyle w:val="4"/>
        <w:outlineLvl w:val="2"/>
        <w:rPr>
          <w:rFonts w:ascii="宋体" w:hAnsi="宋体"/>
          <w:highlight w:val="none"/>
        </w:rPr>
      </w:pPr>
      <w:bookmarkStart w:id="108" w:name="_Toc144974503"/>
      <w:bookmarkStart w:id="109" w:name="_Toc247085694"/>
      <w:bookmarkStart w:id="110" w:name="_Toc152042311"/>
      <w:bookmarkStart w:id="111" w:name="_Toc246996180"/>
      <w:bookmarkStart w:id="112" w:name="_Toc338840192"/>
      <w:bookmarkStart w:id="113" w:name="_Toc179632552"/>
      <w:bookmarkStart w:id="114" w:name="_Toc246996923"/>
      <w:bookmarkStart w:id="115" w:name="_Toc152045535"/>
      <w:r>
        <w:rPr>
          <w:rFonts w:hint="eastAsia" w:ascii="宋体" w:hAnsi="宋体"/>
          <w:highlight w:val="none"/>
        </w:rPr>
        <w:t>1.5 费用承担</w:t>
      </w:r>
      <w:bookmarkEnd w:id="108"/>
      <w:bookmarkEnd w:id="109"/>
      <w:bookmarkEnd w:id="110"/>
      <w:bookmarkEnd w:id="111"/>
      <w:bookmarkEnd w:id="112"/>
      <w:bookmarkEnd w:id="113"/>
      <w:bookmarkEnd w:id="114"/>
      <w:bookmarkEnd w:id="115"/>
    </w:p>
    <w:p w14:paraId="4B6CD0DD">
      <w:pPr>
        <w:spacing w:line="400" w:lineRule="exact"/>
        <w:ind w:firstLine="420" w:firstLineChars="200"/>
        <w:rPr>
          <w:rFonts w:ascii="宋体" w:hAnsi="宋体"/>
          <w:highlight w:val="none"/>
        </w:rPr>
      </w:pPr>
      <w:r>
        <w:rPr>
          <w:rFonts w:hint="eastAsia" w:ascii="宋体" w:hAnsi="宋体"/>
          <w:highlight w:val="none"/>
        </w:rPr>
        <w:t>供应商准备和参加投标活动发生的费用自理。</w:t>
      </w:r>
    </w:p>
    <w:p w14:paraId="288538D6">
      <w:pPr>
        <w:pStyle w:val="4"/>
        <w:outlineLvl w:val="2"/>
        <w:rPr>
          <w:rFonts w:ascii="宋体" w:hAnsi="宋体"/>
          <w:highlight w:val="none"/>
        </w:rPr>
      </w:pPr>
      <w:bookmarkStart w:id="116" w:name="_Toc338840193"/>
      <w:bookmarkStart w:id="117" w:name="_Toc152042312"/>
      <w:bookmarkStart w:id="118" w:name="_Toc152045536"/>
      <w:bookmarkStart w:id="119" w:name="_Toc247085695"/>
      <w:bookmarkStart w:id="120" w:name="_Toc144974504"/>
      <w:bookmarkStart w:id="121" w:name="_Toc246996181"/>
      <w:bookmarkStart w:id="122" w:name="_Toc246996924"/>
      <w:bookmarkStart w:id="123" w:name="_Toc179632553"/>
      <w:r>
        <w:rPr>
          <w:rFonts w:hint="eastAsia" w:ascii="宋体" w:hAnsi="宋体"/>
          <w:highlight w:val="none"/>
        </w:rPr>
        <w:t>1.6 保密</w:t>
      </w:r>
      <w:bookmarkEnd w:id="116"/>
      <w:bookmarkEnd w:id="117"/>
      <w:bookmarkEnd w:id="118"/>
      <w:bookmarkEnd w:id="119"/>
      <w:bookmarkEnd w:id="120"/>
      <w:bookmarkEnd w:id="121"/>
      <w:bookmarkEnd w:id="122"/>
      <w:bookmarkEnd w:id="123"/>
    </w:p>
    <w:p w14:paraId="54676A1E">
      <w:pPr>
        <w:spacing w:line="400" w:lineRule="exact"/>
        <w:ind w:firstLine="420" w:firstLineChars="200"/>
        <w:rPr>
          <w:rFonts w:ascii="宋体" w:hAnsi="宋体"/>
          <w:highlight w:val="none"/>
        </w:rPr>
      </w:pPr>
      <w:r>
        <w:rPr>
          <w:rFonts w:hint="eastAsia" w:ascii="宋体" w:hAnsi="宋体"/>
          <w:highlight w:val="none"/>
        </w:rPr>
        <w:t xml:space="preserve">参与招标投标活动的各方应对招标文件和投标文件中的商业和技术等秘密保密，违者应对由此造成的后果承担法律责任。 </w:t>
      </w:r>
    </w:p>
    <w:p w14:paraId="5AB646DA">
      <w:pPr>
        <w:pStyle w:val="4"/>
        <w:outlineLvl w:val="2"/>
        <w:rPr>
          <w:rFonts w:ascii="宋体" w:hAnsi="宋体"/>
          <w:highlight w:val="none"/>
        </w:rPr>
      </w:pPr>
      <w:bookmarkStart w:id="124" w:name="_Toc144974505"/>
      <w:bookmarkStart w:id="125" w:name="_Toc247085696"/>
      <w:bookmarkStart w:id="126" w:name="_Toc338840194"/>
      <w:bookmarkStart w:id="127" w:name="_Toc246996925"/>
      <w:bookmarkStart w:id="128" w:name="_Toc152045537"/>
      <w:bookmarkStart w:id="129" w:name="_Toc246996182"/>
      <w:bookmarkStart w:id="130" w:name="_Toc179632554"/>
      <w:bookmarkStart w:id="131" w:name="_Toc152042313"/>
      <w:r>
        <w:rPr>
          <w:rFonts w:hint="eastAsia" w:ascii="宋体" w:hAnsi="宋体"/>
          <w:highlight w:val="none"/>
        </w:rPr>
        <w:t>1.7 语言</w:t>
      </w:r>
      <w:bookmarkEnd w:id="124"/>
      <w:r>
        <w:rPr>
          <w:rFonts w:hint="eastAsia" w:ascii="宋体" w:hAnsi="宋体"/>
          <w:highlight w:val="none"/>
        </w:rPr>
        <w:t>文字</w:t>
      </w:r>
      <w:bookmarkEnd w:id="125"/>
      <w:bookmarkEnd w:id="126"/>
      <w:bookmarkEnd w:id="127"/>
      <w:bookmarkEnd w:id="128"/>
      <w:bookmarkEnd w:id="129"/>
      <w:bookmarkEnd w:id="130"/>
      <w:bookmarkEnd w:id="131"/>
    </w:p>
    <w:p w14:paraId="2DDD3081">
      <w:pPr>
        <w:spacing w:line="400" w:lineRule="exact"/>
        <w:ind w:firstLine="420" w:firstLineChars="200"/>
        <w:rPr>
          <w:rFonts w:ascii="宋体" w:hAnsi="宋体"/>
          <w:highlight w:val="none"/>
        </w:rPr>
      </w:pPr>
      <w:bookmarkStart w:id="132" w:name="_Toc152042314"/>
      <w:bookmarkStart w:id="133" w:name="_Toc246996926"/>
      <w:bookmarkStart w:id="134" w:name="_Toc246996183"/>
      <w:bookmarkStart w:id="135" w:name="_Toc179632555"/>
      <w:bookmarkStart w:id="136" w:name="_Toc144974506"/>
      <w:bookmarkStart w:id="137" w:name="_Toc152045538"/>
      <w:bookmarkStart w:id="138" w:name="_Toc247085697"/>
      <w:r>
        <w:rPr>
          <w:rFonts w:hint="eastAsia" w:ascii="宋体" w:hAnsi="宋体"/>
          <w:highlight w:val="none"/>
        </w:rPr>
        <w:t>招标投标文件使用的语言文字为中文。专用术语使用外文的，应附有中文注释。证书证件应使用中文版本，无中文版本的应附相应的中文注释。</w:t>
      </w:r>
    </w:p>
    <w:p w14:paraId="031B9C07">
      <w:pPr>
        <w:pStyle w:val="4"/>
        <w:outlineLvl w:val="2"/>
        <w:rPr>
          <w:rFonts w:ascii="宋体" w:hAnsi="宋体"/>
          <w:highlight w:val="none"/>
        </w:rPr>
      </w:pPr>
      <w:bookmarkStart w:id="139" w:name="_Toc338840195"/>
      <w:r>
        <w:rPr>
          <w:rFonts w:hint="eastAsia" w:ascii="宋体" w:hAnsi="宋体"/>
          <w:highlight w:val="none"/>
        </w:rPr>
        <w:t>1.8 计量单位</w:t>
      </w:r>
      <w:bookmarkEnd w:id="132"/>
      <w:bookmarkEnd w:id="133"/>
      <w:bookmarkEnd w:id="134"/>
      <w:bookmarkEnd w:id="135"/>
      <w:bookmarkEnd w:id="136"/>
      <w:bookmarkEnd w:id="137"/>
      <w:bookmarkEnd w:id="138"/>
      <w:bookmarkEnd w:id="139"/>
    </w:p>
    <w:p w14:paraId="5E69C7F6">
      <w:pPr>
        <w:spacing w:line="400" w:lineRule="exact"/>
        <w:ind w:firstLine="420" w:firstLineChars="200"/>
        <w:rPr>
          <w:rFonts w:ascii="宋体" w:hAnsi="宋体"/>
          <w:highlight w:val="none"/>
        </w:rPr>
      </w:pPr>
      <w:r>
        <w:rPr>
          <w:rFonts w:hint="eastAsia" w:ascii="宋体" w:hAnsi="宋体"/>
          <w:highlight w:val="none"/>
        </w:rPr>
        <w:t>所有计量均采用中华人民共和国法定计量单位。</w:t>
      </w:r>
    </w:p>
    <w:p w14:paraId="79B887AA">
      <w:pPr>
        <w:pStyle w:val="4"/>
        <w:outlineLvl w:val="2"/>
        <w:rPr>
          <w:rFonts w:ascii="宋体" w:hAnsi="宋体"/>
          <w:highlight w:val="none"/>
        </w:rPr>
      </w:pPr>
      <w:bookmarkStart w:id="140" w:name="_Toc247527563"/>
      <w:bookmarkStart w:id="141" w:name="_Toc247513962"/>
      <w:bookmarkStart w:id="142" w:name="_Toc247592876"/>
      <w:bookmarkStart w:id="143" w:name="_Toc144974507"/>
      <w:bookmarkStart w:id="144" w:name="_Toc152045539"/>
      <w:bookmarkStart w:id="145" w:name="_Toc338840196"/>
      <w:bookmarkStart w:id="146" w:name="_Toc152042315"/>
      <w:r>
        <w:rPr>
          <w:rFonts w:hint="eastAsia" w:ascii="宋体" w:hAnsi="宋体"/>
          <w:highlight w:val="none"/>
        </w:rPr>
        <w:t>1.9 踏勘现场</w:t>
      </w:r>
      <w:bookmarkEnd w:id="140"/>
      <w:bookmarkEnd w:id="141"/>
      <w:bookmarkEnd w:id="142"/>
      <w:bookmarkEnd w:id="143"/>
      <w:bookmarkEnd w:id="144"/>
      <w:bookmarkEnd w:id="145"/>
      <w:bookmarkEnd w:id="146"/>
    </w:p>
    <w:p w14:paraId="3604CF8B">
      <w:pPr>
        <w:spacing w:line="400" w:lineRule="exact"/>
        <w:ind w:firstLine="420" w:firstLineChars="200"/>
        <w:rPr>
          <w:rFonts w:ascii="宋体" w:hAnsi="宋体"/>
          <w:highlight w:val="none"/>
        </w:rPr>
      </w:pPr>
      <w:r>
        <w:rPr>
          <w:rFonts w:hint="eastAsia" w:ascii="宋体" w:hAnsi="宋体"/>
          <w:highlight w:val="none"/>
        </w:rPr>
        <w:t xml:space="preserve">1.9.1 供应商须知前附表规定组织踏勘现场的，采购人按供应商须知前附表规定的时间、地点组织供应商踏勘项目现场。 </w:t>
      </w:r>
    </w:p>
    <w:p w14:paraId="34A78289">
      <w:pPr>
        <w:spacing w:line="400" w:lineRule="exact"/>
        <w:ind w:firstLine="420" w:firstLineChars="200"/>
        <w:outlineLvl w:val="3"/>
        <w:rPr>
          <w:rFonts w:ascii="宋体" w:hAnsi="宋体"/>
          <w:highlight w:val="none"/>
        </w:rPr>
      </w:pPr>
      <w:r>
        <w:rPr>
          <w:rFonts w:hint="eastAsia" w:ascii="宋体" w:hAnsi="宋体"/>
          <w:highlight w:val="none"/>
        </w:rPr>
        <w:t>1.9.2 供应商踏勘现场发生的费用自理。</w:t>
      </w:r>
    </w:p>
    <w:p w14:paraId="524C0E93">
      <w:pPr>
        <w:spacing w:line="400" w:lineRule="exact"/>
        <w:ind w:firstLine="420" w:firstLineChars="200"/>
        <w:rPr>
          <w:rFonts w:ascii="宋体" w:hAnsi="宋体"/>
          <w:highlight w:val="none"/>
        </w:rPr>
      </w:pPr>
      <w:r>
        <w:rPr>
          <w:rFonts w:hint="eastAsia" w:ascii="宋体" w:hAnsi="宋体"/>
          <w:highlight w:val="none"/>
        </w:rPr>
        <w:t>1.9.3 除采购人的原因外，供应商自行负责在踏勘现场中所发生的人员伤亡和财产损失。</w:t>
      </w:r>
    </w:p>
    <w:p w14:paraId="5558947D">
      <w:pPr>
        <w:spacing w:line="400" w:lineRule="exact"/>
        <w:ind w:firstLine="420" w:firstLineChars="200"/>
        <w:rPr>
          <w:rFonts w:ascii="宋体" w:hAnsi="宋体"/>
          <w:highlight w:val="none"/>
        </w:rPr>
      </w:pPr>
      <w:r>
        <w:rPr>
          <w:rFonts w:hint="eastAsia" w:ascii="宋体" w:hAnsi="宋体"/>
          <w:highlight w:val="none"/>
        </w:rPr>
        <w:t>1.9.4 采购人在踏勘现场中介绍的有关情况和相关的周边环境情况，供应商在编制投标文件时参考，采购人不对供应商据此作出的判断和决策负责。</w:t>
      </w:r>
    </w:p>
    <w:p w14:paraId="5F29EDF6">
      <w:pPr>
        <w:pStyle w:val="4"/>
        <w:outlineLvl w:val="2"/>
        <w:rPr>
          <w:rFonts w:ascii="宋体" w:hAnsi="宋体"/>
          <w:highlight w:val="none"/>
        </w:rPr>
      </w:pPr>
      <w:bookmarkStart w:id="147" w:name="_Toc247513963"/>
      <w:bookmarkStart w:id="148" w:name="_Toc152042316"/>
      <w:bookmarkStart w:id="149" w:name="_Toc144974508"/>
      <w:bookmarkStart w:id="150" w:name="_Toc247527564"/>
      <w:bookmarkStart w:id="151" w:name="_Toc152045540"/>
      <w:bookmarkStart w:id="152" w:name="_Toc247592877"/>
      <w:bookmarkStart w:id="153" w:name="_Toc338840197"/>
      <w:r>
        <w:rPr>
          <w:rFonts w:hint="eastAsia" w:ascii="宋体" w:hAnsi="宋体"/>
          <w:highlight w:val="none"/>
        </w:rPr>
        <w:t>1.10 投标预备会</w:t>
      </w:r>
      <w:bookmarkEnd w:id="147"/>
      <w:bookmarkEnd w:id="148"/>
      <w:bookmarkEnd w:id="149"/>
      <w:bookmarkEnd w:id="150"/>
      <w:bookmarkEnd w:id="151"/>
      <w:bookmarkEnd w:id="152"/>
      <w:bookmarkEnd w:id="153"/>
    </w:p>
    <w:p w14:paraId="6BD299AB">
      <w:pPr>
        <w:spacing w:line="400" w:lineRule="exact"/>
        <w:ind w:firstLine="420" w:firstLineChars="200"/>
        <w:rPr>
          <w:rFonts w:ascii="宋体" w:hAnsi="宋体"/>
          <w:highlight w:val="none"/>
        </w:rPr>
      </w:pPr>
      <w:r>
        <w:rPr>
          <w:rFonts w:hint="eastAsia" w:ascii="宋体" w:hAnsi="宋体"/>
          <w:highlight w:val="none"/>
        </w:rPr>
        <w:t>1.10.1 供应商须知前附表规定召开投标预备会的，采购人按供应商须知前附表规定的时间和地点召开投标预备会，澄清供应商提出的问题。</w:t>
      </w:r>
    </w:p>
    <w:p w14:paraId="18C6736A">
      <w:pPr>
        <w:spacing w:line="400" w:lineRule="exact"/>
        <w:ind w:firstLine="420" w:firstLineChars="200"/>
        <w:rPr>
          <w:rFonts w:ascii="宋体" w:hAnsi="宋体"/>
          <w:highlight w:val="none"/>
        </w:rPr>
      </w:pPr>
      <w:r>
        <w:rPr>
          <w:rFonts w:hint="eastAsia" w:ascii="宋体" w:hAnsi="宋体"/>
          <w:highlight w:val="none"/>
        </w:rPr>
        <w:t>1.10.2 供应商应在供应商须知前附表规定的时间，以书面形式将提出的问题送达采购人，以便采购人在会议期间澄清。</w:t>
      </w:r>
    </w:p>
    <w:p w14:paraId="0DD7D91B">
      <w:pPr>
        <w:spacing w:line="400" w:lineRule="exact"/>
        <w:ind w:firstLine="420" w:firstLineChars="200"/>
        <w:rPr>
          <w:rFonts w:ascii="宋体" w:hAnsi="宋体"/>
          <w:highlight w:val="none"/>
        </w:rPr>
      </w:pPr>
      <w:r>
        <w:rPr>
          <w:rFonts w:hint="eastAsia" w:ascii="宋体" w:hAnsi="宋体"/>
          <w:highlight w:val="none"/>
        </w:rPr>
        <w:t>1.10.3 投标预备会后，采购人在供应商须知前附表规定的时间内，将对供应商所提问题的澄清，以书面形式通知所有获取招标文件的供应商。该澄清内容为招标文件的组成部分。</w:t>
      </w:r>
    </w:p>
    <w:p w14:paraId="61F65015">
      <w:pPr>
        <w:pStyle w:val="4"/>
        <w:outlineLvl w:val="2"/>
        <w:rPr>
          <w:rFonts w:ascii="宋体" w:hAnsi="宋体"/>
          <w:highlight w:val="none"/>
        </w:rPr>
      </w:pPr>
      <w:bookmarkStart w:id="154" w:name="_Toc338840198"/>
      <w:r>
        <w:rPr>
          <w:rFonts w:hint="eastAsia" w:ascii="宋体" w:hAnsi="宋体"/>
          <w:highlight w:val="none"/>
        </w:rPr>
        <w:t>1.11 响应和偏差</w:t>
      </w:r>
      <w:bookmarkEnd w:id="154"/>
    </w:p>
    <w:p w14:paraId="0E7BD24B">
      <w:pPr>
        <w:spacing w:line="400" w:lineRule="exact"/>
        <w:ind w:firstLine="420" w:firstLineChars="200"/>
        <w:rPr>
          <w:rFonts w:ascii="宋体" w:hAnsi="宋体"/>
          <w:highlight w:val="none"/>
        </w:rPr>
      </w:pPr>
      <w:r>
        <w:rPr>
          <w:rFonts w:hint="eastAsia" w:ascii="宋体" w:hAnsi="宋体"/>
          <w:highlight w:val="none"/>
        </w:rPr>
        <w:t>1.11.1 投标文件应当对招标文件的实质性要求和条件做出实质性响应或更有利于采购人的响应，未实质性响应的投标为无效投标。实质性要求和条件见供应商须知前附表。</w:t>
      </w:r>
    </w:p>
    <w:p w14:paraId="1510BDA5">
      <w:pPr>
        <w:spacing w:line="400" w:lineRule="exact"/>
        <w:ind w:firstLine="420" w:firstLineChars="200"/>
        <w:rPr>
          <w:rFonts w:ascii="宋体" w:hAnsi="宋体"/>
          <w:highlight w:val="none"/>
        </w:rPr>
      </w:pPr>
      <w:r>
        <w:rPr>
          <w:rFonts w:hint="eastAsia" w:ascii="宋体" w:hAnsi="宋体"/>
          <w:highlight w:val="none"/>
        </w:rPr>
        <w:t>1.11.2 供应商应详细写明投标设备的技术性能指标，详细写明服务计划和服务内容。针对投标设备的技术性能指标，提供生产企业关于该投标产品的相应技术支持资料。</w:t>
      </w:r>
    </w:p>
    <w:p w14:paraId="15054530">
      <w:pPr>
        <w:spacing w:line="400" w:lineRule="exact"/>
        <w:ind w:firstLine="420" w:firstLineChars="200"/>
        <w:rPr>
          <w:rFonts w:ascii="宋体" w:hAnsi="宋体"/>
          <w:highlight w:val="none"/>
        </w:rPr>
      </w:pPr>
      <w:r>
        <w:rPr>
          <w:rFonts w:hint="eastAsia" w:ascii="宋体" w:hAnsi="宋体"/>
          <w:highlight w:val="none"/>
        </w:rPr>
        <w:t>1.11.3</w:t>
      </w:r>
      <w:r>
        <w:rPr>
          <w:rFonts w:ascii="宋体" w:hAnsi="宋体"/>
          <w:highlight w:val="none"/>
        </w:rPr>
        <w:t xml:space="preserve"> </w:t>
      </w:r>
      <w:r>
        <w:rPr>
          <w:rFonts w:hint="eastAsia" w:ascii="宋体" w:hAnsi="宋体"/>
          <w:highlight w:val="none"/>
        </w:rPr>
        <w:t>投标文件</w:t>
      </w:r>
      <w:r>
        <w:rPr>
          <w:rFonts w:ascii="宋体" w:hAnsi="宋体"/>
          <w:highlight w:val="none"/>
        </w:rPr>
        <w:t>对</w:t>
      </w:r>
      <w:r>
        <w:rPr>
          <w:rFonts w:hint="eastAsia" w:ascii="宋体" w:hAnsi="宋体"/>
          <w:highlight w:val="none"/>
        </w:rPr>
        <w:t>招标文件的全部偏差，均应在投标文件的商务和技术偏差表中列明并做出详细说明。</w:t>
      </w:r>
    </w:p>
    <w:p w14:paraId="1AF43D6C">
      <w:pPr>
        <w:pStyle w:val="3"/>
        <w:outlineLvl w:val="1"/>
        <w:rPr>
          <w:rFonts w:ascii="宋体" w:hAnsi="宋体" w:eastAsia="宋体"/>
          <w:highlight w:val="none"/>
        </w:rPr>
      </w:pPr>
      <w:bookmarkStart w:id="155" w:name="_Toc22322"/>
      <w:bookmarkStart w:id="156" w:name="_Toc494093430"/>
      <w:bookmarkStart w:id="157" w:name="_Toc28300"/>
      <w:bookmarkStart w:id="158" w:name="_Toc25958"/>
      <w:bookmarkStart w:id="159" w:name="_Toc246996930"/>
      <w:bookmarkStart w:id="160" w:name="_Toc144974510"/>
      <w:bookmarkStart w:id="161" w:name="_Toc353"/>
      <w:bookmarkStart w:id="162" w:name="_Toc338840443"/>
      <w:bookmarkStart w:id="163" w:name="_Toc14198"/>
      <w:bookmarkStart w:id="164" w:name="_Toc246996187"/>
      <w:bookmarkStart w:id="165" w:name="_Toc9338"/>
      <w:bookmarkStart w:id="166" w:name="_Toc346523466"/>
      <w:bookmarkStart w:id="167" w:name="_Toc152042318"/>
      <w:bookmarkStart w:id="168" w:name="_Toc247085701"/>
      <w:bookmarkStart w:id="169" w:name="_Toc494526402"/>
      <w:bookmarkStart w:id="170" w:name="_Toc179632560"/>
      <w:bookmarkStart w:id="171" w:name="_Toc338840482"/>
      <w:bookmarkStart w:id="172" w:name="_Toc338840199"/>
      <w:bookmarkStart w:id="173" w:name="_Toc346523403"/>
      <w:bookmarkStart w:id="174" w:name="_Toc152045542"/>
      <w:r>
        <w:rPr>
          <w:rFonts w:hint="eastAsia" w:ascii="宋体" w:hAnsi="宋体" w:eastAsia="宋体"/>
          <w:highlight w:val="none"/>
        </w:rPr>
        <w:t>2. 招标文件</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4E148D6F">
      <w:pPr>
        <w:pStyle w:val="4"/>
        <w:outlineLvl w:val="2"/>
        <w:rPr>
          <w:rFonts w:ascii="宋体" w:hAnsi="宋体"/>
          <w:highlight w:val="none"/>
        </w:rPr>
      </w:pPr>
      <w:bookmarkStart w:id="175" w:name="_Toc152045543"/>
      <w:bookmarkStart w:id="176" w:name="_Toc144974511"/>
      <w:bookmarkStart w:id="177" w:name="_Toc179632561"/>
      <w:bookmarkStart w:id="178" w:name="_Toc152042319"/>
      <w:bookmarkStart w:id="179" w:name="_Toc247085702"/>
      <w:bookmarkStart w:id="180" w:name="_Toc246996188"/>
      <w:bookmarkStart w:id="181" w:name="_Toc246996931"/>
      <w:bookmarkStart w:id="182" w:name="_Toc338840200"/>
      <w:r>
        <w:rPr>
          <w:rFonts w:hint="eastAsia" w:ascii="宋体" w:hAnsi="宋体"/>
          <w:highlight w:val="none"/>
        </w:rPr>
        <w:t>2.1 招标文件的组成</w:t>
      </w:r>
      <w:bookmarkEnd w:id="175"/>
      <w:bookmarkEnd w:id="176"/>
      <w:bookmarkEnd w:id="177"/>
      <w:bookmarkEnd w:id="178"/>
      <w:bookmarkEnd w:id="179"/>
      <w:bookmarkEnd w:id="180"/>
      <w:bookmarkEnd w:id="181"/>
      <w:bookmarkEnd w:id="182"/>
    </w:p>
    <w:p w14:paraId="0FE4C458">
      <w:pPr>
        <w:spacing w:line="400" w:lineRule="exact"/>
        <w:outlineLvl w:val="3"/>
        <w:rPr>
          <w:rFonts w:ascii="宋体" w:hAnsi="宋体"/>
          <w:highlight w:val="none"/>
        </w:rPr>
      </w:pPr>
      <w:r>
        <w:rPr>
          <w:rFonts w:hint="eastAsia" w:ascii="宋体" w:hAnsi="宋体"/>
          <w:highlight w:val="none"/>
        </w:rPr>
        <w:t>　　2.1.1 本招标文件包括：</w:t>
      </w:r>
    </w:p>
    <w:p w14:paraId="0D81509C">
      <w:pPr>
        <w:spacing w:line="400" w:lineRule="exact"/>
        <w:ind w:firstLine="359" w:firstLineChars="171"/>
        <w:rPr>
          <w:rFonts w:ascii="宋体" w:hAnsi="宋体"/>
          <w:highlight w:val="none"/>
        </w:rPr>
      </w:pPr>
      <w:r>
        <w:rPr>
          <w:rFonts w:hint="eastAsia" w:ascii="宋体" w:hAnsi="宋体"/>
          <w:highlight w:val="none"/>
        </w:rPr>
        <w:t>（1）招标公告；</w:t>
      </w:r>
    </w:p>
    <w:p w14:paraId="5A304CE5">
      <w:pPr>
        <w:spacing w:line="400" w:lineRule="exact"/>
        <w:ind w:firstLine="359" w:firstLineChars="171"/>
        <w:rPr>
          <w:rFonts w:ascii="宋体" w:hAnsi="宋体"/>
          <w:highlight w:val="none"/>
        </w:rPr>
      </w:pPr>
      <w:r>
        <w:rPr>
          <w:rFonts w:hint="eastAsia" w:ascii="宋体" w:hAnsi="宋体"/>
          <w:highlight w:val="none"/>
        </w:rPr>
        <w:t>（2）供应商须知；</w:t>
      </w:r>
    </w:p>
    <w:p w14:paraId="1B0A899B">
      <w:pPr>
        <w:spacing w:line="400" w:lineRule="exact"/>
        <w:ind w:firstLine="359" w:firstLineChars="171"/>
        <w:rPr>
          <w:rFonts w:ascii="宋体" w:hAnsi="宋体"/>
          <w:highlight w:val="none"/>
        </w:rPr>
      </w:pPr>
      <w:r>
        <w:rPr>
          <w:rFonts w:hint="eastAsia" w:ascii="宋体" w:hAnsi="宋体"/>
          <w:highlight w:val="none"/>
        </w:rPr>
        <w:t>（3）评标办法；</w:t>
      </w:r>
    </w:p>
    <w:p w14:paraId="188F35CE">
      <w:pPr>
        <w:spacing w:line="400" w:lineRule="exact"/>
        <w:ind w:firstLine="359" w:firstLineChars="171"/>
        <w:rPr>
          <w:rFonts w:ascii="宋体" w:hAnsi="宋体"/>
          <w:highlight w:val="none"/>
        </w:rPr>
      </w:pPr>
      <w:r>
        <w:rPr>
          <w:rFonts w:hint="eastAsia" w:ascii="宋体" w:hAnsi="宋体"/>
          <w:highlight w:val="none"/>
        </w:rPr>
        <w:t>（4）合同条款及格式；</w:t>
      </w:r>
    </w:p>
    <w:p w14:paraId="38EF3164">
      <w:pPr>
        <w:spacing w:line="400" w:lineRule="exact"/>
        <w:ind w:firstLine="359" w:firstLineChars="171"/>
        <w:rPr>
          <w:rFonts w:ascii="宋体" w:hAnsi="宋体"/>
          <w:highlight w:val="none"/>
        </w:rPr>
      </w:pPr>
      <w:r>
        <w:rPr>
          <w:rFonts w:hint="eastAsia" w:ascii="宋体" w:hAnsi="宋体"/>
          <w:highlight w:val="none"/>
        </w:rPr>
        <w:t xml:space="preserve">（5）招标内容及商务技术要求； </w:t>
      </w:r>
    </w:p>
    <w:p w14:paraId="32606D8D">
      <w:pPr>
        <w:spacing w:line="400" w:lineRule="exact"/>
        <w:ind w:firstLine="359" w:firstLineChars="171"/>
        <w:rPr>
          <w:rFonts w:ascii="宋体" w:hAnsi="宋体"/>
          <w:highlight w:val="none"/>
        </w:rPr>
      </w:pPr>
      <w:r>
        <w:rPr>
          <w:rFonts w:hint="eastAsia" w:ascii="宋体" w:hAnsi="宋体"/>
          <w:highlight w:val="none"/>
        </w:rPr>
        <w:t>（6）投标文件格式；</w:t>
      </w:r>
    </w:p>
    <w:p w14:paraId="4667C74F">
      <w:pPr>
        <w:spacing w:line="400" w:lineRule="exact"/>
        <w:ind w:firstLine="359" w:firstLineChars="171"/>
        <w:rPr>
          <w:rFonts w:ascii="宋体" w:hAnsi="宋体"/>
          <w:highlight w:val="none"/>
        </w:rPr>
      </w:pPr>
      <w:r>
        <w:rPr>
          <w:rFonts w:hint="eastAsia" w:ascii="宋体" w:hAnsi="宋体"/>
          <w:highlight w:val="none"/>
        </w:rPr>
        <w:t>（7）供应商须知前附表规定的其他材料。</w:t>
      </w:r>
    </w:p>
    <w:p w14:paraId="56D9FFBF">
      <w:pPr>
        <w:spacing w:line="400" w:lineRule="exact"/>
        <w:ind w:firstLine="420" w:firstLineChars="200"/>
        <w:outlineLvl w:val="9"/>
        <w:rPr>
          <w:rFonts w:ascii="宋体" w:hAnsi="宋体"/>
          <w:highlight w:val="none"/>
        </w:rPr>
      </w:pPr>
      <w:r>
        <w:rPr>
          <w:rFonts w:hint="eastAsia" w:ascii="宋体" w:hAnsi="宋体"/>
          <w:highlight w:val="none"/>
        </w:rPr>
        <w:t>2.1.2 根据本章第1.10款、第2.2款对招标文件所作的澄清、修改，构成招标文件的组成部分。</w:t>
      </w:r>
    </w:p>
    <w:p w14:paraId="61F21751">
      <w:pPr>
        <w:pStyle w:val="4"/>
        <w:outlineLvl w:val="2"/>
        <w:rPr>
          <w:rFonts w:ascii="宋体" w:hAnsi="宋体"/>
          <w:highlight w:val="none"/>
        </w:rPr>
      </w:pPr>
      <w:bookmarkStart w:id="183" w:name="_Toc179632562"/>
      <w:bookmarkStart w:id="184" w:name="_Toc144974512"/>
      <w:bookmarkStart w:id="185" w:name="_Toc246996932"/>
      <w:bookmarkStart w:id="186" w:name="_Toc152045544"/>
      <w:bookmarkStart w:id="187" w:name="_Toc247085703"/>
      <w:bookmarkStart w:id="188" w:name="_Toc152042320"/>
      <w:bookmarkStart w:id="189" w:name="_Toc338840201"/>
      <w:bookmarkStart w:id="190" w:name="_Toc246996189"/>
      <w:r>
        <w:rPr>
          <w:rFonts w:hint="eastAsia" w:ascii="宋体" w:hAnsi="宋体"/>
          <w:highlight w:val="none"/>
        </w:rPr>
        <w:t>2.2 招标文件的澄清</w:t>
      </w:r>
      <w:bookmarkEnd w:id="183"/>
      <w:bookmarkEnd w:id="184"/>
      <w:bookmarkEnd w:id="185"/>
      <w:bookmarkEnd w:id="186"/>
      <w:bookmarkEnd w:id="187"/>
      <w:bookmarkEnd w:id="188"/>
      <w:bookmarkEnd w:id="189"/>
      <w:bookmarkEnd w:id="190"/>
      <w:r>
        <w:rPr>
          <w:rFonts w:hint="eastAsia" w:ascii="宋体" w:hAnsi="宋体"/>
          <w:highlight w:val="none"/>
        </w:rPr>
        <w:t xml:space="preserve">和修改 </w:t>
      </w:r>
    </w:p>
    <w:p w14:paraId="7754EFA4">
      <w:pPr>
        <w:spacing w:line="400" w:lineRule="exact"/>
        <w:ind w:firstLine="420" w:firstLineChars="200"/>
        <w:rPr>
          <w:rFonts w:ascii="宋体" w:hAnsi="宋体"/>
          <w:highlight w:val="none"/>
        </w:rPr>
      </w:pPr>
      <w:r>
        <w:rPr>
          <w:rFonts w:hint="eastAsia" w:ascii="宋体" w:hAnsi="宋体"/>
          <w:highlight w:val="none"/>
        </w:rPr>
        <w:t>2.2.1 供应商应仔细阅读和检查招标文件的全部内容。</w:t>
      </w:r>
      <w:r>
        <w:rPr>
          <w:rFonts w:hint="eastAsia" w:ascii="宋体" w:hAnsi="宋体"/>
          <w:szCs w:val="21"/>
          <w:highlight w:val="none"/>
        </w:rPr>
        <w:t>如发现缺页或附件不全，应及时向采购人提出，以便补齐。</w:t>
      </w:r>
      <w:r>
        <w:rPr>
          <w:rFonts w:hint="eastAsia" w:ascii="宋体" w:hAnsi="宋体"/>
          <w:highlight w:val="none"/>
        </w:rPr>
        <w:t>如有疑问，应在供应商须知前附表规定的时间前以书面形式提出，要求采购人对招标文件予以澄清。</w:t>
      </w:r>
    </w:p>
    <w:p w14:paraId="541C4DB6">
      <w:pPr>
        <w:spacing w:line="400" w:lineRule="exact"/>
        <w:ind w:firstLine="420" w:firstLineChars="200"/>
        <w:rPr>
          <w:rFonts w:ascii="宋体" w:hAnsi="宋体"/>
          <w:highlight w:val="none"/>
        </w:rPr>
      </w:pPr>
      <w:r>
        <w:rPr>
          <w:rFonts w:hint="eastAsia" w:ascii="宋体" w:hAnsi="宋体"/>
          <w:highlight w:val="none"/>
        </w:rPr>
        <w:t xml:space="preserve">2.2.2 招标文件的澄清将以公告形式发出不再以书面形式单独发给所有已获取招标文件的供应商。如果澄清发出的时间距供应商须知前附表规定的投标截止时间不足15天，并且澄清内容影响投标文件编制的，将相应延长投标截止时间。 </w:t>
      </w:r>
    </w:p>
    <w:p w14:paraId="1B16D0F5">
      <w:pPr>
        <w:spacing w:line="400" w:lineRule="exact"/>
        <w:ind w:firstLine="420" w:firstLineChars="200"/>
        <w:rPr>
          <w:rFonts w:ascii="宋体" w:hAnsi="宋体"/>
          <w:highlight w:val="none"/>
        </w:rPr>
      </w:pPr>
      <w:r>
        <w:rPr>
          <w:rFonts w:hint="eastAsia" w:ascii="宋体" w:hAnsi="宋体"/>
          <w:highlight w:val="none"/>
        </w:rPr>
        <w:t>2.2.3 供应商应及时关注相关媒体，查看澄清和修改公告后无需以书面形式回复通知采购人。</w:t>
      </w:r>
    </w:p>
    <w:p w14:paraId="249D60DD">
      <w:pPr>
        <w:spacing w:line="400" w:lineRule="exact"/>
        <w:ind w:firstLine="420" w:firstLineChars="200"/>
        <w:rPr>
          <w:rFonts w:ascii="宋体" w:hAnsi="宋体"/>
          <w:highlight w:val="none"/>
        </w:rPr>
      </w:pPr>
      <w:r>
        <w:rPr>
          <w:rFonts w:hint="eastAsia" w:ascii="宋体" w:hAnsi="宋体"/>
          <w:highlight w:val="none"/>
        </w:rPr>
        <w:t>2.2.4 除非采购人认为确有必要答复，否则，采购人有权拒绝回复供应商在本章第 2.2.1 项规定的时间后的任何澄清要求。</w:t>
      </w:r>
    </w:p>
    <w:p w14:paraId="77F0793C">
      <w:pPr>
        <w:pStyle w:val="3"/>
        <w:outlineLvl w:val="1"/>
        <w:rPr>
          <w:rFonts w:ascii="宋体" w:hAnsi="宋体" w:eastAsia="宋体"/>
          <w:highlight w:val="none"/>
        </w:rPr>
      </w:pPr>
      <w:bookmarkStart w:id="191" w:name="_Toc338840483"/>
      <w:bookmarkStart w:id="192" w:name="_Toc346523404"/>
      <w:bookmarkStart w:id="193" w:name="_Toc8262"/>
      <w:bookmarkStart w:id="194" w:name="_Toc10395"/>
      <w:bookmarkStart w:id="195" w:name="_Toc246996191"/>
      <w:bookmarkStart w:id="196" w:name="_Toc494093431"/>
      <w:bookmarkStart w:id="197" w:name="_Toc338840444"/>
      <w:bookmarkStart w:id="198" w:name="_Toc247085705"/>
      <w:bookmarkStart w:id="199" w:name="_Toc32135"/>
      <w:bookmarkStart w:id="200" w:name="_Toc144974514"/>
      <w:bookmarkStart w:id="201" w:name="_Toc346523467"/>
      <w:bookmarkStart w:id="202" w:name="_Toc152045546"/>
      <w:bookmarkStart w:id="203" w:name="_Toc152042322"/>
      <w:bookmarkStart w:id="204" w:name="_Toc246996934"/>
      <w:bookmarkStart w:id="205" w:name="_Toc9061"/>
      <w:bookmarkStart w:id="206" w:name="_Toc179632564"/>
      <w:bookmarkStart w:id="207" w:name="_Toc14285"/>
      <w:bookmarkStart w:id="208" w:name="_Toc25551"/>
      <w:bookmarkStart w:id="209" w:name="_Toc338840203"/>
      <w:bookmarkStart w:id="210" w:name="_Toc494526403"/>
      <w:r>
        <w:rPr>
          <w:rFonts w:hint="eastAsia" w:ascii="宋体" w:hAnsi="宋体" w:eastAsia="宋体"/>
          <w:highlight w:val="none"/>
        </w:rPr>
        <w:t>3. 投标文件</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11020AD">
      <w:pPr>
        <w:pStyle w:val="4"/>
        <w:outlineLvl w:val="2"/>
        <w:rPr>
          <w:rFonts w:ascii="宋体" w:hAnsi="宋体"/>
          <w:highlight w:val="none"/>
        </w:rPr>
      </w:pPr>
      <w:bookmarkStart w:id="211" w:name="_Toc338840204"/>
      <w:bookmarkStart w:id="212" w:name="_Toc152042323"/>
      <w:bookmarkStart w:id="213" w:name="_Toc144974515"/>
      <w:bookmarkStart w:id="214" w:name="_Toc246996192"/>
      <w:bookmarkStart w:id="215" w:name="_Toc246996935"/>
      <w:bookmarkStart w:id="216" w:name="_Toc152045547"/>
      <w:bookmarkStart w:id="217" w:name="_Toc247085706"/>
      <w:bookmarkStart w:id="218" w:name="_Toc179632565"/>
      <w:r>
        <w:rPr>
          <w:rFonts w:hint="eastAsia" w:ascii="宋体" w:hAnsi="宋体"/>
          <w:highlight w:val="none"/>
        </w:rPr>
        <w:t>3.1 投标文件的组成</w:t>
      </w:r>
      <w:bookmarkEnd w:id="211"/>
      <w:bookmarkEnd w:id="212"/>
      <w:bookmarkEnd w:id="213"/>
      <w:bookmarkEnd w:id="214"/>
      <w:bookmarkEnd w:id="215"/>
      <w:bookmarkEnd w:id="216"/>
      <w:bookmarkEnd w:id="217"/>
      <w:bookmarkEnd w:id="218"/>
    </w:p>
    <w:p w14:paraId="04516702">
      <w:pPr>
        <w:spacing w:line="400" w:lineRule="exact"/>
        <w:ind w:firstLine="420" w:firstLineChars="200"/>
        <w:rPr>
          <w:rFonts w:ascii="宋体" w:hAnsi="宋体"/>
          <w:highlight w:val="none"/>
        </w:rPr>
      </w:pPr>
      <w:r>
        <w:rPr>
          <w:rFonts w:hint="eastAsia" w:ascii="宋体" w:hAnsi="宋体"/>
          <w:highlight w:val="none"/>
        </w:rPr>
        <w:t>投标文件应包括的内容：见第六章投标文件格式。</w:t>
      </w:r>
    </w:p>
    <w:p w14:paraId="78294641">
      <w:pPr>
        <w:pStyle w:val="4"/>
        <w:outlineLvl w:val="2"/>
        <w:rPr>
          <w:rFonts w:ascii="宋体" w:hAnsi="宋体"/>
          <w:sz w:val="21"/>
          <w:szCs w:val="21"/>
          <w:highlight w:val="none"/>
        </w:rPr>
      </w:pPr>
      <w:bookmarkStart w:id="219" w:name="_Toc247085707"/>
      <w:bookmarkStart w:id="220" w:name="_Toc144974516"/>
      <w:bookmarkStart w:id="221" w:name="_Toc152042324"/>
      <w:bookmarkStart w:id="222" w:name="_Toc246996193"/>
      <w:bookmarkStart w:id="223" w:name="_Toc338840205"/>
      <w:bookmarkStart w:id="224" w:name="_Toc152045548"/>
      <w:bookmarkStart w:id="225" w:name="_Toc179632566"/>
      <w:bookmarkStart w:id="226" w:name="_Toc246996936"/>
      <w:r>
        <w:rPr>
          <w:rFonts w:hint="eastAsia" w:ascii="宋体" w:hAnsi="宋体"/>
          <w:highlight w:val="none"/>
        </w:rPr>
        <w:t>3.2 投标报价</w:t>
      </w:r>
      <w:bookmarkEnd w:id="219"/>
      <w:bookmarkEnd w:id="220"/>
      <w:bookmarkEnd w:id="221"/>
      <w:bookmarkEnd w:id="222"/>
      <w:bookmarkEnd w:id="223"/>
      <w:bookmarkEnd w:id="224"/>
      <w:bookmarkEnd w:id="225"/>
      <w:bookmarkEnd w:id="226"/>
    </w:p>
    <w:p w14:paraId="646BABC6">
      <w:pPr>
        <w:spacing w:line="400" w:lineRule="exact"/>
        <w:ind w:firstLine="420" w:firstLineChars="200"/>
        <w:outlineLvl w:val="3"/>
        <w:rPr>
          <w:rFonts w:ascii="宋体" w:hAnsi="宋体"/>
          <w:highlight w:val="none"/>
        </w:rPr>
      </w:pPr>
      <w:r>
        <w:rPr>
          <w:rFonts w:hint="eastAsia" w:ascii="宋体" w:hAnsi="宋体"/>
          <w:highlight w:val="none"/>
        </w:rPr>
        <w:t>3.2.1 报价范围：见供应商须知前附表。</w:t>
      </w:r>
    </w:p>
    <w:p w14:paraId="093D72FC">
      <w:pPr>
        <w:spacing w:line="400" w:lineRule="exact"/>
        <w:ind w:firstLine="420" w:firstLineChars="200"/>
        <w:rPr>
          <w:rFonts w:ascii="宋体" w:hAnsi="宋体"/>
          <w:highlight w:val="none"/>
        </w:rPr>
      </w:pPr>
      <w:r>
        <w:rPr>
          <w:rFonts w:hint="eastAsia" w:ascii="宋体" w:hAnsi="宋体"/>
          <w:highlight w:val="none"/>
        </w:rPr>
        <w:t xml:space="preserve">3.2.2 </w:t>
      </w:r>
      <w:r>
        <w:rPr>
          <w:rFonts w:hint="eastAsia" w:ascii="宋体" w:hAnsi="宋体"/>
          <w:szCs w:val="21"/>
          <w:highlight w:val="none"/>
        </w:rPr>
        <w:t>报价应具有唯一性，即投标函中只能有一个有效投标报价（招标文件另有要求的除外）。本项目</w:t>
      </w:r>
      <w:r>
        <w:rPr>
          <w:rFonts w:hint="eastAsia" w:ascii="宋体" w:hAnsi="宋体"/>
          <w:kern w:val="0"/>
          <w:szCs w:val="21"/>
          <w:highlight w:val="none"/>
        </w:rPr>
        <w:t>不接受任何有选择性的报价</w:t>
      </w:r>
      <w:bookmarkStart w:id="227" w:name="_Toc179632567"/>
      <w:bookmarkStart w:id="228" w:name="_Toc152042325"/>
      <w:bookmarkStart w:id="229" w:name="_Toc144974517"/>
      <w:bookmarkStart w:id="230" w:name="_Toc152045549"/>
      <w:r>
        <w:rPr>
          <w:rFonts w:hint="eastAsia" w:ascii="宋体" w:hAnsi="宋体"/>
          <w:kern w:val="0"/>
          <w:szCs w:val="21"/>
          <w:highlight w:val="none"/>
        </w:rPr>
        <w:t>。</w:t>
      </w:r>
    </w:p>
    <w:p w14:paraId="1A20C13A">
      <w:pPr>
        <w:spacing w:line="400" w:lineRule="exact"/>
        <w:ind w:firstLine="420" w:firstLineChars="200"/>
        <w:rPr>
          <w:rFonts w:ascii="宋体" w:hAnsi="宋体"/>
          <w:highlight w:val="none"/>
        </w:rPr>
      </w:pPr>
      <w:r>
        <w:rPr>
          <w:rFonts w:hint="eastAsia" w:ascii="宋体" w:hAnsi="宋体"/>
          <w:highlight w:val="none"/>
        </w:rPr>
        <w:t>3.2.3 采购人设有最高限价的，最高限价在供应商须知前附表中载明。</w:t>
      </w:r>
    </w:p>
    <w:p w14:paraId="7F8D26BE">
      <w:pPr>
        <w:spacing w:line="400" w:lineRule="exact"/>
        <w:ind w:firstLine="420" w:firstLineChars="200"/>
        <w:outlineLvl w:val="3"/>
        <w:rPr>
          <w:rFonts w:ascii="宋体" w:hAnsi="宋体"/>
          <w:highlight w:val="none"/>
        </w:rPr>
      </w:pPr>
      <w:r>
        <w:rPr>
          <w:rFonts w:hint="eastAsia" w:ascii="宋体" w:hAnsi="宋体"/>
          <w:highlight w:val="none"/>
        </w:rPr>
        <w:t>3.2.4 报价币种：见供应商须知前附表。</w:t>
      </w:r>
    </w:p>
    <w:p w14:paraId="3541A16D">
      <w:pPr>
        <w:pStyle w:val="4"/>
        <w:outlineLvl w:val="2"/>
        <w:rPr>
          <w:rFonts w:ascii="宋体" w:hAnsi="宋体"/>
          <w:highlight w:val="none"/>
        </w:rPr>
      </w:pPr>
      <w:bookmarkStart w:id="231" w:name="_Toc246996937"/>
      <w:bookmarkStart w:id="232" w:name="_Toc247085708"/>
      <w:bookmarkStart w:id="233" w:name="_Toc246996194"/>
      <w:bookmarkStart w:id="234" w:name="_Toc338840206"/>
      <w:r>
        <w:rPr>
          <w:rFonts w:hint="eastAsia" w:ascii="宋体" w:hAnsi="宋体"/>
          <w:highlight w:val="none"/>
        </w:rPr>
        <w:t>3.3 投标有效期</w:t>
      </w:r>
      <w:bookmarkEnd w:id="227"/>
      <w:bookmarkEnd w:id="228"/>
      <w:bookmarkEnd w:id="229"/>
      <w:bookmarkEnd w:id="230"/>
      <w:bookmarkEnd w:id="231"/>
      <w:bookmarkEnd w:id="232"/>
      <w:bookmarkEnd w:id="233"/>
      <w:bookmarkEnd w:id="234"/>
    </w:p>
    <w:p w14:paraId="70384FBA">
      <w:pPr>
        <w:spacing w:line="400" w:lineRule="exact"/>
        <w:ind w:firstLine="420" w:firstLineChars="200"/>
        <w:rPr>
          <w:rFonts w:ascii="宋体" w:hAnsi="宋体"/>
          <w:highlight w:val="none"/>
        </w:rPr>
      </w:pPr>
      <w:r>
        <w:rPr>
          <w:rFonts w:hint="eastAsia" w:ascii="宋体" w:hAnsi="宋体"/>
          <w:highlight w:val="none"/>
        </w:rPr>
        <w:t>3.3.1 除供应商须知前附表另有规定外，投标有效期为60天。</w:t>
      </w:r>
    </w:p>
    <w:p w14:paraId="0091FFED">
      <w:pPr>
        <w:spacing w:line="400" w:lineRule="exact"/>
        <w:ind w:firstLine="420" w:firstLineChars="200"/>
        <w:rPr>
          <w:rFonts w:ascii="宋体" w:hAnsi="宋体"/>
          <w:highlight w:val="none"/>
        </w:rPr>
      </w:pPr>
      <w:r>
        <w:rPr>
          <w:rFonts w:hint="eastAsia" w:ascii="宋体" w:hAnsi="宋体"/>
          <w:highlight w:val="none"/>
        </w:rPr>
        <w:t>3.3.2在投标有效期内，供应商撤销或修改其投标文件的，应承担招标文件和法律规定的责任。</w:t>
      </w:r>
    </w:p>
    <w:p w14:paraId="3FF91BE3">
      <w:pPr>
        <w:spacing w:line="400" w:lineRule="exact"/>
        <w:ind w:firstLine="420" w:firstLineChars="200"/>
        <w:rPr>
          <w:rFonts w:ascii="宋体" w:hAnsi="宋体"/>
          <w:szCs w:val="21"/>
          <w:highlight w:val="none"/>
        </w:rPr>
      </w:pPr>
      <w:r>
        <w:rPr>
          <w:rFonts w:hint="eastAsia" w:ascii="宋体" w:hAnsi="宋体"/>
          <w:highlight w:val="none"/>
        </w:rPr>
        <w:t>3.3.3出现特殊情况需要延长投标有效期的，采购人以书面形式通知所有供应商延长投标有效期。供应商同意延长的，应相应延长其投标保证金的有效期，但不得要求或被允许修改或撤销其投标文件；供应商拒绝延长的，其投标失效，但供应商有权收回其投标保证金。</w:t>
      </w:r>
    </w:p>
    <w:p w14:paraId="73A5D98E">
      <w:pPr>
        <w:pStyle w:val="4"/>
        <w:outlineLvl w:val="2"/>
        <w:rPr>
          <w:rFonts w:ascii="宋体" w:hAnsi="宋体"/>
          <w:highlight w:val="none"/>
        </w:rPr>
      </w:pPr>
      <w:bookmarkStart w:id="235" w:name="_Toc179632568"/>
      <w:bookmarkStart w:id="236" w:name="_Toc338840207"/>
      <w:bookmarkStart w:id="237" w:name="_Toc144974518"/>
      <w:bookmarkStart w:id="238" w:name="_Toc246996938"/>
      <w:bookmarkStart w:id="239" w:name="_Toc246996195"/>
      <w:bookmarkStart w:id="240" w:name="_Toc247085709"/>
      <w:bookmarkStart w:id="241" w:name="_Toc152045550"/>
      <w:bookmarkStart w:id="242" w:name="_Toc152042326"/>
      <w:r>
        <w:rPr>
          <w:rFonts w:hint="eastAsia" w:ascii="宋体" w:hAnsi="宋体"/>
          <w:highlight w:val="none"/>
        </w:rPr>
        <w:t xml:space="preserve"> </w:t>
      </w:r>
      <w:bookmarkEnd w:id="235"/>
      <w:bookmarkEnd w:id="236"/>
      <w:bookmarkEnd w:id="237"/>
      <w:bookmarkEnd w:id="238"/>
      <w:bookmarkEnd w:id="239"/>
      <w:bookmarkEnd w:id="240"/>
      <w:bookmarkEnd w:id="241"/>
      <w:bookmarkEnd w:id="242"/>
      <w:r>
        <w:rPr>
          <w:rFonts w:hint="eastAsia" w:ascii="宋体" w:hAnsi="宋体"/>
          <w:highlight w:val="none"/>
        </w:rPr>
        <w:t>3.4 投标保证金</w:t>
      </w:r>
    </w:p>
    <w:p w14:paraId="5A053676">
      <w:pPr>
        <w:spacing w:line="400" w:lineRule="exact"/>
        <w:ind w:firstLine="420" w:firstLineChars="200"/>
        <w:rPr>
          <w:rFonts w:ascii="宋体" w:hAnsi="宋体"/>
          <w:highlight w:val="none"/>
        </w:rPr>
      </w:pPr>
      <w:r>
        <w:rPr>
          <w:rFonts w:hint="eastAsia" w:ascii="宋体" w:hAnsi="宋体"/>
          <w:highlight w:val="none"/>
        </w:rPr>
        <w:t>3.4.1 供应商须知前附表规定递交投标保证金的，供应商在递交投标文件时，应按供应商须知前附表规定的金额、形式或者事先经过采购人认可的递交形式递交投标保证金，并将保证金转账凭据附在投标文件中作为投标文件的组成部分。</w:t>
      </w:r>
    </w:p>
    <w:p w14:paraId="544D925D">
      <w:pPr>
        <w:spacing w:line="400" w:lineRule="exact"/>
        <w:ind w:firstLine="420" w:firstLineChars="200"/>
        <w:rPr>
          <w:rFonts w:ascii="宋体" w:hAnsi="宋体"/>
          <w:highlight w:val="none"/>
        </w:rPr>
      </w:pPr>
      <w:r>
        <w:rPr>
          <w:rFonts w:hint="eastAsia" w:ascii="宋体" w:hAnsi="宋体"/>
          <w:highlight w:val="none"/>
        </w:rPr>
        <w:t>3.4.2供应商不按本章第3.4.1项要求提交保证金的，评标委员会将否决其投标。</w:t>
      </w:r>
    </w:p>
    <w:p w14:paraId="0CB85555">
      <w:pPr>
        <w:spacing w:line="400" w:lineRule="exact"/>
        <w:ind w:firstLine="420" w:firstLineChars="200"/>
        <w:rPr>
          <w:rFonts w:ascii="宋体" w:hAnsi="宋体"/>
          <w:highlight w:val="none"/>
        </w:rPr>
      </w:pPr>
      <w:r>
        <w:rPr>
          <w:rFonts w:hint="eastAsia" w:ascii="宋体" w:hAnsi="宋体"/>
          <w:highlight w:val="none"/>
        </w:rPr>
        <w:t>3.4.3在中标人确定后5个工作日内退还未中标供应商的保证金；合同签订后5个工作日内退还中标人的保证金。</w:t>
      </w:r>
    </w:p>
    <w:p w14:paraId="0F91B0BB">
      <w:pPr>
        <w:spacing w:line="400" w:lineRule="exact"/>
        <w:ind w:firstLine="420" w:firstLineChars="200"/>
        <w:outlineLvl w:val="3"/>
        <w:rPr>
          <w:rFonts w:ascii="宋体" w:hAnsi="宋体"/>
          <w:highlight w:val="none"/>
        </w:rPr>
      </w:pPr>
      <w:r>
        <w:rPr>
          <w:rFonts w:hint="eastAsia" w:ascii="宋体" w:hAnsi="宋体"/>
          <w:highlight w:val="none"/>
        </w:rPr>
        <w:t xml:space="preserve">3.4.4有下列情形之一的，投标保证金将不予退还： </w:t>
      </w:r>
    </w:p>
    <w:p w14:paraId="6C2FD48D">
      <w:pPr>
        <w:spacing w:line="400" w:lineRule="exact"/>
        <w:ind w:firstLine="718" w:firstLineChars="342"/>
        <w:outlineLvl w:val="4"/>
        <w:rPr>
          <w:rFonts w:ascii="宋体" w:hAnsi="宋体"/>
          <w:highlight w:val="none"/>
        </w:rPr>
      </w:pPr>
      <w:r>
        <w:rPr>
          <w:rFonts w:hint="eastAsia" w:ascii="宋体" w:hAnsi="宋体"/>
          <w:highlight w:val="none"/>
        </w:rPr>
        <w:t>（1）供应商在规定的投标有效期内撤销或修改其投标文件；</w:t>
      </w:r>
    </w:p>
    <w:p w14:paraId="35C6D14A">
      <w:pPr>
        <w:spacing w:line="400" w:lineRule="exact"/>
        <w:ind w:firstLine="718" w:firstLineChars="342"/>
        <w:rPr>
          <w:rFonts w:ascii="宋体" w:hAnsi="宋体"/>
          <w:highlight w:val="none"/>
        </w:rPr>
      </w:pPr>
      <w:r>
        <w:rPr>
          <w:rFonts w:hint="eastAsia" w:ascii="宋体" w:hAnsi="宋体"/>
          <w:highlight w:val="none"/>
        </w:rPr>
        <w:t>（2）中标人在收到中标通知书后，无正当理由拒签合同协议书或未按招标文件规定提交履约担保。</w:t>
      </w:r>
    </w:p>
    <w:p w14:paraId="6B4D9070">
      <w:pPr>
        <w:spacing w:line="400" w:lineRule="exact"/>
        <w:ind w:firstLine="718" w:firstLineChars="342"/>
        <w:outlineLvl w:val="4"/>
        <w:rPr>
          <w:rFonts w:ascii="宋体" w:hAnsi="宋体"/>
          <w:highlight w:val="none"/>
        </w:rPr>
      </w:pPr>
      <w:r>
        <w:rPr>
          <w:rFonts w:hint="eastAsia" w:ascii="宋体" w:hAnsi="宋体"/>
          <w:highlight w:val="none"/>
        </w:rPr>
        <w:t>（3）提供虚假资料或存在违法违规行为的。</w:t>
      </w:r>
    </w:p>
    <w:p w14:paraId="1C16D230">
      <w:pPr>
        <w:pStyle w:val="4"/>
        <w:outlineLvl w:val="2"/>
        <w:rPr>
          <w:rFonts w:ascii="宋体" w:hAnsi="宋体"/>
          <w:highlight w:val="none"/>
        </w:rPr>
      </w:pPr>
      <w:bookmarkStart w:id="243" w:name="_Toc144974520"/>
      <w:bookmarkStart w:id="244" w:name="_Toc152045552"/>
      <w:bookmarkStart w:id="245" w:name="_Toc246996196"/>
      <w:bookmarkStart w:id="246" w:name="_Toc152042328"/>
      <w:bookmarkStart w:id="247" w:name="_Toc247085710"/>
      <w:bookmarkStart w:id="248" w:name="_Toc246996939"/>
      <w:bookmarkStart w:id="249" w:name="_Toc179632570"/>
      <w:bookmarkStart w:id="250" w:name="_Toc338840208"/>
      <w:r>
        <w:rPr>
          <w:rFonts w:hint="eastAsia" w:ascii="宋体" w:hAnsi="宋体"/>
          <w:highlight w:val="none"/>
        </w:rPr>
        <w:t>3.5 资格审查资料</w:t>
      </w:r>
      <w:bookmarkEnd w:id="243"/>
      <w:bookmarkEnd w:id="244"/>
      <w:bookmarkEnd w:id="245"/>
      <w:bookmarkEnd w:id="246"/>
      <w:bookmarkEnd w:id="247"/>
      <w:bookmarkEnd w:id="248"/>
      <w:bookmarkEnd w:id="249"/>
      <w:bookmarkEnd w:id="250"/>
    </w:p>
    <w:p w14:paraId="16601D6E">
      <w:pPr>
        <w:spacing w:line="400" w:lineRule="exact"/>
        <w:ind w:firstLine="420" w:firstLineChars="200"/>
        <w:outlineLvl w:val="3"/>
        <w:rPr>
          <w:rFonts w:ascii="宋体" w:hAnsi="宋体"/>
          <w:highlight w:val="none"/>
        </w:rPr>
      </w:pPr>
      <w:r>
        <w:rPr>
          <w:rFonts w:hint="eastAsia" w:ascii="宋体" w:hAnsi="宋体"/>
          <w:highlight w:val="none"/>
        </w:rPr>
        <w:t>3.5.1 资格要求：见供应商须知前附表。</w:t>
      </w:r>
    </w:p>
    <w:p w14:paraId="47F258B7">
      <w:pPr>
        <w:spacing w:line="400" w:lineRule="exact"/>
        <w:ind w:firstLine="420" w:firstLineChars="200"/>
        <w:rPr>
          <w:rFonts w:ascii="宋体" w:hAnsi="宋体"/>
          <w:highlight w:val="none"/>
        </w:rPr>
      </w:pPr>
      <w:r>
        <w:rPr>
          <w:rFonts w:hint="eastAsia" w:ascii="宋体" w:hAnsi="宋体"/>
          <w:highlight w:val="none"/>
        </w:rPr>
        <w:t>供应商须知前附表中要求的供应商资格审查材料应将</w:t>
      </w:r>
      <w:r>
        <w:rPr>
          <w:rFonts w:ascii="宋体" w:hAnsi="宋体"/>
          <w:highlight w:val="none"/>
        </w:rPr>
        <w:t>原件</w:t>
      </w:r>
      <w:r>
        <w:rPr>
          <w:rFonts w:hint="eastAsia" w:ascii="宋体" w:hAnsi="宋体"/>
          <w:highlight w:val="none"/>
        </w:rPr>
        <w:t>扫描件附到投标文件中。</w:t>
      </w:r>
    </w:p>
    <w:p w14:paraId="6C195A40">
      <w:pPr>
        <w:pStyle w:val="4"/>
        <w:outlineLvl w:val="2"/>
        <w:rPr>
          <w:rFonts w:ascii="宋体" w:hAnsi="宋体"/>
          <w:highlight w:val="none"/>
        </w:rPr>
      </w:pPr>
      <w:bookmarkStart w:id="251" w:name="_Toc338840209"/>
      <w:bookmarkStart w:id="252" w:name="_Toc144974521"/>
      <w:bookmarkStart w:id="253" w:name="_Toc247085711"/>
      <w:bookmarkStart w:id="254" w:name="_Toc179632571"/>
      <w:bookmarkStart w:id="255" w:name="_Toc246996197"/>
      <w:bookmarkStart w:id="256" w:name="_Toc152045553"/>
      <w:bookmarkStart w:id="257" w:name="_Toc152042329"/>
      <w:bookmarkStart w:id="258" w:name="_Toc246996940"/>
      <w:r>
        <w:rPr>
          <w:rFonts w:hint="eastAsia" w:ascii="宋体" w:hAnsi="宋体"/>
          <w:highlight w:val="none"/>
        </w:rPr>
        <w:t>3.6投标文件的编制</w:t>
      </w:r>
      <w:bookmarkEnd w:id="251"/>
    </w:p>
    <w:p w14:paraId="3D559527">
      <w:pPr>
        <w:spacing w:line="400" w:lineRule="exact"/>
        <w:ind w:firstLine="420" w:firstLineChars="200"/>
        <w:rPr>
          <w:rFonts w:ascii="宋体" w:hAnsi="宋体"/>
          <w:highlight w:val="none"/>
        </w:rPr>
      </w:pPr>
      <w:r>
        <w:rPr>
          <w:rFonts w:hint="eastAsia" w:ascii="宋体" w:hAnsi="宋体"/>
          <w:highlight w:val="none"/>
        </w:rPr>
        <w:t>3.6.1投标文件应按第六章“投标文件格式”进行编写，如有必要，可以增加附页，作为投标文件的组成部分。在满足招标文件实质性要求的基础上，可以提出比招标文件要求更有利于采购人的承诺。</w:t>
      </w:r>
    </w:p>
    <w:p w14:paraId="55C5FFB0">
      <w:pPr>
        <w:spacing w:line="400" w:lineRule="exact"/>
        <w:ind w:firstLine="420" w:firstLineChars="200"/>
        <w:rPr>
          <w:rFonts w:ascii="宋体" w:hAnsi="宋体"/>
          <w:szCs w:val="21"/>
          <w:highlight w:val="none"/>
        </w:rPr>
      </w:pPr>
      <w:r>
        <w:rPr>
          <w:rFonts w:hint="eastAsia" w:ascii="宋体" w:hAnsi="宋体"/>
          <w:highlight w:val="none"/>
        </w:rPr>
        <w:t>3.6.2 投标文件应当对招标文件有关供应商资格要求、符合性审查要求</w:t>
      </w:r>
      <w:r>
        <w:rPr>
          <w:rFonts w:hint="eastAsia" w:ascii="宋体" w:hAnsi="宋体"/>
          <w:szCs w:val="21"/>
          <w:highlight w:val="none"/>
        </w:rPr>
        <w:t>等实质性内容作出响应。</w:t>
      </w:r>
    </w:p>
    <w:p w14:paraId="3EDE0E88">
      <w:pPr>
        <w:spacing w:line="400" w:lineRule="exact"/>
        <w:ind w:firstLine="420" w:firstLineChars="200"/>
        <w:rPr>
          <w:rFonts w:ascii="宋体" w:hAnsi="宋体"/>
          <w:highlight w:val="none"/>
        </w:rPr>
      </w:pPr>
      <w:r>
        <w:rPr>
          <w:rFonts w:ascii="宋体" w:hAnsi="宋体"/>
          <w:highlight w:val="none"/>
        </w:rPr>
        <w:t>3.</w:t>
      </w:r>
      <w:r>
        <w:rPr>
          <w:rFonts w:hint="eastAsia" w:ascii="宋体" w:hAnsi="宋体"/>
          <w:highlight w:val="none"/>
        </w:rPr>
        <w:t>6</w:t>
      </w:r>
      <w:r>
        <w:rPr>
          <w:rFonts w:ascii="宋体" w:hAnsi="宋体"/>
          <w:highlight w:val="none"/>
        </w:rPr>
        <w:t>.3</w:t>
      </w:r>
      <w:r>
        <w:rPr>
          <w:rFonts w:hint="eastAsia" w:ascii="宋体" w:hAnsi="宋体"/>
          <w:highlight w:val="none"/>
        </w:rPr>
        <w:t>实行电子招标投标时，</w:t>
      </w:r>
      <w:r>
        <w:rPr>
          <w:rFonts w:ascii="宋体" w:hAnsi="宋体"/>
          <w:highlight w:val="none"/>
        </w:rPr>
        <w:t>投标文件全部采用电子文档，除供应商须知前附表另有规定外，投标文件所附证书证件均为原件扫描件，并采用</w:t>
      </w:r>
      <w:r>
        <w:rPr>
          <w:rFonts w:hint="eastAsia" w:ascii="宋体" w:hAnsi="宋体"/>
          <w:szCs w:val="21"/>
          <w:highlight w:val="none"/>
          <w:lang w:val="zh-CN"/>
        </w:rPr>
        <w:t>CA密钥</w:t>
      </w:r>
      <w:r>
        <w:rPr>
          <w:rFonts w:ascii="宋体" w:hAnsi="宋体"/>
          <w:highlight w:val="none"/>
        </w:rPr>
        <w:t>，按招标文件要求在相应位置加盖电子</w:t>
      </w:r>
      <w:r>
        <w:rPr>
          <w:rFonts w:hint="eastAsia" w:ascii="宋体" w:hAnsi="宋体"/>
          <w:highlight w:val="none"/>
          <w:lang w:eastAsia="zh-CN"/>
        </w:rPr>
        <w:t>签章</w:t>
      </w:r>
      <w:r>
        <w:rPr>
          <w:rFonts w:ascii="宋体" w:hAnsi="宋体"/>
          <w:highlight w:val="none"/>
        </w:rPr>
        <w:t>。签字或盖章的具体要求见供应商须知前附表。</w:t>
      </w:r>
    </w:p>
    <w:bookmarkEnd w:id="252"/>
    <w:bookmarkEnd w:id="253"/>
    <w:bookmarkEnd w:id="254"/>
    <w:bookmarkEnd w:id="255"/>
    <w:bookmarkEnd w:id="256"/>
    <w:bookmarkEnd w:id="257"/>
    <w:bookmarkEnd w:id="258"/>
    <w:p w14:paraId="3CADA436">
      <w:pPr>
        <w:pStyle w:val="3"/>
        <w:outlineLvl w:val="1"/>
        <w:rPr>
          <w:rFonts w:ascii="宋体" w:hAnsi="宋体" w:eastAsia="宋体"/>
          <w:highlight w:val="none"/>
        </w:rPr>
      </w:pPr>
      <w:bookmarkStart w:id="259" w:name="_Toc247085713"/>
      <w:bookmarkStart w:id="260" w:name="_Toc246996199"/>
      <w:bookmarkStart w:id="261" w:name="_Toc1961"/>
      <w:bookmarkStart w:id="262" w:name="_Toc144974523"/>
      <w:bookmarkStart w:id="263" w:name="_Toc8915"/>
      <w:bookmarkStart w:id="264" w:name="_Toc26446"/>
      <w:bookmarkStart w:id="265" w:name="_Toc246996942"/>
      <w:bookmarkStart w:id="266" w:name="_Toc14743"/>
      <w:bookmarkStart w:id="267" w:name="_Toc338840445"/>
      <w:bookmarkStart w:id="268" w:name="_Toc25383"/>
      <w:bookmarkStart w:id="269" w:name="_Toc494093432"/>
      <w:bookmarkStart w:id="270" w:name="_Toc494526404"/>
      <w:bookmarkStart w:id="271" w:name="_Toc179632573"/>
      <w:bookmarkStart w:id="272" w:name="_Toc152042331"/>
      <w:bookmarkStart w:id="273" w:name="_Toc152045555"/>
      <w:bookmarkStart w:id="274" w:name="_Toc338840484"/>
      <w:bookmarkStart w:id="275" w:name="_Toc346523405"/>
      <w:bookmarkStart w:id="276" w:name="_Toc338840210"/>
      <w:bookmarkStart w:id="277" w:name="_Toc2826"/>
      <w:bookmarkStart w:id="278" w:name="_Toc346523468"/>
      <w:r>
        <w:rPr>
          <w:rFonts w:hint="eastAsia" w:ascii="宋体" w:hAnsi="宋体" w:eastAsia="宋体"/>
          <w:highlight w:val="none"/>
        </w:rPr>
        <w:t>4. 投标</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560CE900">
      <w:pPr>
        <w:pStyle w:val="4"/>
        <w:outlineLvl w:val="2"/>
        <w:rPr>
          <w:rFonts w:ascii="宋体" w:hAnsi="宋体"/>
          <w:highlight w:val="none"/>
        </w:rPr>
      </w:pPr>
      <w:bookmarkStart w:id="279" w:name="_Toc144974524"/>
      <w:bookmarkStart w:id="280" w:name="_Toc338840211"/>
      <w:bookmarkStart w:id="281" w:name="_Toc246996943"/>
      <w:bookmarkStart w:id="282" w:name="_Toc246996200"/>
      <w:bookmarkStart w:id="283" w:name="_Toc152042332"/>
      <w:bookmarkStart w:id="284" w:name="_Toc152045556"/>
      <w:bookmarkStart w:id="285" w:name="_Toc247085714"/>
      <w:bookmarkStart w:id="286" w:name="_Toc179632574"/>
      <w:r>
        <w:rPr>
          <w:rFonts w:hint="eastAsia" w:ascii="宋体" w:hAnsi="宋体"/>
          <w:highlight w:val="none"/>
        </w:rPr>
        <w:t>4.1 投标文件的加密</w:t>
      </w:r>
      <w:bookmarkEnd w:id="279"/>
      <w:bookmarkEnd w:id="280"/>
      <w:bookmarkEnd w:id="281"/>
      <w:bookmarkEnd w:id="282"/>
      <w:bookmarkEnd w:id="283"/>
      <w:bookmarkEnd w:id="284"/>
      <w:bookmarkEnd w:id="285"/>
      <w:bookmarkEnd w:id="286"/>
    </w:p>
    <w:p w14:paraId="5AC98FE9">
      <w:pPr>
        <w:spacing w:line="400" w:lineRule="exact"/>
        <w:ind w:firstLine="420" w:firstLineChars="200"/>
        <w:rPr>
          <w:rFonts w:ascii="宋体" w:hAnsi="宋体"/>
          <w:highlight w:val="none"/>
        </w:rPr>
      </w:pPr>
      <w:bookmarkStart w:id="287" w:name="_Toc179632575"/>
      <w:bookmarkStart w:id="288" w:name="_Toc246996201"/>
      <w:bookmarkStart w:id="289" w:name="_Toc247085715"/>
      <w:bookmarkStart w:id="290" w:name="_Toc152042333"/>
      <w:bookmarkStart w:id="291" w:name="_Toc144974525"/>
      <w:bookmarkStart w:id="292" w:name="_Toc152045557"/>
      <w:bookmarkStart w:id="293" w:name="_Toc246996944"/>
      <w:r>
        <w:rPr>
          <w:rFonts w:hint="eastAsia" w:ascii="宋体" w:hAnsi="宋体"/>
          <w:highlight w:val="none"/>
        </w:rPr>
        <w:t>4.1.1实行电子招标投标时，</w:t>
      </w:r>
      <w:r>
        <w:rPr>
          <w:rFonts w:ascii="宋体" w:hAnsi="宋体"/>
          <w:highlight w:val="none"/>
        </w:rPr>
        <w:t>供应商应当按照招标文件和电子招标投标交易平台的要求加密投标文件，具体要求见供应商须知前附表。</w:t>
      </w:r>
    </w:p>
    <w:p w14:paraId="5D2F4D80">
      <w:pPr>
        <w:pStyle w:val="4"/>
        <w:outlineLvl w:val="2"/>
        <w:rPr>
          <w:rFonts w:ascii="宋体" w:hAnsi="宋体"/>
          <w:highlight w:val="none"/>
        </w:rPr>
      </w:pPr>
      <w:bookmarkStart w:id="294" w:name="_Toc338840212"/>
      <w:r>
        <w:rPr>
          <w:rFonts w:hint="eastAsia" w:ascii="宋体" w:hAnsi="宋体"/>
          <w:highlight w:val="none"/>
        </w:rPr>
        <w:t>4.2 投标文件的递交</w:t>
      </w:r>
      <w:bookmarkEnd w:id="287"/>
      <w:bookmarkEnd w:id="288"/>
      <w:bookmarkEnd w:id="289"/>
      <w:bookmarkEnd w:id="290"/>
      <w:bookmarkEnd w:id="291"/>
      <w:bookmarkEnd w:id="292"/>
      <w:bookmarkEnd w:id="293"/>
      <w:bookmarkEnd w:id="294"/>
    </w:p>
    <w:p w14:paraId="7C5BD95C">
      <w:pPr>
        <w:spacing w:line="400" w:lineRule="exact"/>
        <w:ind w:firstLine="420" w:firstLineChars="200"/>
        <w:rPr>
          <w:rFonts w:ascii="宋体" w:hAnsi="宋体"/>
          <w:highlight w:val="none"/>
        </w:rPr>
      </w:pPr>
      <w:r>
        <w:rPr>
          <w:rFonts w:hint="eastAsia" w:ascii="宋体" w:hAnsi="宋体"/>
          <w:highlight w:val="none"/>
        </w:rPr>
        <w:t>4.2.1 供应商应在规定的投标截止时间前，通过下载招标文件的电子招标投标交易平台上传提交电子投标文件。</w:t>
      </w:r>
    </w:p>
    <w:p w14:paraId="147853FE">
      <w:pPr>
        <w:spacing w:line="400" w:lineRule="exact"/>
        <w:ind w:firstLine="420" w:firstLineChars="200"/>
        <w:rPr>
          <w:rFonts w:ascii="宋体" w:hAnsi="宋体"/>
          <w:highlight w:val="none"/>
        </w:rPr>
      </w:pPr>
      <w:r>
        <w:rPr>
          <w:rFonts w:hint="eastAsia" w:ascii="宋体" w:hAnsi="宋体"/>
          <w:highlight w:val="none"/>
        </w:rPr>
        <w:t>4.2.2除供应商须知前附表另有规定外，供应商所递交的投标文件不予退还。</w:t>
      </w:r>
    </w:p>
    <w:p w14:paraId="631A031B">
      <w:pPr>
        <w:spacing w:line="400" w:lineRule="exact"/>
        <w:ind w:firstLine="420" w:firstLineChars="200"/>
        <w:rPr>
          <w:rFonts w:ascii="宋体" w:hAnsi="宋体"/>
          <w:highlight w:val="none"/>
        </w:rPr>
      </w:pPr>
      <w:r>
        <w:rPr>
          <w:rFonts w:hint="eastAsia" w:ascii="宋体" w:hAnsi="宋体"/>
          <w:highlight w:val="none"/>
        </w:rPr>
        <w:t>4.2.3逾期送达的投标文件，电子招标投标交易平台将予以拒收。</w:t>
      </w:r>
    </w:p>
    <w:p w14:paraId="3A143917">
      <w:pPr>
        <w:pStyle w:val="4"/>
        <w:outlineLvl w:val="2"/>
        <w:rPr>
          <w:rFonts w:ascii="宋体" w:hAnsi="宋体"/>
          <w:highlight w:val="none"/>
        </w:rPr>
      </w:pPr>
      <w:bookmarkStart w:id="295" w:name="_Toc152042334"/>
      <w:bookmarkStart w:id="296" w:name="_Toc179632576"/>
      <w:bookmarkStart w:id="297" w:name="_Toc247085716"/>
      <w:bookmarkStart w:id="298" w:name="_Toc152045558"/>
      <w:bookmarkStart w:id="299" w:name="_Toc144974526"/>
      <w:bookmarkStart w:id="300" w:name="_Toc246996945"/>
      <w:bookmarkStart w:id="301" w:name="_Toc246996202"/>
      <w:bookmarkStart w:id="302" w:name="_Toc338840213"/>
      <w:r>
        <w:rPr>
          <w:rFonts w:hint="eastAsia" w:ascii="宋体" w:hAnsi="宋体"/>
          <w:highlight w:val="none"/>
        </w:rPr>
        <w:t>4.3 投标文件的修改与撤回</w:t>
      </w:r>
      <w:bookmarkEnd w:id="295"/>
      <w:bookmarkEnd w:id="296"/>
      <w:bookmarkEnd w:id="297"/>
      <w:bookmarkEnd w:id="298"/>
      <w:bookmarkEnd w:id="299"/>
      <w:bookmarkEnd w:id="300"/>
      <w:bookmarkEnd w:id="301"/>
      <w:bookmarkEnd w:id="302"/>
    </w:p>
    <w:p w14:paraId="1C534715">
      <w:pPr>
        <w:spacing w:line="400" w:lineRule="exact"/>
        <w:ind w:firstLine="420" w:firstLineChars="200"/>
        <w:rPr>
          <w:rFonts w:ascii="宋体" w:hAnsi="宋体"/>
          <w:highlight w:val="none"/>
        </w:rPr>
      </w:pPr>
      <w:r>
        <w:rPr>
          <w:rFonts w:hint="eastAsia" w:ascii="宋体" w:hAnsi="宋体"/>
          <w:highlight w:val="none"/>
        </w:rPr>
        <w:t>4.3.1 在规定的投标截止及开标时间前，供应商可以修改或撤回已上传的投标文件。</w:t>
      </w:r>
    </w:p>
    <w:p w14:paraId="3E43AC11">
      <w:pPr>
        <w:pStyle w:val="3"/>
        <w:outlineLvl w:val="1"/>
        <w:rPr>
          <w:rFonts w:ascii="宋体" w:hAnsi="宋体" w:eastAsia="宋体"/>
          <w:highlight w:val="none"/>
        </w:rPr>
      </w:pPr>
      <w:bookmarkStart w:id="303" w:name="_Toc179632577"/>
      <w:bookmarkStart w:id="304" w:name="_Toc247085717"/>
      <w:bookmarkStart w:id="305" w:name="_Toc346523469"/>
      <w:bookmarkStart w:id="306" w:name="_Toc144974527"/>
      <w:bookmarkStart w:id="307" w:name="_Toc152045559"/>
      <w:bookmarkStart w:id="308" w:name="_Toc22635"/>
      <w:bookmarkStart w:id="309" w:name="_Toc11800"/>
      <w:bookmarkStart w:id="310" w:name="_Toc338840485"/>
      <w:bookmarkStart w:id="311" w:name="_Toc494526405"/>
      <w:bookmarkStart w:id="312" w:name="_Toc494093433"/>
      <w:bookmarkStart w:id="313" w:name="_Toc346523406"/>
      <w:bookmarkStart w:id="314" w:name="_Toc152042335"/>
      <w:bookmarkStart w:id="315" w:name="_Toc246996203"/>
      <w:bookmarkStart w:id="316" w:name="_Toc16670"/>
      <w:bookmarkStart w:id="317" w:name="_Toc20438"/>
      <w:bookmarkStart w:id="318" w:name="_Toc18303"/>
      <w:bookmarkStart w:id="319" w:name="_Toc19059"/>
      <w:bookmarkStart w:id="320" w:name="_Toc338840446"/>
      <w:bookmarkStart w:id="321" w:name="_Toc338840214"/>
      <w:bookmarkStart w:id="322" w:name="_Toc246996946"/>
      <w:r>
        <w:rPr>
          <w:rFonts w:hint="eastAsia" w:ascii="宋体" w:hAnsi="宋体" w:eastAsia="宋体"/>
          <w:highlight w:val="none"/>
        </w:rPr>
        <w:t>5. 开标</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5E01C4C">
      <w:pPr>
        <w:pStyle w:val="4"/>
        <w:outlineLvl w:val="2"/>
        <w:rPr>
          <w:rFonts w:ascii="宋体" w:hAnsi="宋体"/>
          <w:highlight w:val="none"/>
        </w:rPr>
      </w:pPr>
      <w:r>
        <w:rPr>
          <w:rFonts w:hint="eastAsia" w:ascii="宋体" w:hAnsi="宋体"/>
          <w:highlight w:val="none"/>
        </w:rPr>
        <w:t>5.1 投标截止及开标时间、地点</w:t>
      </w:r>
    </w:p>
    <w:p w14:paraId="6AED4231">
      <w:pPr>
        <w:spacing w:line="400" w:lineRule="exact"/>
        <w:ind w:firstLine="420" w:firstLineChars="200"/>
        <w:rPr>
          <w:rFonts w:ascii="宋体" w:hAnsi="宋体"/>
          <w:highlight w:val="none"/>
        </w:rPr>
      </w:pPr>
      <w:r>
        <w:rPr>
          <w:rFonts w:hint="eastAsia" w:ascii="宋体" w:hAnsi="宋体"/>
          <w:highlight w:val="none"/>
        </w:rPr>
        <w:t>采购人在规定的投标截止时间（开标时间）,通过电子招标投标交易平台公开开标，邀请所有供应商的法定代表人（单位负责人）或其委托代理人准时参加。</w:t>
      </w:r>
    </w:p>
    <w:p w14:paraId="7637FC88">
      <w:pPr>
        <w:pStyle w:val="4"/>
        <w:outlineLvl w:val="2"/>
        <w:rPr>
          <w:rFonts w:ascii="宋体" w:hAnsi="宋体"/>
          <w:highlight w:val="none"/>
        </w:rPr>
      </w:pPr>
      <w:bookmarkStart w:id="323" w:name="_Toc179632579"/>
      <w:bookmarkStart w:id="324" w:name="_Toc152045561"/>
      <w:bookmarkStart w:id="325" w:name="_Toc144974529"/>
      <w:bookmarkStart w:id="326" w:name="_Toc246996948"/>
      <w:bookmarkStart w:id="327" w:name="_Toc247085719"/>
      <w:bookmarkStart w:id="328" w:name="_Toc338840216"/>
      <w:bookmarkStart w:id="329" w:name="_Toc246996205"/>
      <w:bookmarkStart w:id="330" w:name="_Toc152042337"/>
      <w:r>
        <w:rPr>
          <w:rFonts w:hint="eastAsia" w:ascii="宋体" w:hAnsi="宋体"/>
          <w:highlight w:val="none"/>
        </w:rPr>
        <w:t>5.2 开标程序</w:t>
      </w:r>
      <w:bookmarkEnd w:id="323"/>
      <w:bookmarkEnd w:id="324"/>
      <w:bookmarkEnd w:id="325"/>
      <w:bookmarkEnd w:id="326"/>
      <w:bookmarkEnd w:id="327"/>
      <w:bookmarkEnd w:id="328"/>
      <w:bookmarkEnd w:id="329"/>
      <w:bookmarkEnd w:id="330"/>
    </w:p>
    <w:p w14:paraId="0B82D839">
      <w:pPr>
        <w:spacing w:line="400" w:lineRule="exact"/>
        <w:ind w:firstLine="359" w:firstLineChars="171"/>
        <w:rPr>
          <w:rFonts w:ascii="宋体" w:hAnsi="宋体"/>
          <w:highlight w:val="none"/>
        </w:rPr>
      </w:pPr>
      <w:r>
        <w:rPr>
          <w:rFonts w:hint="eastAsia" w:ascii="宋体" w:hAnsi="宋体"/>
          <w:highlight w:val="none"/>
        </w:rPr>
        <w:t xml:space="preserve">详见供应商须知前附表 </w:t>
      </w:r>
    </w:p>
    <w:p w14:paraId="4C3A96F0">
      <w:pPr>
        <w:pStyle w:val="4"/>
        <w:outlineLvl w:val="2"/>
        <w:rPr>
          <w:rFonts w:ascii="宋体" w:hAnsi="宋体"/>
          <w:highlight w:val="none"/>
        </w:rPr>
      </w:pPr>
      <w:bookmarkStart w:id="331" w:name="_Toc338840217"/>
      <w:r>
        <w:rPr>
          <w:rFonts w:hint="eastAsia" w:ascii="宋体" w:hAnsi="宋体"/>
          <w:highlight w:val="none"/>
        </w:rPr>
        <w:t>5.3 开标异议</w:t>
      </w:r>
      <w:bookmarkEnd w:id="331"/>
    </w:p>
    <w:p w14:paraId="1BF5952D">
      <w:pPr>
        <w:spacing w:line="400" w:lineRule="exact"/>
        <w:ind w:firstLine="359" w:firstLineChars="171"/>
        <w:rPr>
          <w:rFonts w:ascii="宋体" w:hAnsi="宋体"/>
          <w:highlight w:val="none"/>
        </w:rPr>
      </w:pPr>
      <w:r>
        <w:rPr>
          <w:rFonts w:hint="eastAsia" w:ascii="宋体" w:hAnsi="宋体"/>
          <w:highlight w:val="none"/>
        </w:rPr>
        <w:t>供应商对开标有异议的，应当在开标现场提出，采购人当场作出答复，并记录。</w:t>
      </w:r>
    </w:p>
    <w:p w14:paraId="5D9EE0A6">
      <w:pPr>
        <w:pStyle w:val="3"/>
        <w:outlineLvl w:val="1"/>
        <w:rPr>
          <w:rFonts w:ascii="宋体" w:hAnsi="宋体" w:eastAsia="宋体"/>
          <w:highlight w:val="none"/>
        </w:rPr>
      </w:pPr>
      <w:bookmarkStart w:id="332" w:name="_Toc25260"/>
      <w:bookmarkStart w:id="333" w:name="_Toc494093434"/>
      <w:bookmarkStart w:id="334" w:name="_Toc23925"/>
      <w:bookmarkStart w:id="335" w:name="_Toc15053"/>
      <w:bookmarkStart w:id="336" w:name="_Toc246996949"/>
      <w:bookmarkStart w:id="337" w:name="_Toc23221"/>
      <w:bookmarkStart w:id="338" w:name="_Toc346523470"/>
      <w:bookmarkStart w:id="339" w:name="_Toc338840486"/>
      <w:bookmarkStart w:id="340" w:name="_Toc12412"/>
      <w:bookmarkStart w:id="341" w:name="_Toc494526406"/>
      <w:bookmarkStart w:id="342" w:name="_Toc338840218"/>
      <w:bookmarkStart w:id="343" w:name="_Toc144974530"/>
      <w:bookmarkStart w:id="344" w:name="_Toc338840447"/>
      <w:bookmarkStart w:id="345" w:name="_Toc152045562"/>
      <w:bookmarkStart w:id="346" w:name="_Toc246996206"/>
      <w:bookmarkStart w:id="347" w:name="_Toc1700"/>
      <w:bookmarkStart w:id="348" w:name="_Toc346523407"/>
      <w:bookmarkStart w:id="349" w:name="_Toc179632580"/>
      <w:bookmarkStart w:id="350" w:name="_Toc247085720"/>
      <w:bookmarkStart w:id="351" w:name="_Toc152042338"/>
      <w:r>
        <w:rPr>
          <w:rFonts w:hint="eastAsia" w:ascii="宋体" w:hAnsi="宋体" w:eastAsia="宋体"/>
          <w:highlight w:val="none"/>
        </w:rPr>
        <w:t>6. 评标</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598FF5DA">
      <w:pPr>
        <w:pStyle w:val="4"/>
        <w:outlineLvl w:val="2"/>
        <w:rPr>
          <w:rFonts w:ascii="宋体" w:hAnsi="宋体"/>
          <w:highlight w:val="none"/>
        </w:rPr>
      </w:pPr>
      <w:bookmarkStart w:id="352" w:name="_Toc338840219"/>
      <w:bookmarkStart w:id="353" w:name="_Toc144974531"/>
      <w:bookmarkStart w:id="354" w:name="_Toc152045563"/>
      <w:bookmarkStart w:id="355" w:name="_Toc246996950"/>
      <w:bookmarkStart w:id="356" w:name="_Toc247085721"/>
      <w:bookmarkStart w:id="357" w:name="_Toc152042339"/>
      <w:bookmarkStart w:id="358" w:name="_Toc179632581"/>
      <w:bookmarkStart w:id="359" w:name="_Toc246996207"/>
      <w:r>
        <w:rPr>
          <w:rFonts w:hint="eastAsia" w:ascii="宋体" w:hAnsi="宋体"/>
          <w:highlight w:val="none"/>
        </w:rPr>
        <w:t>6.1 评标委员会</w:t>
      </w:r>
      <w:bookmarkEnd w:id="352"/>
      <w:bookmarkEnd w:id="353"/>
      <w:bookmarkEnd w:id="354"/>
      <w:bookmarkEnd w:id="355"/>
      <w:bookmarkEnd w:id="356"/>
      <w:bookmarkEnd w:id="357"/>
      <w:bookmarkEnd w:id="358"/>
      <w:bookmarkEnd w:id="359"/>
    </w:p>
    <w:p w14:paraId="4DB06EE5">
      <w:pPr>
        <w:spacing w:line="400" w:lineRule="exact"/>
        <w:ind w:firstLine="420" w:firstLineChars="200"/>
        <w:rPr>
          <w:rFonts w:ascii="宋体" w:hAnsi="宋体"/>
          <w:highlight w:val="none"/>
        </w:rPr>
      </w:pPr>
      <w:r>
        <w:rPr>
          <w:rFonts w:hint="eastAsia" w:ascii="宋体" w:hAnsi="宋体"/>
          <w:highlight w:val="none"/>
        </w:rPr>
        <w:t>6.1.1 评标由采购人依法组建的评标委员会负责。评标委员会由采购人熟悉相关业务的代表以及评审专家组成。评标委员会成员人数以及评审专家的确定方式见供应商须知前附表。</w:t>
      </w:r>
    </w:p>
    <w:p w14:paraId="068DCE7C">
      <w:pPr>
        <w:spacing w:line="400" w:lineRule="exact"/>
        <w:ind w:firstLine="420" w:firstLineChars="200"/>
        <w:outlineLvl w:val="3"/>
        <w:rPr>
          <w:rFonts w:ascii="宋体" w:hAnsi="宋体"/>
          <w:highlight w:val="none"/>
        </w:rPr>
      </w:pPr>
      <w:r>
        <w:rPr>
          <w:rFonts w:hint="eastAsia" w:ascii="宋体" w:hAnsi="宋体"/>
          <w:highlight w:val="none"/>
        </w:rPr>
        <w:t>6.1.2 评标委员会成员有下列情形之一的，应当回避：</w:t>
      </w:r>
    </w:p>
    <w:p w14:paraId="73B0FA37">
      <w:pPr>
        <w:spacing w:line="400" w:lineRule="exact"/>
        <w:ind w:left="420" w:firstLine="420" w:firstLineChars="200"/>
        <w:rPr>
          <w:rFonts w:ascii="宋体" w:hAnsi="宋体"/>
          <w:highlight w:val="none"/>
        </w:rPr>
      </w:pPr>
      <w:r>
        <w:rPr>
          <w:rFonts w:hint="eastAsia" w:ascii="宋体" w:hAnsi="宋体"/>
          <w:highlight w:val="none"/>
        </w:rPr>
        <w:t>（1）供应商或供应商主要负责人的近亲属；</w:t>
      </w:r>
    </w:p>
    <w:p w14:paraId="38AFCB3E">
      <w:pPr>
        <w:spacing w:line="400" w:lineRule="exact"/>
        <w:ind w:left="420" w:firstLine="420" w:firstLineChars="200"/>
        <w:rPr>
          <w:rFonts w:ascii="宋体" w:hAnsi="宋体"/>
          <w:highlight w:val="none"/>
        </w:rPr>
      </w:pPr>
      <w:r>
        <w:rPr>
          <w:rFonts w:hint="eastAsia" w:ascii="宋体" w:hAnsi="宋体"/>
          <w:highlight w:val="none"/>
        </w:rPr>
        <w:t>（2）项目主管部门或者行政监督部门的人员；</w:t>
      </w:r>
    </w:p>
    <w:p w14:paraId="013544A2">
      <w:pPr>
        <w:spacing w:line="400" w:lineRule="exact"/>
        <w:ind w:left="420" w:firstLine="420" w:firstLineChars="200"/>
        <w:rPr>
          <w:rFonts w:ascii="宋体" w:hAnsi="宋体"/>
          <w:highlight w:val="none"/>
        </w:rPr>
      </w:pPr>
      <w:r>
        <w:rPr>
          <w:rFonts w:hint="eastAsia" w:ascii="宋体" w:hAnsi="宋体"/>
          <w:highlight w:val="none"/>
        </w:rPr>
        <w:t>（3）与供应商有经济利益关系，可能影响对投标公正评审的；</w:t>
      </w:r>
    </w:p>
    <w:p w14:paraId="7D3E80BE">
      <w:pPr>
        <w:spacing w:line="400" w:lineRule="exact"/>
        <w:ind w:left="420" w:firstLine="420" w:firstLineChars="200"/>
        <w:rPr>
          <w:rFonts w:ascii="宋体" w:hAnsi="宋体"/>
          <w:highlight w:val="none"/>
        </w:rPr>
      </w:pPr>
      <w:r>
        <w:rPr>
          <w:rFonts w:hint="eastAsia" w:ascii="宋体" w:hAnsi="宋体"/>
          <w:highlight w:val="none"/>
        </w:rPr>
        <w:t>（4）曾因在招标、评标以及其他与招标投标有关活动中从事违法行为而受过行政处罚或刑事处罚期限未满的；</w:t>
      </w:r>
    </w:p>
    <w:p w14:paraId="0EEAE532">
      <w:pPr>
        <w:spacing w:line="400" w:lineRule="exact"/>
        <w:ind w:left="420" w:leftChars="0" w:firstLine="420" w:firstLineChars="200"/>
        <w:outlineLvl w:val="4"/>
        <w:rPr>
          <w:rFonts w:ascii="宋体" w:hAnsi="宋体"/>
          <w:highlight w:val="none"/>
        </w:rPr>
      </w:pPr>
      <w:r>
        <w:rPr>
          <w:rFonts w:hint="eastAsia" w:ascii="宋体" w:hAnsi="宋体"/>
          <w:highlight w:val="none"/>
        </w:rPr>
        <w:t>（5）与供应商有其他利害关系。</w:t>
      </w:r>
    </w:p>
    <w:p w14:paraId="2C6363D5">
      <w:pPr>
        <w:spacing w:line="400" w:lineRule="exact"/>
        <w:ind w:firstLine="420" w:firstLineChars="200"/>
        <w:rPr>
          <w:rFonts w:ascii="宋体" w:hAnsi="宋体"/>
          <w:highlight w:val="none"/>
        </w:rPr>
      </w:pPr>
      <w:r>
        <w:rPr>
          <w:rFonts w:hint="eastAsia" w:ascii="宋体" w:hAnsi="宋体"/>
          <w:highlight w:val="none"/>
        </w:rPr>
        <w:t>6.1.3 评标过程中，评标委员会成员有回避事由、擅离职守或者因健康等原因不能继续评标的，采购人有权更换。被更换的评标委员会成员作出的评审结论无效，由更换后的评标委员会成员重新进行评审。</w:t>
      </w:r>
    </w:p>
    <w:p w14:paraId="7E412095">
      <w:pPr>
        <w:pStyle w:val="4"/>
        <w:outlineLvl w:val="2"/>
        <w:rPr>
          <w:rFonts w:ascii="宋体" w:hAnsi="宋体"/>
          <w:highlight w:val="none"/>
        </w:rPr>
      </w:pPr>
      <w:bookmarkStart w:id="360" w:name="_Toc246996208"/>
      <w:bookmarkStart w:id="361" w:name="_Toc179632582"/>
      <w:bookmarkStart w:id="362" w:name="_Toc247085722"/>
      <w:bookmarkStart w:id="363" w:name="_Toc152042340"/>
      <w:bookmarkStart w:id="364" w:name="_Toc246996951"/>
      <w:bookmarkStart w:id="365" w:name="_Toc338840220"/>
      <w:bookmarkStart w:id="366" w:name="_Toc152045564"/>
      <w:bookmarkStart w:id="367" w:name="_Toc144974532"/>
      <w:r>
        <w:rPr>
          <w:rFonts w:hint="eastAsia" w:ascii="宋体" w:hAnsi="宋体"/>
          <w:highlight w:val="none"/>
        </w:rPr>
        <w:t>6.2 评标原则</w:t>
      </w:r>
      <w:bookmarkEnd w:id="360"/>
      <w:bookmarkEnd w:id="361"/>
      <w:bookmarkEnd w:id="362"/>
      <w:bookmarkEnd w:id="363"/>
      <w:bookmarkEnd w:id="364"/>
      <w:bookmarkEnd w:id="365"/>
      <w:bookmarkEnd w:id="366"/>
      <w:bookmarkEnd w:id="367"/>
    </w:p>
    <w:p w14:paraId="6B6B732D">
      <w:pPr>
        <w:spacing w:line="400" w:lineRule="exact"/>
        <w:ind w:firstLine="420" w:firstLineChars="200"/>
        <w:rPr>
          <w:rFonts w:ascii="宋体" w:hAnsi="宋体"/>
          <w:highlight w:val="none"/>
        </w:rPr>
      </w:pPr>
      <w:r>
        <w:rPr>
          <w:rFonts w:hint="eastAsia" w:ascii="宋体" w:hAnsi="宋体"/>
          <w:highlight w:val="none"/>
        </w:rPr>
        <w:t>评标活动遵循公平、公正、科学和择优的原则。</w:t>
      </w:r>
    </w:p>
    <w:p w14:paraId="7F805822">
      <w:pPr>
        <w:pStyle w:val="4"/>
        <w:outlineLvl w:val="2"/>
        <w:rPr>
          <w:rFonts w:ascii="宋体" w:hAnsi="宋体"/>
          <w:highlight w:val="none"/>
        </w:rPr>
      </w:pPr>
      <w:bookmarkStart w:id="368" w:name="_Toc179632583"/>
      <w:bookmarkStart w:id="369" w:name="_Toc152045565"/>
      <w:bookmarkStart w:id="370" w:name="_Toc246996209"/>
      <w:bookmarkStart w:id="371" w:name="_Toc152042341"/>
      <w:bookmarkStart w:id="372" w:name="_Toc338840221"/>
      <w:bookmarkStart w:id="373" w:name="_Toc247085723"/>
      <w:bookmarkStart w:id="374" w:name="_Toc246996952"/>
      <w:bookmarkStart w:id="375" w:name="_Toc144974533"/>
      <w:r>
        <w:rPr>
          <w:rFonts w:hint="eastAsia" w:ascii="宋体" w:hAnsi="宋体"/>
          <w:highlight w:val="none"/>
        </w:rPr>
        <w:t>6.3 评标</w:t>
      </w:r>
      <w:bookmarkEnd w:id="368"/>
      <w:bookmarkEnd w:id="369"/>
      <w:bookmarkEnd w:id="370"/>
      <w:bookmarkEnd w:id="371"/>
      <w:bookmarkEnd w:id="372"/>
      <w:bookmarkEnd w:id="373"/>
      <w:bookmarkEnd w:id="374"/>
      <w:bookmarkEnd w:id="375"/>
    </w:p>
    <w:p w14:paraId="696C3693">
      <w:pPr>
        <w:spacing w:line="400" w:lineRule="exact"/>
        <w:ind w:firstLine="420" w:firstLineChars="200"/>
        <w:rPr>
          <w:rFonts w:ascii="宋体" w:hAnsi="宋体"/>
          <w:highlight w:val="none"/>
        </w:rPr>
      </w:pPr>
      <w:r>
        <w:rPr>
          <w:rFonts w:hint="eastAsia" w:ascii="宋体" w:hAnsi="宋体"/>
          <w:highlight w:val="none"/>
        </w:rPr>
        <w:t>6.3.1评标委员会按照第三章“评标办法”规定的方法、评审因素、标准和程序对投标文件进行评审。第三章“评标办法”没有规定的方法、评审因素和标准，不作为评标依据。</w:t>
      </w:r>
    </w:p>
    <w:p w14:paraId="00A859F3">
      <w:pPr>
        <w:spacing w:line="400" w:lineRule="exact"/>
        <w:ind w:firstLine="420" w:firstLineChars="200"/>
        <w:rPr>
          <w:rFonts w:ascii="宋体" w:hAnsi="宋体"/>
          <w:highlight w:val="none"/>
        </w:rPr>
      </w:pPr>
      <w:r>
        <w:rPr>
          <w:rFonts w:hint="eastAsia" w:ascii="宋体" w:hAnsi="宋体"/>
          <w:highlight w:val="none"/>
        </w:rPr>
        <w:t>6.3.2评标完成后，评标委员会应当向采购人提交书面评标报告和中标候选人名单。评标委员会推荐中标候选人的人数见供应商须知前附表。</w:t>
      </w:r>
    </w:p>
    <w:p w14:paraId="4B9FE945">
      <w:pPr>
        <w:pStyle w:val="3"/>
        <w:outlineLvl w:val="1"/>
        <w:rPr>
          <w:rFonts w:ascii="宋体" w:hAnsi="宋体" w:eastAsia="宋体"/>
          <w:highlight w:val="none"/>
        </w:rPr>
      </w:pPr>
      <w:bookmarkStart w:id="376" w:name="_Toc494526407"/>
      <w:bookmarkStart w:id="377" w:name="_Toc152045566"/>
      <w:bookmarkStart w:id="378" w:name="_Toc346523408"/>
      <w:bookmarkStart w:id="379" w:name="_Toc246996210"/>
      <w:bookmarkStart w:id="380" w:name="_Toc7858"/>
      <w:bookmarkStart w:id="381" w:name="_Toc32146"/>
      <w:bookmarkStart w:id="382" w:name="_Toc152042342"/>
      <w:bookmarkStart w:id="383" w:name="_Toc247085724"/>
      <w:bookmarkStart w:id="384" w:name="_Toc338840222"/>
      <w:bookmarkStart w:id="385" w:name="_Toc144974534"/>
      <w:bookmarkStart w:id="386" w:name="_Toc338840448"/>
      <w:bookmarkStart w:id="387" w:name="_Toc494093435"/>
      <w:bookmarkStart w:id="388" w:name="_Toc346523471"/>
      <w:bookmarkStart w:id="389" w:name="_Toc338840487"/>
      <w:bookmarkStart w:id="390" w:name="_Toc30344"/>
      <w:bookmarkStart w:id="391" w:name="_Toc179632584"/>
      <w:bookmarkStart w:id="392" w:name="_Toc11962"/>
      <w:bookmarkStart w:id="393" w:name="_Toc29292"/>
      <w:bookmarkStart w:id="394" w:name="_Toc3710"/>
      <w:bookmarkStart w:id="395" w:name="_Toc246996953"/>
      <w:r>
        <w:rPr>
          <w:rFonts w:hint="eastAsia" w:ascii="宋体" w:hAnsi="宋体" w:eastAsia="宋体"/>
          <w:highlight w:val="none"/>
        </w:rPr>
        <w:t>7. 合同授予</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6123768D">
      <w:pPr>
        <w:pStyle w:val="4"/>
        <w:outlineLvl w:val="2"/>
        <w:rPr>
          <w:rFonts w:ascii="宋体" w:hAnsi="宋体"/>
          <w:highlight w:val="none"/>
        </w:rPr>
      </w:pPr>
      <w:bookmarkStart w:id="396" w:name="_Toc246996954"/>
      <w:bookmarkStart w:id="397" w:name="_Toc152045567"/>
      <w:bookmarkStart w:id="398" w:name="_Toc247085725"/>
      <w:bookmarkStart w:id="399" w:name="_Toc246996211"/>
      <w:bookmarkStart w:id="400" w:name="_Toc338840223"/>
      <w:bookmarkStart w:id="401" w:name="_Toc152042343"/>
      <w:bookmarkStart w:id="402" w:name="_Toc179632585"/>
      <w:bookmarkStart w:id="403" w:name="_Toc144974535"/>
      <w:r>
        <w:rPr>
          <w:rFonts w:hint="eastAsia" w:ascii="宋体" w:hAnsi="宋体"/>
          <w:highlight w:val="none"/>
        </w:rPr>
        <w:t>7.1 定标方式</w:t>
      </w:r>
      <w:bookmarkEnd w:id="396"/>
      <w:bookmarkEnd w:id="397"/>
      <w:bookmarkEnd w:id="398"/>
      <w:bookmarkEnd w:id="399"/>
      <w:bookmarkEnd w:id="400"/>
      <w:bookmarkEnd w:id="401"/>
      <w:bookmarkEnd w:id="402"/>
      <w:bookmarkEnd w:id="403"/>
    </w:p>
    <w:p w14:paraId="55D556ED">
      <w:pPr>
        <w:spacing w:line="400" w:lineRule="exact"/>
        <w:ind w:firstLine="420" w:firstLineChars="200"/>
        <w:rPr>
          <w:rFonts w:ascii="宋体" w:hAnsi="宋体"/>
          <w:highlight w:val="none"/>
        </w:rPr>
      </w:pPr>
      <w:r>
        <w:rPr>
          <w:rFonts w:hint="eastAsia" w:ascii="宋体" w:hAnsi="宋体"/>
          <w:highlight w:val="none"/>
        </w:rPr>
        <w:t>除供应商须知前附表规定评标委员会直接确定中标人外，采购人依据评标委员会推荐的中标候选人名单，按排序确定中标人，评标委员会推荐中标候选人的人数见供应商须知前附表。</w:t>
      </w:r>
    </w:p>
    <w:p w14:paraId="4D8512AE">
      <w:pPr>
        <w:pStyle w:val="4"/>
        <w:outlineLvl w:val="2"/>
        <w:rPr>
          <w:rFonts w:ascii="宋体" w:hAnsi="宋体"/>
          <w:highlight w:val="none"/>
        </w:rPr>
      </w:pPr>
      <w:bookmarkStart w:id="404" w:name="_Toc338840224"/>
      <w:r>
        <w:rPr>
          <w:rFonts w:hint="eastAsia" w:ascii="宋体" w:hAnsi="宋体"/>
          <w:highlight w:val="none"/>
        </w:rPr>
        <w:t>7.2 中标人公布</w:t>
      </w:r>
      <w:bookmarkEnd w:id="404"/>
      <w:r>
        <w:rPr>
          <w:rFonts w:hint="eastAsia" w:ascii="宋体" w:hAnsi="宋体"/>
          <w:highlight w:val="none"/>
        </w:rPr>
        <w:t>媒介</w:t>
      </w:r>
    </w:p>
    <w:p w14:paraId="6EDC3FA3">
      <w:pPr>
        <w:spacing w:line="400" w:lineRule="exact"/>
        <w:ind w:firstLine="420" w:firstLineChars="200"/>
        <w:rPr>
          <w:rFonts w:ascii="宋体" w:hAnsi="宋体"/>
          <w:highlight w:val="none"/>
        </w:rPr>
      </w:pPr>
      <w:r>
        <w:rPr>
          <w:rFonts w:hint="eastAsia" w:ascii="宋体" w:hAnsi="宋体"/>
          <w:highlight w:val="none"/>
        </w:rPr>
        <w:t>采购人在供应商须知前附表规定的媒介公布中标人。</w:t>
      </w:r>
    </w:p>
    <w:p w14:paraId="4194F709">
      <w:pPr>
        <w:pStyle w:val="4"/>
        <w:outlineLvl w:val="2"/>
        <w:rPr>
          <w:rFonts w:ascii="宋体" w:hAnsi="宋体"/>
          <w:highlight w:val="none"/>
        </w:rPr>
      </w:pPr>
      <w:bookmarkStart w:id="405" w:name="_Toc152045568"/>
      <w:bookmarkStart w:id="406" w:name="_Toc246996955"/>
      <w:bookmarkStart w:id="407" w:name="_Toc144974536"/>
      <w:bookmarkStart w:id="408" w:name="_Toc179632586"/>
      <w:bookmarkStart w:id="409" w:name="_Toc246996212"/>
      <w:bookmarkStart w:id="410" w:name="_Toc152042344"/>
      <w:bookmarkStart w:id="411" w:name="_Toc338840225"/>
      <w:bookmarkStart w:id="412" w:name="_Toc247085726"/>
      <w:r>
        <w:rPr>
          <w:rFonts w:hint="eastAsia" w:ascii="宋体" w:hAnsi="宋体"/>
          <w:highlight w:val="none"/>
        </w:rPr>
        <w:t>7.3 中标通知</w:t>
      </w:r>
      <w:bookmarkEnd w:id="405"/>
      <w:bookmarkEnd w:id="406"/>
      <w:bookmarkEnd w:id="407"/>
      <w:bookmarkEnd w:id="408"/>
      <w:bookmarkEnd w:id="409"/>
      <w:bookmarkEnd w:id="410"/>
      <w:bookmarkEnd w:id="411"/>
      <w:bookmarkEnd w:id="412"/>
    </w:p>
    <w:p w14:paraId="5B58C01C">
      <w:pPr>
        <w:spacing w:line="400" w:lineRule="exact"/>
        <w:ind w:firstLine="420" w:firstLineChars="200"/>
        <w:rPr>
          <w:rFonts w:ascii="宋体" w:hAnsi="宋体"/>
          <w:highlight w:val="none"/>
        </w:rPr>
      </w:pPr>
      <w:r>
        <w:rPr>
          <w:rFonts w:hint="eastAsia" w:ascii="宋体" w:hAnsi="宋体"/>
          <w:highlight w:val="none"/>
        </w:rPr>
        <w:t>采购人确定中标人后，在规定的中标人公布媒介公布，以书面形式向中标人发出中标通知书，其他未中标的供应商自行查看结果，不再另行通知。详见供应商须知前附表。</w:t>
      </w:r>
    </w:p>
    <w:p w14:paraId="646B9E27">
      <w:pPr>
        <w:pStyle w:val="4"/>
        <w:outlineLvl w:val="2"/>
        <w:rPr>
          <w:rFonts w:ascii="宋体" w:hAnsi="宋体"/>
          <w:highlight w:val="none"/>
        </w:rPr>
      </w:pPr>
      <w:bookmarkStart w:id="413" w:name="_Toc246996213"/>
      <w:bookmarkStart w:id="414" w:name="_Toc247085727"/>
      <w:bookmarkStart w:id="415" w:name="_Toc246996956"/>
      <w:bookmarkStart w:id="416" w:name="_Toc144974537"/>
      <w:bookmarkStart w:id="417" w:name="_Toc152045569"/>
      <w:bookmarkStart w:id="418" w:name="_Toc152042345"/>
      <w:bookmarkStart w:id="419" w:name="_Toc179632587"/>
      <w:bookmarkStart w:id="420" w:name="_Toc338840226"/>
      <w:r>
        <w:rPr>
          <w:rFonts w:hint="eastAsia" w:ascii="宋体" w:hAnsi="宋体"/>
          <w:highlight w:val="none"/>
        </w:rPr>
        <w:t>7.4 履约担保</w:t>
      </w:r>
      <w:bookmarkEnd w:id="413"/>
      <w:bookmarkEnd w:id="414"/>
      <w:bookmarkEnd w:id="415"/>
      <w:bookmarkEnd w:id="416"/>
      <w:bookmarkEnd w:id="417"/>
      <w:bookmarkEnd w:id="418"/>
      <w:bookmarkEnd w:id="419"/>
      <w:bookmarkEnd w:id="420"/>
    </w:p>
    <w:p w14:paraId="2B740E7B">
      <w:pPr>
        <w:spacing w:line="400" w:lineRule="exact"/>
        <w:ind w:firstLine="420" w:firstLineChars="200"/>
        <w:rPr>
          <w:rFonts w:ascii="宋体" w:hAnsi="宋体"/>
          <w:highlight w:val="none"/>
        </w:rPr>
      </w:pPr>
      <w:r>
        <w:rPr>
          <w:rFonts w:hint="eastAsia" w:ascii="宋体" w:hAnsi="宋体"/>
          <w:highlight w:val="none"/>
        </w:rPr>
        <w:t>7.4.1在签订合同前，中标人应按供应商须知前附表规定的担保形式和招标文件第四章“合同条款及格式”规定的或者事先经过采购人书面认可的履约担保方式向采购人提交履约担保。</w:t>
      </w:r>
    </w:p>
    <w:p w14:paraId="52B27412">
      <w:pPr>
        <w:spacing w:line="400" w:lineRule="exact"/>
        <w:ind w:firstLine="420" w:firstLineChars="200"/>
        <w:rPr>
          <w:rFonts w:ascii="宋体" w:hAnsi="宋体"/>
          <w:highlight w:val="none"/>
        </w:rPr>
      </w:pPr>
      <w:r>
        <w:rPr>
          <w:rFonts w:hint="eastAsia" w:ascii="宋体" w:hAnsi="宋体"/>
          <w:highlight w:val="none"/>
        </w:rPr>
        <w:t>7.4.2 中标人不能按本章第7.4.1项要求提交履约担保的，视为放弃中标，其投标保证金不予退还，给采购人造成的损失超过投标保证金数额的，中标人还应当对超过部分予以赔偿。</w:t>
      </w:r>
    </w:p>
    <w:p w14:paraId="44F5FBC5">
      <w:pPr>
        <w:pStyle w:val="4"/>
        <w:outlineLvl w:val="2"/>
        <w:rPr>
          <w:rFonts w:ascii="宋体" w:hAnsi="宋体"/>
          <w:highlight w:val="none"/>
        </w:rPr>
      </w:pPr>
      <w:bookmarkStart w:id="421" w:name="_Toc246996957"/>
      <w:bookmarkStart w:id="422" w:name="_Toc338840227"/>
      <w:bookmarkStart w:id="423" w:name="_Toc144974538"/>
      <w:bookmarkStart w:id="424" w:name="_Toc247085728"/>
      <w:bookmarkStart w:id="425" w:name="_Toc152042346"/>
      <w:bookmarkStart w:id="426" w:name="_Toc179632588"/>
      <w:bookmarkStart w:id="427" w:name="_Toc246996214"/>
      <w:bookmarkStart w:id="428" w:name="_Toc152045570"/>
      <w:r>
        <w:rPr>
          <w:rFonts w:hint="eastAsia" w:ascii="宋体" w:hAnsi="宋体"/>
          <w:highlight w:val="none"/>
        </w:rPr>
        <w:t>7.5 签订合同</w:t>
      </w:r>
      <w:bookmarkEnd w:id="421"/>
      <w:bookmarkEnd w:id="422"/>
      <w:bookmarkEnd w:id="423"/>
      <w:bookmarkEnd w:id="424"/>
      <w:bookmarkEnd w:id="425"/>
      <w:bookmarkEnd w:id="426"/>
      <w:bookmarkEnd w:id="427"/>
      <w:bookmarkEnd w:id="428"/>
    </w:p>
    <w:p w14:paraId="27F36106">
      <w:pPr>
        <w:spacing w:line="400" w:lineRule="exact"/>
        <w:ind w:firstLine="420" w:firstLineChars="200"/>
        <w:rPr>
          <w:rFonts w:ascii="宋体" w:hAnsi="宋体"/>
          <w:highlight w:val="none"/>
        </w:rPr>
      </w:pPr>
      <w:r>
        <w:rPr>
          <w:rFonts w:hint="eastAsia" w:ascii="宋体" w:hAnsi="宋体"/>
          <w:highlight w:val="none"/>
        </w:rPr>
        <w:t>7.5.1采购人和中标人应当自中标通知书发出之日起30天内（供应商须知前附表另有规定者从其规定），根据招标文件和中标人的投标文件订立书面合同。中标人无正当理由拒签合同的，采购人取消其中标资格，其投标保证金不予退还；给采购人造成的损失超过投标保证金数额的，中标人还应当对超过部分予以赔偿。</w:t>
      </w:r>
    </w:p>
    <w:p w14:paraId="40A42EEE">
      <w:pPr>
        <w:spacing w:line="400" w:lineRule="exact"/>
        <w:ind w:firstLine="420" w:firstLineChars="200"/>
        <w:rPr>
          <w:rFonts w:ascii="宋体" w:hAnsi="宋体"/>
          <w:highlight w:val="none"/>
        </w:rPr>
      </w:pPr>
      <w:r>
        <w:rPr>
          <w:rFonts w:hint="eastAsia" w:ascii="宋体" w:hAnsi="宋体"/>
          <w:highlight w:val="none"/>
        </w:rPr>
        <w:t>7.5.2 发出中标通知书后，采购人无正当理由拒签合同的，采购人向中标人退还投标保证金；给中标人造成损失的，还应当赔偿损失。</w:t>
      </w:r>
    </w:p>
    <w:p w14:paraId="4155E698">
      <w:pPr>
        <w:spacing w:line="400" w:lineRule="exact"/>
        <w:ind w:firstLine="420" w:firstLineChars="200"/>
        <w:rPr>
          <w:rFonts w:ascii="宋体" w:hAnsi="宋体"/>
          <w:highlight w:val="none"/>
        </w:rPr>
      </w:pPr>
      <w:r>
        <w:rPr>
          <w:rFonts w:hint="eastAsia" w:ascii="宋体" w:hAnsi="宋体"/>
          <w:highlight w:val="none"/>
        </w:rPr>
        <w:t>7.5.3联合体中标的，联合体各方应当共同与采购人签订合同，就中标项目向采购人承担连带责任。</w:t>
      </w:r>
    </w:p>
    <w:p w14:paraId="317D9771">
      <w:pPr>
        <w:pStyle w:val="3"/>
        <w:outlineLvl w:val="1"/>
        <w:rPr>
          <w:rFonts w:ascii="宋体" w:hAnsi="宋体" w:eastAsia="宋体"/>
          <w:highlight w:val="none"/>
        </w:rPr>
      </w:pPr>
      <w:bookmarkStart w:id="429" w:name="_Toc494093436"/>
      <w:bookmarkStart w:id="430" w:name="_Toc14615"/>
      <w:bookmarkStart w:id="431" w:name="_Toc19232"/>
      <w:bookmarkStart w:id="432" w:name="_Toc338840228"/>
      <w:bookmarkStart w:id="433" w:name="_Toc346523472"/>
      <w:bookmarkStart w:id="434" w:name="_Toc338840449"/>
      <w:bookmarkStart w:id="435" w:name="_Toc346523409"/>
      <w:bookmarkStart w:id="436" w:name="_Toc4153"/>
      <w:bookmarkStart w:id="437" w:name="_Toc338840488"/>
      <w:bookmarkStart w:id="438" w:name="_Toc494526408"/>
      <w:bookmarkStart w:id="439" w:name="_Toc1612"/>
      <w:bookmarkStart w:id="440" w:name="_Toc10938"/>
      <w:bookmarkStart w:id="441" w:name="_Toc21421"/>
      <w:r>
        <w:rPr>
          <w:rFonts w:hint="eastAsia" w:ascii="宋体" w:hAnsi="宋体" w:eastAsia="宋体"/>
          <w:highlight w:val="none"/>
        </w:rPr>
        <w:t>8. 纪律和监督</w:t>
      </w:r>
      <w:bookmarkEnd w:id="429"/>
      <w:bookmarkEnd w:id="430"/>
      <w:bookmarkEnd w:id="431"/>
      <w:bookmarkEnd w:id="432"/>
      <w:bookmarkEnd w:id="433"/>
      <w:bookmarkEnd w:id="434"/>
      <w:bookmarkEnd w:id="435"/>
      <w:bookmarkEnd w:id="436"/>
      <w:bookmarkEnd w:id="437"/>
      <w:bookmarkEnd w:id="438"/>
      <w:bookmarkEnd w:id="439"/>
      <w:bookmarkEnd w:id="440"/>
      <w:bookmarkEnd w:id="441"/>
    </w:p>
    <w:p w14:paraId="208B8D4C">
      <w:pPr>
        <w:pStyle w:val="4"/>
        <w:outlineLvl w:val="2"/>
        <w:rPr>
          <w:rFonts w:ascii="宋体" w:hAnsi="宋体"/>
          <w:highlight w:val="none"/>
        </w:rPr>
      </w:pPr>
      <w:bookmarkStart w:id="442" w:name="_Toc144974543"/>
      <w:bookmarkStart w:id="443" w:name="_Toc246996219"/>
      <w:bookmarkStart w:id="444" w:name="_Toc338840229"/>
      <w:bookmarkStart w:id="445" w:name="_Toc152042351"/>
      <w:bookmarkStart w:id="446" w:name="_Toc246996962"/>
      <w:bookmarkStart w:id="447" w:name="_Toc152045575"/>
      <w:bookmarkStart w:id="448" w:name="_Toc296590983"/>
      <w:bookmarkStart w:id="449" w:name="_Toc179632593"/>
      <w:bookmarkStart w:id="450" w:name="_Toc247085733"/>
      <w:r>
        <w:rPr>
          <w:rFonts w:hint="eastAsia" w:ascii="宋体" w:hAnsi="宋体"/>
          <w:highlight w:val="none"/>
        </w:rPr>
        <w:t>8.1 对采购人的纪律要求</w:t>
      </w:r>
      <w:bookmarkEnd w:id="442"/>
      <w:bookmarkEnd w:id="443"/>
      <w:bookmarkEnd w:id="444"/>
      <w:bookmarkEnd w:id="445"/>
      <w:bookmarkEnd w:id="446"/>
      <w:bookmarkEnd w:id="447"/>
      <w:bookmarkEnd w:id="448"/>
      <w:bookmarkEnd w:id="449"/>
      <w:bookmarkEnd w:id="450"/>
    </w:p>
    <w:p w14:paraId="148902B8">
      <w:pPr>
        <w:spacing w:line="400" w:lineRule="exact"/>
        <w:ind w:firstLine="420" w:firstLineChars="200"/>
        <w:rPr>
          <w:rFonts w:ascii="宋体" w:hAnsi="宋体"/>
          <w:highlight w:val="none"/>
        </w:rPr>
      </w:pPr>
      <w:r>
        <w:rPr>
          <w:rFonts w:hint="eastAsia" w:ascii="宋体" w:hAnsi="宋体"/>
          <w:highlight w:val="none"/>
        </w:rPr>
        <w:t>采购人不得泄漏招标投标活动中应当保密的情况和资料，不得与供应商串通损害国家利益、社会公共利益或者他人合法权益。</w:t>
      </w:r>
    </w:p>
    <w:p w14:paraId="1EB54AA7">
      <w:pPr>
        <w:pStyle w:val="4"/>
        <w:outlineLvl w:val="2"/>
        <w:rPr>
          <w:rFonts w:ascii="宋体" w:hAnsi="宋体"/>
          <w:highlight w:val="none"/>
        </w:rPr>
      </w:pPr>
      <w:bookmarkStart w:id="451" w:name="_Toc144974544"/>
      <w:bookmarkStart w:id="452" w:name="_Toc152045576"/>
      <w:bookmarkStart w:id="453" w:name="_Toc246996220"/>
      <w:bookmarkStart w:id="454" w:name="_Toc247085734"/>
      <w:bookmarkStart w:id="455" w:name="_Toc338840230"/>
      <w:bookmarkStart w:id="456" w:name="_Toc246996963"/>
      <w:bookmarkStart w:id="457" w:name="_Toc152042352"/>
      <w:bookmarkStart w:id="458" w:name="_Toc179632594"/>
      <w:r>
        <w:rPr>
          <w:rFonts w:hint="eastAsia" w:ascii="宋体" w:hAnsi="宋体"/>
          <w:highlight w:val="none"/>
        </w:rPr>
        <w:t>8.2 对供应商的纪律要求</w:t>
      </w:r>
      <w:bookmarkEnd w:id="451"/>
      <w:bookmarkEnd w:id="452"/>
      <w:bookmarkEnd w:id="453"/>
      <w:bookmarkEnd w:id="454"/>
      <w:bookmarkEnd w:id="455"/>
      <w:bookmarkEnd w:id="456"/>
      <w:bookmarkEnd w:id="457"/>
      <w:bookmarkEnd w:id="458"/>
    </w:p>
    <w:p w14:paraId="69ED8F96">
      <w:pPr>
        <w:spacing w:line="400" w:lineRule="exact"/>
        <w:ind w:firstLine="420" w:firstLineChars="200"/>
        <w:rPr>
          <w:rFonts w:ascii="宋体" w:hAnsi="宋体"/>
          <w:highlight w:val="none"/>
        </w:rPr>
      </w:pPr>
      <w:r>
        <w:rPr>
          <w:rFonts w:hint="eastAsia" w:ascii="宋体" w:hAnsi="宋体"/>
          <w:highlight w:val="none"/>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365E3A9C">
      <w:pPr>
        <w:pStyle w:val="4"/>
        <w:outlineLvl w:val="2"/>
        <w:rPr>
          <w:rFonts w:ascii="宋体" w:hAnsi="宋体"/>
          <w:highlight w:val="none"/>
        </w:rPr>
      </w:pPr>
      <w:bookmarkStart w:id="459" w:name="_Toc179632595"/>
      <w:bookmarkStart w:id="460" w:name="_Toc152045577"/>
      <w:bookmarkStart w:id="461" w:name="_Toc247085735"/>
      <w:bookmarkStart w:id="462" w:name="_Toc152042353"/>
      <w:bookmarkStart w:id="463" w:name="_Toc246996221"/>
      <w:bookmarkStart w:id="464" w:name="_Toc246996964"/>
      <w:bookmarkStart w:id="465" w:name="_Toc144974545"/>
      <w:bookmarkStart w:id="466" w:name="_Toc338840231"/>
      <w:r>
        <w:rPr>
          <w:rFonts w:hint="eastAsia" w:ascii="宋体" w:hAnsi="宋体"/>
          <w:highlight w:val="none"/>
        </w:rPr>
        <w:t>8.3 对评标委员会成员的纪律要求</w:t>
      </w:r>
      <w:bookmarkEnd w:id="459"/>
      <w:bookmarkEnd w:id="460"/>
      <w:bookmarkEnd w:id="461"/>
      <w:bookmarkEnd w:id="462"/>
      <w:bookmarkEnd w:id="463"/>
      <w:bookmarkEnd w:id="464"/>
      <w:bookmarkEnd w:id="465"/>
      <w:bookmarkEnd w:id="466"/>
    </w:p>
    <w:p w14:paraId="4278A149">
      <w:pPr>
        <w:spacing w:line="400" w:lineRule="exact"/>
        <w:ind w:firstLine="420" w:firstLineChars="200"/>
        <w:rPr>
          <w:rFonts w:ascii="宋体" w:hAnsi="宋体"/>
          <w:highlight w:val="none"/>
        </w:rPr>
      </w:pPr>
      <w:r>
        <w:rPr>
          <w:rFonts w:hint="eastAsia" w:ascii="宋体" w:hAnsi="宋体"/>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不得干扰评标程序正常进行，不得使用第三章“评标办法”规定以外的评审因素和标准进行评标。</w:t>
      </w:r>
    </w:p>
    <w:p w14:paraId="626F21CE">
      <w:pPr>
        <w:pStyle w:val="4"/>
        <w:outlineLvl w:val="2"/>
        <w:rPr>
          <w:rFonts w:ascii="宋体" w:hAnsi="宋体"/>
          <w:highlight w:val="none"/>
        </w:rPr>
      </w:pPr>
      <w:bookmarkStart w:id="467" w:name="_Toc152042354"/>
      <w:bookmarkStart w:id="468" w:name="_Toc247085736"/>
      <w:bookmarkStart w:id="469" w:name="_Toc246996965"/>
      <w:bookmarkStart w:id="470" w:name="_Toc338840232"/>
      <w:bookmarkStart w:id="471" w:name="_Toc179632596"/>
      <w:bookmarkStart w:id="472" w:name="_Toc246996222"/>
      <w:bookmarkStart w:id="473" w:name="_Toc152045578"/>
      <w:bookmarkStart w:id="474" w:name="_Toc144974546"/>
      <w:r>
        <w:rPr>
          <w:rFonts w:hint="eastAsia" w:ascii="宋体" w:hAnsi="宋体"/>
          <w:highlight w:val="none"/>
        </w:rPr>
        <w:t>8.4 对有关招投标工作人员的纪律要求</w:t>
      </w:r>
      <w:bookmarkEnd w:id="467"/>
      <w:bookmarkEnd w:id="468"/>
      <w:bookmarkEnd w:id="469"/>
      <w:bookmarkEnd w:id="470"/>
      <w:bookmarkEnd w:id="471"/>
      <w:bookmarkEnd w:id="472"/>
      <w:bookmarkEnd w:id="473"/>
    </w:p>
    <w:p w14:paraId="5465F545">
      <w:pPr>
        <w:spacing w:line="400" w:lineRule="exact"/>
        <w:ind w:firstLine="420" w:firstLineChars="200"/>
        <w:rPr>
          <w:rFonts w:ascii="宋体" w:hAnsi="宋体"/>
          <w:highlight w:val="none"/>
        </w:rPr>
      </w:pPr>
      <w:bookmarkStart w:id="475" w:name="_Toc152042355"/>
      <w:r>
        <w:rPr>
          <w:rFonts w:hint="eastAsia" w:ascii="宋体" w:hAnsi="宋体"/>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不得影响评标程序正常进行。</w:t>
      </w:r>
      <w:bookmarkEnd w:id="475"/>
    </w:p>
    <w:p w14:paraId="69DB1AC1">
      <w:pPr>
        <w:pStyle w:val="4"/>
        <w:outlineLvl w:val="2"/>
        <w:rPr>
          <w:rFonts w:ascii="宋体" w:hAnsi="宋体"/>
          <w:highlight w:val="none"/>
        </w:rPr>
      </w:pPr>
      <w:bookmarkStart w:id="476" w:name="_Toc338840233"/>
      <w:bookmarkStart w:id="477" w:name="_Toc152042356"/>
      <w:bookmarkStart w:id="478" w:name="_Toc246996966"/>
      <w:bookmarkStart w:id="479" w:name="_Toc152045579"/>
      <w:bookmarkStart w:id="480" w:name="_Toc246996223"/>
      <w:bookmarkStart w:id="481" w:name="_Toc179632597"/>
      <w:bookmarkStart w:id="482" w:name="_Toc247085737"/>
      <w:r>
        <w:rPr>
          <w:rFonts w:hint="eastAsia" w:ascii="宋体" w:hAnsi="宋体"/>
          <w:highlight w:val="none"/>
        </w:rPr>
        <w:t>8.5 质疑</w:t>
      </w:r>
      <w:bookmarkEnd w:id="476"/>
    </w:p>
    <w:p w14:paraId="79500009">
      <w:pPr>
        <w:spacing w:line="400" w:lineRule="exact"/>
        <w:ind w:firstLine="420" w:firstLineChars="200"/>
        <w:rPr>
          <w:rFonts w:ascii="宋体" w:hAnsi="宋体"/>
          <w:highlight w:val="none"/>
        </w:rPr>
      </w:pPr>
      <w:r>
        <w:rPr>
          <w:rFonts w:hint="eastAsia" w:ascii="宋体" w:hAnsi="宋体"/>
          <w:highlight w:val="none"/>
        </w:rPr>
        <w:t>供应商认为采购文件、采购过程和中标、成交结果使自己的权益受到损害，可以规定时间内向采购人或代理机构提出质疑。详见供应商须知前附表。</w:t>
      </w:r>
    </w:p>
    <w:p w14:paraId="1B2F170A">
      <w:pPr>
        <w:spacing w:line="400" w:lineRule="exact"/>
        <w:ind w:firstLine="420" w:firstLineChars="200"/>
        <w:rPr>
          <w:rFonts w:ascii="宋体" w:hAnsi="宋体"/>
          <w:highlight w:val="none"/>
        </w:rPr>
      </w:pPr>
      <w:r>
        <w:rPr>
          <w:rFonts w:hint="eastAsia" w:ascii="宋体" w:hAnsi="宋体"/>
          <w:highlight w:val="none"/>
        </w:rPr>
        <w:t>供应商在法定质疑期内一次性提出针对同一采购程序环节的质疑。</w:t>
      </w:r>
    </w:p>
    <w:p w14:paraId="35DC9733">
      <w:pPr>
        <w:spacing w:line="400" w:lineRule="exact"/>
        <w:ind w:firstLine="420" w:firstLineChars="200"/>
        <w:rPr>
          <w:rFonts w:ascii="宋体" w:hAnsi="宋体"/>
          <w:highlight w:val="none"/>
        </w:rPr>
      </w:pPr>
      <w:r>
        <w:rPr>
          <w:rFonts w:hint="eastAsia" w:ascii="宋体" w:hAnsi="宋体"/>
          <w:highlight w:val="none"/>
        </w:rPr>
        <w:t>提出质疑的供应商（以下简称质疑供应商）应当是参与所质疑项目采购活动的供应商。</w:t>
      </w:r>
    </w:p>
    <w:p w14:paraId="5C487EDA">
      <w:pPr>
        <w:spacing w:line="400" w:lineRule="exact"/>
        <w:ind w:firstLine="420" w:firstLineChars="200"/>
        <w:rPr>
          <w:rFonts w:ascii="宋体" w:hAnsi="宋体"/>
          <w:highlight w:val="none"/>
        </w:rPr>
      </w:pPr>
      <w:r>
        <w:rPr>
          <w:rFonts w:hint="eastAsia" w:ascii="宋体" w:hAnsi="宋体"/>
          <w:highlight w:val="none"/>
        </w:rPr>
        <w:t>供应商提出质疑应当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w:t>
      </w:r>
    </w:p>
    <w:p w14:paraId="2D8515D4">
      <w:pPr>
        <w:spacing w:line="400" w:lineRule="exact"/>
        <w:ind w:firstLine="420" w:firstLineChars="200"/>
        <w:rPr>
          <w:rFonts w:ascii="宋体" w:hAnsi="宋体"/>
          <w:highlight w:val="none"/>
        </w:rPr>
      </w:pPr>
      <w:r>
        <w:rPr>
          <w:rFonts w:hint="eastAsia" w:ascii="宋体" w:hAnsi="宋体"/>
          <w:highlight w:val="none"/>
        </w:rPr>
        <w:t>代理人提出质疑和投诉，应当提交供应商签署的授权委托书。</w:t>
      </w:r>
    </w:p>
    <w:p w14:paraId="1E6D5D47">
      <w:pPr>
        <w:pStyle w:val="4"/>
        <w:outlineLvl w:val="2"/>
        <w:rPr>
          <w:rFonts w:ascii="宋体" w:hAnsi="宋体"/>
          <w:highlight w:val="none"/>
        </w:rPr>
      </w:pPr>
      <w:bookmarkStart w:id="483" w:name="_Toc338840234"/>
      <w:r>
        <w:rPr>
          <w:rFonts w:hint="eastAsia" w:ascii="宋体" w:hAnsi="宋体"/>
          <w:highlight w:val="none"/>
        </w:rPr>
        <w:t>8.6 投诉</w:t>
      </w:r>
      <w:bookmarkEnd w:id="474"/>
      <w:bookmarkEnd w:id="477"/>
      <w:bookmarkEnd w:id="478"/>
      <w:bookmarkEnd w:id="479"/>
      <w:bookmarkEnd w:id="480"/>
      <w:bookmarkEnd w:id="481"/>
      <w:bookmarkEnd w:id="482"/>
      <w:bookmarkEnd w:id="483"/>
    </w:p>
    <w:p w14:paraId="04D6B1AC">
      <w:pPr>
        <w:spacing w:line="400" w:lineRule="exact"/>
        <w:ind w:firstLine="420" w:firstLineChars="200"/>
        <w:rPr>
          <w:rFonts w:ascii="宋体" w:hAnsi="宋体"/>
          <w:highlight w:val="none"/>
        </w:rPr>
      </w:pPr>
      <w:r>
        <w:rPr>
          <w:rFonts w:hint="eastAsia" w:ascii="宋体" w:hAnsi="宋体"/>
          <w:highlight w:val="none"/>
        </w:rPr>
        <w:t xml:space="preserve">供应商提出投诉的，应当先向采购人、采购代理机构提出质疑。质疑供应商对采购人、采购代理机构的答复不满意或者采购人、采购代理机构未在规定的时间内作出答复的，可以在答复期满后15个工作日内向同级政府采购监督管理部门投诉。 </w:t>
      </w:r>
      <w:bookmarkStart w:id="484" w:name="_Toc419645322"/>
    </w:p>
    <w:bookmarkEnd w:id="484"/>
    <w:p w14:paraId="4F9A4DFE">
      <w:pPr>
        <w:pStyle w:val="3"/>
        <w:outlineLvl w:val="1"/>
        <w:rPr>
          <w:rFonts w:hint="eastAsia" w:ascii="宋体" w:hAnsi="宋体" w:eastAsia="宋体"/>
          <w:highlight w:val="none"/>
        </w:rPr>
      </w:pPr>
      <w:bookmarkStart w:id="485" w:name="_Toc31310"/>
      <w:bookmarkStart w:id="486" w:name="_Toc17117"/>
      <w:bookmarkStart w:id="487" w:name="_Toc6099"/>
      <w:bookmarkStart w:id="488" w:name="_Toc10773"/>
      <w:bookmarkStart w:id="489" w:name="_Toc30228"/>
      <w:bookmarkStart w:id="490" w:name="_Toc29725"/>
      <w:bookmarkStart w:id="491" w:name="_Toc246996967"/>
      <w:bookmarkStart w:id="492" w:name="_Toc247085738"/>
      <w:bookmarkStart w:id="493" w:name="_Toc179632598"/>
      <w:bookmarkStart w:id="494" w:name="_Toc338840450"/>
      <w:bookmarkStart w:id="495" w:name="_Toc5690"/>
      <w:bookmarkStart w:id="496" w:name="_Toc152045580"/>
      <w:bookmarkStart w:id="497" w:name="_Toc16148"/>
      <w:bookmarkStart w:id="498" w:name="_Toc338840489"/>
      <w:bookmarkStart w:id="499" w:name="_Toc615"/>
      <w:bookmarkStart w:id="500" w:name="_Toc346523473"/>
      <w:bookmarkStart w:id="501" w:name="_Toc346523410"/>
      <w:bookmarkStart w:id="502" w:name="_Toc246996224"/>
      <w:bookmarkStart w:id="503" w:name="_Toc30779"/>
      <w:bookmarkStart w:id="504" w:name="_Toc152042357"/>
      <w:bookmarkStart w:id="505" w:name="_Toc338840235"/>
      <w:bookmarkStart w:id="506" w:name="_Toc144974547"/>
      <w:r>
        <w:rPr>
          <w:rFonts w:hint="eastAsia" w:ascii="宋体" w:hAnsi="宋体" w:eastAsia="宋体"/>
          <w:highlight w:val="none"/>
        </w:rPr>
        <w:t xml:space="preserve">9. </w:t>
      </w:r>
      <w:bookmarkEnd w:id="485"/>
      <w:bookmarkEnd w:id="486"/>
      <w:bookmarkEnd w:id="487"/>
      <w:bookmarkEnd w:id="488"/>
      <w:r>
        <w:rPr>
          <w:rFonts w:hint="eastAsia" w:ascii="宋体" w:hAnsi="宋体" w:eastAsia="宋体"/>
          <w:highlight w:val="none"/>
        </w:rPr>
        <w:t>政府采购政策</w:t>
      </w:r>
      <w:r>
        <w:rPr>
          <w:rFonts w:hint="eastAsia" w:ascii="宋体" w:hAnsi="宋体" w:eastAsia="宋体"/>
          <w:highlight w:val="none"/>
          <w:lang w:eastAsia="zh-CN"/>
        </w:rPr>
        <w:t>（</w:t>
      </w:r>
      <w:r>
        <w:rPr>
          <w:rFonts w:hint="eastAsia" w:ascii="宋体" w:hAnsi="宋体" w:eastAsia="宋体"/>
          <w:highlight w:val="none"/>
        </w:rPr>
        <w:t>包括但不限于</w:t>
      </w:r>
      <w:r>
        <w:rPr>
          <w:rFonts w:hint="eastAsia" w:ascii="宋体" w:hAnsi="宋体" w:eastAsia="宋体"/>
          <w:highlight w:val="none"/>
          <w:lang w:val="en-US" w:eastAsia="zh-CN"/>
        </w:rPr>
        <w:t>以下内容</w:t>
      </w:r>
      <w:r>
        <w:rPr>
          <w:rFonts w:hint="eastAsia" w:ascii="宋体" w:hAnsi="宋体" w:eastAsia="宋体"/>
          <w:highlight w:val="none"/>
          <w:lang w:eastAsia="zh-CN"/>
        </w:rPr>
        <w:t>）</w:t>
      </w:r>
      <w:bookmarkEnd w:id="489"/>
      <w:bookmarkEnd w:id="490"/>
    </w:p>
    <w:p w14:paraId="2A463519">
      <w:pPr>
        <w:pStyle w:val="4"/>
        <w:outlineLvl w:val="2"/>
        <w:rPr>
          <w:rFonts w:hint="eastAsia" w:ascii="宋体" w:hAnsi="宋体"/>
          <w:highlight w:val="none"/>
          <w:lang w:val="en-US" w:eastAsia="zh-CN"/>
        </w:rPr>
      </w:pPr>
      <w:r>
        <w:rPr>
          <w:rFonts w:hint="eastAsia" w:ascii="宋体" w:hAnsi="宋体"/>
          <w:highlight w:val="none"/>
          <w:lang w:val="en-US" w:eastAsia="zh-CN"/>
        </w:rPr>
        <w:t>9.1中小企业、监狱企业及残疾人福利性单位</w:t>
      </w:r>
    </w:p>
    <w:p w14:paraId="187F6971">
      <w:pPr>
        <w:spacing w:line="400" w:lineRule="exact"/>
        <w:ind w:firstLine="420" w:firstLineChars="200"/>
        <w:outlineLvl w:val="3"/>
        <w:rPr>
          <w:rFonts w:hint="eastAsia" w:ascii="宋体" w:hAnsi="宋体"/>
          <w:highlight w:val="none"/>
          <w:lang w:val="en-US" w:eastAsia="zh-CN"/>
        </w:rPr>
      </w:pPr>
      <w:r>
        <w:rPr>
          <w:rFonts w:hint="eastAsia" w:ascii="宋体" w:hAnsi="宋体"/>
          <w:highlight w:val="none"/>
          <w:lang w:val="en-US" w:eastAsia="zh-CN"/>
        </w:rPr>
        <w:t>9.1.1中小企业。</w:t>
      </w:r>
    </w:p>
    <w:p w14:paraId="6354BB05">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号）、《金融业企业划型标准规定》（银发〔2015〕309号）等国务院批准的中小企业划分标准执行。</w:t>
      </w:r>
    </w:p>
    <w:p w14:paraId="04E7FE65">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9.1.1.2中小企业扶持政策。供应商按要求出具《中小企业声明函》，符合下列情形的，可享受中小企业扶持政策：（一）在货物采购项目中，货物由中小企业制造，即货物由中小企业生产且使用该中小企业商号或者注册商标； （二）在工程采购项目中，工程由中小企业承建，即工程施工单位为中小企业； （三）在服务采购项目中，服务由中小企业承接，即提供服务的人员为中小企业依照《中华人民共和国劳动合同法》 订立劳动合同的从业人员。</w:t>
      </w:r>
    </w:p>
    <w:p w14:paraId="59732C98">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9.1.1.3在货物采购项目中，供应商提供的货物既有中小企业制造货物，也有大型企业制造货物的，不享受中小企业扶持政策。</w:t>
      </w:r>
    </w:p>
    <w:p w14:paraId="481218E7">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9.1.1.4以联合体形式参加政府采购活动，联合体各方均为中小企业的，联合体视同中小企业。其中，联合体各方均为小微企业的，联合体视同小微企业。</w:t>
      </w:r>
    </w:p>
    <w:p w14:paraId="09F9E501">
      <w:pPr>
        <w:spacing w:line="400" w:lineRule="exact"/>
        <w:ind w:firstLine="420" w:firstLineChars="200"/>
        <w:rPr>
          <w:rFonts w:hint="eastAsia" w:ascii="宋体" w:hAnsi="宋体"/>
          <w:highlight w:val="none"/>
          <w:lang w:val="en-US" w:eastAsia="zh-CN"/>
        </w:rPr>
      </w:pPr>
      <w:bookmarkStart w:id="507" w:name="bookmark25"/>
      <w:bookmarkEnd w:id="507"/>
      <w:r>
        <w:rPr>
          <w:rFonts w:hint="eastAsia" w:ascii="宋体" w:hAnsi="宋体"/>
          <w:highlight w:val="none"/>
          <w:lang w:val="en-US" w:eastAsia="zh-CN"/>
        </w:rPr>
        <w:t xml:space="preserve">9.1.2监狱企业。在政府采购活动中，监狱企业视同小型、微型企业，享受预留份额、评审中价格扣除等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28823B1B">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9.1.2.1监狱企业参加政府采购活动时，应当提供由省级以上监狱管理局、戒毒管理局（含新疆生产建设兵团）出具的属于监狱企业的证明文件，才能享受相关评审优惠政策。</w:t>
      </w:r>
    </w:p>
    <w:p w14:paraId="39EBE35C">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9.1.3残疾人福利性单位。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02BFC91D">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1）安置的残疾人占本单位在职职工人数的比例不低于25%（含25%），并且安置的残疾人人数不少于10人（含10人）；</w:t>
      </w:r>
    </w:p>
    <w:p w14:paraId="27CF6899">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2）依法与安置的每位残疾人签订了一年以上（含一年）的劳动合同或服务协议；</w:t>
      </w:r>
    </w:p>
    <w:p w14:paraId="520EDC53">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3）为安置的每位残疾人按月足额缴纳了基本养老保险、基本医疗保险、失业保险、工伤保险和生育保险等社会保险费；</w:t>
      </w:r>
    </w:p>
    <w:p w14:paraId="1571A2F7">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4）通过银行等金融机构向安置的每位残疾人，按月支付了不低于单位所在区县适用的经省级人民政府批准的月最低工资标准的工资；</w:t>
      </w:r>
    </w:p>
    <w:p w14:paraId="2E5923C0">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5）提供本单位制造的货物、承担的工程或者服务（以下简称产品），或者提供其他残疾人福利性单位制造的货物（不包括使用非残疾人福利性单位注册商标的货物）；</w:t>
      </w:r>
    </w:p>
    <w:p w14:paraId="277FF5B8">
      <w:pPr>
        <w:spacing w:line="400" w:lineRule="exact"/>
        <w:ind w:firstLine="420" w:firstLineChars="200"/>
        <w:rPr>
          <w:rFonts w:hint="eastAsia" w:ascii="宋体" w:hAnsi="宋体"/>
          <w:highlight w:val="none"/>
          <w:lang w:val="en-US" w:eastAsia="zh-CN"/>
        </w:rPr>
      </w:pPr>
      <w:r>
        <w:rPr>
          <w:rFonts w:hint="eastAsia" w:ascii="宋体" w:hAnsi="宋体"/>
          <w:highlight w:val="none"/>
          <w:lang w:val="en-US" w:eastAsia="zh-CN"/>
        </w:rPr>
        <w:t>9.1.3.1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3661B4C4">
      <w:pPr>
        <w:spacing w:line="400" w:lineRule="exact"/>
        <w:ind w:firstLine="420" w:firstLineChars="200"/>
        <w:rPr>
          <w:rFonts w:hint="default" w:ascii="宋体" w:hAnsi="宋体"/>
          <w:highlight w:val="none"/>
          <w:lang w:val="en-US" w:eastAsia="zh-CN"/>
        </w:rPr>
      </w:pPr>
      <w:r>
        <w:rPr>
          <w:rFonts w:hint="eastAsia" w:ascii="宋体" w:hAnsi="宋体"/>
          <w:highlight w:val="none"/>
          <w:lang w:val="en-US" w:eastAsia="zh-CN"/>
        </w:rPr>
        <w:t>9.1.3.2符合条件的残疾人福利性单位在参加政府采购活动时，按要求提供《残疾人福利性单位声明函》（见附件），并对声明的真实性负责。提供本单位制造的货物、承担的工程或者服务，或者提供其他残疾人福利性单位制造的货物（不包括使用非残疾人福利性单位注册商标的货物），符合要求者才能享受相关评审优惠政策</w:t>
      </w:r>
    </w:p>
    <w:p w14:paraId="61664E33">
      <w:pPr>
        <w:spacing w:line="400" w:lineRule="exact"/>
        <w:ind w:firstLine="420" w:firstLineChars="200"/>
        <w:outlineLvl w:val="3"/>
        <w:rPr>
          <w:rFonts w:hint="eastAsia" w:ascii="宋体" w:hAnsi="宋体"/>
          <w:highlight w:val="none"/>
          <w:lang w:val="en-US" w:eastAsia="zh-CN"/>
        </w:rPr>
      </w:pPr>
      <w:r>
        <w:rPr>
          <w:rFonts w:hint="eastAsia" w:ascii="宋体" w:hAnsi="宋体"/>
          <w:highlight w:val="none"/>
          <w:lang w:val="en-US" w:eastAsia="zh-CN"/>
        </w:rPr>
        <w:t>9.1.4中小企业划型标准（如有调整以最新为准）：</w:t>
      </w:r>
    </w:p>
    <w:p w14:paraId="1DC2F49F">
      <w:pPr>
        <w:pStyle w:val="56"/>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kern w:val="2"/>
          <w:sz w:val="21"/>
          <w:szCs w:val="24"/>
          <w:highlight w:val="none"/>
          <w:lang w:val="en-US" w:eastAsia="zh-CN" w:bidi="ar-SA"/>
        </w:rPr>
      </w:pPr>
      <w:bookmarkStart w:id="508" w:name="_Hlk161150004"/>
      <w:r>
        <w:rPr>
          <w:rFonts w:hint="eastAsia" w:ascii="宋体" w:hAnsi="宋体" w:eastAsia="宋体" w:cs="Times New Roman"/>
          <w:kern w:val="2"/>
          <w:sz w:val="21"/>
          <w:szCs w:val="24"/>
          <w:highlight w:val="none"/>
          <w:lang w:val="en-US" w:eastAsia="zh-CN" w:bidi="ar-SA"/>
        </w:rPr>
        <w:t>关于印发中小企业划型标准规定的通知</w:t>
      </w:r>
    </w:p>
    <w:p w14:paraId="16882B7F">
      <w:pPr>
        <w:pStyle w:val="56"/>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（工信部联企业〔2011〕300号）</w:t>
      </w:r>
      <w:bookmarkEnd w:id="508"/>
      <w:r>
        <w:rPr>
          <w:rFonts w:hint="eastAsia" w:ascii="宋体" w:hAnsi="宋体" w:eastAsia="宋体" w:cs="Times New Roman"/>
          <w:kern w:val="2"/>
          <w:sz w:val="21"/>
          <w:szCs w:val="24"/>
          <w:highlight w:val="none"/>
          <w:lang w:val="en-US" w:eastAsia="zh-CN" w:bidi="ar-SA"/>
        </w:rPr>
        <w:t>：</w:t>
      </w:r>
    </w:p>
    <w:p w14:paraId="28376324">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一、根据《中华人民共和国中小企业促进法》和《国务院关于进一步促进中小企业发展的若干意见》(国发〔2009〕36号)，制定本规定。</w:t>
      </w:r>
    </w:p>
    <w:p w14:paraId="2A6AB685">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二、中小企业划分为中型、小型、微型三种类型，具体标准根据企业从业人员、营业收入、资产总额等指标，结合行业特点制定。</w:t>
      </w:r>
    </w:p>
    <w:p w14:paraId="2A4CF42E">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F1661E4">
      <w:pPr>
        <w:keepNext w:val="0"/>
        <w:keepLines w:val="0"/>
        <w:pageBreakBefore w:val="0"/>
        <w:widowControl w:val="0"/>
        <w:kinsoku/>
        <w:wordWrap/>
        <w:overflowPunct/>
        <w:topLinePunct w:val="0"/>
        <w:autoSpaceDE/>
        <w:autoSpaceDN/>
        <w:bidi w:val="0"/>
        <w:spacing w:line="240" w:lineRule="auto"/>
        <w:ind w:firstLine="420" w:firstLineChars="200"/>
        <w:textAlignment w:val="auto"/>
        <w:outlineLvl w:val="4"/>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四、各行业划型标准为：</w:t>
      </w:r>
    </w:p>
    <w:p w14:paraId="148EEE8D">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（一）农、林、牧、渔业。营业收入20000万元以下的为中小微型企业。其中，营业收入500万元及以上的为中型企业，营业收入50万元及以上的为小型企业，营业收入50万元以下的为微型企业。</w:t>
      </w:r>
    </w:p>
    <w:p w14:paraId="53FF93B9">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58DCF4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77049A6">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C15419C">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4898A9E">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3D08E05">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D3DFB17">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22041A8">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49236E">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C4E4111">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B74DA3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2DD038C">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9DC1BD1">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D1C7B76">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42F87DD">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（十六）其他未列明行业。从业人员300人以下的为中小微型企业。其中，从业人员100人及以上的为中型企业；从业人员10人及以上的为小型企业；从业人员10人以下的为微型企业。</w:t>
      </w:r>
    </w:p>
    <w:p w14:paraId="420C6A83">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outlineLvl w:val="4"/>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五、企业类型的划分以统计部门的统计数据为依据。</w:t>
      </w:r>
    </w:p>
    <w:p w14:paraId="6F09C9E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六、本规定适用于在中华人民共和国境内依法设立的各类所有制和各种组织形式的企业。个体工商户和本规定以外的行业，参照本规定进行划型。</w:t>
      </w:r>
    </w:p>
    <w:p w14:paraId="7BD4206F">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七、本规定的中型企业标准上限即为大型企业标准的下限，国家统计部门据此制定大中小微型企业的统计分类。国务院有关部门据此进行相关数据分析，不得制定与本规定不一致的企业划型标准。</w:t>
      </w:r>
    </w:p>
    <w:p w14:paraId="0C966E32">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八、本规定由工业和信息化部、国家统计局会同有关部门根据《国民经济行业分类》修订情况和企业发展变化情况适时修订。</w:t>
      </w:r>
    </w:p>
    <w:p w14:paraId="79D8AB1B">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outlineLvl w:val="4"/>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九、本规定由工业和信息化部、国家统计局会同有关部门负责解释。</w:t>
      </w:r>
    </w:p>
    <w:p w14:paraId="36AE00CF">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十、本规定自发布之日起执行，原国家经贸委、原国家计委、财政部和国家统计局2003年颁布的《中小企业标准暂行规定》同时废止。</w:t>
      </w:r>
    </w:p>
    <w:p w14:paraId="60CCEBDB">
      <w:pPr>
        <w:pStyle w:val="4"/>
        <w:outlineLvl w:val="2"/>
        <w:rPr>
          <w:rFonts w:hint="eastAsia" w:ascii="宋体" w:hAnsi="宋体"/>
          <w:highlight w:val="none"/>
          <w:lang w:val="en-US" w:eastAsia="zh-CN"/>
        </w:rPr>
      </w:pPr>
      <w:r>
        <w:rPr>
          <w:rFonts w:hint="eastAsia" w:ascii="宋体" w:hAnsi="宋体"/>
          <w:highlight w:val="none"/>
          <w:lang w:val="en-US" w:eastAsia="zh-CN"/>
        </w:rPr>
        <w:t>9.2政府采购节能产品、环境标志产品</w:t>
      </w:r>
    </w:p>
    <w:p w14:paraId="7B527C53">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9.2.1根据《关于调整优化节能产品、环境标志产品政府采购执行机制的通知》（财库〔2019〕9号）规定，财政部、发展改革委、生态环境部等部门根据产品节能环保性能、技术水平和市场成熟程度等因素，确定实施政府采购优先采购和强制采购的产品类别及所依据的相关标准规范，以品目清单的形式发布并适时调整。依据品目清单和认证证书实施政府优先采购和强制采购。</w:t>
      </w:r>
    </w:p>
    <w:p w14:paraId="7E0E0CD9">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9.2.2环境标志产品政府采购品目清单详见《关于印发环境标志产品政府采购品目清单的通知》（财库〔2019〕18号）；节能产品政府采购品目清单详见《关于印发节能产品政府采购品目清单的通知》（财库〔2019〕19号）；政府采购节能产品、环境标志产品认证机构详见《市场监管总局关于发布参与实施政府采购节能产品、环境标志产品认证机构名录的公告》（2019年第16号）。有更新和调整时按最新要求执行。本项目采购产品中如有属于“节能产品政府采购品目清单”范围的强制采购产品，则供应商所投产品必须获得国家确定的认证机构出具的、处于有效期之内的节能产品认证证书，否则投标无效。</w:t>
      </w:r>
    </w:p>
    <w:p w14:paraId="5CC7342B">
      <w:pPr>
        <w:pStyle w:val="4"/>
        <w:outlineLvl w:val="2"/>
        <w:rPr>
          <w:rFonts w:hint="eastAsia" w:ascii="宋体" w:hAnsi="宋体"/>
          <w:highlight w:val="none"/>
          <w:lang w:val="en-US" w:eastAsia="zh-CN"/>
        </w:rPr>
      </w:pPr>
      <w:r>
        <w:rPr>
          <w:rFonts w:hint="eastAsia" w:ascii="宋体" w:hAnsi="宋体"/>
          <w:highlight w:val="none"/>
          <w:lang w:val="en-US" w:eastAsia="zh-CN"/>
        </w:rPr>
        <w:t>9.3支持乡村产业振兴</w:t>
      </w:r>
    </w:p>
    <w:p w14:paraId="04D7E932">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落实《关于运用政府采购政策支持乡村产业振兴的通知》（财库〔2021〕19号）有关要求，做好支持乡村振兴工作。</w:t>
      </w:r>
    </w:p>
    <w:p w14:paraId="5D26B814">
      <w:pPr>
        <w:pStyle w:val="4"/>
        <w:outlineLvl w:val="2"/>
        <w:rPr>
          <w:rFonts w:hint="eastAsia" w:ascii="宋体" w:hAnsi="宋体"/>
          <w:highlight w:val="none"/>
          <w:lang w:val="en-US" w:eastAsia="zh-CN"/>
        </w:rPr>
      </w:pPr>
      <w:r>
        <w:rPr>
          <w:rFonts w:hint="eastAsia" w:ascii="宋体" w:hAnsi="宋体"/>
          <w:highlight w:val="none"/>
          <w:lang w:val="en-US" w:eastAsia="zh-CN"/>
        </w:rPr>
        <w:t>9.4正版软件</w:t>
      </w:r>
    </w:p>
    <w:p w14:paraId="4AAB4771">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各级政府部门在购置计算机办公设备时，必须采购预装正版操作系统软件的计算机产品，相关规定依据《国家版权局 信息产业部 财政部 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7E0FC361">
      <w:pPr>
        <w:pStyle w:val="4"/>
        <w:outlineLvl w:val="2"/>
        <w:rPr>
          <w:rFonts w:hint="eastAsia" w:ascii="宋体" w:hAnsi="宋体"/>
          <w:highlight w:val="none"/>
          <w:lang w:val="en-US" w:eastAsia="zh-CN"/>
        </w:rPr>
      </w:pPr>
      <w:r>
        <w:rPr>
          <w:rFonts w:hint="eastAsia" w:ascii="宋体" w:hAnsi="宋体"/>
          <w:highlight w:val="none"/>
          <w:lang w:val="en-US" w:eastAsia="zh-CN"/>
        </w:rPr>
        <w:t>9.5政务信息系统</w:t>
      </w:r>
    </w:p>
    <w:p w14:paraId="6A839A1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default"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采购内容涉及政务信息系统时，应当符合《政务信息系统政府采购管理暂行办法》（财库〔2017〕210号）相关要求。</w:t>
      </w:r>
    </w:p>
    <w:p w14:paraId="05C34F20">
      <w:pPr>
        <w:pStyle w:val="4"/>
        <w:outlineLvl w:val="2"/>
        <w:rPr>
          <w:rFonts w:hint="eastAsia" w:ascii="宋体" w:hAnsi="宋体"/>
          <w:highlight w:val="none"/>
          <w:lang w:val="en-US" w:eastAsia="zh-CN"/>
        </w:rPr>
      </w:pPr>
      <w:r>
        <w:rPr>
          <w:rFonts w:hint="eastAsia" w:ascii="宋体" w:hAnsi="宋体"/>
          <w:highlight w:val="none"/>
          <w:lang w:val="en-US" w:eastAsia="zh-CN"/>
        </w:rPr>
        <w:t>9.6网络关键设备和网络安全专用产品</w:t>
      </w:r>
    </w:p>
    <w:p w14:paraId="0DE6EF95">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根据国家互联网信息办公室 工业和信息化部 公安部 财政部 国家认证认可监督管理委员会《关于调整网络安全专用产品安全管理有关事项的公告》（2023年第1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具备资格的机构是指列入《承担网络关键设备和网络安全专用产品安全认证和安全检测任务机构名录》的机构。</w:t>
      </w:r>
    </w:p>
    <w:p w14:paraId="0BD5C70E">
      <w:pPr>
        <w:pStyle w:val="4"/>
        <w:outlineLvl w:val="2"/>
        <w:rPr>
          <w:rFonts w:hint="default" w:ascii="宋体" w:hAnsi="宋体"/>
          <w:highlight w:val="none"/>
          <w:lang w:val="en-US" w:eastAsia="zh-CN"/>
        </w:rPr>
      </w:pPr>
      <w:r>
        <w:rPr>
          <w:rFonts w:hint="eastAsia" w:ascii="宋体" w:hAnsi="宋体"/>
          <w:highlight w:val="none"/>
          <w:lang w:val="en-US" w:eastAsia="zh-CN"/>
        </w:rPr>
        <w:t>9.7政府采购需求标准</w:t>
      </w:r>
    </w:p>
    <w:p w14:paraId="359342B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落实财政部门及财政部门会同有关部门制定发布的有关政府采购需求标准，有更新和调整时按最新要求执行。</w:t>
      </w:r>
    </w:p>
    <w:p w14:paraId="24EC0A14">
      <w:pPr>
        <w:pStyle w:val="4"/>
        <w:outlineLvl w:val="2"/>
        <w:rPr>
          <w:rFonts w:hint="eastAsia" w:ascii="宋体" w:hAnsi="宋体"/>
          <w:highlight w:val="none"/>
          <w:lang w:val="en-US" w:eastAsia="zh-CN"/>
        </w:rPr>
      </w:pPr>
      <w:r>
        <w:rPr>
          <w:rFonts w:hint="eastAsia" w:ascii="宋体" w:hAnsi="宋体"/>
          <w:highlight w:val="none"/>
          <w:lang w:val="en-US" w:eastAsia="zh-CN"/>
        </w:rPr>
        <w:t>9.8采购本国货物、工程和服务。</w:t>
      </w:r>
    </w:p>
    <w:p w14:paraId="5A23A82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9.8.1政府采购应当采购本国货物、工程和服务。但有《中华人民共和国政府采购法》第十条规定情形的除外。</w:t>
      </w:r>
    </w:p>
    <w:p w14:paraId="48257CBC">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9.8.2本项目如接受非本国货物、工程、服务参与投标，则按具体要求。</w:t>
      </w:r>
    </w:p>
    <w:p w14:paraId="14870937">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9.8.3招标文件未特别注明接受“进口产品”字样的，均视为不接受进口产品。</w:t>
      </w:r>
    </w:p>
    <w:p w14:paraId="194571BA">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进口产品是指通过中国海关报关验放进入中国境内且产自关境外的产品，包括已经进入中国境内的进口产品。关于进口产品的相关规定依据《政府采购进口产品管理办法》（财库〔2007〕119号）、《关于政府采购进口产品管理有关问题的通知》（财办库〔2008〕248号）。</w:t>
      </w:r>
    </w:p>
    <w:p w14:paraId="5EF9DDF2">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outlineLvl w:val="3"/>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9.8.4本国产品标准及相关政策</w:t>
      </w:r>
    </w:p>
    <w:p w14:paraId="5325401A">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落实《国务院办公厅关于在政府采购中实施本国产品标准及相关政策的通知》（国办发〔2025〕34号）的规定，落实《财政部 工业和信息化部关于贯彻落实〈国务院办公厅关于在政府采购中实施本国产品标准及相关政策的通知〉的意见》（财库〔2025〕30号）相关要求。</w:t>
      </w:r>
    </w:p>
    <w:p w14:paraId="1CD7C77C">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9.8.4.1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3CE44E0">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9.8.4.2根据《国务院办公厅关于在政府采购中实施本国产品标准及相关政策的通知》规定，在分产品确定在中国境内生产的组件成本占比要求、以及特定产品的关键组件、关键工序相关要求实施前，本国产品应当符合以下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1.为确保产品在运输或者储存期间保持某种状态而进行的操作；2.为产品运输或者销售进行的包装或者展示；3.在产品或者其包装上粘贴或者印刷品牌、标志、标识以及其他用于区别的标记；4.简单地上漆、磨光和分装；5.其他不属于属性改变的情形。</w:t>
      </w:r>
    </w:p>
    <w:p w14:paraId="6182B7EE">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9.8.4.3政府采购活动中既有本国产品又有非本国产品参与竞争的，依法对本国产品给予价格评审优惠，对本国产品的报价给予20%的价格扣除，用扣除后的价格参与评审。</w:t>
      </w:r>
    </w:p>
    <w:p w14:paraId="4CB9DA32">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default"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D22B20B">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9.8.4.4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66EC0B2">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除另有约定外本项目不接受进口产品投标，所述的非本国产品不包括进口产品。</w:t>
      </w:r>
    </w:p>
    <w:p w14:paraId="4BD1DA49">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9.8.4.5供应商对其提供的产品出具《关于符合本国产品标准的声明函》或财政部会同有关部门规定的有关证明文件，符合要求的，该产品视为本国产品。供应商提供虚假声明函、虚假证明文件的，依照政府采购法等法律法规追究责任。</w:t>
      </w:r>
    </w:p>
    <w:p w14:paraId="5071BAA3">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中标人的《关于符合本国产品标准的声明函》或有关证明文件将随中标、成交结果同时公告。</w:t>
      </w:r>
    </w:p>
    <w:p w14:paraId="4AC4AFA4">
      <w:pPr>
        <w:pStyle w:val="4"/>
        <w:outlineLvl w:val="2"/>
        <w:rPr>
          <w:rFonts w:hint="eastAsia" w:ascii="宋体" w:hAnsi="宋体"/>
          <w:highlight w:val="none"/>
          <w:lang w:val="en-US" w:eastAsia="zh-CN"/>
        </w:rPr>
      </w:pPr>
      <w:r>
        <w:rPr>
          <w:rFonts w:hint="eastAsia" w:ascii="宋体" w:hAnsi="宋体"/>
          <w:highlight w:val="none"/>
          <w:lang w:val="en-US" w:eastAsia="zh-CN"/>
        </w:rPr>
        <w:t>9.9政府采购合同融资政策。见第二部分供应商须知前附表。</w:t>
      </w:r>
    </w:p>
    <w:p w14:paraId="15C65B1D">
      <w:pPr>
        <w:pStyle w:val="4"/>
        <w:outlineLvl w:val="2"/>
        <w:rPr>
          <w:rFonts w:hint="eastAsia" w:ascii="宋体" w:hAnsi="宋体"/>
          <w:highlight w:val="none"/>
          <w:lang w:val="en-US" w:eastAsia="zh-CN"/>
        </w:rPr>
      </w:pPr>
      <w:r>
        <w:rPr>
          <w:rFonts w:hint="eastAsia" w:ascii="宋体" w:hAnsi="宋体"/>
          <w:highlight w:val="none"/>
          <w:lang w:val="en-US" w:eastAsia="zh-CN"/>
        </w:rPr>
        <w:t>9.10其他政府采购政策。</w:t>
      </w:r>
    </w:p>
    <w:p w14:paraId="15E722DE">
      <w:pPr>
        <w:pStyle w:val="3"/>
        <w:outlineLvl w:val="1"/>
        <w:rPr>
          <w:rFonts w:ascii="宋体" w:hAnsi="宋体" w:eastAsia="宋体"/>
          <w:highlight w:val="none"/>
        </w:rPr>
      </w:pPr>
      <w:bookmarkStart w:id="509" w:name="_Toc10447"/>
      <w:bookmarkStart w:id="510" w:name="_Toc20820"/>
      <w:r>
        <w:rPr>
          <w:rFonts w:hint="eastAsia" w:ascii="宋体" w:hAnsi="宋体" w:eastAsia="宋体"/>
          <w:highlight w:val="none"/>
        </w:rPr>
        <w:t>10. 需要补充的其他内容</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9"/>
      <w:bookmarkEnd w:id="510"/>
    </w:p>
    <w:p w14:paraId="4081C762">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ascii="宋体" w:hAnsi="宋体"/>
          <w:highlight w:val="none"/>
        </w:rPr>
      </w:pPr>
      <w:r>
        <w:rPr>
          <w:rFonts w:hint="eastAsia" w:ascii="宋体" w:hAnsi="宋体"/>
          <w:highlight w:val="none"/>
        </w:rPr>
        <w:t>需要补充的其他内容：见供应商须知前附表。</w:t>
      </w:r>
    </w:p>
    <w:p w14:paraId="2F7FD842">
      <w:pPr>
        <w:pStyle w:val="3"/>
        <w:outlineLvl w:val="1"/>
        <w:rPr>
          <w:rFonts w:ascii="宋体" w:hAnsi="宋体" w:eastAsia="宋体"/>
          <w:highlight w:val="none"/>
        </w:rPr>
      </w:pPr>
      <w:bookmarkStart w:id="511" w:name="_Toc18875"/>
      <w:bookmarkStart w:id="512" w:name="_Toc16122"/>
      <w:bookmarkStart w:id="513" w:name="_Toc346523411"/>
      <w:bookmarkStart w:id="514" w:name="_Toc346523474"/>
      <w:bookmarkStart w:id="515" w:name="_Toc15737"/>
      <w:bookmarkStart w:id="516" w:name="_Toc338840236"/>
      <w:bookmarkStart w:id="517" w:name="_Toc338840451"/>
      <w:bookmarkStart w:id="518" w:name="_Toc13623"/>
      <w:bookmarkStart w:id="519" w:name="_Toc494526409"/>
      <w:bookmarkStart w:id="520" w:name="_Toc338840490"/>
      <w:bookmarkStart w:id="521" w:name="_Toc23287"/>
      <w:bookmarkStart w:id="522" w:name="_Toc494093437"/>
      <w:bookmarkStart w:id="523" w:name="_Toc29712"/>
      <w:r>
        <w:rPr>
          <w:rFonts w:hint="eastAsia" w:ascii="宋体" w:hAnsi="宋体" w:eastAsia="宋体"/>
          <w:highlight w:val="none"/>
        </w:rPr>
        <w:t>11．电子招标投标</w:t>
      </w:r>
      <w:bookmarkEnd w:id="511"/>
      <w:bookmarkEnd w:id="512"/>
      <w:bookmarkEnd w:id="513"/>
      <w:bookmarkEnd w:id="514"/>
      <w:bookmarkEnd w:id="515"/>
      <w:bookmarkEnd w:id="516"/>
      <w:bookmarkEnd w:id="517"/>
      <w:bookmarkEnd w:id="518"/>
      <w:bookmarkEnd w:id="519"/>
      <w:bookmarkEnd w:id="520"/>
      <w:bookmarkEnd w:id="521"/>
      <w:bookmarkEnd w:id="522"/>
      <w:bookmarkEnd w:id="523"/>
    </w:p>
    <w:p w14:paraId="71FF8771">
      <w:pPr>
        <w:spacing w:line="400" w:lineRule="exact"/>
        <w:ind w:firstLine="420" w:firstLineChars="200"/>
        <w:rPr>
          <w:rFonts w:hint="eastAsia" w:ascii="宋体" w:hAnsi="宋体"/>
          <w:highlight w:val="none"/>
        </w:rPr>
      </w:pPr>
      <w:r>
        <w:rPr>
          <w:rFonts w:hint="eastAsia" w:ascii="宋体" w:hAnsi="宋体"/>
          <w:highlight w:val="none"/>
        </w:rPr>
        <w:t xml:space="preserve">采用电子招标投标，对投标文件的编制、密封和标记、递交、开标、评标等的具体要求，见供应商须知前附表。 </w:t>
      </w:r>
    </w:p>
    <w:p w14:paraId="096CE7B5">
      <w:pPr>
        <w:spacing w:line="400" w:lineRule="exact"/>
        <w:ind w:firstLine="420" w:firstLineChars="200"/>
        <w:rPr>
          <w:rFonts w:hint="eastAsia" w:ascii="宋体" w:hAnsi="宋体"/>
          <w:highlight w:val="none"/>
        </w:rPr>
      </w:pPr>
    </w:p>
    <w:p w14:paraId="5496E4E3">
      <w:pPr>
        <w:pStyle w:val="2"/>
        <w:jc w:val="center"/>
        <w:rPr>
          <w:rFonts w:ascii="宋体" w:hAnsi="宋体"/>
          <w:b w:val="0"/>
          <w:bCs w:val="0"/>
          <w:highlight w:val="none"/>
        </w:rPr>
      </w:pPr>
      <w:bookmarkStart w:id="524" w:name="_Toc346523475"/>
      <w:bookmarkStart w:id="525" w:name="_Toc246996984"/>
      <w:bookmarkStart w:id="526" w:name="_Toc246996241"/>
      <w:bookmarkStart w:id="527" w:name="_Toc338840237"/>
      <w:bookmarkStart w:id="528" w:name="_Toc247085756"/>
      <w:bookmarkStart w:id="529" w:name="_Toc494526410"/>
      <w:bookmarkStart w:id="530" w:name="_Toc144974565"/>
      <w:bookmarkStart w:id="531" w:name="_Toc179632616"/>
      <w:bookmarkStart w:id="532" w:name="_Toc346523412"/>
      <w:bookmarkStart w:id="533" w:name="_Toc152042375"/>
      <w:bookmarkStart w:id="534" w:name="_Toc338840452"/>
      <w:bookmarkStart w:id="535" w:name="_Toc152045598"/>
      <w:bookmarkStart w:id="536" w:name="_Toc338840491"/>
      <w:bookmarkStart w:id="537" w:name="_Toc494093438"/>
      <w:r>
        <w:rPr>
          <w:rFonts w:hint="eastAsia" w:ascii="宋体" w:hAnsi="宋体"/>
          <w:highlight w:val="none"/>
        </w:rPr>
        <w:br w:type="page"/>
      </w:r>
      <w:bookmarkStart w:id="538" w:name="_Toc31515"/>
      <w:bookmarkStart w:id="539" w:name="_Toc15313"/>
      <w:bookmarkStart w:id="540" w:name="_Toc24747"/>
      <w:r>
        <w:rPr>
          <w:rFonts w:hint="eastAsia" w:ascii="宋体" w:hAnsi="宋体"/>
          <w:b w:val="0"/>
          <w:bCs w:val="0"/>
          <w:highlight w:val="none"/>
        </w:rPr>
        <w:t>第三章 评标办法</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Start w:id="541" w:name="_Toc152045599"/>
      <w:bookmarkStart w:id="542" w:name="_Toc144974566"/>
      <w:bookmarkStart w:id="543" w:name="_Toc152042376"/>
      <w:bookmarkStart w:id="544" w:name="_Toc246996242"/>
      <w:bookmarkStart w:id="545" w:name="_Toc179632617"/>
      <w:bookmarkStart w:id="546" w:name="_Toc247085757"/>
      <w:bookmarkStart w:id="547" w:name="_Toc246996985"/>
    </w:p>
    <w:bookmarkEnd w:id="540"/>
    <w:p w14:paraId="2C0B429E">
      <w:pPr>
        <w:pStyle w:val="3"/>
        <w:outlineLvl w:val="1"/>
        <w:rPr>
          <w:rFonts w:ascii="宋体" w:hAnsi="宋体" w:eastAsia="宋体"/>
          <w:highlight w:val="none"/>
        </w:rPr>
      </w:pPr>
      <w:bookmarkStart w:id="548" w:name="_Toc452"/>
      <w:bookmarkStart w:id="549" w:name="_Toc346523413"/>
      <w:bookmarkStart w:id="550" w:name="_Toc346523476"/>
      <w:bookmarkStart w:id="551" w:name="_Toc494093439"/>
      <w:bookmarkStart w:id="552" w:name="_Toc2246"/>
      <w:bookmarkStart w:id="553" w:name="_Toc31260"/>
      <w:bookmarkStart w:id="554" w:name="_Toc32258"/>
      <w:bookmarkStart w:id="555" w:name="_Toc338840453"/>
      <w:bookmarkStart w:id="556" w:name="_Toc494526411"/>
      <w:bookmarkStart w:id="557" w:name="_Toc338840238"/>
      <w:bookmarkStart w:id="558" w:name="_Toc338840492"/>
      <w:bookmarkStart w:id="559" w:name="_Toc29020"/>
      <w:bookmarkStart w:id="560" w:name="_Toc3628"/>
      <w:r>
        <w:rPr>
          <w:rFonts w:hint="eastAsia" w:ascii="宋体" w:hAnsi="宋体" w:eastAsia="宋体"/>
          <w:highlight w:val="none"/>
        </w:rPr>
        <w:t>评标办法前附表</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14:paraId="77115C85">
      <w:pPr>
        <w:ind w:left="826" w:hanging="826" w:hangingChars="343"/>
        <w:rPr>
          <w:rFonts w:ascii="宋体" w:hAnsi="宋体"/>
          <w:b/>
          <w:sz w:val="24"/>
          <w:highlight w:val="none"/>
        </w:rPr>
      </w:pPr>
      <w:r>
        <w:rPr>
          <w:rFonts w:hint="eastAsia" w:ascii="宋体" w:hAnsi="宋体"/>
          <w:b/>
          <w:sz w:val="24"/>
          <w:highlight w:val="none"/>
        </w:rPr>
        <w:t>注：1、评标办法前附表内容与评标办法正文内容不一致时以本表内容为准。</w:t>
      </w:r>
    </w:p>
    <w:p w14:paraId="3AB9FAA4">
      <w:pPr>
        <w:ind w:left="833" w:leftChars="228" w:hanging="354" w:hangingChars="147"/>
        <w:outlineLvl w:val="1"/>
        <w:rPr>
          <w:rFonts w:ascii="宋体" w:hAnsi="宋体"/>
          <w:b/>
          <w:sz w:val="24"/>
          <w:highlight w:val="none"/>
        </w:rPr>
      </w:pPr>
      <w:bookmarkStart w:id="561" w:name="_Toc8131"/>
      <w:r>
        <w:rPr>
          <w:rFonts w:hint="eastAsia" w:ascii="宋体" w:hAnsi="宋体"/>
          <w:b/>
          <w:sz w:val="24"/>
          <w:highlight w:val="none"/>
        </w:rPr>
        <w:t>2、评标办法前附表中涉及到的有关内容均应体现在投标文件中。</w:t>
      </w:r>
      <w:bookmarkEnd w:id="561"/>
    </w:p>
    <w:p w14:paraId="6D700E30">
      <w:pPr>
        <w:ind w:left="787" w:leftChars="228" w:hanging="308" w:hangingChars="147"/>
        <w:rPr>
          <w:rFonts w:ascii="宋体" w:hAnsi="宋体"/>
          <w:highlight w:val="none"/>
        </w:rPr>
      </w:pPr>
    </w:p>
    <w:tbl>
      <w:tblPr>
        <w:tblStyle w:val="3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540"/>
        <w:gridCol w:w="1594"/>
        <w:gridCol w:w="5426"/>
      </w:tblGrid>
      <w:tr w14:paraId="5ECB0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720" w:type="dxa"/>
            <w:vMerge w:val="restart"/>
            <w:tcBorders>
              <w:top w:val="single" w:color="auto" w:sz="4" w:space="0"/>
              <w:right w:val="single" w:color="auto" w:sz="4" w:space="0"/>
            </w:tcBorders>
            <w:vAlign w:val="center"/>
          </w:tcPr>
          <w:p w14:paraId="50AADACD">
            <w:pPr>
              <w:spacing w:line="440" w:lineRule="exact"/>
              <w:jc w:val="center"/>
              <w:rPr>
                <w:rFonts w:ascii="宋体" w:hAnsi="宋体"/>
                <w:b/>
                <w:szCs w:val="21"/>
                <w:highlight w:val="none"/>
              </w:rPr>
            </w:pPr>
            <w:r>
              <w:rPr>
                <w:rFonts w:hint="eastAsia" w:ascii="宋体" w:hAnsi="宋体"/>
                <w:b/>
                <w:szCs w:val="21"/>
                <w:highlight w:val="none"/>
              </w:rPr>
              <w:t>1</w:t>
            </w:r>
          </w:p>
        </w:tc>
        <w:tc>
          <w:tcPr>
            <w:tcW w:w="540" w:type="dxa"/>
            <w:tcBorders>
              <w:top w:val="single" w:color="auto" w:sz="4" w:space="0"/>
              <w:left w:val="single" w:color="auto" w:sz="4" w:space="0"/>
              <w:bottom w:val="single" w:color="auto" w:sz="4" w:space="0"/>
              <w:right w:val="single" w:color="auto" w:sz="4" w:space="0"/>
            </w:tcBorders>
            <w:vAlign w:val="center"/>
          </w:tcPr>
          <w:p w14:paraId="73A5339F">
            <w:pPr>
              <w:spacing w:line="440" w:lineRule="exact"/>
              <w:jc w:val="center"/>
              <w:rPr>
                <w:rFonts w:ascii="宋体" w:hAnsi="宋体"/>
                <w:b/>
                <w:szCs w:val="21"/>
                <w:highlight w:val="none"/>
              </w:rPr>
            </w:pPr>
            <w:r>
              <w:rPr>
                <w:rFonts w:hint="eastAsia" w:ascii="宋体" w:hAnsi="宋体"/>
                <w:b/>
                <w:szCs w:val="21"/>
                <w:highlight w:val="none"/>
              </w:rPr>
              <w:t>评标方法</w:t>
            </w:r>
          </w:p>
        </w:tc>
        <w:tc>
          <w:tcPr>
            <w:tcW w:w="7020" w:type="dxa"/>
            <w:gridSpan w:val="2"/>
            <w:tcBorders>
              <w:top w:val="single" w:color="auto" w:sz="4" w:space="0"/>
              <w:left w:val="single" w:color="auto" w:sz="4" w:space="0"/>
              <w:bottom w:val="single" w:color="auto" w:sz="4" w:space="0"/>
              <w:right w:val="single" w:color="auto" w:sz="4" w:space="0"/>
            </w:tcBorders>
            <w:vAlign w:val="center"/>
          </w:tcPr>
          <w:p w14:paraId="3B31B7F9">
            <w:pPr>
              <w:tabs>
                <w:tab w:val="left" w:pos="72"/>
              </w:tabs>
              <w:spacing w:line="400" w:lineRule="exact"/>
              <w:ind w:firstLine="422" w:firstLineChars="200"/>
              <w:rPr>
                <w:rFonts w:ascii="宋体" w:hAnsi="宋体"/>
                <w:b/>
                <w:szCs w:val="21"/>
                <w:highlight w:val="none"/>
              </w:rPr>
            </w:pPr>
            <w:r>
              <w:rPr>
                <w:rFonts w:hint="eastAsia" w:ascii="宋体" w:hAnsi="宋体"/>
                <w:b/>
                <w:szCs w:val="21"/>
                <w:highlight w:val="none"/>
              </w:rPr>
              <w:t>1、评标方法：综合评分法。评标委员会成员根据招标文件规定进行独立评审，对需要共同认定的客观分存在争议的，应当按照少数服从多数的原则作出结论。持不同意见的评标委员会成员应当在评标报告上签署不同意见及理由，否则视为同意评标报告。</w:t>
            </w:r>
          </w:p>
          <w:p w14:paraId="2D949D51">
            <w:pPr>
              <w:tabs>
                <w:tab w:val="left" w:pos="72"/>
              </w:tabs>
              <w:spacing w:line="400" w:lineRule="exact"/>
              <w:ind w:firstLine="422" w:firstLineChars="200"/>
              <w:rPr>
                <w:rFonts w:ascii="宋体" w:hAnsi="宋体"/>
                <w:b/>
                <w:szCs w:val="21"/>
                <w:highlight w:val="none"/>
              </w:rPr>
            </w:pPr>
            <w:r>
              <w:rPr>
                <w:rFonts w:hint="eastAsia" w:ascii="宋体" w:hAnsi="宋体"/>
                <w:b/>
                <w:szCs w:val="21"/>
                <w:highlight w:val="none"/>
              </w:rPr>
              <w:t>2、</w:t>
            </w:r>
            <w:r>
              <w:rPr>
                <w:rFonts w:hint="eastAsia" w:ascii="宋体" w:hAnsi="宋体"/>
                <w:b/>
                <w:szCs w:val="21"/>
                <w:highlight w:val="none"/>
                <w:u w:val="single"/>
              </w:rPr>
              <w:t>评审。采购人负责资格审查；评标委员会负责符合性审查、商务和技术评审。</w:t>
            </w:r>
            <w:r>
              <w:rPr>
                <w:rFonts w:hint="eastAsia" w:ascii="宋体" w:hAnsi="宋体"/>
                <w:b/>
                <w:szCs w:val="21"/>
                <w:highlight w:val="none"/>
              </w:rPr>
              <w:t>（资格审查</w:t>
            </w:r>
            <w:r>
              <w:rPr>
                <w:rFonts w:hint="eastAsia" w:ascii="宋体" w:hAnsi="宋体"/>
                <w:b/>
                <w:szCs w:val="21"/>
                <w:highlight w:val="none"/>
                <w:lang w:val="en-US" w:eastAsia="zh-CN"/>
              </w:rPr>
              <w:t>或者</w:t>
            </w:r>
            <w:r>
              <w:rPr>
                <w:rFonts w:hint="eastAsia" w:ascii="宋体" w:hAnsi="宋体"/>
                <w:b/>
                <w:szCs w:val="21"/>
                <w:highlight w:val="none"/>
              </w:rPr>
              <w:t>符合性审查未通过者为无效投标）</w:t>
            </w:r>
          </w:p>
          <w:p w14:paraId="31E244F4">
            <w:pPr>
              <w:tabs>
                <w:tab w:val="left" w:pos="252"/>
              </w:tabs>
              <w:spacing w:line="400" w:lineRule="exact"/>
              <w:ind w:firstLine="422" w:firstLineChars="200"/>
              <w:jc w:val="left"/>
              <w:rPr>
                <w:rFonts w:hint="eastAsia" w:ascii="宋体" w:hAnsi="宋体"/>
                <w:b/>
                <w:szCs w:val="21"/>
                <w:highlight w:val="none"/>
              </w:rPr>
            </w:pPr>
            <w:r>
              <w:rPr>
                <w:rFonts w:hint="eastAsia" w:ascii="宋体" w:hAnsi="宋体" w:cs="宋体"/>
                <w:b/>
                <w:szCs w:val="21"/>
                <w:highlight w:val="none"/>
              </w:rPr>
              <w:t>3、</w:t>
            </w:r>
            <w:r>
              <w:rPr>
                <w:rFonts w:hint="eastAsia" w:ascii="宋体" w:hAnsi="宋体"/>
                <w:b/>
                <w:szCs w:val="21"/>
                <w:highlight w:val="none"/>
              </w:rPr>
              <w:t>推荐中标候选人。按得分由高到低顺序推荐中标候选人。</w:t>
            </w:r>
          </w:p>
          <w:p w14:paraId="60E1C6CC">
            <w:pPr>
              <w:tabs>
                <w:tab w:val="left" w:pos="252"/>
              </w:tabs>
              <w:spacing w:line="400" w:lineRule="exact"/>
              <w:ind w:firstLine="422" w:firstLineChars="200"/>
              <w:jc w:val="left"/>
              <w:rPr>
                <w:rFonts w:ascii="宋体" w:hAnsi="宋体"/>
                <w:b/>
                <w:strike/>
                <w:szCs w:val="21"/>
                <w:highlight w:val="none"/>
              </w:rPr>
            </w:pPr>
            <w:r>
              <w:rPr>
                <w:rFonts w:hint="eastAsia" w:ascii="宋体" w:hAnsi="宋体" w:eastAsia="宋体"/>
                <w:b/>
                <w:szCs w:val="21"/>
                <w:highlight w:val="none"/>
                <w:lang w:val="en-US" w:eastAsia="zh-CN"/>
              </w:rPr>
              <w:t>4、</w:t>
            </w:r>
            <w:r>
              <w:rPr>
                <w:rFonts w:hint="eastAsia" w:ascii="宋体" w:hAnsi="宋体" w:eastAsia="宋体"/>
                <w:b/>
                <w:szCs w:val="21"/>
                <w:highlight w:val="none"/>
              </w:rPr>
              <w:t>优先采购</w:t>
            </w:r>
            <w:r>
              <w:rPr>
                <w:rFonts w:hint="eastAsia" w:ascii="宋体" w:hAnsi="宋体" w:eastAsia="宋体"/>
                <w:b/>
                <w:szCs w:val="21"/>
                <w:highlight w:val="none"/>
                <w:lang w:val="en-US" w:eastAsia="zh-CN"/>
              </w:rPr>
              <w:t>政策。当</w:t>
            </w:r>
            <w:r>
              <w:rPr>
                <w:rFonts w:hint="eastAsia" w:ascii="宋体" w:hAnsi="宋体"/>
                <w:b/>
                <w:szCs w:val="21"/>
                <w:highlight w:val="none"/>
                <w:lang w:val="en-US" w:eastAsia="zh-CN"/>
              </w:rPr>
              <w:t>出现</w:t>
            </w:r>
            <w:r>
              <w:rPr>
                <w:rFonts w:hint="eastAsia" w:ascii="宋体" w:hAnsi="宋体" w:eastAsia="宋体"/>
                <w:b/>
                <w:szCs w:val="21"/>
                <w:highlight w:val="none"/>
                <w:lang w:val="en-US" w:eastAsia="zh-CN"/>
              </w:rPr>
              <w:t>供应商</w:t>
            </w:r>
            <w:r>
              <w:rPr>
                <w:rFonts w:hint="eastAsia" w:ascii="宋体" w:hAnsi="宋体"/>
                <w:b/>
                <w:szCs w:val="21"/>
                <w:highlight w:val="none"/>
                <w:lang w:val="en-US" w:eastAsia="zh-CN"/>
              </w:rPr>
              <w:t>排序并列</w:t>
            </w:r>
            <w:r>
              <w:rPr>
                <w:rFonts w:hint="eastAsia" w:ascii="宋体" w:hAnsi="宋体" w:eastAsia="宋体"/>
                <w:b/>
                <w:szCs w:val="21"/>
                <w:highlight w:val="none"/>
              </w:rPr>
              <w:t>时，所投产品属于节能产品、环境标志产品</w:t>
            </w:r>
            <w:r>
              <w:rPr>
                <w:rFonts w:hint="eastAsia" w:ascii="宋体" w:hAnsi="宋体" w:eastAsia="宋体"/>
                <w:b/>
                <w:szCs w:val="21"/>
                <w:highlight w:val="none"/>
                <w:lang w:val="en-US" w:eastAsia="zh-CN"/>
              </w:rPr>
              <w:t>政府采购品目清单范围</w:t>
            </w:r>
            <w:r>
              <w:rPr>
                <w:rFonts w:hint="eastAsia" w:ascii="宋体" w:hAnsi="宋体"/>
                <w:b/>
                <w:szCs w:val="21"/>
                <w:highlight w:val="none"/>
                <w:lang w:val="en-US" w:eastAsia="zh-CN"/>
              </w:rPr>
              <w:t>的</w:t>
            </w:r>
            <w:r>
              <w:rPr>
                <w:rFonts w:hint="eastAsia" w:ascii="宋体" w:hAnsi="宋体" w:eastAsia="宋体"/>
                <w:b/>
                <w:szCs w:val="21"/>
                <w:highlight w:val="none"/>
                <w:lang w:val="en-US" w:eastAsia="zh-CN"/>
              </w:rPr>
              <w:t>优先采购产品，且在投标文件中附国家确定的认证机构出具的、有效的产品认证证书的供应商</w:t>
            </w:r>
            <w:r>
              <w:rPr>
                <w:rFonts w:hint="eastAsia" w:ascii="宋体" w:hAnsi="宋体"/>
                <w:b/>
                <w:szCs w:val="21"/>
                <w:highlight w:val="none"/>
                <w:lang w:val="en-US" w:eastAsia="zh-CN"/>
              </w:rPr>
              <w:t>排序优先</w:t>
            </w:r>
            <w:r>
              <w:rPr>
                <w:rFonts w:hint="eastAsia" w:ascii="宋体" w:hAnsi="宋体" w:eastAsia="宋体"/>
                <w:b/>
                <w:szCs w:val="21"/>
                <w:highlight w:val="none"/>
                <w:lang w:eastAsia="zh-CN"/>
              </w:rPr>
              <w:t>，</w:t>
            </w:r>
            <w:r>
              <w:rPr>
                <w:rFonts w:hint="eastAsia" w:ascii="宋体" w:hAnsi="宋体" w:eastAsia="宋体"/>
                <w:b/>
                <w:szCs w:val="21"/>
                <w:highlight w:val="none"/>
                <w:lang w:val="en-US" w:eastAsia="zh-CN"/>
              </w:rPr>
              <w:t>均有</w:t>
            </w:r>
            <w:r>
              <w:rPr>
                <w:rFonts w:hint="eastAsia" w:ascii="宋体" w:hAnsi="宋体"/>
                <w:b/>
                <w:szCs w:val="21"/>
                <w:highlight w:val="none"/>
                <w:lang w:val="en-US" w:eastAsia="zh-CN"/>
              </w:rPr>
              <w:t>优先采购产品时以</w:t>
            </w:r>
            <w:r>
              <w:rPr>
                <w:rFonts w:hint="eastAsia" w:ascii="宋体" w:hAnsi="宋体" w:eastAsia="宋体"/>
                <w:b/>
                <w:szCs w:val="21"/>
                <w:highlight w:val="none"/>
              </w:rPr>
              <w:t>数量多者</w:t>
            </w:r>
            <w:r>
              <w:rPr>
                <w:rFonts w:hint="eastAsia" w:ascii="宋体" w:hAnsi="宋体"/>
                <w:b/>
                <w:szCs w:val="21"/>
                <w:highlight w:val="none"/>
                <w:lang w:val="en-US" w:eastAsia="zh-CN"/>
              </w:rPr>
              <w:t>排序</w:t>
            </w:r>
            <w:r>
              <w:rPr>
                <w:rFonts w:hint="eastAsia" w:ascii="宋体" w:hAnsi="宋体" w:eastAsia="宋体"/>
                <w:b/>
                <w:szCs w:val="21"/>
                <w:highlight w:val="none"/>
              </w:rPr>
              <w:t>优先。</w:t>
            </w:r>
          </w:p>
        </w:tc>
      </w:tr>
      <w:tr w14:paraId="1537D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1" w:hRule="atLeast"/>
        </w:trPr>
        <w:tc>
          <w:tcPr>
            <w:tcW w:w="720" w:type="dxa"/>
            <w:vMerge w:val="continue"/>
            <w:tcBorders>
              <w:right w:val="single" w:color="auto" w:sz="4" w:space="0"/>
            </w:tcBorders>
            <w:vAlign w:val="center"/>
          </w:tcPr>
          <w:p w14:paraId="00EE81DB">
            <w:pPr>
              <w:spacing w:line="440" w:lineRule="exact"/>
              <w:jc w:val="center"/>
              <w:rPr>
                <w:rFonts w:ascii="宋体" w:hAnsi="宋体"/>
                <w:b/>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14:paraId="61B1FB89">
            <w:pPr>
              <w:jc w:val="center"/>
              <w:rPr>
                <w:rFonts w:ascii="宋体" w:hAnsi="宋体"/>
                <w:b/>
                <w:szCs w:val="21"/>
                <w:highlight w:val="none"/>
              </w:rPr>
            </w:pPr>
            <w:r>
              <w:rPr>
                <w:rFonts w:hint="eastAsia" w:ascii="宋体" w:hAnsi="宋体" w:cs="宋体"/>
                <w:b/>
                <w:szCs w:val="21"/>
                <w:highlight w:val="none"/>
              </w:rPr>
              <w:t>评标问题澄清</w:t>
            </w:r>
          </w:p>
        </w:tc>
        <w:tc>
          <w:tcPr>
            <w:tcW w:w="7020" w:type="dxa"/>
            <w:gridSpan w:val="2"/>
            <w:tcBorders>
              <w:top w:val="single" w:color="auto" w:sz="4" w:space="0"/>
              <w:left w:val="single" w:color="auto" w:sz="4" w:space="0"/>
              <w:bottom w:val="single" w:color="auto" w:sz="4" w:space="0"/>
              <w:right w:val="single" w:color="auto" w:sz="4" w:space="0"/>
            </w:tcBorders>
            <w:vAlign w:val="center"/>
          </w:tcPr>
          <w:p w14:paraId="596515A3">
            <w:pPr>
              <w:tabs>
                <w:tab w:val="left" w:pos="252"/>
              </w:tabs>
              <w:spacing w:line="400" w:lineRule="exact"/>
              <w:jc w:val="left"/>
              <w:rPr>
                <w:rFonts w:ascii="宋体" w:hAnsi="宋体" w:cs="宋体"/>
                <w:b/>
                <w:szCs w:val="21"/>
                <w:highlight w:val="none"/>
              </w:rPr>
            </w:pPr>
            <w:r>
              <w:rPr>
                <w:rFonts w:hint="eastAsia" w:ascii="宋体" w:hAnsi="宋体" w:cs="宋体"/>
                <w:b/>
                <w:szCs w:val="21"/>
                <w:highlight w:val="none"/>
              </w:rPr>
              <w:t>　　评标委员会可以通过</w:t>
            </w:r>
            <w:r>
              <w:rPr>
                <w:rFonts w:hint="eastAsia" w:ascii="宋体" w:hAnsi="宋体"/>
                <w:b/>
                <w:szCs w:val="21"/>
                <w:highlight w:val="none"/>
              </w:rPr>
              <w:t>电子交易系统</w:t>
            </w:r>
            <w:r>
              <w:rPr>
                <w:rFonts w:hint="eastAsia" w:ascii="宋体" w:hAnsi="宋体" w:cs="宋体"/>
                <w:b/>
                <w:szCs w:val="21"/>
                <w:highlight w:val="none"/>
              </w:rPr>
              <w:t>要求供应商对投标文件中有关问题做出答复，但答复内容不得超出投标文件范围或者改变投标文件的实质性内容。</w:t>
            </w:r>
          </w:p>
          <w:p w14:paraId="71C62D52">
            <w:pPr>
              <w:tabs>
                <w:tab w:val="left" w:pos="252"/>
              </w:tabs>
              <w:spacing w:line="400" w:lineRule="exact"/>
              <w:ind w:firstLine="421"/>
              <w:jc w:val="left"/>
              <w:rPr>
                <w:rFonts w:ascii="宋体" w:hAnsi="宋体"/>
                <w:b/>
                <w:szCs w:val="21"/>
                <w:highlight w:val="none"/>
              </w:rPr>
            </w:pPr>
            <w:r>
              <w:rPr>
                <w:rFonts w:hint="eastAsia" w:ascii="宋体" w:hAnsi="宋体" w:cs="宋体"/>
                <w:b/>
                <w:szCs w:val="21"/>
                <w:highlight w:val="none"/>
              </w:rPr>
              <w:t>供应商应时刻通过电子交易系统关注项目情况，评标委员会向供应商提出的澄清要求等，供应商应自系统发出30分钟（另有约定的从其约定）内回复，否则供应商自行承担责任。</w:t>
            </w:r>
          </w:p>
        </w:tc>
      </w:tr>
      <w:tr w14:paraId="21C52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720" w:type="dxa"/>
            <w:tcBorders>
              <w:top w:val="single" w:color="auto" w:sz="4" w:space="0"/>
              <w:bottom w:val="single" w:color="auto" w:sz="4" w:space="0"/>
              <w:right w:val="single" w:color="auto" w:sz="4" w:space="0"/>
            </w:tcBorders>
            <w:vAlign w:val="center"/>
          </w:tcPr>
          <w:p w14:paraId="695700C2">
            <w:pPr>
              <w:spacing w:line="440" w:lineRule="exact"/>
              <w:jc w:val="center"/>
              <w:rPr>
                <w:rFonts w:ascii="宋体" w:hAnsi="宋体"/>
                <w:b/>
                <w:szCs w:val="21"/>
                <w:highlight w:val="none"/>
              </w:rPr>
            </w:pPr>
            <w:r>
              <w:rPr>
                <w:rFonts w:ascii="宋体" w:hAnsi="宋体"/>
                <w:b/>
                <w:szCs w:val="21"/>
                <w:highlight w:val="none"/>
              </w:rPr>
              <w:t>条款号</w:t>
            </w:r>
          </w:p>
        </w:tc>
        <w:tc>
          <w:tcPr>
            <w:tcW w:w="540" w:type="dxa"/>
            <w:tcBorders>
              <w:top w:val="single" w:color="auto" w:sz="4" w:space="0"/>
              <w:bottom w:val="single" w:color="auto" w:sz="4" w:space="0"/>
              <w:right w:val="single" w:color="auto" w:sz="4" w:space="0"/>
            </w:tcBorders>
            <w:vAlign w:val="center"/>
          </w:tcPr>
          <w:p w14:paraId="44C30A66">
            <w:pPr>
              <w:jc w:val="center"/>
              <w:rPr>
                <w:rFonts w:ascii="宋体" w:hAnsi="宋体"/>
                <w:b/>
                <w:szCs w:val="21"/>
                <w:highlight w:val="none"/>
              </w:rPr>
            </w:pPr>
            <w:r>
              <w:rPr>
                <w:rFonts w:hint="eastAsia" w:ascii="宋体" w:hAnsi="宋体"/>
                <w:b/>
                <w:szCs w:val="21"/>
                <w:highlight w:val="none"/>
              </w:rPr>
              <w:t>审查　内容</w:t>
            </w:r>
          </w:p>
        </w:tc>
        <w:tc>
          <w:tcPr>
            <w:tcW w:w="1594" w:type="dxa"/>
            <w:tcBorders>
              <w:top w:val="single" w:color="auto" w:sz="4" w:space="0"/>
              <w:left w:val="single" w:color="auto" w:sz="4" w:space="0"/>
              <w:bottom w:val="single" w:color="auto" w:sz="4" w:space="0"/>
              <w:right w:val="single" w:color="auto" w:sz="4" w:space="0"/>
            </w:tcBorders>
            <w:vAlign w:val="center"/>
          </w:tcPr>
          <w:p w14:paraId="39796DB1">
            <w:pPr>
              <w:spacing w:line="440" w:lineRule="exact"/>
              <w:jc w:val="center"/>
              <w:rPr>
                <w:rFonts w:ascii="宋体" w:hAnsi="宋体"/>
                <w:b/>
                <w:szCs w:val="21"/>
                <w:highlight w:val="none"/>
              </w:rPr>
            </w:pPr>
            <w:r>
              <w:rPr>
                <w:rFonts w:ascii="宋体" w:hAnsi="宋体"/>
                <w:b/>
                <w:szCs w:val="21"/>
                <w:highlight w:val="none"/>
              </w:rPr>
              <w:t>评审因素</w:t>
            </w:r>
          </w:p>
        </w:tc>
        <w:tc>
          <w:tcPr>
            <w:tcW w:w="5426" w:type="dxa"/>
            <w:tcBorders>
              <w:top w:val="single" w:color="auto" w:sz="4" w:space="0"/>
              <w:left w:val="single" w:color="auto" w:sz="4" w:space="0"/>
              <w:bottom w:val="single" w:color="auto" w:sz="4" w:space="0"/>
              <w:right w:val="single" w:color="auto" w:sz="4" w:space="0"/>
            </w:tcBorders>
            <w:vAlign w:val="center"/>
          </w:tcPr>
          <w:p w14:paraId="32224D55">
            <w:pPr>
              <w:spacing w:line="440" w:lineRule="exact"/>
              <w:jc w:val="center"/>
              <w:rPr>
                <w:rFonts w:ascii="宋体" w:hAnsi="宋体"/>
                <w:b/>
                <w:szCs w:val="21"/>
                <w:highlight w:val="none"/>
              </w:rPr>
            </w:pPr>
            <w:r>
              <w:rPr>
                <w:rFonts w:ascii="宋体" w:hAnsi="宋体"/>
                <w:b/>
                <w:szCs w:val="21"/>
                <w:highlight w:val="none"/>
              </w:rPr>
              <w:t>评审标准</w:t>
            </w:r>
          </w:p>
        </w:tc>
      </w:tr>
      <w:tr w14:paraId="15A83B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720" w:type="dxa"/>
            <w:tcBorders>
              <w:top w:val="single" w:color="auto" w:sz="4" w:space="0"/>
              <w:bottom w:val="single" w:color="auto" w:sz="4" w:space="0"/>
              <w:right w:val="single" w:color="auto" w:sz="4" w:space="0"/>
            </w:tcBorders>
            <w:vAlign w:val="center"/>
          </w:tcPr>
          <w:p w14:paraId="1DAA30A7">
            <w:pPr>
              <w:spacing w:line="440" w:lineRule="exact"/>
              <w:jc w:val="center"/>
              <w:rPr>
                <w:rFonts w:ascii="宋体" w:hAnsi="宋体"/>
                <w:szCs w:val="21"/>
                <w:highlight w:val="none"/>
              </w:rPr>
            </w:pPr>
            <w:r>
              <w:rPr>
                <w:rFonts w:hint="eastAsia" w:ascii="宋体" w:hAnsi="宋体"/>
                <w:szCs w:val="21"/>
                <w:highlight w:val="none"/>
              </w:rPr>
              <w:t>2.1.1</w:t>
            </w:r>
          </w:p>
        </w:tc>
        <w:tc>
          <w:tcPr>
            <w:tcW w:w="540" w:type="dxa"/>
            <w:tcBorders>
              <w:top w:val="single" w:color="auto" w:sz="4" w:space="0"/>
              <w:bottom w:val="single" w:color="auto" w:sz="4" w:space="0"/>
              <w:right w:val="single" w:color="auto" w:sz="4" w:space="0"/>
            </w:tcBorders>
            <w:vAlign w:val="center"/>
          </w:tcPr>
          <w:p w14:paraId="21DB16DA">
            <w:pPr>
              <w:spacing w:line="360" w:lineRule="exact"/>
              <w:jc w:val="center"/>
              <w:rPr>
                <w:rFonts w:ascii="宋体" w:hAnsi="宋体"/>
                <w:szCs w:val="21"/>
                <w:highlight w:val="none"/>
              </w:rPr>
            </w:pPr>
            <w:r>
              <w:rPr>
                <w:rFonts w:ascii="宋体" w:hAnsi="宋体"/>
                <w:szCs w:val="21"/>
                <w:highlight w:val="none"/>
              </w:rPr>
              <w:t>资格</w:t>
            </w:r>
            <w:r>
              <w:rPr>
                <w:rFonts w:hint="eastAsia" w:ascii="宋体" w:hAnsi="宋体"/>
                <w:szCs w:val="21"/>
                <w:highlight w:val="none"/>
              </w:rPr>
              <w:t>　</w:t>
            </w:r>
            <w:r>
              <w:rPr>
                <w:rFonts w:ascii="宋体" w:hAnsi="宋体"/>
                <w:szCs w:val="21"/>
                <w:highlight w:val="none"/>
              </w:rPr>
              <w:t>审查</w:t>
            </w:r>
          </w:p>
        </w:tc>
        <w:tc>
          <w:tcPr>
            <w:tcW w:w="1594" w:type="dxa"/>
            <w:tcBorders>
              <w:top w:val="single" w:color="auto" w:sz="4" w:space="0"/>
              <w:left w:val="single" w:color="auto" w:sz="4" w:space="0"/>
              <w:bottom w:val="single" w:color="auto" w:sz="4" w:space="0"/>
              <w:right w:val="single" w:color="auto" w:sz="4" w:space="0"/>
            </w:tcBorders>
            <w:vAlign w:val="center"/>
          </w:tcPr>
          <w:p w14:paraId="7DE8599A">
            <w:pPr>
              <w:spacing w:line="440" w:lineRule="exact"/>
              <w:jc w:val="center"/>
              <w:rPr>
                <w:rFonts w:ascii="宋体" w:hAnsi="宋体"/>
                <w:szCs w:val="21"/>
                <w:highlight w:val="none"/>
              </w:rPr>
            </w:pPr>
            <w:r>
              <w:rPr>
                <w:rFonts w:hint="eastAsia" w:ascii="宋体" w:hAnsi="宋体"/>
                <w:szCs w:val="21"/>
                <w:highlight w:val="none"/>
              </w:rPr>
              <w:t>供应商资格</w:t>
            </w:r>
          </w:p>
        </w:tc>
        <w:tc>
          <w:tcPr>
            <w:tcW w:w="5426" w:type="dxa"/>
            <w:tcBorders>
              <w:top w:val="single" w:color="auto" w:sz="4" w:space="0"/>
              <w:left w:val="single" w:color="auto" w:sz="4" w:space="0"/>
              <w:bottom w:val="single" w:color="auto" w:sz="4" w:space="0"/>
              <w:right w:val="single" w:color="auto" w:sz="4" w:space="0"/>
            </w:tcBorders>
            <w:vAlign w:val="center"/>
          </w:tcPr>
          <w:p w14:paraId="3F380A2C">
            <w:pPr>
              <w:spacing w:line="440" w:lineRule="atLeast"/>
              <w:ind w:firstLine="422" w:firstLineChars="200"/>
              <w:rPr>
                <w:rFonts w:ascii="宋体" w:hAnsi="宋体"/>
                <w:szCs w:val="21"/>
                <w:highlight w:val="none"/>
              </w:rPr>
            </w:pPr>
            <w:r>
              <w:rPr>
                <w:rFonts w:hint="eastAsia" w:ascii="宋体" w:hAnsi="宋体" w:cs="宋体"/>
                <w:b/>
                <w:bCs/>
                <w:szCs w:val="21"/>
                <w:highlight w:val="none"/>
              </w:rPr>
              <w:t>由采购人于开标后进行资格审查，</w:t>
            </w:r>
            <w:r>
              <w:rPr>
                <w:rFonts w:hint="eastAsia" w:ascii="宋体" w:hAnsi="宋体" w:cs="宋体"/>
                <w:b/>
                <w:bCs/>
                <w:szCs w:val="32"/>
                <w:highlight w:val="none"/>
              </w:rPr>
              <w:t>未通过者注明原因</w:t>
            </w:r>
            <w:r>
              <w:rPr>
                <w:rFonts w:hint="eastAsia" w:ascii="宋体" w:hAnsi="宋体" w:cs="宋体"/>
                <w:b/>
                <w:bCs/>
                <w:szCs w:val="21"/>
                <w:highlight w:val="none"/>
              </w:rPr>
              <w:t>。</w:t>
            </w:r>
          </w:p>
        </w:tc>
      </w:tr>
      <w:tr w14:paraId="421E0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restart"/>
            <w:tcBorders>
              <w:top w:val="single" w:color="auto" w:sz="4" w:space="0"/>
              <w:right w:val="single" w:color="auto" w:sz="4" w:space="0"/>
            </w:tcBorders>
            <w:vAlign w:val="center"/>
          </w:tcPr>
          <w:p w14:paraId="15ADE901">
            <w:pPr>
              <w:spacing w:line="440" w:lineRule="exact"/>
              <w:jc w:val="center"/>
              <w:rPr>
                <w:rFonts w:ascii="宋体" w:hAnsi="宋体"/>
                <w:szCs w:val="21"/>
                <w:highlight w:val="none"/>
              </w:rPr>
            </w:pPr>
          </w:p>
          <w:p w14:paraId="4F44FBFC">
            <w:pPr>
              <w:spacing w:line="440" w:lineRule="exact"/>
              <w:jc w:val="center"/>
              <w:rPr>
                <w:rFonts w:ascii="宋体" w:hAnsi="宋体"/>
                <w:szCs w:val="21"/>
                <w:highlight w:val="none"/>
              </w:rPr>
            </w:pPr>
          </w:p>
          <w:p w14:paraId="7F41117E">
            <w:pPr>
              <w:spacing w:line="440" w:lineRule="exact"/>
              <w:jc w:val="center"/>
              <w:rPr>
                <w:rFonts w:ascii="宋体" w:hAnsi="宋体"/>
                <w:szCs w:val="21"/>
                <w:highlight w:val="none"/>
              </w:rPr>
            </w:pPr>
          </w:p>
          <w:p w14:paraId="64206475">
            <w:pPr>
              <w:spacing w:line="440" w:lineRule="exact"/>
              <w:jc w:val="center"/>
              <w:rPr>
                <w:rFonts w:ascii="宋体" w:hAnsi="宋体"/>
                <w:szCs w:val="21"/>
                <w:highlight w:val="none"/>
              </w:rPr>
            </w:pPr>
            <w:r>
              <w:rPr>
                <w:rFonts w:hint="eastAsia" w:ascii="宋体" w:hAnsi="宋体"/>
                <w:szCs w:val="21"/>
                <w:highlight w:val="none"/>
              </w:rPr>
              <w:t>2.1.2</w:t>
            </w:r>
          </w:p>
          <w:p w14:paraId="77774450">
            <w:pPr>
              <w:spacing w:line="440" w:lineRule="exact"/>
              <w:jc w:val="center"/>
              <w:rPr>
                <w:rFonts w:ascii="宋体" w:hAnsi="宋体"/>
                <w:szCs w:val="21"/>
                <w:highlight w:val="none"/>
              </w:rPr>
            </w:pPr>
          </w:p>
          <w:p w14:paraId="46CF1943">
            <w:pPr>
              <w:spacing w:line="440" w:lineRule="exact"/>
              <w:jc w:val="center"/>
              <w:rPr>
                <w:rFonts w:ascii="宋体" w:hAnsi="宋体"/>
                <w:szCs w:val="21"/>
                <w:highlight w:val="none"/>
              </w:rPr>
            </w:pPr>
          </w:p>
          <w:p w14:paraId="34004202">
            <w:pPr>
              <w:spacing w:line="440" w:lineRule="exact"/>
              <w:jc w:val="center"/>
              <w:rPr>
                <w:rFonts w:ascii="宋体" w:hAnsi="宋体"/>
                <w:szCs w:val="21"/>
                <w:highlight w:val="none"/>
              </w:rPr>
            </w:pPr>
          </w:p>
        </w:tc>
        <w:tc>
          <w:tcPr>
            <w:tcW w:w="540" w:type="dxa"/>
            <w:vMerge w:val="restart"/>
            <w:tcBorders>
              <w:top w:val="single" w:color="auto" w:sz="4" w:space="0"/>
              <w:right w:val="single" w:color="auto" w:sz="4" w:space="0"/>
            </w:tcBorders>
            <w:vAlign w:val="center"/>
          </w:tcPr>
          <w:p w14:paraId="3777B585">
            <w:pPr>
              <w:spacing w:line="440" w:lineRule="exact"/>
              <w:jc w:val="center"/>
              <w:rPr>
                <w:rFonts w:ascii="宋体" w:hAnsi="宋体"/>
                <w:szCs w:val="21"/>
                <w:highlight w:val="none"/>
              </w:rPr>
            </w:pPr>
          </w:p>
          <w:p w14:paraId="6F9FA050">
            <w:pPr>
              <w:spacing w:line="440" w:lineRule="exact"/>
              <w:jc w:val="center"/>
              <w:rPr>
                <w:rFonts w:ascii="宋体" w:hAnsi="宋体"/>
                <w:szCs w:val="21"/>
                <w:highlight w:val="none"/>
              </w:rPr>
            </w:pPr>
          </w:p>
          <w:p w14:paraId="32AD3CA1">
            <w:pPr>
              <w:spacing w:line="440" w:lineRule="exact"/>
              <w:jc w:val="center"/>
              <w:rPr>
                <w:rFonts w:ascii="宋体" w:hAnsi="宋体"/>
                <w:szCs w:val="21"/>
                <w:highlight w:val="none"/>
              </w:rPr>
            </w:pPr>
            <w:r>
              <w:rPr>
                <w:rFonts w:hint="eastAsia" w:ascii="宋体" w:hAnsi="宋体"/>
                <w:szCs w:val="21"/>
                <w:highlight w:val="none"/>
              </w:rPr>
              <w:t>符合性审查</w:t>
            </w:r>
          </w:p>
          <w:p w14:paraId="20CD78FD">
            <w:pPr>
              <w:spacing w:line="440" w:lineRule="exact"/>
              <w:jc w:val="center"/>
              <w:rPr>
                <w:rFonts w:ascii="宋体" w:hAnsi="宋体"/>
                <w:szCs w:val="21"/>
                <w:highlight w:val="none"/>
              </w:rPr>
            </w:pPr>
          </w:p>
          <w:p w14:paraId="6A2F4745">
            <w:pPr>
              <w:spacing w:line="440" w:lineRule="exact"/>
              <w:jc w:val="center"/>
              <w:rPr>
                <w:rFonts w:ascii="宋体" w:hAnsi="宋体"/>
                <w:szCs w:val="21"/>
                <w:highlight w:val="none"/>
              </w:rPr>
            </w:pPr>
          </w:p>
          <w:p w14:paraId="4FAFCF9A">
            <w:pPr>
              <w:spacing w:line="440" w:lineRule="exact"/>
              <w:jc w:val="center"/>
              <w:rPr>
                <w:rFonts w:ascii="宋体" w:hAnsi="宋体"/>
                <w:szCs w:val="21"/>
                <w:highlight w:val="none"/>
              </w:rPr>
            </w:pPr>
          </w:p>
          <w:p w14:paraId="19FACBB6">
            <w:pPr>
              <w:spacing w:line="440" w:lineRule="exact"/>
              <w:jc w:val="center"/>
              <w:rPr>
                <w:rFonts w:ascii="宋体" w:hAnsi="宋体"/>
                <w:szCs w:val="21"/>
                <w:highlight w:val="none"/>
              </w:rPr>
            </w:pPr>
          </w:p>
          <w:p w14:paraId="337FCA5D">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717BF3D9">
            <w:pPr>
              <w:spacing w:line="440" w:lineRule="exact"/>
              <w:jc w:val="center"/>
              <w:rPr>
                <w:rFonts w:ascii="宋体" w:hAnsi="宋体"/>
                <w:szCs w:val="21"/>
                <w:highlight w:val="none"/>
              </w:rPr>
            </w:pPr>
            <w:r>
              <w:rPr>
                <w:rFonts w:hint="eastAsia" w:ascii="宋体" w:hAnsi="宋体" w:cs="宋体"/>
                <w:szCs w:val="21"/>
                <w:highlight w:val="none"/>
              </w:rPr>
              <w:t>供应商名称</w:t>
            </w:r>
          </w:p>
        </w:tc>
        <w:tc>
          <w:tcPr>
            <w:tcW w:w="5426" w:type="dxa"/>
            <w:tcBorders>
              <w:top w:val="single" w:color="auto" w:sz="4" w:space="0"/>
              <w:left w:val="single" w:color="auto" w:sz="4" w:space="0"/>
              <w:bottom w:val="single" w:color="auto" w:sz="4" w:space="0"/>
              <w:right w:val="single" w:color="auto" w:sz="4" w:space="0"/>
            </w:tcBorders>
            <w:vAlign w:val="center"/>
          </w:tcPr>
          <w:p w14:paraId="7DEDCB9C">
            <w:pPr>
              <w:spacing w:line="440" w:lineRule="atLeast"/>
              <w:rPr>
                <w:rFonts w:ascii="宋体" w:hAnsi="宋体"/>
                <w:szCs w:val="21"/>
                <w:highlight w:val="none"/>
              </w:rPr>
            </w:pPr>
            <w:r>
              <w:rPr>
                <w:rFonts w:hint="eastAsia" w:ascii="宋体" w:hAnsi="宋体" w:cs="宋体"/>
                <w:szCs w:val="21"/>
                <w:highlight w:val="none"/>
              </w:rPr>
              <w:t>供应商名称与单位盖章、资格证明材料相一致。</w:t>
            </w:r>
          </w:p>
        </w:tc>
      </w:tr>
      <w:tr w14:paraId="5A555C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720" w:type="dxa"/>
            <w:vMerge w:val="continue"/>
            <w:tcBorders>
              <w:right w:val="single" w:color="auto" w:sz="4" w:space="0"/>
            </w:tcBorders>
            <w:vAlign w:val="center"/>
          </w:tcPr>
          <w:p w14:paraId="64E12CDA">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32178F16">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13B42735">
            <w:pPr>
              <w:spacing w:line="440" w:lineRule="exact"/>
              <w:jc w:val="center"/>
              <w:rPr>
                <w:rFonts w:ascii="宋体" w:hAnsi="宋体"/>
                <w:szCs w:val="21"/>
                <w:highlight w:val="none"/>
              </w:rPr>
            </w:pPr>
            <w:r>
              <w:rPr>
                <w:rFonts w:ascii="宋体" w:hAnsi="宋体"/>
                <w:szCs w:val="21"/>
                <w:highlight w:val="none"/>
              </w:rPr>
              <w:t>签字盖章</w:t>
            </w:r>
          </w:p>
        </w:tc>
        <w:tc>
          <w:tcPr>
            <w:tcW w:w="5426" w:type="dxa"/>
            <w:tcBorders>
              <w:top w:val="single" w:color="auto" w:sz="4" w:space="0"/>
              <w:left w:val="single" w:color="auto" w:sz="4" w:space="0"/>
              <w:bottom w:val="single" w:color="auto" w:sz="4" w:space="0"/>
              <w:right w:val="single" w:color="auto" w:sz="4" w:space="0"/>
            </w:tcBorders>
            <w:vAlign w:val="center"/>
          </w:tcPr>
          <w:p w14:paraId="7127B16E">
            <w:pPr>
              <w:spacing w:line="440" w:lineRule="atLeast"/>
              <w:rPr>
                <w:rFonts w:ascii="宋体" w:hAnsi="宋体"/>
                <w:szCs w:val="21"/>
                <w:highlight w:val="none"/>
              </w:rPr>
            </w:pPr>
            <w:r>
              <w:rPr>
                <w:rFonts w:hint="eastAsia" w:ascii="宋体" w:hAnsi="宋体"/>
                <w:szCs w:val="21"/>
                <w:highlight w:val="none"/>
                <w:lang w:val="en-US" w:eastAsia="zh-CN"/>
              </w:rPr>
              <w:t>按招标文件要求提供</w:t>
            </w:r>
            <w:r>
              <w:rPr>
                <w:rFonts w:hint="eastAsia" w:ascii="宋体" w:hAnsi="宋体"/>
                <w:szCs w:val="21"/>
                <w:highlight w:val="none"/>
              </w:rPr>
              <w:t>投标函、法定代表人资格证明（或授权委托书）</w:t>
            </w:r>
            <w:r>
              <w:rPr>
                <w:rFonts w:hint="eastAsia" w:ascii="宋体" w:hAnsi="宋体"/>
                <w:szCs w:val="21"/>
                <w:highlight w:val="none"/>
                <w:lang w:val="en-US" w:eastAsia="zh-CN"/>
              </w:rPr>
              <w:t>并按要求</w:t>
            </w:r>
            <w:r>
              <w:rPr>
                <w:rFonts w:hint="eastAsia" w:ascii="宋体" w:hAnsi="宋体"/>
                <w:szCs w:val="21"/>
                <w:highlight w:val="none"/>
              </w:rPr>
              <w:t>盖章、签字</w:t>
            </w:r>
            <w:r>
              <w:rPr>
                <w:rFonts w:hint="eastAsia" w:ascii="宋体" w:hAnsi="宋体"/>
                <w:szCs w:val="21"/>
                <w:highlight w:val="none"/>
                <w:lang w:eastAsia="zh-CN"/>
              </w:rPr>
              <w:t>。</w:t>
            </w:r>
          </w:p>
        </w:tc>
      </w:tr>
      <w:tr w14:paraId="72702F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0" w:type="dxa"/>
            <w:vMerge w:val="continue"/>
            <w:tcBorders>
              <w:right w:val="single" w:color="auto" w:sz="4" w:space="0"/>
            </w:tcBorders>
            <w:vAlign w:val="center"/>
          </w:tcPr>
          <w:p w14:paraId="7E1EF765">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668F455A">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1DD7CCBE">
            <w:pPr>
              <w:tabs>
                <w:tab w:val="left" w:pos="1260"/>
              </w:tabs>
              <w:spacing w:line="440" w:lineRule="exact"/>
              <w:jc w:val="center"/>
              <w:rPr>
                <w:rFonts w:ascii="宋体" w:hAnsi="宋体"/>
                <w:szCs w:val="21"/>
                <w:highlight w:val="none"/>
              </w:rPr>
            </w:pPr>
            <w:r>
              <w:rPr>
                <w:rFonts w:hint="eastAsia" w:ascii="宋体" w:hAnsi="宋体"/>
                <w:szCs w:val="21"/>
                <w:highlight w:val="none"/>
                <w:lang w:val="en-US" w:eastAsia="zh-CN"/>
              </w:rPr>
              <w:t>进口产品投标</w:t>
            </w:r>
          </w:p>
        </w:tc>
        <w:tc>
          <w:tcPr>
            <w:tcW w:w="5426" w:type="dxa"/>
            <w:tcBorders>
              <w:top w:val="single" w:color="auto" w:sz="4" w:space="0"/>
              <w:left w:val="single" w:color="auto" w:sz="4" w:space="0"/>
              <w:bottom w:val="single" w:color="auto" w:sz="4" w:space="0"/>
              <w:right w:val="single" w:color="auto" w:sz="4" w:space="0"/>
            </w:tcBorders>
            <w:vAlign w:val="center"/>
          </w:tcPr>
          <w:p w14:paraId="2E198DA4">
            <w:pPr>
              <w:spacing w:line="440" w:lineRule="atLeast"/>
              <w:rPr>
                <w:color w:val="auto"/>
                <w:highlight w:val="none"/>
              </w:rPr>
            </w:pPr>
            <w:r>
              <w:rPr>
                <w:rFonts w:hint="eastAsia" w:ascii="宋体" w:hAnsi="宋体"/>
                <w:color w:val="auto"/>
                <w:szCs w:val="21"/>
                <w:highlight w:val="none"/>
                <w:lang w:val="en-US" w:eastAsia="zh-CN"/>
              </w:rPr>
              <w:t>不接受进口产品投标。（查看投标函）</w:t>
            </w:r>
          </w:p>
        </w:tc>
      </w:tr>
      <w:tr w14:paraId="6652D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720" w:type="dxa"/>
            <w:vMerge w:val="continue"/>
            <w:tcBorders>
              <w:right w:val="single" w:color="auto" w:sz="4" w:space="0"/>
            </w:tcBorders>
            <w:vAlign w:val="center"/>
          </w:tcPr>
          <w:p w14:paraId="2C8720F2">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3CB44DD6">
            <w:pPr>
              <w:spacing w:line="440" w:lineRule="exact"/>
              <w:jc w:val="center"/>
              <w:rPr>
                <w:rFonts w:ascii="宋体" w:hAnsi="宋体"/>
                <w:szCs w:val="21"/>
                <w:highlight w:val="none"/>
              </w:rPr>
            </w:pPr>
          </w:p>
        </w:tc>
        <w:tc>
          <w:tcPr>
            <w:tcW w:w="1594" w:type="dxa"/>
            <w:tcBorders>
              <w:top w:val="single" w:color="auto" w:sz="4" w:space="0"/>
              <w:left w:val="single" w:color="auto" w:sz="4" w:space="0"/>
              <w:right w:val="single" w:color="auto" w:sz="4" w:space="0"/>
            </w:tcBorders>
            <w:vAlign w:val="center"/>
          </w:tcPr>
          <w:p w14:paraId="5B54EAEB">
            <w:pPr>
              <w:spacing w:line="440" w:lineRule="exact"/>
              <w:jc w:val="center"/>
              <w:rPr>
                <w:rFonts w:ascii="宋体" w:hAnsi="宋体"/>
                <w:szCs w:val="21"/>
                <w:highlight w:val="none"/>
              </w:rPr>
            </w:pPr>
            <w:r>
              <w:rPr>
                <w:rFonts w:hint="eastAsia" w:ascii="宋体" w:hAnsi="宋体"/>
                <w:szCs w:val="21"/>
                <w:highlight w:val="none"/>
                <w:lang w:val="en-US" w:eastAsia="zh-CN"/>
              </w:rPr>
              <w:t>联合体投标</w:t>
            </w:r>
          </w:p>
        </w:tc>
        <w:tc>
          <w:tcPr>
            <w:tcW w:w="5426" w:type="dxa"/>
            <w:tcBorders>
              <w:top w:val="single" w:color="auto" w:sz="4" w:space="0"/>
              <w:left w:val="single" w:color="auto" w:sz="4" w:space="0"/>
              <w:right w:val="single" w:color="auto" w:sz="4" w:space="0"/>
            </w:tcBorders>
            <w:vAlign w:val="center"/>
          </w:tcPr>
          <w:p w14:paraId="6630840E">
            <w:pPr>
              <w:spacing w:line="440" w:lineRule="atLeast"/>
              <w:rPr>
                <w:rFonts w:ascii="宋体" w:hAnsi="宋体"/>
                <w:color w:val="auto"/>
                <w:szCs w:val="21"/>
                <w:highlight w:val="none"/>
              </w:rPr>
            </w:pPr>
            <w:r>
              <w:rPr>
                <w:rFonts w:hint="eastAsia" w:ascii="宋体" w:hAnsi="宋体"/>
                <w:color w:val="auto"/>
                <w:szCs w:val="21"/>
                <w:highlight w:val="none"/>
                <w:lang w:val="en-US" w:eastAsia="zh-CN"/>
              </w:rPr>
              <w:t>不接受联合体投标。（查看投标函）</w:t>
            </w:r>
          </w:p>
        </w:tc>
      </w:tr>
      <w:tr w14:paraId="753E7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720" w:type="dxa"/>
            <w:vMerge w:val="continue"/>
            <w:tcBorders>
              <w:right w:val="single" w:color="auto" w:sz="4" w:space="0"/>
            </w:tcBorders>
            <w:vAlign w:val="center"/>
          </w:tcPr>
          <w:p w14:paraId="3BC1CCE1">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5A086FA3">
            <w:pPr>
              <w:spacing w:line="440" w:lineRule="exact"/>
              <w:jc w:val="center"/>
              <w:rPr>
                <w:rFonts w:ascii="宋体" w:hAnsi="宋体"/>
                <w:szCs w:val="21"/>
                <w:highlight w:val="none"/>
              </w:rPr>
            </w:pPr>
          </w:p>
        </w:tc>
        <w:tc>
          <w:tcPr>
            <w:tcW w:w="1594" w:type="dxa"/>
            <w:tcBorders>
              <w:top w:val="single" w:color="auto" w:sz="4" w:space="0"/>
              <w:left w:val="single" w:color="auto" w:sz="4" w:space="0"/>
              <w:right w:val="single" w:color="auto" w:sz="4" w:space="0"/>
            </w:tcBorders>
            <w:vAlign w:val="center"/>
          </w:tcPr>
          <w:p w14:paraId="162E920A">
            <w:pPr>
              <w:spacing w:line="440" w:lineRule="exact"/>
              <w:jc w:val="center"/>
              <w:rPr>
                <w:rFonts w:ascii="宋体" w:hAnsi="宋体"/>
                <w:szCs w:val="21"/>
                <w:highlight w:val="none"/>
              </w:rPr>
            </w:pPr>
            <w:r>
              <w:rPr>
                <w:rFonts w:hint="eastAsia" w:ascii="宋体" w:hAnsi="宋体"/>
                <w:szCs w:val="21"/>
                <w:highlight w:val="none"/>
                <w:lang w:val="en-US" w:eastAsia="zh-CN"/>
              </w:rPr>
              <w:t>是否允许分包</w:t>
            </w:r>
          </w:p>
        </w:tc>
        <w:tc>
          <w:tcPr>
            <w:tcW w:w="5426" w:type="dxa"/>
            <w:tcBorders>
              <w:top w:val="single" w:color="auto" w:sz="4" w:space="0"/>
              <w:left w:val="single" w:color="auto" w:sz="4" w:space="0"/>
              <w:right w:val="single" w:color="auto" w:sz="4" w:space="0"/>
            </w:tcBorders>
            <w:vAlign w:val="center"/>
          </w:tcPr>
          <w:p w14:paraId="1972AC0D">
            <w:pPr>
              <w:spacing w:line="440" w:lineRule="atLeast"/>
              <w:rPr>
                <w:rFonts w:ascii="宋体" w:hAnsi="宋体"/>
                <w:color w:val="auto"/>
                <w:szCs w:val="21"/>
                <w:highlight w:val="none"/>
              </w:rPr>
            </w:pPr>
            <w:r>
              <w:rPr>
                <w:rFonts w:hint="eastAsia" w:ascii="宋体" w:hAnsi="宋体"/>
                <w:color w:val="auto"/>
                <w:szCs w:val="21"/>
                <w:highlight w:val="none"/>
                <w:lang w:val="en-US" w:eastAsia="zh-CN"/>
              </w:rPr>
              <w:t>不允许将项目内容分包给他人履行。（查看供应商须知前附表）</w:t>
            </w:r>
          </w:p>
        </w:tc>
      </w:tr>
      <w:tr w14:paraId="6A61D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7D5996C5">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2393AAC5">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3B3064CB">
            <w:pPr>
              <w:spacing w:line="440" w:lineRule="exact"/>
              <w:jc w:val="center"/>
              <w:rPr>
                <w:rFonts w:ascii="宋体" w:hAnsi="宋体"/>
                <w:szCs w:val="21"/>
                <w:highlight w:val="none"/>
              </w:rPr>
            </w:pPr>
            <w:r>
              <w:rPr>
                <w:rFonts w:hint="eastAsia" w:ascii="宋体" w:hAnsi="宋体"/>
                <w:szCs w:val="21"/>
                <w:highlight w:val="none"/>
                <w:lang w:val="en-US" w:eastAsia="zh-CN"/>
              </w:rPr>
              <w:t>标的符合性</w:t>
            </w:r>
          </w:p>
        </w:tc>
        <w:tc>
          <w:tcPr>
            <w:tcW w:w="5426" w:type="dxa"/>
            <w:tcBorders>
              <w:top w:val="single" w:color="auto" w:sz="4" w:space="0"/>
              <w:left w:val="single" w:color="auto" w:sz="4" w:space="0"/>
              <w:bottom w:val="single" w:color="auto" w:sz="4" w:space="0"/>
              <w:right w:val="single" w:color="auto" w:sz="4" w:space="0"/>
            </w:tcBorders>
            <w:vAlign w:val="center"/>
          </w:tcPr>
          <w:p w14:paraId="4A2F6AB6">
            <w:pPr>
              <w:spacing w:line="440" w:lineRule="exact"/>
              <w:jc w:val="left"/>
              <w:rPr>
                <w:rFonts w:ascii="宋体" w:hAnsi="宋体"/>
                <w:szCs w:val="21"/>
                <w:highlight w:val="none"/>
              </w:rPr>
            </w:pPr>
            <w:r>
              <w:rPr>
                <w:rFonts w:hint="eastAsia" w:ascii="宋体" w:hAnsi="宋体"/>
                <w:szCs w:val="21"/>
                <w:highlight w:val="none"/>
                <w:lang w:val="en-US" w:eastAsia="zh-CN"/>
              </w:rPr>
              <w:t>投标满足采购标的种类及数量。</w:t>
            </w:r>
          </w:p>
        </w:tc>
      </w:tr>
      <w:tr w14:paraId="64FCE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556EA533">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6AB0D080">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6A5CEB45">
            <w:pPr>
              <w:spacing w:line="440" w:lineRule="exact"/>
              <w:jc w:val="center"/>
              <w:rPr>
                <w:rFonts w:ascii="宋体" w:hAnsi="宋体"/>
                <w:szCs w:val="21"/>
                <w:highlight w:val="none"/>
              </w:rPr>
            </w:pPr>
            <w:r>
              <w:rPr>
                <w:rFonts w:hint="eastAsia" w:ascii="宋体" w:hAnsi="宋体"/>
                <w:szCs w:val="21"/>
                <w:highlight w:val="none"/>
              </w:rPr>
              <w:t>投标报价</w:t>
            </w:r>
          </w:p>
        </w:tc>
        <w:tc>
          <w:tcPr>
            <w:tcW w:w="5426" w:type="dxa"/>
            <w:tcBorders>
              <w:top w:val="single" w:color="auto" w:sz="4" w:space="0"/>
              <w:left w:val="single" w:color="auto" w:sz="4" w:space="0"/>
              <w:bottom w:val="single" w:color="auto" w:sz="4" w:space="0"/>
              <w:right w:val="single" w:color="auto" w:sz="4" w:space="0"/>
            </w:tcBorders>
            <w:vAlign w:val="center"/>
          </w:tcPr>
          <w:p w14:paraId="3A185EFD">
            <w:pPr>
              <w:spacing w:line="440" w:lineRule="atLeast"/>
              <w:rPr>
                <w:highlight w:val="none"/>
              </w:rPr>
            </w:pPr>
            <w:r>
              <w:rPr>
                <w:rFonts w:hint="eastAsia"/>
                <w:highlight w:val="none"/>
              </w:rPr>
              <w:t>1、投标函中只</w:t>
            </w:r>
            <w:r>
              <w:rPr>
                <w:rFonts w:hint="eastAsia"/>
                <w:highlight w:val="none"/>
                <w:lang w:val="en-US" w:eastAsia="zh-CN"/>
              </w:rPr>
              <w:t>能</w:t>
            </w:r>
            <w:r>
              <w:rPr>
                <w:rFonts w:hint="eastAsia"/>
                <w:highlight w:val="none"/>
              </w:rPr>
              <w:t>有一个有效投标报价</w:t>
            </w:r>
            <w:r>
              <w:rPr>
                <w:rFonts w:hint="eastAsia"/>
                <w:highlight w:val="none"/>
                <w:lang w:eastAsia="zh-CN"/>
              </w:rPr>
              <w:t>，</w:t>
            </w:r>
            <w:r>
              <w:rPr>
                <w:rFonts w:hint="eastAsia"/>
                <w:highlight w:val="none"/>
                <w:lang w:val="en-US" w:eastAsia="zh-CN"/>
              </w:rPr>
              <w:t>未出现可选择性或可调整的报价</w:t>
            </w:r>
            <w:r>
              <w:rPr>
                <w:rFonts w:hint="eastAsia"/>
                <w:highlight w:val="none"/>
              </w:rPr>
              <w:t>（</w:t>
            </w:r>
            <w:r>
              <w:rPr>
                <w:rFonts w:hint="eastAsia"/>
                <w:highlight w:val="none"/>
                <w:lang w:val="en-US" w:eastAsia="zh-CN"/>
              </w:rPr>
              <w:t>采购</w:t>
            </w:r>
            <w:r>
              <w:rPr>
                <w:rFonts w:hint="eastAsia"/>
                <w:highlight w:val="none"/>
              </w:rPr>
              <w:t>文件另有</w:t>
            </w:r>
            <w:r>
              <w:rPr>
                <w:rFonts w:hint="eastAsia"/>
                <w:highlight w:val="none"/>
                <w:lang w:val="en-US" w:eastAsia="zh-CN"/>
              </w:rPr>
              <w:t>规定的</w:t>
            </w:r>
            <w:r>
              <w:rPr>
                <w:rFonts w:hint="eastAsia"/>
                <w:highlight w:val="none"/>
              </w:rPr>
              <w:t>除外）。</w:t>
            </w:r>
          </w:p>
          <w:p w14:paraId="143819FB">
            <w:pPr>
              <w:spacing w:line="440" w:lineRule="atLeast"/>
              <w:rPr>
                <w:rFonts w:hint="eastAsia"/>
                <w:highlight w:val="none"/>
              </w:rPr>
            </w:pPr>
            <w:r>
              <w:rPr>
                <w:rFonts w:hint="eastAsia"/>
                <w:highlight w:val="none"/>
              </w:rPr>
              <w:t>2、</w:t>
            </w:r>
            <w:r>
              <w:rPr>
                <w:rFonts w:hint="eastAsia"/>
                <w:highlight w:val="none"/>
                <w:lang w:val="en-US" w:eastAsia="zh-CN"/>
              </w:rPr>
              <w:t>投标报价</w:t>
            </w:r>
            <w:r>
              <w:rPr>
                <w:rFonts w:hint="eastAsia"/>
                <w:highlight w:val="none"/>
              </w:rPr>
              <w:t>不得高于最高限价。</w:t>
            </w:r>
          </w:p>
          <w:p w14:paraId="6C58F060">
            <w:pPr>
              <w:spacing w:line="440" w:lineRule="atLeast"/>
              <w:rPr>
                <w:rFonts w:hint="default"/>
                <w:highlight w:val="none"/>
              </w:rPr>
            </w:pPr>
            <w:r>
              <w:rPr>
                <w:rFonts w:hint="eastAsia"/>
                <w:highlight w:val="none"/>
                <w:lang w:val="en-US" w:eastAsia="zh-CN"/>
              </w:rPr>
              <w:t>3、异常低价审查：评审中出现下列情形之一的，评审委员会应当启动异常低价投标审查程序：投标报价低于全部通过符合性审查供应商投标报价平均值50%的；或者低于通过符合性审查的次低报价供应商投标报价50%的；或者低于采购项目最高限价45%的（投标文件中已提交书面说明及证明材料的可不再重复提交）；或者评审委员会基于专业判断，认为供应商报价过低，有可能影响产品质量或者不能诚信履约的其他情形。</w:t>
            </w:r>
          </w:p>
          <w:p w14:paraId="6B7EDB15">
            <w:pPr>
              <w:spacing w:line="440" w:lineRule="atLeast"/>
              <w:ind w:firstLine="420" w:firstLineChars="200"/>
              <w:rPr>
                <w:rFonts w:hint="default"/>
                <w:highlight w:val="none"/>
              </w:rPr>
            </w:pPr>
            <w:r>
              <w:rPr>
                <w:rFonts w:hint="eastAsia"/>
                <w:highlight w:val="none"/>
                <w:lang w:val="en-US" w:eastAsia="zh-CN"/>
              </w:rPr>
              <w:t>评审委员会</w:t>
            </w:r>
            <w:r>
              <w:rPr>
                <w:rFonts w:hint="eastAsia"/>
                <w:highlight w:val="none"/>
              </w:rPr>
              <w:t>应通过电子交易系统向该供应商</w:t>
            </w:r>
            <w:r>
              <w:rPr>
                <w:rFonts w:hint="eastAsia"/>
                <w:highlight w:val="none"/>
                <w:lang w:val="en-US" w:eastAsia="zh-CN"/>
              </w:rPr>
              <w:t>发</w:t>
            </w:r>
            <w:r>
              <w:rPr>
                <w:rFonts w:hint="eastAsia"/>
                <w:highlight w:val="none"/>
              </w:rPr>
              <w:t>出</w:t>
            </w:r>
            <w:r>
              <w:rPr>
                <w:rFonts w:hint="eastAsia"/>
                <w:highlight w:val="none"/>
                <w:lang w:val="en-US" w:eastAsia="zh-CN"/>
              </w:rPr>
              <w:t>澄清通知</w:t>
            </w:r>
            <w:r>
              <w:rPr>
                <w:rFonts w:hint="eastAsia"/>
                <w:highlight w:val="none"/>
              </w:rPr>
              <w:t>，</w:t>
            </w:r>
            <w:r>
              <w:rPr>
                <w:rFonts w:hint="eastAsia"/>
                <w:highlight w:val="none"/>
                <w:lang w:val="en-US" w:eastAsia="zh-CN"/>
              </w:rPr>
              <w:t>供应商在通知发出30分钟（另有约定的除外）内通过该系统答复，并提供项目具体成本测算等与报价合理性相关的书面说明及必要的证明材料，包括但不限于原材料成本、人工成本、制造费用等。供应商不能提供书面说明、证明材料，或者不能证明其报价合理性的，评审委员会应当将其作为无效投标处理。</w:t>
            </w:r>
          </w:p>
          <w:p w14:paraId="7F06276E">
            <w:pPr>
              <w:spacing w:line="440" w:lineRule="atLeast"/>
              <w:ind w:firstLine="420" w:firstLineChars="200"/>
              <w:rPr>
                <w:rFonts w:ascii="宋体" w:hAnsi="宋体"/>
                <w:szCs w:val="21"/>
                <w:highlight w:val="none"/>
              </w:rPr>
            </w:pPr>
            <w:r>
              <w:rPr>
                <w:rFonts w:hint="eastAsia"/>
                <w:highlight w:val="none"/>
                <w:lang w:val="en-US" w:eastAsia="zh-CN"/>
              </w:rPr>
              <w:t>异常低价审查的启动原因、审查意见和审查结果应当在评审报告中记录，并随供应商相关材料以及评审委员会有关资料一并归档。</w:t>
            </w:r>
          </w:p>
        </w:tc>
      </w:tr>
      <w:tr w14:paraId="43F15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361ECBE4">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28A788D5">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3791BCE9">
            <w:pPr>
              <w:spacing w:line="440" w:lineRule="exact"/>
              <w:jc w:val="center"/>
              <w:rPr>
                <w:rFonts w:ascii="宋体" w:hAnsi="宋体"/>
                <w:szCs w:val="21"/>
                <w:highlight w:val="none"/>
              </w:rPr>
            </w:pPr>
            <w:r>
              <w:rPr>
                <w:rFonts w:hint="eastAsia" w:ascii="宋体" w:hAnsi="宋体"/>
                <w:szCs w:val="21"/>
                <w:highlight w:val="none"/>
              </w:rPr>
              <w:t>合同履行期限</w:t>
            </w:r>
          </w:p>
        </w:tc>
        <w:tc>
          <w:tcPr>
            <w:tcW w:w="5426" w:type="dxa"/>
            <w:tcBorders>
              <w:top w:val="single" w:color="auto" w:sz="4" w:space="0"/>
              <w:left w:val="single" w:color="auto" w:sz="4" w:space="0"/>
              <w:bottom w:val="single" w:color="auto" w:sz="4" w:space="0"/>
              <w:right w:val="single" w:color="auto" w:sz="4" w:space="0"/>
            </w:tcBorders>
            <w:vAlign w:val="center"/>
          </w:tcPr>
          <w:p w14:paraId="4A1ECAEE">
            <w:pPr>
              <w:spacing w:line="440" w:lineRule="atLeast"/>
              <w:rPr>
                <w:rFonts w:ascii="宋体" w:hAnsi="宋体" w:cs="宋体"/>
                <w:szCs w:val="21"/>
                <w:highlight w:val="none"/>
              </w:rPr>
            </w:pPr>
            <w:r>
              <w:rPr>
                <w:rFonts w:hint="eastAsia" w:ascii="宋体" w:hAnsi="宋体"/>
                <w:szCs w:val="21"/>
                <w:highlight w:val="none"/>
              </w:rPr>
              <w:t>不多于"供应商须知前附表"规定的时间。(查看投标函)</w:t>
            </w:r>
          </w:p>
        </w:tc>
      </w:tr>
      <w:tr w14:paraId="4FE4A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1F7A57CA">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706DAAA8">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769910C8">
            <w:pPr>
              <w:spacing w:line="440" w:lineRule="exact"/>
              <w:jc w:val="center"/>
              <w:rPr>
                <w:rFonts w:ascii="宋体" w:hAnsi="宋体"/>
                <w:szCs w:val="21"/>
                <w:highlight w:val="none"/>
              </w:rPr>
            </w:pPr>
            <w:r>
              <w:rPr>
                <w:rFonts w:ascii="宋体" w:hAnsi="宋体"/>
                <w:szCs w:val="21"/>
                <w:highlight w:val="none"/>
              </w:rPr>
              <w:t>质量要求</w:t>
            </w:r>
          </w:p>
        </w:tc>
        <w:tc>
          <w:tcPr>
            <w:tcW w:w="5426" w:type="dxa"/>
            <w:tcBorders>
              <w:top w:val="single" w:color="auto" w:sz="4" w:space="0"/>
              <w:left w:val="single" w:color="auto" w:sz="4" w:space="0"/>
              <w:bottom w:val="single" w:color="auto" w:sz="4" w:space="0"/>
              <w:right w:val="single" w:color="auto" w:sz="4" w:space="0"/>
            </w:tcBorders>
            <w:vAlign w:val="center"/>
          </w:tcPr>
          <w:p w14:paraId="1DE71E9E">
            <w:pPr>
              <w:spacing w:line="440" w:lineRule="atLeast"/>
              <w:rPr>
                <w:rFonts w:ascii="宋体" w:hAnsi="宋体" w:cs="宋体"/>
                <w:szCs w:val="21"/>
                <w:highlight w:val="none"/>
              </w:rPr>
            </w:pPr>
            <w:r>
              <w:rPr>
                <w:rFonts w:hint="eastAsia" w:ascii="宋体" w:hAnsi="宋体"/>
                <w:szCs w:val="21"/>
                <w:highlight w:val="none"/>
              </w:rPr>
              <w:t>响应“供应商须知前附表”要求。(查看投标函)</w:t>
            </w:r>
          </w:p>
        </w:tc>
      </w:tr>
      <w:tr w14:paraId="39979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5E97CF04">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1B08F000">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40E8DDA0">
            <w:pPr>
              <w:spacing w:line="440" w:lineRule="exact"/>
              <w:jc w:val="center"/>
              <w:rPr>
                <w:rFonts w:ascii="宋体" w:hAnsi="宋体"/>
                <w:szCs w:val="21"/>
                <w:highlight w:val="none"/>
              </w:rPr>
            </w:pPr>
            <w:r>
              <w:rPr>
                <w:rFonts w:hint="eastAsia" w:ascii="宋体" w:hAnsi="宋体"/>
                <w:szCs w:val="21"/>
                <w:highlight w:val="none"/>
              </w:rPr>
              <w:t>投标有效期</w:t>
            </w:r>
          </w:p>
        </w:tc>
        <w:tc>
          <w:tcPr>
            <w:tcW w:w="5426" w:type="dxa"/>
            <w:tcBorders>
              <w:top w:val="single" w:color="auto" w:sz="4" w:space="0"/>
              <w:left w:val="single" w:color="auto" w:sz="4" w:space="0"/>
              <w:bottom w:val="single" w:color="auto" w:sz="4" w:space="0"/>
              <w:right w:val="single" w:color="auto" w:sz="4" w:space="0"/>
            </w:tcBorders>
            <w:vAlign w:val="center"/>
          </w:tcPr>
          <w:p w14:paraId="57071208">
            <w:pPr>
              <w:spacing w:line="440" w:lineRule="atLeast"/>
              <w:rPr>
                <w:rFonts w:ascii="宋体" w:hAnsi="宋体" w:cs="宋体"/>
                <w:szCs w:val="21"/>
                <w:highlight w:val="none"/>
              </w:rPr>
            </w:pPr>
            <w:r>
              <w:rPr>
                <w:rFonts w:hint="eastAsia" w:ascii="宋体" w:hAnsi="宋体"/>
                <w:szCs w:val="21"/>
                <w:highlight w:val="none"/>
              </w:rPr>
              <w:t>不得少于“供应商须知前附表”规定的时间。(查看投标函)</w:t>
            </w:r>
          </w:p>
        </w:tc>
      </w:tr>
      <w:tr w14:paraId="53A3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1AABEB59">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4AE4998A">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71F83F37">
            <w:pPr>
              <w:spacing w:line="440" w:lineRule="exact"/>
              <w:jc w:val="center"/>
              <w:rPr>
                <w:rFonts w:ascii="宋体" w:hAnsi="宋体"/>
                <w:szCs w:val="21"/>
                <w:highlight w:val="none"/>
              </w:rPr>
            </w:pPr>
            <w:r>
              <w:rPr>
                <w:rFonts w:hint="eastAsia" w:ascii="宋体" w:hAnsi="宋体"/>
                <w:szCs w:val="21"/>
                <w:highlight w:val="none"/>
              </w:rPr>
              <w:t>付款方式</w:t>
            </w:r>
          </w:p>
        </w:tc>
        <w:tc>
          <w:tcPr>
            <w:tcW w:w="5426" w:type="dxa"/>
            <w:tcBorders>
              <w:top w:val="single" w:color="auto" w:sz="4" w:space="0"/>
              <w:left w:val="single" w:color="auto" w:sz="4" w:space="0"/>
              <w:bottom w:val="single" w:color="auto" w:sz="4" w:space="0"/>
              <w:right w:val="single" w:color="auto" w:sz="4" w:space="0"/>
            </w:tcBorders>
            <w:vAlign w:val="center"/>
          </w:tcPr>
          <w:p w14:paraId="5E0CE956">
            <w:pPr>
              <w:spacing w:line="440" w:lineRule="atLeast"/>
              <w:rPr>
                <w:rFonts w:ascii="宋体" w:hAnsi="宋体" w:cs="宋体"/>
                <w:szCs w:val="21"/>
                <w:highlight w:val="none"/>
              </w:rPr>
            </w:pPr>
            <w:r>
              <w:rPr>
                <w:rFonts w:hint="eastAsia" w:ascii="宋体" w:hAnsi="宋体"/>
                <w:szCs w:val="21"/>
                <w:highlight w:val="none"/>
              </w:rPr>
              <w:t>响应“供应商须知前附表”要求(查看投标函)</w:t>
            </w:r>
          </w:p>
        </w:tc>
      </w:tr>
      <w:tr w14:paraId="0C9DC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49883F3E">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033580B1">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4679CC42">
            <w:pPr>
              <w:spacing w:line="440" w:lineRule="exact"/>
              <w:jc w:val="center"/>
              <w:rPr>
                <w:rFonts w:hint="eastAsia" w:ascii="宋体" w:hAnsi="宋体"/>
                <w:szCs w:val="21"/>
                <w:highlight w:val="none"/>
              </w:rPr>
            </w:pPr>
            <w:r>
              <w:rPr>
                <w:rFonts w:hint="eastAsia" w:ascii="宋体" w:hAnsi="宋体"/>
                <w:szCs w:val="21"/>
                <w:highlight w:val="none"/>
              </w:rPr>
              <w:t>硬件特征码</w:t>
            </w:r>
          </w:p>
        </w:tc>
        <w:tc>
          <w:tcPr>
            <w:tcW w:w="5426" w:type="dxa"/>
            <w:tcBorders>
              <w:top w:val="single" w:color="auto" w:sz="4" w:space="0"/>
              <w:left w:val="single" w:color="auto" w:sz="4" w:space="0"/>
              <w:bottom w:val="single" w:color="auto" w:sz="4" w:space="0"/>
              <w:right w:val="single" w:color="auto" w:sz="4" w:space="0"/>
            </w:tcBorders>
            <w:vAlign w:val="center"/>
          </w:tcPr>
          <w:p w14:paraId="0DF1EDF7">
            <w:pPr>
              <w:spacing w:line="440" w:lineRule="atLeast"/>
              <w:rPr>
                <w:rFonts w:hint="eastAsia" w:ascii="宋体" w:hAnsi="宋体" w:cs="宋体"/>
                <w:szCs w:val="21"/>
                <w:highlight w:val="none"/>
              </w:rPr>
            </w:pPr>
            <w:r>
              <w:rPr>
                <w:rFonts w:hint="eastAsia" w:ascii="宋体" w:hAnsi="宋体" w:cs="宋体"/>
                <w:szCs w:val="21"/>
                <w:highlight w:val="none"/>
              </w:rPr>
              <w:t>供应商上传投标文件的计算机“硬件特征码”不得与本项目其他供应商相同。</w:t>
            </w:r>
          </w:p>
        </w:tc>
      </w:tr>
      <w:tr w14:paraId="721F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0" w:type="dxa"/>
            <w:vMerge w:val="continue"/>
            <w:tcBorders>
              <w:right w:val="single" w:color="auto" w:sz="4" w:space="0"/>
            </w:tcBorders>
            <w:vAlign w:val="center"/>
          </w:tcPr>
          <w:p w14:paraId="35C4A6A7">
            <w:pPr>
              <w:spacing w:line="440" w:lineRule="exact"/>
              <w:jc w:val="center"/>
              <w:rPr>
                <w:rFonts w:ascii="宋体" w:hAnsi="宋体"/>
                <w:szCs w:val="21"/>
                <w:highlight w:val="none"/>
              </w:rPr>
            </w:pPr>
          </w:p>
        </w:tc>
        <w:tc>
          <w:tcPr>
            <w:tcW w:w="540" w:type="dxa"/>
            <w:vMerge w:val="continue"/>
            <w:tcBorders>
              <w:right w:val="single" w:color="auto" w:sz="4" w:space="0"/>
            </w:tcBorders>
            <w:vAlign w:val="center"/>
          </w:tcPr>
          <w:p w14:paraId="26227022">
            <w:pPr>
              <w:spacing w:line="440" w:lineRule="exact"/>
              <w:jc w:val="center"/>
              <w:rPr>
                <w:rFonts w:ascii="宋体" w:hAnsi="宋体"/>
                <w:szCs w:val="21"/>
                <w:highlight w:val="none"/>
              </w:rPr>
            </w:pPr>
          </w:p>
        </w:tc>
        <w:tc>
          <w:tcPr>
            <w:tcW w:w="1594" w:type="dxa"/>
            <w:tcBorders>
              <w:top w:val="single" w:color="auto" w:sz="4" w:space="0"/>
              <w:left w:val="single" w:color="auto" w:sz="4" w:space="0"/>
              <w:bottom w:val="single" w:color="auto" w:sz="4" w:space="0"/>
              <w:right w:val="single" w:color="auto" w:sz="4" w:space="0"/>
            </w:tcBorders>
            <w:vAlign w:val="center"/>
          </w:tcPr>
          <w:p w14:paraId="107A2298">
            <w:pPr>
              <w:spacing w:line="440" w:lineRule="exact"/>
              <w:jc w:val="center"/>
              <w:rPr>
                <w:rFonts w:ascii="宋体" w:hAnsi="宋体"/>
                <w:szCs w:val="21"/>
                <w:highlight w:val="none"/>
              </w:rPr>
            </w:pPr>
            <w:r>
              <w:rPr>
                <w:rFonts w:hint="eastAsia" w:ascii="宋体" w:hAnsi="宋体"/>
                <w:szCs w:val="21"/>
                <w:highlight w:val="none"/>
              </w:rPr>
              <w:t>其他无效投标情形</w:t>
            </w:r>
          </w:p>
        </w:tc>
        <w:tc>
          <w:tcPr>
            <w:tcW w:w="5426" w:type="dxa"/>
            <w:tcBorders>
              <w:top w:val="single" w:color="auto" w:sz="4" w:space="0"/>
              <w:left w:val="single" w:color="auto" w:sz="4" w:space="0"/>
              <w:bottom w:val="single" w:color="auto" w:sz="4" w:space="0"/>
              <w:right w:val="single" w:color="auto" w:sz="4" w:space="0"/>
            </w:tcBorders>
            <w:vAlign w:val="center"/>
          </w:tcPr>
          <w:p w14:paraId="73339EED">
            <w:pPr>
              <w:spacing w:line="440" w:lineRule="exact"/>
              <w:jc w:val="left"/>
              <w:rPr>
                <w:highlight w:val="none"/>
              </w:rPr>
            </w:pPr>
            <w:r>
              <w:rPr>
                <w:rFonts w:hint="eastAsia"/>
                <w:highlight w:val="none"/>
              </w:rPr>
              <w:t>不存在本章“附件Ａ　无效投标条件”所列情形。</w:t>
            </w:r>
          </w:p>
        </w:tc>
      </w:tr>
      <w:tr w14:paraId="64FA1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280" w:type="dxa"/>
            <w:gridSpan w:val="4"/>
            <w:tcBorders>
              <w:top w:val="single" w:color="auto" w:sz="4" w:space="0"/>
              <w:right w:val="single" w:color="auto" w:sz="4" w:space="0"/>
            </w:tcBorders>
            <w:vAlign w:val="center"/>
          </w:tcPr>
          <w:p w14:paraId="1F6FA2F8">
            <w:pPr>
              <w:spacing w:line="440" w:lineRule="exact"/>
              <w:ind w:firstLine="420" w:firstLineChars="200"/>
              <w:jc w:val="left"/>
              <w:rPr>
                <w:highlight w:val="none"/>
              </w:rPr>
            </w:pPr>
            <w:r>
              <w:rPr>
                <w:rFonts w:hint="eastAsia"/>
                <w:highlight w:val="none"/>
              </w:rPr>
              <w:t>对于无效投标，评标委员会应详细写明具体原因以及采购文件或法律依据，并写入评标报告。</w:t>
            </w:r>
          </w:p>
        </w:tc>
      </w:tr>
    </w:tbl>
    <w:p w14:paraId="7DECFA7A">
      <w:pPr>
        <w:spacing w:line="440" w:lineRule="exact"/>
        <w:rPr>
          <w:rFonts w:ascii="宋体" w:hAnsi="宋体"/>
          <w:b/>
          <w:bCs/>
          <w:highlight w:val="none"/>
        </w:rPr>
      </w:pPr>
    </w:p>
    <w:p w14:paraId="675854A2">
      <w:pPr>
        <w:spacing w:line="440" w:lineRule="exact"/>
        <w:rPr>
          <w:rFonts w:ascii="宋体" w:hAnsi="宋体"/>
          <w:b/>
          <w:bCs/>
          <w:highlight w:val="none"/>
        </w:rPr>
      </w:pPr>
      <w:r>
        <w:rPr>
          <w:rFonts w:hint="eastAsia" w:ascii="宋体" w:hAnsi="宋体"/>
          <w:b/>
          <w:bCs/>
          <w:highlight w:val="none"/>
        </w:rPr>
        <w:t>商务和技术评审内容如下：</w:t>
      </w:r>
    </w:p>
    <w:tbl>
      <w:tblPr>
        <w:tblStyle w:val="32"/>
        <w:tblW w:w="828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8"/>
        <w:gridCol w:w="642"/>
        <w:gridCol w:w="1583"/>
        <w:gridCol w:w="701"/>
        <w:gridCol w:w="4736"/>
      </w:tblGrid>
      <w:tr w14:paraId="05ECA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260" w:type="dxa"/>
            <w:gridSpan w:val="2"/>
            <w:tcBorders>
              <w:top w:val="single" w:color="auto" w:sz="4" w:space="0"/>
              <w:bottom w:val="single" w:color="auto" w:sz="4" w:space="0"/>
              <w:right w:val="single" w:color="auto" w:sz="4" w:space="0"/>
            </w:tcBorders>
            <w:vAlign w:val="center"/>
          </w:tcPr>
          <w:p w14:paraId="2BC12758">
            <w:pPr>
              <w:spacing w:line="440" w:lineRule="exact"/>
              <w:jc w:val="center"/>
              <w:rPr>
                <w:rFonts w:ascii="宋体" w:hAnsi="宋体"/>
                <w:b/>
                <w:bCs/>
                <w:szCs w:val="21"/>
                <w:highlight w:val="none"/>
              </w:rPr>
            </w:pPr>
            <w:r>
              <w:rPr>
                <w:rFonts w:hint="eastAsia" w:ascii="宋体" w:hAnsi="宋体"/>
                <w:b/>
                <w:bCs/>
                <w:highlight w:val="none"/>
              </w:rPr>
              <w:t>条款号</w:t>
            </w:r>
          </w:p>
        </w:tc>
        <w:tc>
          <w:tcPr>
            <w:tcW w:w="1583" w:type="dxa"/>
            <w:tcBorders>
              <w:top w:val="single" w:color="auto" w:sz="4" w:space="0"/>
              <w:left w:val="single" w:color="auto" w:sz="4" w:space="0"/>
              <w:right w:val="single" w:color="auto" w:sz="4" w:space="0"/>
            </w:tcBorders>
            <w:vAlign w:val="center"/>
          </w:tcPr>
          <w:p w14:paraId="3441BCA6">
            <w:pPr>
              <w:spacing w:line="440" w:lineRule="exact"/>
              <w:jc w:val="center"/>
              <w:rPr>
                <w:rFonts w:ascii="宋体" w:hAnsi="宋体"/>
                <w:b/>
                <w:bCs/>
                <w:szCs w:val="21"/>
                <w:highlight w:val="none"/>
              </w:rPr>
            </w:pPr>
            <w:r>
              <w:rPr>
                <w:rFonts w:hint="eastAsia" w:ascii="宋体" w:hAnsi="宋体"/>
                <w:b/>
                <w:bCs/>
                <w:highlight w:val="none"/>
              </w:rPr>
              <w:t>条款内容</w:t>
            </w:r>
          </w:p>
        </w:tc>
        <w:tc>
          <w:tcPr>
            <w:tcW w:w="5437" w:type="dxa"/>
            <w:gridSpan w:val="2"/>
            <w:tcBorders>
              <w:top w:val="single" w:color="auto" w:sz="4" w:space="0"/>
              <w:left w:val="single" w:color="auto" w:sz="4" w:space="0"/>
              <w:right w:val="single" w:color="auto" w:sz="4" w:space="0"/>
            </w:tcBorders>
            <w:vAlign w:val="center"/>
          </w:tcPr>
          <w:p w14:paraId="55B676CB">
            <w:pPr>
              <w:spacing w:line="440" w:lineRule="exact"/>
              <w:jc w:val="center"/>
              <w:rPr>
                <w:rFonts w:ascii="宋体" w:hAnsi="宋体"/>
                <w:b/>
                <w:bCs/>
                <w:szCs w:val="21"/>
                <w:highlight w:val="none"/>
              </w:rPr>
            </w:pPr>
            <w:r>
              <w:rPr>
                <w:rFonts w:hint="eastAsia" w:ascii="宋体" w:hAnsi="宋体"/>
                <w:b/>
                <w:bCs/>
                <w:highlight w:val="none"/>
              </w:rPr>
              <w:t>编列内容</w:t>
            </w:r>
          </w:p>
        </w:tc>
      </w:tr>
      <w:tr w14:paraId="5A8A2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260" w:type="dxa"/>
            <w:gridSpan w:val="2"/>
            <w:tcBorders>
              <w:top w:val="single" w:color="auto" w:sz="4" w:space="0"/>
              <w:bottom w:val="single" w:color="auto" w:sz="4" w:space="0"/>
              <w:right w:val="single" w:color="auto" w:sz="4" w:space="0"/>
            </w:tcBorders>
            <w:vAlign w:val="center"/>
          </w:tcPr>
          <w:p w14:paraId="2BF2C63D">
            <w:pPr>
              <w:spacing w:line="440" w:lineRule="exact"/>
              <w:jc w:val="center"/>
              <w:rPr>
                <w:rFonts w:ascii="宋体" w:hAnsi="宋体"/>
                <w:szCs w:val="21"/>
                <w:highlight w:val="none"/>
              </w:rPr>
            </w:pPr>
            <w:r>
              <w:rPr>
                <w:rFonts w:hint="eastAsia" w:ascii="宋体" w:hAnsi="宋体"/>
                <w:szCs w:val="21"/>
                <w:highlight w:val="none"/>
              </w:rPr>
              <w:t>2.2.1</w:t>
            </w:r>
          </w:p>
        </w:tc>
        <w:tc>
          <w:tcPr>
            <w:tcW w:w="1583" w:type="dxa"/>
            <w:tcBorders>
              <w:top w:val="single" w:color="auto" w:sz="4" w:space="0"/>
              <w:left w:val="single" w:color="auto" w:sz="4" w:space="0"/>
              <w:right w:val="single" w:color="auto" w:sz="4" w:space="0"/>
            </w:tcBorders>
            <w:vAlign w:val="center"/>
          </w:tcPr>
          <w:p w14:paraId="04464704">
            <w:pPr>
              <w:spacing w:line="440" w:lineRule="exact"/>
              <w:jc w:val="center"/>
              <w:rPr>
                <w:rFonts w:ascii="宋体" w:hAnsi="宋体"/>
                <w:szCs w:val="21"/>
                <w:highlight w:val="none"/>
              </w:rPr>
            </w:pPr>
            <w:r>
              <w:rPr>
                <w:rFonts w:hint="eastAsia" w:ascii="宋体" w:hAnsi="宋体"/>
                <w:szCs w:val="21"/>
                <w:highlight w:val="none"/>
              </w:rPr>
              <w:t>分值构成</w:t>
            </w:r>
          </w:p>
          <w:p w14:paraId="0379F87B">
            <w:pPr>
              <w:spacing w:line="440" w:lineRule="exact"/>
              <w:jc w:val="center"/>
              <w:rPr>
                <w:rFonts w:ascii="宋体" w:hAnsi="宋体"/>
                <w:szCs w:val="21"/>
                <w:highlight w:val="none"/>
              </w:rPr>
            </w:pPr>
            <w:r>
              <w:rPr>
                <w:rFonts w:hint="eastAsia" w:ascii="宋体" w:hAnsi="宋体"/>
                <w:szCs w:val="21"/>
                <w:highlight w:val="none"/>
              </w:rPr>
              <w:t>(总分 100 分)</w:t>
            </w:r>
          </w:p>
        </w:tc>
        <w:tc>
          <w:tcPr>
            <w:tcW w:w="5437" w:type="dxa"/>
            <w:gridSpan w:val="2"/>
            <w:tcBorders>
              <w:top w:val="single" w:color="auto" w:sz="4" w:space="0"/>
              <w:left w:val="single" w:color="auto" w:sz="4" w:space="0"/>
              <w:right w:val="single" w:color="auto" w:sz="4" w:space="0"/>
            </w:tcBorders>
            <w:vAlign w:val="center"/>
          </w:tcPr>
          <w:p w14:paraId="30866F94">
            <w:pPr>
              <w:spacing w:line="440" w:lineRule="exact"/>
              <w:jc w:val="left"/>
              <w:rPr>
                <w:rFonts w:ascii="宋体" w:hAnsi="宋体"/>
                <w:color w:val="000000" w:themeColor="text1"/>
                <w:highlight w:val="none"/>
                <w:u w:val="none"/>
                <w14:textFill>
                  <w14:solidFill>
                    <w14:schemeClr w14:val="tx1"/>
                  </w14:solidFill>
                </w14:textFill>
              </w:rPr>
            </w:pPr>
            <w:r>
              <w:rPr>
                <w:rFonts w:hint="eastAsia" w:ascii="宋体" w:hAnsi="宋体"/>
                <w:color w:val="000000" w:themeColor="text1"/>
                <w:highlight w:val="none"/>
                <w:u w:val="none"/>
                <w14:textFill>
                  <w14:solidFill>
                    <w14:schemeClr w14:val="tx1"/>
                  </w14:solidFill>
                </w14:textFill>
              </w:rPr>
              <w:t>投标报价：</w:t>
            </w:r>
            <w:r>
              <w:rPr>
                <w:rFonts w:hint="eastAsia" w:ascii="宋体" w:hAnsi="宋体"/>
                <w:color w:val="000000" w:themeColor="text1"/>
                <w:highlight w:val="none"/>
                <w:u w:val="none"/>
                <w:lang w:val="en-US" w:eastAsia="zh-CN"/>
                <w14:textFill>
                  <w14:solidFill>
                    <w14:schemeClr w14:val="tx1"/>
                  </w14:solidFill>
                </w14:textFill>
              </w:rPr>
              <w:t>20</w:t>
            </w:r>
            <w:r>
              <w:rPr>
                <w:rFonts w:hint="eastAsia" w:ascii="宋体" w:hAnsi="宋体"/>
                <w:color w:val="000000" w:themeColor="text1"/>
                <w:highlight w:val="none"/>
                <w:u w:val="none"/>
                <w14:textFill>
                  <w14:solidFill>
                    <w14:schemeClr w14:val="tx1"/>
                  </w14:solidFill>
                </w14:textFill>
              </w:rPr>
              <w:t>分</w:t>
            </w:r>
          </w:p>
          <w:p w14:paraId="64982454">
            <w:pPr>
              <w:spacing w:line="440" w:lineRule="exact"/>
              <w:jc w:val="left"/>
              <w:rPr>
                <w:rFonts w:ascii="宋体" w:hAnsi="宋体"/>
                <w:color w:val="000000" w:themeColor="text1"/>
                <w:highlight w:val="none"/>
                <w:u w:val="none"/>
                <w14:textFill>
                  <w14:solidFill>
                    <w14:schemeClr w14:val="tx1"/>
                  </w14:solidFill>
                </w14:textFill>
              </w:rPr>
            </w:pPr>
            <w:r>
              <w:rPr>
                <w:rFonts w:hint="eastAsia" w:ascii="宋体" w:hAnsi="宋体"/>
                <w:color w:val="000000" w:themeColor="text1"/>
                <w:highlight w:val="none"/>
                <w:u w:val="none"/>
                <w14:textFill>
                  <w14:solidFill>
                    <w14:schemeClr w14:val="tx1"/>
                  </w14:solidFill>
                </w14:textFill>
              </w:rPr>
              <w:t>商务部分：</w:t>
            </w:r>
            <w:r>
              <w:rPr>
                <w:rFonts w:hint="eastAsia" w:ascii="宋体" w:hAnsi="宋体"/>
                <w:color w:val="000000" w:themeColor="text1"/>
                <w:highlight w:val="none"/>
                <w:u w:val="none"/>
                <w:lang w:val="en-US" w:eastAsia="zh-CN"/>
                <w14:textFill>
                  <w14:solidFill>
                    <w14:schemeClr w14:val="tx1"/>
                  </w14:solidFill>
                </w14:textFill>
              </w:rPr>
              <w:t>16</w:t>
            </w:r>
            <w:r>
              <w:rPr>
                <w:rFonts w:hint="eastAsia" w:ascii="宋体" w:hAnsi="宋体"/>
                <w:color w:val="000000" w:themeColor="text1"/>
                <w:highlight w:val="none"/>
                <w:u w:val="none"/>
                <w14:textFill>
                  <w14:solidFill>
                    <w14:schemeClr w14:val="tx1"/>
                  </w14:solidFill>
                </w14:textFill>
              </w:rPr>
              <w:t>分</w:t>
            </w:r>
          </w:p>
          <w:p w14:paraId="4B3FD472">
            <w:pPr>
              <w:spacing w:line="440" w:lineRule="exact"/>
              <w:jc w:val="left"/>
              <w:rPr>
                <w:rFonts w:ascii="宋体" w:hAnsi="宋体"/>
                <w:highlight w:val="none"/>
              </w:rPr>
            </w:pPr>
            <w:r>
              <w:rPr>
                <w:rFonts w:hint="eastAsia" w:ascii="宋体" w:hAnsi="宋体"/>
                <w:color w:val="000000" w:themeColor="text1"/>
                <w:highlight w:val="none"/>
                <w:u w:val="none"/>
                <w14:textFill>
                  <w14:solidFill>
                    <w14:schemeClr w14:val="tx1"/>
                  </w14:solidFill>
                </w14:textFill>
              </w:rPr>
              <w:t>技术部分：</w:t>
            </w:r>
            <w:r>
              <w:rPr>
                <w:rFonts w:hint="eastAsia" w:ascii="宋体" w:hAnsi="宋体"/>
                <w:color w:val="000000" w:themeColor="text1"/>
                <w:highlight w:val="none"/>
                <w:u w:val="none"/>
                <w:lang w:val="en-US" w:eastAsia="zh-CN"/>
                <w14:textFill>
                  <w14:solidFill>
                    <w14:schemeClr w14:val="tx1"/>
                  </w14:solidFill>
                </w14:textFill>
              </w:rPr>
              <w:t>64</w:t>
            </w:r>
            <w:r>
              <w:rPr>
                <w:rFonts w:hint="eastAsia" w:ascii="宋体" w:hAnsi="宋体"/>
                <w:color w:val="000000" w:themeColor="text1"/>
                <w:highlight w:val="none"/>
                <w:u w:val="none"/>
                <w14:textFill>
                  <w14:solidFill>
                    <w14:schemeClr w14:val="tx1"/>
                  </w14:solidFill>
                </w14:textFill>
              </w:rPr>
              <w:t>分</w:t>
            </w:r>
          </w:p>
        </w:tc>
      </w:tr>
      <w:tr w14:paraId="743D3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260" w:type="dxa"/>
            <w:gridSpan w:val="2"/>
            <w:tcBorders>
              <w:top w:val="single" w:color="auto" w:sz="4" w:space="0"/>
              <w:bottom w:val="single" w:color="auto" w:sz="4" w:space="0"/>
              <w:right w:val="single" w:color="auto" w:sz="4" w:space="0"/>
            </w:tcBorders>
            <w:vAlign w:val="center"/>
          </w:tcPr>
          <w:p w14:paraId="44B7EA55">
            <w:pPr>
              <w:spacing w:line="440" w:lineRule="exact"/>
              <w:jc w:val="center"/>
              <w:rPr>
                <w:rFonts w:ascii="宋体" w:hAnsi="宋体"/>
                <w:highlight w:val="none"/>
              </w:rPr>
            </w:pPr>
            <w:r>
              <w:rPr>
                <w:rFonts w:ascii="宋体" w:hAnsi="宋体"/>
                <w:szCs w:val="21"/>
                <w:highlight w:val="none"/>
              </w:rPr>
              <w:t>2.2.</w:t>
            </w:r>
            <w:r>
              <w:rPr>
                <w:rFonts w:hint="eastAsia" w:ascii="宋体" w:hAnsi="宋体"/>
                <w:szCs w:val="21"/>
                <w:highlight w:val="none"/>
              </w:rPr>
              <w:t>2</w:t>
            </w:r>
          </w:p>
        </w:tc>
        <w:tc>
          <w:tcPr>
            <w:tcW w:w="1583" w:type="dxa"/>
            <w:tcBorders>
              <w:top w:val="single" w:color="auto" w:sz="4" w:space="0"/>
              <w:left w:val="single" w:color="auto" w:sz="4" w:space="0"/>
              <w:right w:val="single" w:color="auto" w:sz="4" w:space="0"/>
            </w:tcBorders>
            <w:vAlign w:val="center"/>
          </w:tcPr>
          <w:p w14:paraId="2AFF7E8F">
            <w:pPr>
              <w:spacing w:line="440" w:lineRule="exact"/>
              <w:jc w:val="center"/>
              <w:rPr>
                <w:rFonts w:ascii="宋体" w:hAnsi="宋体"/>
                <w:highlight w:val="none"/>
              </w:rPr>
            </w:pPr>
            <w:r>
              <w:rPr>
                <w:rFonts w:ascii="宋体" w:hAnsi="宋体"/>
                <w:szCs w:val="21"/>
                <w:highlight w:val="none"/>
              </w:rPr>
              <w:t>投标报价</w:t>
            </w:r>
          </w:p>
        </w:tc>
        <w:tc>
          <w:tcPr>
            <w:tcW w:w="5437" w:type="dxa"/>
            <w:gridSpan w:val="2"/>
            <w:tcBorders>
              <w:top w:val="single" w:color="auto" w:sz="4" w:space="0"/>
              <w:left w:val="single" w:color="auto" w:sz="4" w:space="0"/>
              <w:right w:val="single" w:color="auto" w:sz="4" w:space="0"/>
            </w:tcBorders>
            <w:vAlign w:val="center"/>
          </w:tcPr>
          <w:p w14:paraId="05234FAE">
            <w:pPr>
              <w:numPr>
                <w:ilvl w:val="0"/>
                <w:numId w:val="0"/>
              </w:numPr>
              <w:ind w:firstLine="420" w:firstLineChars="200"/>
              <w:rPr>
                <w:rFonts w:hint="default" w:eastAsia="宋体"/>
                <w:highlight w:val="none"/>
                <w:lang w:val="en-US" w:eastAsia="zh-CN"/>
              </w:rPr>
            </w:pPr>
            <w:r>
              <w:rPr>
                <w:rFonts w:hint="eastAsia"/>
                <w:highlight w:val="none"/>
                <w:lang w:val="en-US" w:eastAsia="zh-CN"/>
              </w:rPr>
              <w:t>1、</w:t>
            </w:r>
            <w:r>
              <w:rPr>
                <w:rFonts w:hint="eastAsia"/>
                <w:highlight w:val="none"/>
              </w:rPr>
              <w:t>价格分采用低价优先法计算，即满足项目需求且投标报价最低的有效投标报价为评标基准价，其价格分为满分</w:t>
            </w:r>
            <w:r>
              <w:rPr>
                <w:rFonts w:hint="eastAsia"/>
                <w:highlight w:val="none"/>
                <w:lang w:eastAsia="zh-CN"/>
              </w:rPr>
              <w:t>，</w:t>
            </w:r>
            <w:r>
              <w:rPr>
                <w:rFonts w:hint="eastAsia"/>
                <w:highlight w:val="none"/>
                <w:lang w:val="en-US" w:eastAsia="zh-CN"/>
              </w:rPr>
              <w:t>其他供应商的价格分计算方法如下：</w:t>
            </w:r>
          </w:p>
          <w:p w14:paraId="64D9D1EF">
            <w:pPr>
              <w:spacing w:line="440" w:lineRule="exact"/>
              <w:rPr>
                <w:rFonts w:hint="eastAsia" w:eastAsia="宋体"/>
                <w:highlight w:val="none"/>
                <w:lang w:eastAsia="zh-CN"/>
              </w:rPr>
            </w:pPr>
            <w:r>
              <w:rPr>
                <w:rFonts w:hint="default" w:ascii="Calibri" w:hAnsi="Calibri" w:cs="Calibri"/>
                <w:b/>
                <w:bCs/>
                <w:highlight w:val="none"/>
              </w:rPr>
              <w:t>①</w:t>
            </w:r>
            <w:r>
              <w:rPr>
                <w:rFonts w:hint="eastAsia"/>
                <w:b/>
                <w:bCs/>
                <w:highlight w:val="none"/>
                <w:lang w:val="en-US" w:eastAsia="zh-CN"/>
              </w:rPr>
              <w:t>报价得分＝（评标基准价/投标报价）×价格分值</w:t>
            </w:r>
            <w:r>
              <w:rPr>
                <w:rFonts w:hint="eastAsia"/>
                <w:b/>
                <w:bCs/>
                <w:highlight w:val="none"/>
                <w:lang w:eastAsia="zh-CN"/>
              </w:rPr>
              <w:t>。</w:t>
            </w:r>
          </w:p>
          <w:p w14:paraId="695BDAB6">
            <w:pPr>
              <w:ind w:firstLine="420" w:firstLineChars="200"/>
              <w:rPr>
                <w:rFonts w:hint="eastAsia"/>
                <w:i/>
                <w:iCs/>
                <w:highlight w:val="none"/>
              </w:rPr>
            </w:pPr>
            <w:r>
              <w:rPr>
                <w:rFonts w:hint="eastAsia"/>
                <w:b w:val="0"/>
                <w:bCs w:val="0"/>
                <w:i/>
                <w:iCs/>
                <w:highlight w:val="none"/>
                <w:lang w:val="en-US" w:eastAsia="zh-CN"/>
              </w:rPr>
              <w:t>此处</w:t>
            </w:r>
            <w:r>
              <w:rPr>
                <w:rFonts w:hint="eastAsia"/>
                <w:b w:val="0"/>
                <w:bCs w:val="0"/>
                <w:i/>
                <w:iCs/>
                <w:highlight w:val="none"/>
              </w:rPr>
              <w:t>评标基准价、投标报价</w:t>
            </w:r>
            <w:r>
              <w:rPr>
                <w:rFonts w:hint="eastAsia"/>
                <w:b w:val="0"/>
                <w:bCs w:val="0"/>
                <w:i/>
                <w:iCs/>
                <w:highlight w:val="none"/>
                <w:lang w:val="en-US" w:eastAsia="zh-CN"/>
              </w:rPr>
              <w:t>是</w:t>
            </w:r>
            <w:r>
              <w:rPr>
                <w:rFonts w:hint="eastAsia"/>
                <w:b w:val="0"/>
                <w:bCs w:val="0"/>
                <w:i/>
                <w:iCs/>
                <w:highlight w:val="none"/>
              </w:rPr>
              <w:t>指经过</w:t>
            </w:r>
            <w:r>
              <w:rPr>
                <w:rFonts w:hint="eastAsia"/>
                <w:b w:val="0"/>
                <w:bCs w:val="0"/>
                <w:i/>
                <w:iCs/>
                <w:highlight w:val="none"/>
                <w:lang w:val="en-US" w:eastAsia="zh-CN"/>
              </w:rPr>
              <w:t>价格</w:t>
            </w:r>
            <w:r>
              <w:rPr>
                <w:rFonts w:hint="eastAsia"/>
                <w:b w:val="0"/>
                <w:bCs w:val="0"/>
                <w:i/>
                <w:iCs/>
                <w:highlight w:val="none"/>
              </w:rPr>
              <w:t>修正</w:t>
            </w:r>
            <w:r>
              <w:rPr>
                <w:rFonts w:hint="eastAsia"/>
                <w:b w:val="0"/>
                <w:bCs w:val="0"/>
                <w:i/>
                <w:iCs/>
                <w:highlight w:val="none"/>
                <w:lang w:val="en-US" w:eastAsia="zh-CN"/>
              </w:rPr>
              <w:t>以</w:t>
            </w:r>
            <w:r>
              <w:rPr>
                <w:rFonts w:hint="eastAsia"/>
                <w:b w:val="0"/>
                <w:bCs w:val="0"/>
                <w:i/>
                <w:iCs/>
                <w:highlight w:val="none"/>
              </w:rPr>
              <w:t>及因落实政府采购政策进行价格调整后的</w:t>
            </w:r>
            <w:r>
              <w:rPr>
                <w:rFonts w:hint="eastAsia"/>
                <w:b w:val="0"/>
                <w:bCs w:val="0"/>
                <w:i/>
                <w:iCs/>
                <w:highlight w:val="none"/>
                <w:lang w:val="en-US" w:eastAsia="zh-CN"/>
              </w:rPr>
              <w:t>价格</w:t>
            </w:r>
            <w:r>
              <w:rPr>
                <w:rFonts w:hint="eastAsia"/>
                <w:b w:val="0"/>
                <w:bCs w:val="0"/>
                <w:i/>
                <w:iCs/>
                <w:highlight w:val="none"/>
                <w:lang w:eastAsia="zh-CN"/>
              </w:rPr>
              <w:t>，</w:t>
            </w:r>
            <w:r>
              <w:rPr>
                <w:rFonts w:hint="eastAsia"/>
                <w:b w:val="0"/>
                <w:bCs w:val="0"/>
                <w:i/>
                <w:iCs/>
                <w:highlight w:val="none"/>
                <w:lang w:val="en-US" w:eastAsia="zh-CN"/>
              </w:rPr>
              <w:t>即</w:t>
            </w:r>
            <w:r>
              <w:rPr>
                <w:rFonts w:hint="eastAsia"/>
                <w:b/>
                <w:bCs/>
                <w:i/>
                <w:iCs/>
                <w:highlight w:val="none"/>
                <w:lang w:val="en-US" w:eastAsia="zh-CN"/>
              </w:rPr>
              <w:t>评审报价</w:t>
            </w:r>
            <w:r>
              <w:rPr>
                <w:rFonts w:hint="eastAsia"/>
                <w:b w:val="0"/>
                <w:bCs w:val="0"/>
                <w:i/>
                <w:iCs/>
                <w:highlight w:val="none"/>
                <w:lang w:val="en-US" w:eastAsia="zh-CN"/>
              </w:rPr>
              <w:t>。</w:t>
            </w:r>
          </w:p>
          <w:p w14:paraId="08A0ECC7">
            <w:pPr>
              <w:ind w:left="420" w:hanging="422" w:hangingChars="200"/>
              <w:rPr>
                <w:rFonts w:hint="eastAsia"/>
                <w:highlight w:val="none"/>
                <w:lang w:val="en-US" w:eastAsia="zh-CN"/>
              </w:rPr>
            </w:pPr>
            <w:r>
              <w:rPr>
                <w:rFonts w:hint="default" w:ascii="Calibri" w:hAnsi="Calibri" w:cs="Calibri"/>
                <w:b/>
                <w:bCs/>
                <w:highlight w:val="none"/>
                <w:lang w:val="en-US" w:eastAsia="zh-CN"/>
              </w:rPr>
              <w:t>②</w:t>
            </w:r>
            <w:r>
              <w:rPr>
                <w:rFonts w:hint="eastAsia"/>
                <w:b/>
                <w:bCs/>
                <w:highlight w:val="none"/>
                <w:lang w:val="en-US" w:eastAsia="zh-CN"/>
              </w:rPr>
              <w:t>评审报价=投标报价</w:t>
            </w:r>
            <w:r>
              <w:rPr>
                <w:rFonts w:hint="eastAsia" w:ascii="宋体" w:hAnsi="宋体" w:cs="宋体"/>
                <w:b/>
                <w:bCs/>
                <w:sz w:val="24"/>
                <w:szCs w:val="24"/>
                <w:highlight w:val="none"/>
                <w:lang w:val="en-US" w:eastAsia="zh-CN"/>
              </w:rPr>
              <w:t>-</w:t>
            </w:r>
            <w:r>
              <w:rPr>
                <w:rFonts w:hint="eastAsia" w:ascii="宋体" w:hAnsi="宋体" w:cs="宋体"/>
                <w:b/>
                <w:bCs/>
                <w:highlight w:val="none"/>
                <w:lang w:val="en-US" w:eastAsia="zh-CN"/>
              </w:rPr>
              <w:t>投标报价</w:t>
            </w:r>
            <w:r>
              <w:rPr>
                <w:rFonts w:hint="default" w:ascii="Arial" w:hAnsi="Arial" w:cs="Arial"/>
                <w:b/>
                <w:bCs/>
                <w:highlight w:val="none"/>
                <w:lang w:val="en-US" w:eastAsia="zh-CN"/>
              </w:rPr>
              <w:t>×</w:t>
            </w:r>
            <w:r>
              <w:rPr>
                <w:rFonts w:hint="eastAsia" w:ascii="宋体" w:hAnsi="宋体" w:cs="宋体"/>
                <w:b/>
                <w:bCs/>
                <w:highlight w:val="none"/>
                <w:lang w:val="en-US" w:eastAsia="zh-CN"/>
              </w:rPr>
              <w:t>20%（小微企业扣除）</w:t>
            </w:r>
            <w:r>
              <w:rPr>
                <w:rFonts w:hint="eastAsia" w:ascii="宋体" w:hAnsi="宋体" w:cs="宋体"/>
                <w:b/>
                <w:bCs/>
                <w:sz w:val="24"/>
                <w:szCs w:val="24"/>
                <w:highlight w:val="none"/>
                <w:lang w:val="en-US" w:eastAsia="zh-CN"/>
              </w:rPr>
              <w:t>-</w:t>
            </w:r>
            <w:r>
              <w:rPr>
                <w:rFonts w:hint="eastAsia" w:ascii="宋体" w:hAnsi="宋体" w:cs="宋体"/>
                <w:b/>
                <w:bCs/>
                <w:highlight w:val="none"/>
                <w:lang w:val="en-US" w:eastAsia="zh-CN"/>
              </w:rPr>
              <w:t>投标报价</w:t>
            </w:r>
            <w:r>
              <w:rPr>
                <w:rFonts w:hint="default" w:ascii="Arial" w:hAnsi="Arial" w:cs="Arial"/>
                <w:b/>
                <w:bCs/>
                <w:highlight w:val="none"/>
                <w:lang w:val="en-US" w:eastAsia="zh-CN"/>
              </w:rPr>
              <w:t>×</w:t>
            </w:r>
            <w:r>
              <w:rPr>
                <w:rFonts w:hint="eastAsia" w:ascii="宋体" w:hAnsi="宋体" w:cs="宋体"/>
                <w:b/>
                <w:bCs/>
                <w:highlight w:val="none"/>
                <w:lang w:val="en-US" w:eastAsia="zh-CN"/>
              </w:rPr>
              <w:t>20%</w:t>
            </w:r>
            <w:r>
              <w:rPr>
                <w:rFonts w:hint="eastAsia" w:ascii="宋体" w:hAnsi="宋体" w:cs="宋体"/>
                <w:b/>
                <w:bCs/>
                <w:sz w:val="24"/>
                <w:szCs w:val="24"/>
                <w:highlight w:val="none"/>
                <w:lang w:val="en-US" w:eastAsia="zh-CN"/>
              </w:rPr>
              <w:t>（</w:t>
            </w:r>
            <w:r>
              <w:rPr>
                <w:rFonts w:hint="eastAsia" w:ascii="宋体" w:hAnsi="宋体" w:cs="宋体"/>
                <w:b/>
                <w:bCs/>
                <w:highlight w:val="none"/>
                <w:lang w:val="en-US" w:eastAsia="zh-CN"/>
              </w:rPr>
              <w:t>本国产品扣除</w:t>
            </w:r>
            <w:r>
              <w:rPr>
                <w:rFonts w:hint="eastAsia"/>
                <w:b/>
                <w:bCs/>
                <w:highlight w:val="none"/>
                <w:lang w:val="en-US" w:eastAsia="zh-CN"/>
              </w:rPr>
              <w:t>）。</w:t>
            </w:r>
            <w:r>
              <w:rPr>
                <w:rFonts w:hint="eastAsia"/>
                <w:b w:val="0"/>
                <w:bCs w:val="0"/>
                <w:highlight w:val="none"/>
                <w:lang w:val="en-US" w:eastAsia="zh-CN"/>
              </w:rPr>
              <w:t>（如涉及）</w:t>
            </w:r>
          </w:p>
          <w:p w14:paraId="7B41BAF8">
            <w:pPr>
              <w:ind w:left="420" w:hanging="420" w:hangingChars="200"/>
              <w:rPr>
                <w:rFonts w:hint="default"/>
                <w:highlight w:val="none"/>
                <w:lang w:val="en-US" w:eastAsia="zh-CN"/>
              </w:rPr>
            </w:pPr>
          </w:p>
          <w:p w14:paraId="22B42821">
            <w:pPr>
              <w:keepNext w:val="0"/>
              <w:keepLines w:val="0"/>
              <w:widowControl/>
              <w:suppressLineNumbers w:val="0"/>
              <w:ind w:firstLine="422" w:firstLineChars="200"/>
              <w:jc w:val="left"/>
              <w:rPr>
                <w:color w:val="FF0000"/>
                <w:highlight w:val="none"/>
              </w:rPr>
            </w:pPr>
            <w:r>
              <w:rPr>
                <w:rFonts w:hint="eastAsia"/>
                <w:b/>
                <w:bCs/>
                <w:color w:val="auto"/>
                <w:highlight w:val="none"/>
                <w:lang w:val="en-US" w:eastAsia="zh-CN"/>
              </w:rPr>
              <w:t>2、小微企业支持政策。</w:t>
            </w:r>
            <w:r>
              <w:rPr>
                <w:rFonts w:hint="eastAsia"/>
                <w:color w:val="auto"/>
                <w:highlight w:val="none"/>
              </w:rPr>
              <w:t>非专门</w:t>
            </w:r>
            <w:r>
              <w:rPr>
                <w:rFonts w:hint="eastAsia"/>
                <w:color w:val="auto"/>
                <w:highlight w:val="none"/>
                <w:lang w:val="en-US" w:eastAsia="zh-CN"/>
              </w:rPr>
              <w:t>面向</w:t>
            </w:r>
            <w:r>
              <w:rPr>
                <w:rFonts w:hint="eastAsia"/>
                <w:color w:val="auto"/>
                <w:highlight w:val="none"/>
              </w:rPr>
              <w:t>中小企业</w:t>
            </w:r>
            <w:r>
              <w:rPr>
                <w:rFonts w:hint="eastAsia"/>
                <w:color w:val="auto"/>
                <w:highlight w:val="none"/>
                <w:lang w:val="en-US" w:eastAsia="zh-CN"/>
              </w:rPr>
              <w:t>的</w:t>
            </w:r>
            <w:r>
              <w:rPr>
                <w:rFonts w:hint="eastAsia"/>
                <w:color w:val="auto"/>
                <w:highlight w:val="none"/>
              </w:rPr>
              <w:t>采购</w:t>
            </w:r>
            <w:r>
              <w:rPr>
                <w:rFonts w:hint="eastAsia"/>
                <w:color w:val="auto"/>
                <w:highlight w:val="none"/>
                <w:lang w:val="en-US" w:eastAsia="zh-CN"/>
              </w:rPr>
              <w:t>项目</w:t>
            </w:r>
            <w:r>
              <w:rPr>
                <w:rFonts w:hint="eastAsia"/>
                <w:color w:val="auto"/>
                <w:highlight w:val="none"/>
              </w:rPr>
              <w:t>，小型、微型企业提供《中小企业声明函》</w:t>
            </w:r>
            <w:r>
              <w:rPr>
                <w:rFonts w:hint="eastAsia"/>
                <w:color w:val="auto"/>
                <w:highlight w:val="none"/>
                <w:lang w:val="en-US" w:eastAsia="zh-CN"/>
              </w:rPr>
              <w:t>，对符合规定的小微企业投标报价给予20%价格扣除。符合中小企业划分标准的个体工商户视同中小企业。监狱企业、残疾人福利性单位视同小型、微型企业。 同一供应商存在上述多重身份时不叠加计算。 专门面向中小微企业或小微企业采购的项目，所有供应商均不予价格扣除。</w:t>
            </w:r>
          </w:p>
        </w:tc>
      </w:tr>
      <w:tr w14:paraId="4646C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260" w:type="dxa"/>
            <w:gridSpan w:val="2"/>
            <w:tcBorders>
              <w:top w:val="single" w:color="auto" w:sz="4" w:space="0"/>
              <w:bottom w:val="single" w:color="auto" w:sz="4" w:space="0"/>
              <w:right w:val="single" w:color="auto" w:sz="4" w:space="0"/>
            </w:tcBorders>
            <w:vAlign w:val="center"/>
          </w:tcPr>
          <w:p w14:paraId="3D70B7A9">
            <w:pPr>
              <w:spacing w:line="440" w:lineRule="exact"/>
              <w:jc w:val="center"/>
              <w:rPr>
                <w:rFonts w:ascii="宋体" w:hAnsi="宋体"/>
                <w:szCs w:val="21"/>
                <w:highlight w:val="none"/>
              </w:rPr>
            </w:pPr>
            <w:r>
              <w:rPr>
                <w:rFonts w:hint="eastAsia" w:ascii="宋体" w:hAnsi="宋体"/>
                <w:b/>
                <w:bCs/>
                <w:highlight w:val="none"/>
              </w:rPr>
              <w:t>条款号</w:t>
            </w:r>
          </w:p>
        </w:tc>
        <w:tc>
          <w:tcPr>
            <w:tcW w:w="1583" w:type="dxa"/>
            <w:tcBorders>
              <w:top w:val="single" w:color="auto" w:sz="4" w:space="0"/>
              <w:left w:val="single" w:color="auto" w:sz="4" w:space="0"/>
              <w:right w:val="single" w:color="auto" w:sz="4" w:space="0"/>
            </w:tcBorders>
            <w:vAlign w:val="center"/>
          </w:tcPr>
          <w:p w14:paraId="3F38CF3B">
            <w:pPr>
              <w:spacing w:line="440" w:lineRule="exact"/>
              <w:jc w:val="center"/>
              <w:rPr>
                <w:rFonts w:ascii="宋体" w:hAnsi="宋体"/>
                <w:b/>
                <w:bCs/>
                <w:color w:val="FF0000"/>
                <w:sz w:val="32"/>
                <w:szCs w:val="32"/>
                <w:highlight w:val="none"/>
              </w:rPr>
            </w:pPr>
            <w:r>
              <w:rPr>
                <w:rFonts w:hint="eastAsia" w:ascii="宋体" w:hAnsi="宋体"/>
                <w:b/>
                <w:bCs/>
                <w:highlight w:val="none"/>
              </w:rPr>
              <w:t>评审因素</w:t>
            </w:r>
          </w:p>
        </w:tc>
        <w:tc>
          <w:tcPr>
            <w:tcW w:w="701" w:type="dxa"/>
            <w:tcBorders>
              <w:top w:val="single" w:color="auto" w:sz="4" w:space="0"/>
              <w:left w:val="single" w:color="auto" w:sz="4" w:space="0"/>
              <w:right w:val="single" w:color="auto" w:sz="4" w:space="0"/>
            </w:tcBorders>
            <w:vAlign w:val="center"/>
          </w:tcPr>
          <w:p w14:paraId="465AE7D4">
            <w:pPr>
              <w:spacing w:line="440" w:lineRule="exact"/>
              <w:jc w:val="center"/>
              <w:rPr>
                <w:rFonts w:ascii="宋体" w:hAnsi="宋体"/>
                <w:b/>
                <w:bCs/>
                <w:highlight w:val="none"/>
              </w:rPr>
            </w:pPr>
            <w:r>
              <w:rPr>
                <w:rFonts w:hint="eastAsia" w:ascii="宋体" w:hAnsi="宋体"/>
                <w:b/>
                <w:bCs/>
                <w:highlight w:val="none"/>
              </w:rPr>
              <w:t>分值</w:t>
            </w:r>
          </w:p>
        </w:tc>
        <w:tc>
          <w:tcPr>
            <w:tcW w:w="4736" w:type="dxa"/>
            <w:tcBorders>
              <w:top w:val="single" w:color="auto" w:sz="4" w:space="0"/>
              <w:left w:val="single" w:color="auto" w:sz="4" w:space="0"/>
              <w:right w:val="single" w:color="auto" w:sz="4" w:space="0"/>
            </w:tcBorders>
            <w:vAlign w:val="center"/>
          </w:tcPr>
          <w:p w14:paraId="6E72258A">
            <w:pPr>
              <w:spacing w:line="440" w:lineRule="exact"/>
              <w:jc w:val="center"/>
              <w:rPr>
                <w:rFonts w:ascii="宋体" w:hAnsi="宋体"/>
                <w:b/>
                <w:bCs/>
                <w:highlight w:val="none"/>
              </w:rPr>
            </w:pPr>
            <w:r>
              <w:rPr>
                <w:rFonts w:hint="eastAsia" w:ascii="宋体" w:hAnsi="宋体"/>
                <w:b/>
                <w:bCs/>
                <w:highlight w:val="none"/>
              </w:rPr>
              <w:t>细化、量化评审标准</w:t>
            </w:r>
          </w:p>
        </w:tc>
      </w:tr>
      <w:tr w14:paraId="01F06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618" w:type="dxa"/>
            <w:vMerge w:val="restart"/>
            <w:tcBorders>
              <w:top w:val="single" w:color="auto" w:sz="4" w:space="0"/>
              <w:right w:val="single" w:color="auto" w:sz="4" w:space="0"/>
            </w:tcBorders>
            <w:vAlign w:val="center"/>
          </w:tcPr>
          <w:p w14:paraId="5E155475">
            <w:pPr>
              <w:spacing w:line="440" w:lineRule="exact"/>
              <w:jc w:val="center"/>
              <w:rPr>
                <w:rFonts w:ascii="宋体" w:hAnsi="宋体"/>
                <w:highlight w:val="none"/>
              </w:rPr>
            </w:pPr>
            <w:r>
              <w:rPr>
                <w:rFonts w:hint="eastAsia" w:ascii="宋体" w:hAnsi="宋体"/>
                <w:highlight w:val="none"/>
              </w:rPr>
              <w:t>2.2.4</w:t>
            </w:r>
          </w:p>
        </w:tc>
        <w:tc>
          <w:tcPr>
            <w:tcW w:w="642" w:type="dxa"/>
            <w:vMerge w:val="restart"/>
            <w:tcBorders>
              <w:top w:val="single" w:color="auto" w:sz="4" w:space="0"/>
              <w:left w:val="single" w:color="auto" w:sz="4" w:space="0"/>
              <w:right w:val="single" w:color="auto" w:sz="4" w:space="0"/>
            </w:tcBorders>
            <w:vAlign w:val="center"/>
          </w:tcPr>
          <w:p w14:paraId="2B5D7526">
            <w:pPr>
              <w:spacing w:line="440" w:lineRule="exact"/>
              <w:jc w:val="center"/>
              <w:rPr>
                <w:rFonts w:ascii="宋体" w:hAnsi="宋体"/>
                <w:highlight w:val="none"/>
              </w:rPr>
            </w:pPr>
            <w:r>
              <w:rPr>
                <w:rFonts w:hint="eastAsia" w:ascii="宋体" w:hAnsi="宋体"/>
                <w:highlight w:val="none"/>
              </w:rPr>
              <w:t>商务评审内容</w:t>
            </w:r>
          </w:p>
        </w:tc>
        <w:tc>
          <w:tcPr>
            <w:tcW w:w="1583" w:type="dxa"/>
            <w:tcBorders>
              <w:top w:val="single" w:color="auto" w:sz="4" w:space="0"/>
              <w:left w:val="single" w:color="auto" w:sz="4" w:space="0"/>
              <w:bottom w:val="single" w:color="auto" w:sz="4" w:space="0"/>
              <w:right w:val="single" w:color="auto" w:sz="4" w:space="0"/>
            </w:tcBorders>
            <w:vAlign w:val="center"/>
          </w:tcPr>
          <w:p w14:paraId="2ED5EE2B">
            <w:pPr>
              <w:spacing w:line="440" w:lineRule="exact"/>
              <w:jc w:val="center"/>
              <w:rPr>
                <w:rFonts w:ascii="宋体" w:hAnsi="宋体"/>
                <w:color w:val="auto"/>
                <w:highlight w:val="none"/>
              </w:rPr>
            </w:pPr>
            <w:r>
              <w:rPr>
                <w:rFonts w:hint="eastAsia" w:ascii="宋体" w:hAnsi="宋体"/>
                <w:color w:val="auto"/>
                <w:highlight w:val="none"/>
              </w:rPr>
              <w:t>业绩合同</w:t>
            </w:r>
          </w:p>
        </w:tc>
        <w:tc>
          <w:tcPr>
            <w:tcW w:w="701" w:type="dxa"/>
            <w:tcBorders>
              <w:top w:val="single" w:color="auto" w:sz="4" w:space="0"/>
              <w:left w:val="single" w:color="auto" w:sz="4" w:space="0"/>
              <w:bottom w:val="single" w:color="auto" w:sz="4" w:space="0"/>
              <w:right w:val="single" w:color="auto" w:sz="4" w:space="0"/>
            </w:tcBorders>
            <w:vAlign w:val="center"/>
          </w:tcPr>
          <w:p w14:paraId="78EB972B">
            <w:pPr>
              <w:spacing w:line="440" w:lineRule="exact"/>
              <w:jc w:val="center"/>
              <w:rPr>
                <w:rFonts w:ascii="宋体" w:hAnsi="宋体"/>
                <w:color w:val="auto"/>
                <w:highlight w:val="none"/>
              </w:rPr>
            </w:pPr>
            <w:r>
              <w:rPr>
                <w:rFonts w:hint="eastAsia" w:ascii="宋体" w:hAnsi="宋体"/>
                <w:color w:val="auto"/>
                <w:highlight w:val="none"/>
                <w:lang w:val="en-US" w:eastAsia="zh-CN"/>
              </w:rPr>
              <w:t>4分</w:t>
            </w:r>
          </w:p>
        </w:tc>
        <w:tc>
          <w:tcPr>
            <w:tcW w:w="4736" w:type="dxa"/>
            <w:tcBorders>
              <w:top w:val="single" w:color="auto" w:sz="4" w:space="0"/>
              <w:left w:val="single" w:color="auto" w:sz="4" w:space="0"/>
              <w:bottom w:val="single" w:color="auto" w:sz="4" w:space="0"/>
              <w:right w:val="single" w:color="auto" w:sz="4" w:space="0"/>
            </w:tcBorders>
            <w:vAlign w:val="center"/>
          </w:tcPr>
          <w:p w14:paraId="2822B13D">
            <w:pPr>
              <w:spacing w:line="440" w:lineRule="exact"/>
              <w:ind w:firstLine="420" w:firstLineChars="200"/>
              <w:jc w:val="left"/>
              <w:rPr>
                <w:rFonts w:hint="eastAsia" w:ascii="宋体" w:hAnsi="宋体" w:eastAsia="宋体" w:cs="宋体"/>
                <w:strike/>
                <w:dstrike w:val="0"/>
                <w:color w:val="auto"/>
                <w:szCs w:val="21"/>
                <w:highlight w:val="none"/>
                <w:u w:val="none"/>
              </w:rPr>
            </w:pPr>
            <w:r>
              <w:rPr>
                <w:rFonts w:hint="eastAsia" w:ascii="宋体" w:hAnsi="宋体" w:eastAsia="宋体" w:cs="宋体"/>
                <w:color w:val="auto"/>
                <w:szCs w:val="21"/>
                <w:highlight w:val="none"/>
                <w:lang w:val="en-US" w:eastAsia="zh-CN"/>
              </w:rPr>
              <w:t>2024</w:t>
            </w:r>
            <w:r>
              <w:rPr>
                <w:rFonts w:hint="eastAsia" w:ascii="宋体" w:hAnsi="宋体" w:eastAsia="宋体" w:cs="宋体"/>
                <w:color w:val="auto"/>
                <w:szCs w:val="21"/>
                <w:highlight w:val="none"/>
              </w:rPr>
              <w:t>年1月1日以来（签订日期）</w:t>
            </w:r>
            <w:r>
              <w:rPr>
                <w:rFonts w:hint="eastAsia" w:ascii="宋体" w:hAnsi="宋体" w:eastAsia="宋体" w:cs="宋体"/>
                <w:color w:val="auto"/>
                <w:szCs w:val="21"/>
                <w:highlight w:val="none"/>
                <w:lang w:val="en-US" w:eastAsia="zh-CN"/>
              </w:rPr>
              <w:t>观护服务</w:t>
            </w:r>
            <w:r>
              <w:rPr>
                <w:rFonts w:hint="eastAsia" w:ascii="宋体" w:hAnsi="宋体" w:cs="宋体"/>
                <w:color w:val="auto"/>
                <w:szCs w:val="21"/>
                <w:highlight w:val="none"/>
                <w:lang w:val="en-US" w:eastAsia="zh-CN"/>
              </w:rPr>
              <w:t>类或</w:t>
            </w:r>
            <w:r>
              <w:rPr>
                <w:rFonts w:hint="eastAsia" w:ascii="宋体" w:hAnsi="宋体" w:eastAsia="宋体" w:cs="宋体"/>
                <w:color w:val="auto"/>
                <w:szCs w:val="21"/>
                <w:highlight w:val="none"/>
                <w:lang w:val="en-US" w:eastAsia="zh-CN"/>
              </w:rPr>
              <w:t>未成年人教育管理服务</w:t>
            </w:r>
            <w:r>
              <w:rPr>
                <w:rFonts w:hint="eastAsia" w:ascii="宋体" w:hAnsi="宋体" w:cs="宋体"/>
                <w:color w:val="auto"/>
                <w:szCs w:val="21"/>
                <w:highlight w:val="none"/>
                <w:lang w:val="en-US" w:eastAsia="zh-CN"/>
              </w:rPr>
              <w:t>类</w:t>
            </w:r>
            <w:r>
              <w:rPr>
                <w:rFonts w:hint="eastAsia" w:ascii="宋体" w:hAnsi="宋体" w:eastAsia="宋体" w:cs="宋体"/>
                <w:color w:val="auto"/>
                <w:szCs w:val="21"/>
                <w:highlight w:val="none"/>
                <w:lang w:val="en-US" w:eastAsia="zh-CN"/>
              </w:rPr>
              <w:t>或保安服务</w:t>
            </w:r>
            <w:r>
              <w:rPr>
                <w:rFonts w:hint="eastAsia" w:ascii="宋体" w:hAnsi="宋体" w:cs="宋体"/>
                <w:color w:val="auto"/>
                <w:szCs w:val="21"/>
                <w:highlight w:val="none"/>
                <w:lang w:val="en-US" w:eastAsia="zh-CN"/>
              </w:rPr>
              <w:t>类</w:t>
            </w:r>
            <w:r>
              <w:rPr>
                <w:rFonts w:hint="eastAsia" w:ascii="宋体" w:hAnsi="宋体" w:eastAsia="宋体" w:cs="宋体"/>
                <w:color w:val="auto"/>
                <w:szCs w:val="21"/>
                <w:highlight w:val="none"/>
              </w:rPr>
              <w:t>业绩</w:t>
            </w:r>
            <w:r>
              <w:rPr>
                <w:rFonts w:hint="eastAsia" w:ascii="宋体" w:hAnsi="宋体" w:cs="宋体"/>
                <w:color w:val="auto"/>
                <w:szCs w:val="21"/>
                <w:highlight w:val="none"/>
                <w:lang w:eastAsia="zh-CN"/>
              </w:rPr>
              <w:t>合同和</w:t>
            </w:r>
            <w:r>
              <w:rPr>
                <w:rFonts w:hint="eastAsia" w:ascii="宋体" w:hAnsi="宋体"/>
                <w:color w:val="auto"/>
                <w:szCs w:val="21"/>
                <w:highlight w:val="none"/>
              </w:rPr>
              <w:t>中标通知书</w:t>
            </w:r>
            <w:r>
              <w:rPr>
                <w:rFonts w:hint="eastAsia" w:ascii="宋体" w:hAnsi="宋体"/>
                <w:color w:val="auto"/>
                <w:szCs w:val="21"/>
                <w:highlight w:val="none"/>
                <w:lang w:eastAsia="zh-CN"/>
              </w:rPr>
              <w:t>；相关</w:t>
            </w:r>
            <w:r>
              <w:rPr>
                <w:rFonts w:hint="eastAsia" w:ascii="宋体" w:hAnsi="宋体" w:eastAsia="宋体" w:cs="宋体"/>
                <w:color w:val="auto"/>
                <w:szCs w:val="21"/>
                <w:highlight w:val="none"/>
                <w:lang w:val="en-US" w:eastAsia="zh-CN"/>
              </w:rPr>
              <w:t>服务质量</w:t>
            </w:r>
            <w:r>
              <w:rPr>
                <w:rFonts w:hint="eastAsia" w:ascii="宋体" w:hAnsi="宋体" w:cs="宋体"/>
                <w:color w:val="auto"/>
                <w:szCs w:val="21"/>
                <w:highlight w:val="none"/>
                <w:lang w:val="en-US" w:eastAsia="zh-CN"/>
              </w:rPr>
              <w:t>评价</w:t>
            </w:r>
            <w:r>
              <w:rPr>
                <w:rFonts w:hint="eastAsia" w:ascii="宋体" w:hAnsi="宋体" w:eastAsia="宋体" w:cs="宋体"/>
                <w:color w:val="auto"/>
                <w:szCs w:val="21"/>
                <w:highlight w:val="none"/>
              </w:rPr>
              <w:t>。</w:t>
            </w:r>
          </w:p>
          <w:p w14:paraId="3EAB3F57">
            <w:pPr>
              <w:spacing w:line="440" w:lineRule="exact"/>
              <w:ind w:firstLine="420" w:firstLineChars="200"/>
              <w:rPr>
                <w:rFonts w:ascii="宋体" w:hAnsi="宋体"/>
                <w:highlight w:val="none"/>
              </w:rPr>
            </w:pPr>
            <w:r>
              <w:rPr>
                <w:rFonts w:hint="eastAsia" w:ascii="宋体" w:hAnsi="宋体" w:eastAsia="宋体" w:cs="宋体"/>
                <w:color w:val="auto"/>
                <w:szCs w:val="21"/>
                <w:highlight w:val="none"/>
              </w:rPr>
              <w:t>评审标准：</w:t>
            </w:r>
            <w:r>
              <w:rPr>
                <w:rFonts w:hint="eastAsia" w:ascii="宋体" w:hAnsi="宋体" w:cs="宋体"/>
                <w:color w:val="auto"/>
                <w:szCs w:val="21"/>
                <w:highlight w:val="none"/>
                <w:lang w:val="en-US" w:eastAsia="zh-CN"/>
              </w:rPr>
              <w:t>每份</w:t>
            </w:r>
            <w:r>
              <w:rPr>
                <w:rFonts w:hint="eastAsia" w:ascii="宋体" w:hAnsi="宋体" w:eastAsia="宋体" w:cs="宋体"/>
                <w:color w:val="auto"/>
                <w:szCs w:val="21"/>
                <w:highlight w:val="none"/>
              </w:rPr>
              <w:t>合同</w:t>
            </w:r>
            <w:r>
              <w:rPr>
                <w:rFonts w:hint="eastAsia" w:ascii="宋体" w:hAnsi="宋体" w:cs="宋体"/>
                <w:color w:val="auto"/>
                <w:szCs w:val="21"/>
                <w:highlight w:val="none"/>
                <w:lang w:eastAsia="zh-CN"/>
              </w:rPr>
              <w:t>（含中标通知书）</w:t>
            </w:r>
            <w:r>
              <w:rPr>
                <w:rFonts w:hint="eastAsia" w:ascii="宋体" w:hAnsi="宋体" w:cs="宋体"/>
                <w:color w:val="auto"/>
                <w:szCs w:val="21"/>
                <w:highlight w:val="none"/>
                <w:lang w:val="en-US" w:eastAsia="zh-CN"/>
              </w:rPr>
              <w:t>得1.5</w:t>
            </w:r>
            <w:r>
              <w:rPr>
                <w:rFonts w:hint="eastAsia" w:ascii="宋体" w:hAnsi="宋体" w:eastAsia="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附带该项目业主加盖公章的优秀评价证明材料得0.5分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附原件扫描件</w:t>
            </w:r>
            <w:r>
              <w:rPr>
                <w:rFonts w:hint="eastAsia" w:ascii="宋体" w:hAnsi="宋体" w:cs="宋体"/>
                <w:color w:val="auto"/>
                <w:szCs w:val="21"/>
                <w:highlight w:val="none"/>
                <w:lang w:val="en-US" w:eastAsia="zh-CN"/>
              </w:rPr>
              <w:t>）</w:t>
            </w:r>
          </w:p>
        </w:tc>
      </w:tr>
      <w:tr w14:paraId="28A11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618" w:type="dxa"/>
            <w:vMerge w:val="continue"/>
            <w:tcBorders>
              <w:bottom w:val="single" w:color="auto" w:sz="4" w:space="0"/>
              <w:right w:val="single" w:color="auto" w:sz="4" w:space="0"/>
            </w:tcBorders>
            <w:vAlign w:val="center"/>
          </w:tcPr>
          <w:p w14:paraId="35D14145">
            <w:pPr>
              <w:spacing w:line="440" w:lineRule="exact"/>
              <w:jc w:val="center"/>
              <w:rPr>
                <w:rFonts w:ascii="宋体" w:hAnsi="宋体"/>
                <w:highlight w:val="none"/>
              </w:rPr>
            </w:pPr>
          </w:p>
        </w:tc>
        <w:tc>
          <w:tcPr>
            <w:tcW w:w="642" w:type="dxa"/>
            <w:vMerge w:val="continue"/>
            <w:tcBorders>
              <w:left w:val="single" w:color="auto" w:sz="4" w:space="0"/>
              <w:bottom w:val="single" w:color="auto" w:sz="4" w:space="0"/>
              <w:right w:val="single" w:color="auto" w:sz="4" w:space="0"/>
            </w:tcBorders>
            <w:vAlign w:val="center"/>
          </w:tcPr>
          <w:p w14:paraId="21E197CF">
            <w:pPr>
              <w:spacing w:line="440" w:lineRule="exact"/>
              <w:jc w:val="center"/>
              <w:rPr>
                <w:rFonts w:ascii="宋体" w:hAnsi="宋体"/>
                <w:highlight w:val="none"/>
              </w:rPr>
            </w:pPr>
          </w:p>
        </w:tc>
        <w:tc>
          <w:tcPr>
            <w:tcW w:w="1583" w:type="dxa"/>
            <w:tcBorders>
              <w:top w:val="single" w:color="auto" w:sz="4" w:space="0"/>
              <w:left w:val="single" w:color="auto" w:sz="4" w:space="0"/>
              <w:bottom w:val="single" w:color="auto" w:sz="4" w:space="0"/>
              <w:right w:val="single" w:color="auto" w:sz="4" w:space="0"/>
            </w:tcBorders>
            <w:vAlign w:val="center"/>
          </w:tcPr>
          <w:p w14:paraId="3E211B06">
            <w:pPr>
              <w:spacing w:line="440" w:lineRule="exact"/>
              <w:jc w:val="center"/>
              <w:rPr>
                <w:rFonts w:ascii="宋体" w:hAnsi="宋体"/>
                <w:color w:val="auto"/>
                <w:highlight w:val="none"/>
              </w:rPr>
            </w:pPr>
            <w:r>
              <w:rPr>
                <w:rFonts w:hint="eastAsia" w:ascii="宋体" w:hAnsi="宋体"/>
                <w:color w:val="auto"/>
                <w:highlight w:val="none"/>
              </w:rPr>
              <w:t>企业</w:t>
            </w:r>
            <w:r>
              <w:rPr>
                <w:rFonts w:hint="eastAsia" w:ascii="宋体" w:hAnsi="宋体"/>
                <w:color w:val="auto"/>
                <w:highlight w:val="none"/>
                <w:lang w:val="en-US" w:eastAsia="zh-CN"/>
              </w:rPr>
              <w:t>规范性</w:t>
            </w:r>
          </w:p>
        </w:tc>
        <w:tc>
          <w:tcPr>
            <w:tcW w:w="701" w:type="dxa"/>
            <w:tcBorders>
              <w:top w:val="single" w:color="auto" w:sz="4" w:space="0"/>
              <w:left w:val="single" w:color="auto" w:sz="4" w:space="0"/>
              <w:bottom w:val="single" w:color="auto" w:sz="4" w:space="0"/>
              <w:right w:val="single" w:color="auto" w:sz="4" w:space="0"/>
            </w:tcBorders>
            <w:vAlign w:val="center"/>
          </w:tcPr>
          <w:p w14:paraId="65467249">
            <w:pPr>
              <w:spacing w:line="440" w:lineRule="exact"/>
              <w:jc w:val="both"/>
              <w:rPr>
                <w:rFonts w:hint="eastAsia" w:ascii="宋体" w:hAnsi="宋体" w:eastAsia="宋体"/>
                <w:color w:val="auto"/>
                <w:highlight w:val="none"/>
                <w:lang w:val="en-US" w:eastAsia="zh-CN"/>
              </w:rPr>
            </w:pPr>
            <w:r>
              <w:rPr>
                <w:rFonts w:hint="eastAsia" w:ascii="宋体" w:hAnsi="宋体"/>
                <w:color w:val="auto"/>
                <w:highlight w:val="none"/>
                <w:lang w:val="en-US" w:eastAsia="zh-CN"/>
              </w:rPr>
              <w:t>6分</w:t>
            </w:r>
          </w:p>
        </w:tc>
        <w:tc>
          <w:tcPr>
            <w:tcW w:w="4736" w:type="dxa"/>
            <w:tcBorders>
              <w:top w:val="single" w:color="auto" w:sz="4" w:space="0"/>
              <w:left w:val="single" w:color="auto" w:sz="4" w:space="0"/>
              <w:bottom w:val="single" w:color="auto" w:sz="4" w:space="0"/>
              <w:right w:val="single" w:color="auto" w:sz="4" w:space="0"/>
            </w:tcBorders>
            <w:vAlign w:val="center"/>
          </w:tcPr>
          <w:p w14:paraId="0D3F542E">
            <w:pPr>
              <w:spacing w:line="440" w:lineRule="exact"/>
              <w:ind w:firstLine="420" w:firstLineChars="200"/>
              <w:jc w:val="left"/>
              <w:rPr>
                <w:color w:val="auto"/>
                <w:highlight w:val="none"/>
              </w:rPr>
            </w:pPr>
            <w:r>
              <w:rPr>
                <w:rFonts w:hint="eastAsia"/>
                <w:color w:val="auto"/>
                <w:highlight w:val="none"/>
              </w:rPr>
              <w:t>1、有效的GB/T19001/ISO9001质量管理体系认证。</w:t>
            </w:r>
          </w:p>
          <w:p w14:paraId="1926C80A">
            <w:pPr>
              <w:spacing w:line="440" w:lineRule="exact"/>
              <w:ind w:firstLine="420" w:firstLineChars="200"/>
              <w:jc w:val="left"/>
              <w:rPr>
                <w:color w:val="auto"/>
                <w:highlight w:val="none"/>
              </w:rPr>
            </w:pPr>
            <w:r>
              <w:rPr>
                <w:rFonts w:hint="eastAsia"/>
                <w:color w:val="auto"/>
                <w:highlight w:val="none"/>
              </w:rPr>
              <w:t>2、有效的GB/T24001/ISO14001环境管理体系认证。</w:t>
            </w:r>
          </w:p>
          <w:p w14:paraId="569675F1">
            <w:pPr>
              <w:spacing w:line="440" w:lineRule="exact"/>
              <w:ind w:firstLine="420" w:firstLineChars="200"/>
              <w:jc w:val="left"/>
              <w:rPr>
                <w:rFonts w:ascii="宋体" w:hAnsi="宋体"/>
                <w:color w:val="auto"/>
                <w:szCs w:val="21"/>
                <w:highlight w:val="none"/>
              </w:rPr>
            </w:pPr>
            <w:r>
              <w:rPr>
                <w:rFonts w:hint="eastAsia"/>
                <w:color w:val="auto"/>
                <w:highlight w:val="none"/>
              </w:rPr>
              <w:t>3、有效的GB/T45001/ISO45001职业健康安全管理体系认证</w:t>
            </w:r>
            <w:r>
              <w:rPr>
                <w:rFonts w:hint="eastAsia" w:ascii="宋体" w:hAnsi="宋体"/>
                <w:color w:val="auto"/>
                <w:szCs w:val="21"/>
                <w:highlight w:val="none"/>
              </w:rPr>
              <w:t>。</w:t>
            </w:r>
          </w:p>
          <w:p w14:paraId="06B11E45">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评审标准：一项证书得</w:t>
            </w:r>
            <w:r>
              <w:rPr>
                <w:rFonts w:hint="eastAsia" w:ascii="宋体" w:hAnsi="宋体"/>
                <w:color w:val="auto"/>
                <w:szCs w:val="21"/>
                <w:highlight w:val="none"/>
                <w:u w:val="none"/>
                <w:lang w:val="en-US" w:eastAsia="zh-CN"/>
              </w:rPr>
              <w:t>2</w:t>
            </w:r>
            <w:r>
              <w:rPr>
                <w:rFonts w:hint="eastAsia" w:ascii="宋体" w:hAnsi="宋体"/>
                <w:color w:val="auto"/>
                <w:szCs w:val="21"/>
                <w:highlight w:val="none"/>
              </w:rPr>
              <w:t>分（附原件扫描件）。</w:t>
            </w:r>
          </w:p>
        </w:tc>
      </w:tr>
      <w:tr w14:paraId="216F2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 w:hRule="atLeast"/>
        </w:trPr>
        <w:tc>
          <w:tcPr>
            <w:tcW w:w="618" w:type="dxa"/>
            <w:vMerge w:val="continue"/>
            <w:tcBorders>
              <w:bottom w:val="single" w:color="auto" w:sz="4" w:space="0"/>
              <w:right w:val="single" w:color="auto" w:sz="4" w:space="0"/>
            </w:tcBorders>
            <w:vAlign w:val="center"/>
          </w:tcPr>
          <w:p w14:paraId="24B679C4">
            <w:pPr>
              <w:spacing w:line="440" w:lineRule="exact"/>
              <w:jc w:val="center"/>
              <w:rPr>
                <w:rFonts w:ascii="宋体" w:hAnsi="宋体"/>
                <w:highlight w:val="none"/>
              </w:rPr>
            </w:pPr>
          </w:p>
        </w:tc>
        <w:tc>
          <w:tcPr>
            <w:tcW w:w="642" w:type="dxa"/>
            <w:vMerge w:val="continue"/>
            <w:tcBorders>
              <w:left w:val="single" w:color="auto" w:sz="4" w:space="0"/>
              <w:bottom w:val="single" w:color="auto" w:sz="4" w:space="0"/>
              <w:right w:val="single" w:color="auto" w:sz="4" w:space="0"/>
            </w:tcBorders>
            <w:vAlign w:val="center"/>
          </w:tcPr>
          <w:p w14:paraId="18174B1A">
            <w:pPr>
              <w:spacing w:line="440" w:lineRule="exact"/>
              <w:jc w:val="center"/>
              <w:rPr>
                <w:rFonts w:ascii="宋体" w:hAnsi="宋体"/>
                <w:highlight w:val="none"/>
              </w:rPr>
            </w:pPr>
          </w:p>
        </w:tc>
        <w:tc>
          <w:tcPr>
            <w:tcW w:w="1583" w:type="dxa"/>
            <w:vMerge w:val="restart"/>
            <w:tcBorders>
              <w:top w:val="single" w:color="auto" w:sz="4" w:space="0"/>
              <w:left w:val="single" w:color="auto" w:sz="4" w:space="0"/>
              <w:right w:val="single" w:color="auto" w:sz="4" w:space="0"/>
            </w:tcBorders>
            <w:shd w:val="clear" w:color="auto" w:fill="auto"/>
            <w:vAlign w:val="center"/>
          </w:tcPr>
          <w:p w14:paraId="37222D37">
            <w:pPr>
              <w:spacing w:line="440" w:lineRule="exact"/>
              <w:jc w:val="center"/>
              <w:rPr>
                <w:rFonts w:ascii="宋体" w:hAnsi="宋体" w:eastAsia="宋体" w:cs="Times New Roman"/>
                <w:color w:val="FF0000"/>
                <w:kern w:val="2"/>
                <w:sz w:val="21"/>
                <w:szCs w:val="21"/>
                <w:highlight w:val="yellow"/>
                <w:lang w:val="en-US" w:eastAsia="zh-CN" w:bidi="ar-SA"/>
              </w:rPr>
            </w:pPr>
            <w:r>
              <w:rPr>
                <w:rFonts w:hint="eastAsia" w:ascii="宋体" w:hAnsi="宋体"/>
                <w:color w:val="auto"/>
                <w:szCs w:val="21"/>
                <w:highlight w:val="none"/>
              </w:rPr>
              <w:t>服务</w:t>
            </w:r>
            <w:r>
              <w:rPr>
                <w:rFonts w:hint="eastAsia" w:ascii="宋体" w:hAnsi="宋体"/>
                <w:color w:val="auto"/>
                <w:szCs w:val="21"/>
                <w:highlight w:val="none"/>
                <w:lang w:val="en-US" w:eastAsia="zh-CN"/>
              </w:rPr>
              <w:t>承诺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14:paraId="37DAD610">
            <w:pPr>
              <w:spacing w:line="440" w:lineRule="exact"/>
              <w:jc w:val="center"/>
              <w:rPr>
                <w:rFonts w:ascii="宋体" w:hAnsi="宋体" w:eastAsia="宋体" w:cs="Times New Roman"/>
                <w:color w:val="auto"/>
                <w:kern w:val="2"/>
                <w:sz w:val="21"/>
                <w:szCs w:val="24"/>
                <w:highlight w:val="yellow"/>
                <w:lang w:val="en-US" w:eastAsia="zh-CN" w:bidi="ar-SA"/>
              </w:rPr>
            </w:pPr>
            <w:r>
              <w:rPr>
                <w:rFonts w:hint="eastAsia" w:ascii="宋体" w:hAnsi="宋体"/>
                <w:color w:val="auto"/>
                <w:highlight w:val="none"/>
                <w:lang w:val="en-US" w:eastAsia="zh-CN"/>
              </w:rPr>
              <w:t>3分</w:t>
            </w:r>
          </w:p>
        </w:tc>
        <w:tc>
          <w:tcPr>
            <w:tcW w:w="4736" w:type="dxa"/>
            <w:tcBorders>
              <w:top w:val="single" w:color="auto" w:sz="4" w:space="0"/>
              <w:left w:val="single" w:color="auto" w:sz="4" w:space="0"/>
              <w:bottom w:val="single" w:color="auto" w:sz="4" w:space="0"/>
              <w:right w:val="single" w:color="auto" w:sz="4" w:space="0"/>
            </w:tcBorders>
            <w:shd w:val="clear" w:color="auto" w:fill="auto"/>
            <w:vAlign w:val="center"/>
          </w:tcPr>
          <w:p w14:paraId="5AF40308">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服务期内的安全措施承诺。满足招标文件“第五章  二、商务要求 5、服务承诺要求 1）服务期内的安全措施承诺”内容，针对项目需求及特点编制。</w:t>
            </w:r>
          </w:p>
          <w:p w14:paraId="0F3CB495">
            <w:pPr>
              <w:spacing w:line="4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评审标准：</w:t>
            </w:r>
          </w:p>
          <w:p w14:paraId="7ED417F3">
            <w:pPr>
              <w:spacing w:line="440" w:lineRule="exact"/>
              <w:ind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1、内容有针对性，充实、全面、科学、合理，可行性强，全面覆盖在校未成年人违规违纪管控、极端事件防范要求，能充分满足采购人的服务需求，得3分；</w:t>
            </w:r>
          </w:p>
          <w:p w14:paraId="31FB0D3D">
            <w:pPr>
              <w:spacing w:line="440" w:lineRule="exact"/>
              <w:ind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2、内容合理，覆盖在校未成年人违规违纪管控、极端事件防范主要要求，较为全面，有一定的可行性，基本满足采购人服务需求，得2分；</w:t>
            </w:r>
          </w:p>
          <w:p w14:paraId="75885701">
            <w:pPr>
              <w:spacing w:line="440" w:lineRule="exact"/>
              <w:ind w:firstLine="420" w:firstLineChars="200"/>
              <w:jc w:val="left"/>
              <w:rPr>
                <w:rFonts w:hint="eastAsia" w:ascii="宋体" w:hAnsi="宋体" w:eastAsia="宋体" w:cs="宋体"/>
                <w:color w:val="auto"/>
                <w:kern w:val="2"/>
                <w:sz w:val="21"/>
                <w:szCs w:val="21"/>
                <w:highlight w:val="yellow"/>
                <w:u w:val="single"/>
                <w:lang w:val="en-US" w:eastAsia="zh-CN" w:bidi="ar-SA"/>
              </w:rPr>
            </w:pPr>
            <w:r>
              <w:rPr>
                <w:rFonts w:hint="eastAsia" w:ascii="宋体" w:hAnsi="宋体" w:cs="宋体"/>
                <w:color w:val="auto"/>
                <w:highlight w:val="none"/>
                <w:lang w:val="en-US" w:eastAsia="zh-CN"/>
              </w:rPr>
              <w:t>3、内容不完善，未完整覆盖在校未成年人违规违纪管控、极端事件防范要求，简单，可行性不强，得1分。</w:t>
            </w:r>
          </w:p>
        </w:tc>
      </w:tr>
      <w:tr w14:paraId="7B9BD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 w:hRule="atLeast"/>
        </w:trPr>
        <w:tc>
          <w:tcPr>
            <w:tcW w:w="618" w:type="dxa"/>
            <w:vMerge w:val="continue"/>
            <w:tcBorders>
              <w:bottom w:val="single" w:color="auto" w:sz="4" w:space="0"/>
              <w:right w:val="single" w:color="auto" w:sz="4" w:space="0"/>
            </w:tcBorders>
            <w:vAlign w:val="center"/>
          </w:tcPr>
          <w:p w14:paraId="3AFC6C8C">
            <w:pPr>
              <w:spacing w:line="440" w:lineRule="exact"/>
              <w:jc w:val="center"/>
              <w:rPr>
                <w:rFonts w:ascii="宋体" w:hAnsi="宋体"/>
                <w:highlight w:val="none"/>
              </w:rPr>
            </w:pPr>
          </w:p>
        </w:tc>
        <w:tc>
          <w:tcPr>
            <w:tcW w:w="642" w:type="dxa"/>
            <w:vMerge w:val="continue"/>
            <w:tcBorders>
              <w:left w:val="single" w:color="auto" w:sz="4" w:space="0"/>
              <w:bottom w:val="single" w:color="auto" w:sz="4" w:space="0"/>
              <w:right w:val="single" w:color="auto" w:sz="4" w:space="0"/>
            </w:tcBorders>
            <w:vAlign w:val="center"/>
          </w:tcPr>
          <w:p w14:paraId="2EEF8D41">
            <w:pPr>
              <w:spacing w:line="440" w:lineRule="exact"/>
              <w:jc w:val="center"/>
              <w:rPr>
                <w:rFonts w:ascii="宋体" w:hAnsi="宋体"/>
                <w:highlight w:val="none"/>
              </w:rPr>
            </w:pPr>
          </w:p>
        </w:tc>
        <w:tc>
          <w:tcPr>
            <w:tcW w:w="1583" w:type="dxa"/>
            <w:vMerge w:val="continue"/>
            <w:tcBorders>
              <w:left w:val="single" w:color="auto" w:sz="4" w:space="0"/>
              <w:bottom w:val="single" w:color="auto" w:sz="4" w:space="0"/>
              <w:right w:val="single" w:color="auto" w:sz="4" w:space="0"/>
            </w:tcBorders>
            <w:vAlign w:val="center"/>
          </w:tcPr>
          <w:p w14:paraId="6C61589D">
            <w:pPr>
              <w:spacing w:line="440" w:lineRule="exact"/>
              <w:jc w:val="center"/>
              <w:rPr>
                <w:rFonts w:ascii="宋体" w:hAnsi="宋体"/>
                <w:color w:val="FF0000"/>
                <w:szCs w:val="21"/>
                <w:highlight w:val="none"/>
              </w:rPr>
            </w:pP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14:paraId="4DE75CB2">
            <w:pPr>
              <w:spacing w:line="440" w:lineRule="exact"/>
              <w:jc w:val="center"/>
              <w:rPr>
                <w:rFonts w:ascii="宋体" w:hAnsi="宋体" w:eastAsia="宋体" w:cs="Times New Roman"/>
                <w:color w:val="auto"/>
                <w:kern w:val="2"/>
                <w:sz w:val="21"/>
                <w:szCs w:val="24"/>
                <w:lang w:val="en-US" w:eastAsia="zh-CN" w:bidi="ar-SA"/>
              </w:rPr>
            </w:pPr>
            <w:r>
              <w:rPr>
                <w:rFonts w:hint="eastAsia" w:ascii="宋体" w:hAnsi="宋体"/>
                <w:color w:val="auto"/>
                <w:highlight w:val="none"/>
                <w:lang w:val="en-US" w:eastAsia="zh-CN"/>
              </w:rPr>
              <w:t>3分</w:t>
            </w:r>
          </w:p>
        </w:tc>
        <w:tc>
          <w:tcPr>
            <w:tcW w:w="4736" w:type="dxa"/>
            <w:tcBorders>
              <w:top w:val="single" w:color="auto" w:sz="4" w:space="0"/>
              <w:left w:val="single" w:color="auto" w:sz="4" w:space="0"/>
              <w:bottom w:val="single" w:color="auto" w:sz="4" w:space="0"/>
              <w:right w:val="single" w:color="auto" w:sz="4" w:space="0"/>
            </w:tcBorders>
            <w:shd w:val="clear" w:color="auto" w:fill="auto"/>
            <w:vAlign w:val="center"/>
          </w:tcPr>
          <w:p w14:paraId="73DF2986">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服务期内质量管理承诺。 </w:t>
            </w:r>
            <w:r>
              <w:rPr>
                <w:rFonts w:hint="eastAsia" w:ascii="宋体" w:hAnsi="宋体" w:eastAsia="宋体" w:cs="宋体"/>
                <w:color w:val="auto"/>
                <w:szCs w:val="21"/>
                <w:highlight w:val="none"/>
              </w:rPr>
              <w:t xml:space="preserve">满足招标文件“第五章  二、商务要求 </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服务</w:t>
            </w:r>
            <w:r>
              <w:rPr>
                <w:rFonts w:hint="eastAsia" w:ascii="宋体" w:hAnsi="宋体" w:eastAsia="宋体" w:cs="宋体"/>
                <w:color w:val="auto"/>
                <w:szCs w:val="21"/>
                <w:highlight w:val="none"/>
                <w:lang w:eastAsia="zh-CN"/>
              </w:rPr>
              <w:t>承诺</w:t>
            </w:r>
            <w:r>
              <w:rPr>
                <w:rFonts w:hint="eastAsia" w:ascii="宋体" w:hAnsi="宋体" w:eastAsia="宋体" w:cs="宋体"/>
                <w:color w:val="auto"/>
                <w:szCs w:val="21"/>
                <w:highlight w:val="none"/>
              </w:rPr>
              <w:t>要求</w:t>
            </w:r>
            <w:r>
              <w:rPr>
                <w:rFonts w:hint="eastAsia" w:ascii="宋体" w:hAnsi="宋体" w:eastAsia="宋体" w:cs="宋体"/>
                <w:color w:val="auto"/>
                <w:szCs w:val="21"/>
                <w:highlight w:val="none"/>
                <w:lang w:val="en-US" w:eastAsia="zh-CN"/>
              </w:rPr>
              <w:t xml:space="preserve">  2）服务期内质量管理承诺</w:t>
            </w:r>
            <w:r>
              <w:rPr>
                <w:rFonts w:hint="eastAsia" w:ascii="宋体" w:hAnsi="宋体" w:eastAsia="宋体" w:cs="宋体"/>
                <w:color w:val="auto"/>
                <w:szCs w:val="21"/>
                <w:highlight w:val="none"/>
              </w:rPr>
              <w:t>”内容，针对项目需求及特点编制。</w:t>
            </w:r>
          </w:p>
          <w:p w14:paraId="174E4761">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评审标准</w:t>
            </w:r>
            <w:r>
              <w:rPr>
                <w:rFonts w:hint="eastAsia" w:ascii="宋体" w:hAnsi="宋体" w:eastAsia="宋体" w:cs="宋体"/>
                <w:color w:val="auto"/>
                <w:szCs w:val="21"/>
                <w:highlight w:val="none"/>
                <w:lang w:eastAsia="zh-CN"/>
              </w:rPr>
              <w:t>：</w:t>
            </w:r>
          </w:p>
          <w:p w14:paraId="2951EC6F">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内容有针对性，紧密结合本项目服务内容制定了全流程、可落地的质量管控机制，质量标准明确、自查整改流程科学，同时明确了具体、可量化的服务不达标处罚措施，可行性强，能充分满足采购人服务需求，得3分；</w:t>
            </w:r>
          </w:p>
          <w:p w14:paraId="3F7512A0">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2、内容合理，基本覆盖本项目主要服务内容的质量管控要求，制定了基本的管控流程和整改机制，明确了服务不达标的处罚原则，有一定的可行性，基本满足采购人服务需求，得2分；</w:t>
            </w:r>
          </w:p>
          <w:p w14:paraId="3CD82733">
            <w:pPr>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highlight w:val="none"/>
                <w:lang w:val="en-US" w:eastAsia="zh-CN"/>
              </w:rPr>
              <w:t>3、内容不完善，未结合本项目服务特点制定针对性质量管控措施，或未明确服务不达标的处罚措施，内容简单、可行性不强，得1分。</w:t>
            </w:r>
          </w:p>
        </w:tc>
      </w:tr>
      <w:tr w14:paraId="2058C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618" w:type="dxa"/>
            <w:vMerge w:val="restart"/>
            <w:tcBorders>
              <w:right w:val="single" w:color="auto" w:sz="4" w:space="0"/>
            </w:tcBorders>
            <w:vAlign w:val="center"/>
          </w:tcPr>
          <w:p w14:paraId="2DE07F7B">
            <w:pPr>
              <w:spacing w:line="440" w:lineRule="exact"/>
              <w:jc w:val="center"/>
              <w:rPr>
                <w:rFonts w:ascii="宋体" w:hAnsi="宋体"/>
                <w:color w:val="auto"/>
                <w:highlight w:val="none"/>
              </w:rPr>
            </w:pPr>
            <w:r>
              <w:rPr>
                <w:rFonts w:hint="eastAsia" w:ascii="宋体" w:hAnsi="宋体"/>
                <w:color w:val="auto"/>
                <w:highlight w:val="none"/>
              </w:rPr>
              <w:t>2.2.5</w:t>
            </w:r>
          </w:p>
        </w:tc>
        <w:tc>
          <w:tcPr>
            <w:tcW w:w="642" w:type="dxa"/>
            <w:vMerge w:val="restart"/>
            <w:tcBorders>
              <w:left w:val="single" w:color="auto" w:sz="4" w:space="0"/>
              <w:right w:val="single" w:color="auto" w:sz="4" w:space="0"/>
            </w:tcBorders>
            <w:vAlign w:val="center"/>
          </w:tcPr>
          <w:p w14:paraId="459D0A65">
            <w:pPr>
              <w:spacing w:line="440" w:lineRule="exact"/>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服务方案</w:t>
            </w:r>
          </w:p>
        </w:tc>
        <w:tc>
          <w:tcPr>
            <w:tcW w:w="1583" w:type="dxa"/>
            <w:tcBorders>
              <w:top w:val="single" w:color="auto" w:sz="4" w:space="0"/>
              <w:left w:val="single" w:color="auto" w:sz="4" w:space="0"/>
              <w:right w:val="single" w:color="auto" w:sz="4" w:space="0"/>
            </w:tcBorders>
            <w:vAlign w:val="center"/>
          </w:tcPr>
          <w:p w14:paraId="6E2E04C0">
            <w:pPr>
              <w:spacing w:line="440" w:lineRule="exact"/>
              <w:jc w:val="center"/>
              <w:rPr>
                <w:rFonts w:hint="eastAsia" w:ascii="宋体" w:hAnsi="宋体"/>
                <w:color w:val="auto"/>
                <w:szCs w:val="21"/>
                <w:highlight w:val="none"/>
              </w:rPr>
            </w:pPr>
            <w:r>
              <w:rPr>
                <w:rFonts w:hint="eastAsia" w:ascii="宋体" w:hAnsi="宋体" w:eastAsia="宋体" w:cs="宋体"/>
                <w:color w:val="auto"/>
                <w:lang w:eastAsia="zh-CN"/>
              </w:rPr>
              <w:t>项目人员配备</w:t>
            </w:r>
          </w:p>
        </w:tc>
        <w:tc>
          <w:tcPr>
            <w:tcW w:w="701" w:type="dxa"/>
            <w:tcBorders>
              <w:top w:val="single" w:color="auto" w:sz="4" w:space="0"/>
              <w:left w:val="single" w:color="auto" w:sz="4" w:space="0"/>
              <w:right w:val="single" w:color="auto" w:sz="4" w:space="0"/>
            </w:tcBorders>
            <w:shd w:val="clear" w:color="auto" w:fill="auto"/>
            <w:vAlign w:val="center"/>
          </w:tcPr>
          <w:p w14:paraId="6EE18C92">
            <w:pPr>
              <w:spacing w:line="440" w:lineRule="exact"/>
              <w:jc w:val="center"/>
              <w:rPr>
                <w:rFonts w:hint="eastAsia" w:ascii="宋体" w:hAnsi="宋体" w:eastAsia="宋体" w:cs="Times New Roman"/>
                <w:color w:val="auto"/>
                <w:kern w:val="2"/>
                <w:sz w:val="21"/>
                <w:szCs w:val="24"/>
                <w:lang w:val="en-US" w:eastAsia="zh-CN" w:bidi="ar-SA"/>
              </w:rPr>
            </w:pPr>
            <w:r>
              <w:rPr>
                <w:rFonts w:hint="eastAsia" w:ascii="宋体" w:hAnsi="宋体"/>
                <w:color w:val="auto"/>
                <w:highlight w:val="none"/>
                <w:lang w:val="en-US" w:eastAsia="zh-CN"/>
              </w:rPr>
              <w:t>8分</w:t>
            </w:r>
          </w:p>
        </w:tc>
        <w:tc>
          <w:tcPr>
            <w:tcW w:w="4736" w:type="dxa"/>
            <w:tcBorders>
              <w:top w:val="single" w:color="auto" w:sz="4" w:space="0"/>
              <w:left w:val="single" w:color="auto" w:sz="4" w:space="0"/>
              <w:right w:val="single" w:color="auto" w:sz="4" w:space="0"/>
            </w:tcBorders>
            <w:shd w:val="clear" w:color="auto" w:fill="auto"/>
            <w:vAlign w:val="center"/>
          </w:tcPr>
          <w:p w14:paraId="3D6E5E7E">
            <w:pPr>
              <w:spacing w:line="440" w:lineRule="exact"/>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rPr>
              <w:t>根据招标文件</w:t>
            </w:r>
            <w:r>
              <w:rPr>
                <w:rFonts w:hint="eastAsia" w:ascii="宋体" w:hAnsi="宋体" w:eastAsia="宋体" w:cs="宋体"/>
                <w:color w:val="auto"/>
                <w:lang w:eastAsia="zh-CN"/>
              </w:rPr>
              <w:t>“</w:t>
            </w:r>
            <w:r>
              <w:rPr>
                <w:rFonts w:hint="eastAsia" w:ascii="宋体" w:hAnsi="宋体" w:eastAsia="宋体" w:cs="宋体"/>
                <w:color w:val="auto"/>
              </w:rPr>
              <w:t>第五章 三、招标内容及技术要求</w:t>
            </w:r>
            <w:r>
              <w:rPr>
                <w:rFonts w:hint="eastAsia" w:ascii="宋体" w:hAnsi="宋体" w:eastAsia="宋体" w:cs="宋体"/>
                <w:color w:val="auto"/>
                <w:lang w:val="en-US" w:eastAsia="zh-CN"/>
              </w:rPr>
              <w:t xml:space="preserve"> （一）项目人员配备情况</w:t>
            </w:r>
            <w:r>
              <w:rPr>
                <w:rFonts w:hint="eastAsia" w:ascii="宋体" w:hAnsi="宋体" w:eastAsia="宋体" w:cs="宋体"/>
                <w:color w:val="auto"/>
                <w:lang w:eastAsia="zh-CN"/>
              </w:rPr>
              <w:t>”</w:t>
            </w:r>
            <w:r>
              <w:rPr>
                <w:rFonts w:hint="eastAsia" w:ascii="宋体" w:hAnsi="宋体" w:eastAsia="宋体" w:cs="宋体"/>
                <w:color w:val="auto"/>
              </w:rPr>
              <w:t>，制订详细的</w:t>
            </w:r>
            <w:r>
              <w:rPr>
                <w:rFonts w:hint="eastAsia" w:ascii="宋体" w:hAnsi="宋体" w:eastAsia="宋体" w:cs="宋体"/>
                <w:color w:val="auto"/>
                <w:lang w:val="en-US" w:eastAsia="zh-CN"/>
              </w:rPr>
              <w:t>人员配备</w:t>
            </w:r>
            <w:r>
              <w:rPr>
                <w:rFonts w:hint="eastAsia" w:ascii="宋体" w:hAnsi="宋体" w:eastAsia="宋体" w:cs="宋体"/>
                <w:color w:val="auto"/>
              </w:rPr>
              <w:t>方案</w:t>
            </w:r>
            <w:r>
              <w:rPr>
                <w:rFonts w:hint="eastAsia" w:ascii="宋体" w:hAnsi="宋体" w:eastAsia="宋体" w:cs="宋体"/>
                <w:color w:val="auto"/>
                <w:lang w:eastAsia="zh-CN"/>
              </w:rPr>
              <w:t>，含人员结构、资质、稳定性及退役军人配置承诺</w:t>
            </w:r>
            <w:r>
              <w:rPr>
                <w:rFonts w:hint="eastAsia" w:ascii="宋体" w:hAnsi="宋体" w:eastAsia="宋体" w:cs="宋体"/>
                <w:color w:val="auto"/>
                <w:lang w:val="en-US" w:eastAsia="zh-CN"/>
              </w:rPr>
              <w:t>。</w:t>
            </w:r>
          </w:p>
          <w:p w14:paraId="4C9D725A">
            <w:pPr>
              <w:spacing w:line="440" w:lineRule="exact"/>
              <w:ind w:firstLine="420" w:firstLineChars="200"/>
              <w:jc w:val="left"/>
              <w:rPr>
                <w:rFonts w:hint="eastAsia" w:ascii="宋体" w:hAnsi="宋体" w:eastAsia="宋体" w:cs="宋体"/>
                <w:color w:val="auto"/>
              </w:rPr>
            </w:pPr>
            <w:r>
              <w:rPr>
                <w:rFonts w:hint="eastAsia" w:ascii="宋体" w:hAnsi="宋体" w:eastAsia="宋体" w:cs="宋体"/>
                <w:color w:val="auto"/>
              </w:rPr>
              <w:t>评审标准：</w:t>
            </w:r>
          </w:p>
          <w:p w14:paraId="5F48101E">
            <w:pPr>
              <w:spacing w:line="440" w:lineRule="exact"/>
              <w:ind w:firstLine="420" w:firstLineChars="200"/>
              <w:jc w:val="left"/>
              <w:rPr>
                <w:rFonts w:hint="default" w:ascii="宋体" w:hAnsi="宋体" w:eastAsia="宋体" w:cs="宋体"/>
                <w:color w:val="auto"/>
                <w:lang w:val="en-US" w:eastAsia="zh-CN"/>
              </w:rPr>
            </w:pPr>
            <w:r>
              <w:rPr>
                <w:rFonts w:hint="eastAsia" w:ascii="宋体" w:hAnsi="宋体" w:eastAsia="宋体" w:cs="宋体"/>
                <w:color w:val="auto"/>
                <w:highlight w:val="none"/>
                <w:lang w:val="en-US" w:eastAsia="zh-CN"/>
              </w:rPr>
              <w:t>人员配备方案满足招标文件要求，</w:t>
            </w:r>
            <w:r>
              <w:rPr>
                <w:rFonts w:hint="eastAsia" w:ascii="宋体" w:hAnsi="宋体" w:cs="宋体"/>
                <w:color w:val="auto"/>
                <w:highlight w:val="none"/>
                <w:lang w:val="en-US" w:eastAsia="zh-CN"/>
              </w:rPr>
              <w:t>并有</w:t>
            </w:r>
            <w:r>
              <w:rPr>
                <w:rFonts w:hint="eastAsia" w:ascii="宋体" w:hAnsi="宋体" w:eastAsia="宋体" w:cs="宋体"/>
                <w:color w:val="auto"/>
                <w:highlight w:val="none"/>
                <w:lang w:val="en-US" w:eastAsia="zh-CN"/>
              </w:rPr>
              <w:t>书面承诺进场及服务期内持续配备退役军人不少于10人</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 6分；</w:t>
            </w:r>
            <w:r>
              <w:rPr>
                <w:rFonts w:hint="eastAsia" w:ascii="宋体" w:hAnsi="宋体" w:cs="宋体"/>
                <w:color w:val="auto"/>
                <w:highlight w:val="none"/>
                <w:lang w:val="en-US" w:eastAsia="zh-CN"/>
              </w:rPr>
              <w:t>不少于12人，得8分；无书面承诺得3分。</w:t>
            </w:r>
            <w:r>
              <w:rPr>
                <w:rFonts w:hint="eastAsia" w:ascii="宋体" w:hAnsi="宋体" w:eastAsia="宋体" w:cs="宋体"/>
                <w:color w:val="auto"/>
                <w:highlight w:val="none"/>
                <w:lang w:val="en-US" w:eastAsia="zh-CN"/>
              </w:rPr>
              <w:t>（提供人员名单、退役军人证扫描件及投标单位社保/劳动合同证明）</w:t>
            </w:r>
          </w:p>
        </w:tc>
      </w:tr>
      <w:tr w14:paraId="338F1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618" w:type="dxa"/>
            <w:vMerge w:val="continue"/>
            <w:tcBorders>
              <w:right w:val="single" w:color="auto" w:sz="4" w:space="0"/>
            </w:tcBorders>
            <w:vAlign w:val="center"/>
          </w:tcPr>
          <w:p w14:paraId="67F9CCEC">
            <w:pPr>
              <w:spacing w:line="440" w:lineRule="exact"/>
              <w:jc w:val="center"/>
              <w:rPr>
                <w:rFonts w:ascii="宋体" w:hAnsi="宋体"/>
                <w:color w:val="auto"/>
                <w:highlight w:val="none"/>
              </w:rPr>
            </w:pPr>
          </w:p>
        </w:tc>
        <w:tc>
          <w:tcPr>
            <w:tcW w:w="642" w:type="dxa"/>
            <w:vMerge w:val="continue"/>
            <w:tcBorders>
              <w:left w:val="single" w:color="auto" w:sz="4" w:space="0"/>
              <w:right w:val="single" w:color="auto" w:sz="4" w:space="0"/>
            </w:tcBorders>
            <w:vAlign w:val="center"/>
          </w:tcPr>
          <w:p w14:paraId="280AA17C">
            <w:pPr>
              <w:spacing w:line="440" w:lineRule="exact"/>
              <w:jc w:val="center"/>
              <w:rPr>
                <w:rFonts w:ascii="宋体" w:hAnsi="宋体"/>
                <w:color w:val="auto"/>
                <w:highlight w:val="none"/>
              </w:rPr>
            </w:pPr>
          </w:p>
        </w:tc>
        <w:tc>
          <w:tcPr>
            <w:tcW w:w="1583" w:type="dxa"/>
            <w:tcBorders>
              <w:top w:val="single" w:color="auto" w:sz="4" w:space="0"/>
              <w:left w:val="single" w:color="auto" w:sz="4" w:space="0"/>
              <w:right w:val="single" w:color="auto" w:sz="4" w:space="0"/>
            </w:tcBorders>
            <w:vAlign w:val="center"/>
          </w:tcPr>
          <w:p w14:paraId="76266A41">
            <w:pPr>
              <w:spacing w:line="440" w:lineRule="exact"/>
              <w:jc w:val="center"/>
              <w:rPr>
                <w:rFonts w:hint="default" w:ascii="宋体" w:hAnsi="宋体" w:eastAsia="宋体"/>
                <w:color w:val="auto"/>
                <w:szCs w:val="21"/>
                <w:highlight w:val="none"/>
                <w:lang w:val="en-US" w:eastAsia="zh-CN"/>
              </w:rPr>
            </w:pPr>
            <w:r>
              <w:rPr>
                <w:rFonts w:hint="eastAsia" w:ascii="宋体" w:hAnsi="宋体" w:eastAsia="宋体" w:cs="宋体"/>
                <w:color w:val="auto"/>
                <w:lang w:val="en-US" w:eastAsia="zh-CN"/>
              </w:rPr>
              <w:t xml:space="preserve">  岗位要求及工作职责</w:t>
            </w:r>
          </w:p>
        </w:tc>
        <w:tc>
          <w:tcPr>
            <w:tcW w:w="701" w:type="dxa"/>
            <w:tcBorders>
              <w:top w:val="single" w:color="auto" w:sz="4" w:space="0"/>
              <w:left w:val="single" w:color="auto" w:sz="4" w:space="0"/>
              <w:right w:val="single" w:color="auto" w:sz="4" w:space="0"/>
            </w:tcBorders>
            <w:shd w:val="clear" w:color="auto" w:fill="auto"/>
            <w:vAlign w:val="center"/>
          </w:tcPr>
          <w:p w14:paraId="7925523B">
            <w:pPr>
              <w:spacing w:line="440" w:lineRule="exact"/>
              <w:jc w:val="center"/>
              <w:rPr>
                <w:rFonts w:hint="default" w:ascii="宋体" w:hAnsi="宋体" w:eastAsia="宋体" w:cs="Times New Roman"/>
                <w:color w:val="auto"/>
                <w:kern w:val="2"/>
                <w:sz w:val="21"/>
                <w:szCs w:val="24"/>
                <w:lang w:val="en-US" w:eastAsia="zh-CN" w:bidi="ar-SA"/>
              </w:rPr>
            </w:pPr>
            <w:r>
              <w:rPr>
                <w:rFonts w:hint="eastAsia" w:ascii="宋体" w:hAnsi="宋体"/>
                <w:color w:val="auto"/>
                <w:lang w:val="en-US" w:eastAsia="zh-CN"/>
              </w:rPr>
              <w:t>18分</w:t>
            </w:r>
          </w:p>
        </w:tc>
        <w:tc>
          <w:tcPr>
            <w:tcW w:w="4736" w:type="dxa"/>
            <w:tcBorders>
              <w:top w:val="single" w:color="auto" w:sz="4" w:space="0"/>
              <w:left w:val="single" w:color="auto" w:sz="4" w:space="0"/>
              <w:right w:val="single" w:color="auto" w:sz="4" w:space="0"/>
            </w:tcBorders>
            <w:shd w:val="clear" w:color="auto" w:fill="auto"/>
            <w:vAlign w:val="center"/>
          </w:tcPr>
          <w:p w14:paraId="46A99423">
            <w:pPr>
              <w:spacing w:line="440" w:lineRule="exact"/>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根据招标文件“第五章 三、招标内容及技术要求</w:t>
            </w:r>
            <w:r>
              <w:rPr>
                <w:rFonts w:hint="eastAsia" w:ascii="宋体" w:hAnsi="宋体" w:eastAsia="宋体" w:cs="宋体"/>
                <w:color w:val="auto"/>
                <w:lang w:val="en-US" w:eastAsia="zh-CN"/>
              </w:rPr>
              <w:t xml:space="preserve"> (二）岗位要求及工作职责</w:t>
            </w:r>
            <w:r>
              <w:rPr>
                <w:rFonts w:hint="eastAsia" w:ascii="宋体" w:hAnsi="宋体" w:eastAsia="宋体" w:cs="宋体"/>
                <w:color w:val="auto"/>
                <w:lang w:eastAsia="zh-CN"/>
              </w:rPr>
              <w:t>”，制订详细的方案</w:t>
            </w:r>
            <w:r>
              <w:rPr>
                <w:rFonts w:hint="eastAsia" w:ascii="宋体" w:hAnsi="宋体" w:eastAsia="宋体" w:cs="宋体"/>
                <w:color w:val="auto"/>
                <w:lang w:val="en-US" w:eastAsia="zh-CN"/>
              </w:rPr>
              <w:t>。</w:t>
            </w:r>
          </w:p>
          <w:p w14:paraId="1FB5A202">
            <w:pPr>
              <w:spacing w:line="440" w:lineRule="exact"/>
              <w:jc w:val="left"/>
              <w:rPr>
                <w:rFonts w:hint="eastAsia" w:ascii="宋体" w:hAnsi="宋体" w:eastAsia="宋体" w:cs="宋体"/>
                <w:color w:val="auto"/>
                <w:lang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评审标准：</w:t>
            </w:r>
          </w:p>
          <w:p w14:paraId="5FFB4188">
            <w:pPr>
              <w:spacing w:line="440" w:lineRule="exact"/>
              <w:ind w:firstLine="420" w:firstLineChars="200"/>
              <w:jc w:val="left"/>
              <w:rPr>
                <w:rFonts w:hint="eastAsia" w:ascii="宋体" w:hAnsi="宋体" w:eastAsia="宋体" w:cs="宋体"/>
                <w:color w:val="auto"/>
                <w:lang w:eastAsia="zh-CN"/>
              </w:rPr>
            </w:pPr>
            <w:r>
              <w:rPr>
                <w:rFonts w:hint="eastAsia" w:ascii="宋体" w:hAnsi="宋体" w:eastAsia="宋体" w:cs="宋体"/>
                <w:color w:val="auto"/>
                <w:lang w:val="en-US" w:eastAsia="zh-CN"/>
              </w:rPr>
              <w:t>1、各项</w:t>
            </w:r>
            <w:r>
              <w:rPr>
                <w:rFonts w:hint="eastAsia" w:ascii="宋体" w:hAnsi="宋体" w:eastAsia="宋体" w:cs="宋体"/>
                <w:color w:val="auto"/>
                <w:lang w:eastAsia="zh-CN"/>
              </w:rPr>
              <w:t>指标均满足项目</w:t>
            </w:r>
            <w:r>
              <w:rPr>
                <w:rFonts w:hint="eastAsia" w:ascii="宋体" w:hAnsi="宋体" w:eastAsia="宋体" w:cs="宋体"/>
                <w:color w:val="auto"/>
                <w:lang w:val="en-US" w:eastAsia="zh-CN"/>
              </w:rPr>
              <w:t>要</w:t>
            </w:r>
            <w:r>
              <w:rPr>
                <w:rFonts w:hint="eastAsia" w:ascii="宋体" w:hAnsi="宋体" w:eastAsia="宋体" w:cs="宋体"/>
                <w:color w:val="auto"/>
                <w:lang w:eastAsia="zh-CN"/>
              </w:rPr>
              <w:t>求得满分；</w:t>
            </w:r>
          </w:p>
          <w:p w14:paraId="48CE8F75">
            <w:pPr>
              <w:spacing w:line="440" w:lineRule="exact"/>
              <w:ind w:firstLine="420" w:firstLineChars="200"/>
              <w:jc w:val="left"/>
              <w:rPr>
                <w:rFonts w:hint="eastAsia" w:ascii="宋体" w:hAnsi="宋体" w:eastAsia="宋体" w:cs="宋体"/>
                <w:color w:val="auto"/>
                <w:lang w:eastAsia="zh-CN"/>
              </w:rPr>
            </w:pPr>
            <w:r>
              <w:rPr>
                <w:rFonts w:hint="eastAsia" w:ascii="宋体" w:hAnsi="宋体" w:eastAsia="宋体" w:cs="宋体"/>
                <w:color w:val="auto"/>
                <w:lang w:val="en-US" w:eastAsia="zh-CN"/>
              </w:rPr>
              <w:t>2、</w:t>
            </w:r>
            <w:r>
              <w:rPr>
                <w:rFonts w:hint="eastAsia" w:ascii="宋体" w:hAnsi="宋体" w:eastAsia="宋体" w:cs="宋体"/>
                <w:color w:val="auto"/>
                <w:lang w:eastAsia="zh-CN"/>
              </w:rPr>
              <w:t>一般指标不满足</w:t>
            </w:r>
            <w:r>
              <w:rPr>
                <w:rFonts w:hint="eastAsia" w:ascii="宋体" w:hAnsi="宋体" w:eastAsia="宋体" w:cs="宋体"/>
                <w:color w:val="auto"/>
                <w:lang w:val="en-US" w:eastAsia="zh-CN"/>
              </w:rPr>
              <w:t>要求</w:t>
            </w:r>
            <w:r>
              <w:rPr>
                <w:rFonts w:hint="eastAsia" w:ascii="宋体" w:hAnsi="宋体" w:eastAsia="宋体" w:cs="宋体"/>
                <w:color w:val="auto"/>
                <w:lang w:eastAsia="zh-CN"/>
              </w:rPr>
              <w:t>，每出现一项扣</w:t>
            </w:r>
            <w:r>
              <w:rPr>
                <w:rFonts w:hint="eastAsia" w:ascii="宋体" w:hAnsi="宋体" w:eastAsia="宋体" w:cs="宋体"/>
                <w:color w:val="auto"/>
                <w:lang w:val="en-US" w:eastAsia="zh-CN"/>
              </w:rPr>
              <w:t>0.5</w:t>
            </w:r>
            <w:r>
              <w:rPr>
                <w:rFonts w:hint="eastAsia" w:ascii="宋体" w:hAnsi="宋体" w:eastAsia="宋体" w:cs="宋体"/>
                <w:color w:val="auto"/>
                <w:lang w:eastAsia="zh-CN"/>
              </w:rPr>
              <w:t>分；</w:t>
            </w:r>
          </w:p>
          <w:p w14:paraId="7AA2CA38">
            <w:pPr>
              <w:spacing w:line="440" w:lineRule="exact"/>
              <w:ind w:firstLine="420" w:firstLineChars="200"/>
              <w:jc w:val="left"/>
              <w:rPr>
                <w:rFonts w:hint="eastAsia" w:ascii="宋体" w:hAnsi="宋体" w:eastAsia="宋体" w:cs="宋体"/>
                <w:color w:val="auto"/>
                <w:lang w:eastAsia="zh-CN"/>
              </w:rPr>
            </w:pPr>
            <w:r>
              <w:rPr>
                <w:rFonts w:hint="eastAsia" w:ascii="宋体" w:hAnsi="宋体" w:eastAsia="宋体" w:cs="宋体"/>
                <w:color w:val="auto"/>
                <w:lang w:val="en-US" w:eastAsia="zh-CN"/>
              </w:rPr>
              <w:t>3、</w:t>
            </w:r>
            <w:r>
              <w:rPr>
                <w:rFonts w:hint="eastAsia" w:ascii="宋体" w:hAnsi="宋体" w:eastAsia="宋体" w:cs="宋体"/>
                <w:color w:val="auto"/>
                <w:lang w:eastAsia="zh-CN"/>
              </w:rPr>
              <w:t>加“●”的主要指标不满足</w:t>
            </w:r>
            <w:r>
              <w:rPr>
                <w:rFonts w:hint="eastAsia" w:ascii="宋体" w:hAnsi="宋体" w:eastAsia="宋体" w:cs="宋体"/>
                <w:color w:val="auto"/>
                <w:lang w:val="en-US" w:eastAsia="zh-CN"/>
              </w:rPr>
              <w:t>要</w:t>
            </w:r>
            <w:r>
              <w:rPr>
                <w:rFonts w:hint="eastAsia" w:ascii="宋体" w:hAnsi="宋体" w:eastAsia="宋体" w:cs="宋体"/>
                <w:color w:val="auto"/>
                <w:lang w:eastAsia="zh-CN"/>
              </w:rPr>
              <w:t>求，每出现一项扣</w:t>
            </w:r>
            <w:r>
              <w:rPr>
                <w:rFonts w:hint="eastAsia" w:ascii="宋体" w:hAnsi="宋体" w:eastAsia="宋体" w:cs="宋体"/>
                <w:color w:val="auto"/>
                <w:lang w:val="en-US" w:eastAsia="zh-CN"/>
              </w:rPr>
              <w:t>1.5</w:t>
            </w:r>
            <w:r>
              <w:rPr>
                <w:rFonts w:hint="eastAsia" w:ascii="宋体" w:hAnsi="宋体" w:eastAsia="宋体" w:cs="宋体"/>
                <w:color w:val="auto"/>
                <w:lang w:eastAsia="zh-CN"/>
              </w:rPr>
              <w:t xml:space="preserve">分。 </w:t>
            </w:r>
          </w:p>
          <w:p w14:paraId="4733BCFC">
            <w:pPr>
              <w:spacing w:line="440" w:lineRule="exact"/>
              <w:ind w:firstLine="420" w:firstLineChars="20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扣完为止。    </w:t>
            </w:r>
          </w:p>
        </w:tc>
      </w:tr>
      <w:tr w14:paraId="4DCCE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618" w:type="dxa"/>
            <w:vMerge w:val="continue"/>
            <w:tcBorders>
              <w:right w:val="single" w:color="auto" w:sz="4" w:space="0"/>
            </w:tcBorders>
            <w:vAlign w:val="center"/>
          </w:tcPr>
          <w:p w14:paraId="6E23D5DB">
            <w:pPr>
              <w:spacing w:line="440" w:lineRule="exact"/>
              <w:jc w:val="center"/>
              <w:rPr>
                <w:rFonts w:ascii="宋体" w:hAnsi="宋体"/>
                <w:color w:val="auto"/>
                <w:highlight w:val="none"/>
              </w:rPr>
            </w:pPr>
          </w:p>
        </w:tc>
        <w:tc>
          <w:tcPr>
            <w:tcW w:w="642" w:type="dxa"/>
            <w:vMerge w:val="continue"/>
            <w:tcBorders>
              <w:left w:val="single" w:color="auto" w:sz="4" w:space="0"/>
              <w:right w:val="single" w:color="auto" w:sz="4" w:space="0"/>
            </w:tcBorders>
            <w:vAlign w:val="center"/>
          </w:tcPr>
          <w:p w14:paraId="06C3D545">
            <w:pPr>
              <w:spacing w:line="440" w:lineRule="exact"/>
              <w:jc w:val="center"/>
              <w:rPr>
                <w:rFonts w:ascii="宋体" w:hAnsi="宋体"/>
                <w:color w:val="auto"/>
                <w:highlight w:val="none"/>
              </w:rPr>
            </w:pPr>
          </w:p>
        </w:tc>
        <w:tc>
          <w:tcPr>
            <w:tcW w:w="1583" w:type="dxa"/>
            <w:tcBorders>
              <w:top w:val="single" w:color="auto" w:sz="4" w:space="0"/>
              <w:left w:val="single" w:color="auto" w:sz="4" w:space="0"/>
              <w:right w:val="single" w:color="auto" w:sz="4" w:space="0"/>
            </w:tcBorders>
            <w:vAlign w:val="center"/>
          </w:tcPr>
          <w:p w14:paraId="4D55FB78">
            <w:pPr>
              <w:spacing w:line="440" w:lineRule="exact"/>
              <w:jc w:val="center"/>
              <w:rPr>
                <w:rFonts w:hint="default" w:ascii="宋体" w:hAnsi="宋体" w:eastAsia="宋体"/>
                <w:color w:val="auto"/>
                <w:szCs w:val="21"/>
                <w:highlight w:val="none"/>
                <w:lang w:val="en-US" w:eastAsia="zh-CN"/>
              </w:rPr>
            </w:pPr>
            <w:r>
              <w:rPr>
                <w:rFonts w:hint="eastAsia" w:ascii="宋体" w:hAnsi="宋体" w:eastAsia="宋体" w:cs="宋体"/>
                <w:color w:val="auto"/>
                <w:lang w:eastAsia="zh-CN"/>
              </w:rPr>
              <w:t>服务内容及要求</w:t>
            </w:r>
          </w:p>
        </w:tc>
        <w:tc>
          <w:tcPr>
            <w:tcW w:w="701" w:type="dxa"/>
            <w:tcBorders>
              <w:top w:val="single" w:color="auto" w:sz="4" w:space="0"/>
              <w:left w:val="single" w:color="auto" w:sz="4" w:space="0"/>
              <w:right w:val="single" w:color="auto" w:sz="4" w:space="0"/>
            </w:tcBorders>
            <w:shd w:val="clear" w:color="auto" w:fill="auto"/>
            <w:vAlign w:val="center"/>
          </w:tcPr>
          <w:p w14:paraId="7050620D">
            <w:pPr>
              <w:spacing w:line="440" w:lineRule="exact"/>
              <w:jc w:val="center"/>
              <w:rPr>
                <w:rFonts w:hint="default" w:ascii="宋体" w:hAnsi="宋体" w:eastAsia="宋体" w:cs="Times New Roman"/>
                <w:color w:val="auto"/>
                <w:kern w:val="2"/>
                <w:sz w:val="21"/>
                <w:szCs w:val="24"/>
                <w:lang w:val="en-US" w:eastAsia="zh-CN" w:bidi="ar-SA"/>
              </w:rPr>
            </w:pPr>
            <w:r>
              <w:rPr>
                <w:rFonts w:hint="eastAsia" w:ascii="宋体" w:hAnsi="宋体"/>
                <w:color w:val="auto"/>
                <w:lang w:val="en-US" w:eastAsia="zh-CN"/>
              </w:rPr>
              <w:t>28</w:t>
            </w:r>
            <w:bookmarkStart w:id="823" w:name="_GoBack"/>
            <w:bookmarkEnd w:id="823"/>
            <w:r>
              <w:rPr>
                <w:rFonts w:hint="eastAsia" w:ascii="宋体" w:hAnsi="宋体"/>
                <w:color w:val="auto"/>
                <w:lang w:val="en-US" w:eastAsia="zh-CN"/>
              </w:rPr>
              <w:t>分</w:t>
            </w:r>
          </w:p>
        </w:tc>
        <w:tc>
          <w:tcPr>
            <w:tcW w:w="4736" w:type="dxa"/>
            <w:tcBorders>
              <w:top w:val="single" w:color="auto" w:sz="4" w:space="0"/>
              <w:left w:val="single" w:color="auto" w:sz="4" w:space="0"/>
              <w:right w:val="single" w:color="auto" w:sz="4" w:space="0"/>
            </w:tcBorders>
            <w:shd w:val="clear" w:color="auto" w:fill="auto"/>
            <w:vAlign w:val="center"/>
          </w:tcPr>
          <w:p w14:paraId="4D72630C">
            <w:pPr>
              <w:spacing w:line="44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rPr>
              <w:t>根据招标文件</w:t>
            </w:r>
            <w:r>
              <w:rPr>
                <w:rFonts w:hint="eastAsia" w:ascii="宋体" w:hAnsi="宋体" w:eastAsia="宋体" w:cs="宋体"/>
                <w:color w:val="auto"/>
                <w:lang w:eastAsia="zh-CN"/>
              </w:rPr>
              <w:t>“</w:t>
            </w:r>
            <w:r>
              <w:rPr>
                <w:rFonts w:hint="eastAsia" w:ascii="宋体" w:hAnsi="宋体" w:eastAsia="宋体" w:cs="宋体"/>
                <w:color w:val="auto"/>
              </w:rPr>
              <w:t>第五章 三、招标内容及技术要求</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（三）服务内容及要求”</w:t>
            </w:r>
            <w:r>
              <w:rPr>
                <w:rFonts w:hint="eastAsia" w:ascii="宋体" w:hAnsi="宋体" w:eastAsia="宋体" w:cs="宋体"/>
                <w:color w:val="auto"/>
              </w:rPr>
              <w:t>，制订详细的</w:t>
            </w:r>
            <w:r>
              <w:rPr>
                <w:rFonts w:hint="eastAsia" w:ascii="宋体" w:hAnsi="宋体" w:eastAsia="宋体" w:cs="宋体"/>
                <w:color w:val="auto"/>
                <w:lang w:val="en-US" w:eastAsia="zh-CN"/>
              </w:rPr>
              <w:t>服务方案</w:t>
            </w:r>
            <w:r>
              <w:rPr>
                <w:rFonts w:hint="eastAsia" w:ascii="宋体" w:hAnsi="宋体" w:eastAsia="宋体" w:cs="宋体"/>
                <w:color w:val="auto"/>
                <w:szCs w:val="21"/>
                <w:highlight w:val="none"/>
                <w:lang w:val="en-US" w:eastAsia="zh-CN"/>
              </w:rPr>
              <w:t>。</w:t>
            </w:r>
          </w:p>
          <w:p w14:paraId="2E3092F4">
            <w:pPr>
              <w:spacing w:line="440" w:lineRule="exact"/>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评审标准：</w:t>
            </w:r>
          </w:p>
          <w:p w14:paraId="10E77DBD">
            <w:pPr>
              <w:spacing w:line="440" w:lineRule="exact"/>
              <w:ind w:firstLine="420" w:firstLineChars="200"/>
              <w:jc w:val="left"/>
              <w:rPr>
                <w:rFonts w:hint="eastAsia" w:ascii="宋体" w:hAnsi="宋体" w:eastAsia="宋体" w:cs="宋体"/>
                <w:color w:val="auto"/>
                <w:lang w:eastAsia="zh-CN"/>
              </w:rPr>
            </w:pPr>
            <w:r>
              <w:rPr>
                <w:rFonts w:hint="eastAsia" w:ascii="宋体" w:hAnsi="宋体" w:eastAsia="宋体" w:cs="宋体"/>
                <w:color w:val="auto"/>
                <w:lang w:val="en-US" w:eastAsia="zh-CN"/>
              </w:rPr>
              <w:t>1、各项</w:t>
            </w:r>
            <w:r>
              <w:rPr>
                <w:rFonts w:hint="eastAsia" w:ascii="宋体" w:hAnsi="宋体" w:eastAsia="宋体" w:cs="宋体"/>
                <w:color w:val="auto"/>
                <w:lang w:eastAsia="zh-CN"/>
              </w:rPr>
              <w:t>指标均满足项目</w:t>
            </w:r>
            <w:r>
              <w:rPr>
                <w:rFonts w:hint="eastAsia" w:ascii="宋体" w:hAnsi="宋体" w:eastAsia="宋体" w:cs="宋体"/>
                <w:color w:val="auto"/>
                <w:lang w:val="en-US" w:eastAsia="zh-CN"/>
              </w:rPr>
              <w:t>要</w:t>
            </w:r>
            <w:r>
              <w:rPr>
                <w:rFonts w:hint="eastAsia" w:ascii="宋体" w:hAnsi="宋体" w:eastAsia="宋体" w:cs="宋体"/>
                <w:color w:val="auto"/>
                <w:lang w:eastAsia="zh-CN"/>
              </w:rPr>
              <w:t>求得满分；</w:t>
            </w:r>
          </w:p>
          <w:p w14:paraId="6C0CC36A">
            <w:pPr>
              <w:spacing w:line="440" w:lineRule="exact"/>
              <w:ind w:firstLine="420" w:firstLineChars="200"/>
              <w:jc w:val="left"/>
              <w:rPr>
                <w:rFonts w:hint="eastAsia" w:ascii="宋体" w:hAnsi="宋体" w:eastAsia="宋体" w:cs="宋体"/>
                <w:color w:val="auto"/>
                <w:lang w:eastAsia="zh-CN"/>
              </w:rPr>
            </w:pPr>
            <w:r>
              <w:rPr>
                <w:rFonts w:hint="eastAsia" w:ascii="宋体" w:hAnsi="宋体" w:eastAsia="宋体" w:cs="宋体"/>
                <w:color w:val="auto"/>
                <w:lang w:val="en-US" w:eastAsia="zh-CN"/>
              </w:rPr>
              <w:t>2、</w:t>
            </w:r>
            <w:r>
              <w:rPr>
                <w:rFonts w:hint="eastAsia" w:ascii="宋体" w:hAnsi="宋体" w:eastAsia="宋体" w:cs="宋体"/>
                <w:color w:val="auto"/>
                <w:lang w:eastAsia="zh-CN"/>
              </w:rPr>
              <w:t>一般指标不满足</w:t>
            </w:r>
            <w:r>
              <w:rPr>
                <w:rFonts w:hint="eastAsia" w:ascii="宋体" w:hAnsi="宋体" w:eastAsia="宋体" w:cs="宋体"/>
                <w:color w:val="auto"/>
                <w:lang w:val="en-US" w:eastAsia="zh-CN"/>
              </w:rPr>
              <w:t>要求</w:t>
            </w:r>
            <w:r>
              <w:rPr>
                <w:rFonts w:hint="eastAsia" w:ascii="宋体" w:hAnsi="宋体" w:eastAsia="宋体" w:cs="宋体"/>
                <w:color w:val="auto"/>
                <w:lang w:eastAsia="zh-CN"/>
              </w:rPr>
              <w:t>，每出现一项扣</w:t>
            </w:r>
            <w:r>
              <w:rPr>
                <w:rFonts w:hint="eastAsia" w:ascii="宋体" w:hAnsi="宋体" w:eastAsia="宋体" w:cs="宋体"/>
                <w:color w:val="auto"/>
                <w:lang w:val="en-US" w:eastAsia="zh-CN"/>
              </w:rPr>
              <w:t>0.5</w:t>
            </w:r>
            <w:r>
              <w:rPr>
                <w:rFonts w:hint="eastAsia" w:ascii="宋体" w:hAnsi="宋体" w:eastAsia="宋体" w:cs="宋体"/>
                <w:color w:val="auto"/>
                <w:lang w:eastAsia="zh-CN"/>
              </w:rPr>
              <w:t>分；</w:t>
            </w:r>
          </w:p>
          <w:p w14:paraId="07158136">
            <w:pPr>
              <w:spacing w:line="440" w:lineRule="exact"/>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3、</w:t>
            </w:r>
            <w:r>
              <w:rPr>
                <w:rFonts w:hint="eastAsia" w:ascii="宋体" w:hAnsi="宋体" w:eastAsia="宋体" w:cs="宋体"/>
                <w:color w:val="auto"/>
                <w:lang w:eastAsia="zh-CN"/>
              </w:rPr>
              <w:t>加“●”的主要指标不满足</w:t>
            </w:r>
            <w:r>
              <w:rPr>
                <w:rFonts w:hint="eastAsia" w:ascii="宋体" w:hAnsi="宋体" w:eastAsia="宋体" w:cs="宋体"/>
                <w:color w:val="auto"/>
                <w:lang w:val="en-US" w:eastAsia="zh-CN"/>
              </w:rPr>
              <w:t>要</w:t>
            </w:r>
            <w:r>
              <w:rPr>
                <w:rFonts w:hint="eastAsia" w:ascii="宋体" w:hAnsi="宋体" w:eastAsia="宋体" w:cs="宋体"/>
                <w:color w:val="auto"/>
                <w:lang w:eastAsia="zh-CN"/>
              </w:rPr>
              <w:t>求，每出现一项扣</w:t>
            </w:r>
            <w:r>
              <w:rPr>
                <w:rFonts w:hint="eastAsia" w:ascii="宋体" w:hAnsi="宋体" w:eastAsia="宋体" w:cs="宋体"/>
                <w:color w:val="auto"/>
                <w:lang w:val="en-US" w:eastAsia="zh-CN"/>
              </w:rPr>
              <w:t>1.5</w:t>
            </w:r>
            <w:r>
              <w:rPr>
                <w:rFonts w:hint="eastAsia" w:ascii="宋体" w:hAnsi="宋体" w:eastAsia="宋体" w:cs="宋体"/>
                <w:color w:val="auto"/>
                <w:lang w:eastAsia="zh-CN"/>
              </w:rPr>
              <w:t>分。</w:t>
            </w:r>
          </w:p>
          <w:p w14:paraId="7D25EE22">
            <w:pPr>
              <w:spacing w:line="440" w:lineRule="exact"/>
              <w:ind w:firstLine="420" w:firstLineChars="20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 xml:space="preserve"> </w:t>
            </w:r>
            <w:r>
              <w:rPr>
                <w:rFonts w:hint="eastAsia" w:ascii="宋体" w:hAnsi="宋体" w:eastAsia="宋体" w:cs="宋体"/>
                <w:color w:val="auto"/>
                <w:lang w:val="en-US" w:eastAsia="zh-CN"/>
              </w:rPr>
              <w:t xml:space="preserve">扣完为止。   </w:t>
            </w:r>
          </w:p>
        </w:tc>
      </w:tr>
      <w:tr w14:paraId="099B50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618" w:type="dxa"/>
            <w:vMerge w:val="continue"/>
            <w:tcBorders>
              <w:right w:val="single" w:color="auto" w:sz="4" w:space="0"/>
            </w:tcBorders>
            <w:vAlign w:val="center"/>
          </w:tcPr>
          <w:p w14:paraId="5355FEE3">
            <w:pPr>
              <w:spacing w:line="440" w:lineRule="exact"/>
              <w:jc w:val="center"/>
              <w:rPr>
                <w:rFonts w:ascii="宋体" w:hAnsi="宋体"/>
                <w:color w:val="auto"/>
                <w:highlight w:val="none"/>
              </w:rPr>
            </w:pPr>
          </w:p>
        </w:tc>
        <w:tc>
          <w:tcPr>
            <w:tcW w:w="642" w:type="dxa"/>
            <w:vMerge w:val="continue"/>
            <w:tcBorders>
              <w:left w:val="single" w:color="auto" w:sz="4" w:space="0"/>
              <w:right w:val="single" w:color="auto" w:sz="4" w:space="0"/>
            </w:tcBorders>
            <w:vAlign w:val="center"/>
          </w:tcPr>
          <w:p w14:paraId="123DC554">
            <w:pPr>
              <w:spacing w:line="440" w:lineRule="exact"/>
              <w:jc w:val="center"/>
              <w:rPr>
                <w:rFonts w:ascii="宋体" w:hAnsi="宋体"/>
                <w:color w:val="auto"/>
                <w:highlight w:val="none"/>
              </w:rPr>
            </w:pPr>
          </w:p>
        </w:tc>
        <w:tc>
          <w:tcPr>
            <w:tcW w:w="1583" w:type="dxa"/>
            <w:tcBorders>
              <w:top w:val="single" w:color="auto" w:sz="4" w:space="0"/>
              <w:left w:val="single" w:color="auto" w:sz="4" w:space="0"/>
              <w:right w:val="single" w:color="auto" w:sz="4" w:space="0"/>
            </w:tcBorders>
            <w:vAlign w:val="center"/>
          </w:tcPr>
          <w:p w14:paraId="2DF81D45">
            <w:pPr>
              <w:spacing w:line="440" w:lineRule="exact"/>
              <w:jc w:val="center"/>
              <w:rPr>
                <w:rFonts w:hint="default" w:ascii="宋体" w:hAnsi="宋体" w:eastAsia="宋体"/>
                <w:color w:val="auto"/>
                <w:szCs w:val="21"/>
                <w:highlight w:val="none"/>
                <w:lang w:val="en-US" w:eastAsia="zh-CN"/>
              </w:rPr>
            </w:pPr>
            <w:r>
              <w:rPr>
                <w:rFonts w:hint="eastAsia" w:ascii="宋体" w:hAnsi="宋体" w:eastAsia="宋体" w:cs="宋体"/>
                <w:color w:val="auto"/>
                <w:highlight w:val="none"/>
                <w:lang w:val="en-US" w:eastAsia="zh-CN"/>
              </w:rPr>
              <w:t>突发紧急事件处理应急预案</w:t>
            </w:r>
          </w:p>
        </w:tc>
        <w:tc>
          <w:tcPr>
            <w:tcW w:w="701" w:type="dxa"/>
            <w:tcBorders>
              <w:top w:val="single" w:color="auto" w:sz="4" w:space="0"/>
              <w:left w:val="single" w:color="auto" w:sz="4" w:space="0"/>
              <w:right w:val="single" w:color="auto" w:sz="4" w:space="0"/>
            </w:tcBorders>
            <w:shd w:val="clear" w:color="auto" w:fill="auto"/>
            <w:vAlign w:val="center"/>
          </w:tcPr>
          <w:p w14:paraId="69E58FA2">
            <w:pPr>
              <w:spacing w:line="440" w:lineRule="exact"/>
              <w:jc w:val="center"/>
              <w:rPr>
                <w:rFonts w:hint="default" w:ascii="宋体" w:hAnsi="宋体" w:eastAsia="宋体" w:cs="Times New Roman"/>
                <w:color w:val="auto"/>
                <w:kern w:val="2"/>
                <w:sz w:val="21"/>
                <w:szCs w:val="21"/>
                <w:lang w:val="en-US" w:eastAsia="zh-CN" w:bidi="ar-SA"/>
              </w:rPr>
            </w:pPr>
            <w:r>
              <w:rPr>
                <w:rFonts w:hint="eastAsia" w:ascii="宋体" w:hAnsi="宋体"/>
                <w:color w:val="auto"/>
                <w:lang w:val="en-US" w:eastAsia="zh-CN"/>
              </w:rPr>
              <w:t>5</w:t>
            </w:r>
            <w:r>
              <w:rPr>
                <w:rFonts w:hint="eastAsia" w:ascii="Times New Roman" w:hAnsi="Times New Roman" w:eastAsia="宋体" w:cs="Times New Roman"/>
                <w:color w:val="auto"/>
                <w:highlight w:val="none"/>
                <w:lang w:val="en-US" w:eastAsia="zh-CN"/>
              </w:rPr>
              <w:t>分</w:t>
            </w:r>
          </w:p>
        </w:tc>
        <w:tc>
          <w:tcPr>
            <w:tcW w:w="4736" w:type="dxa"/>
            <w:tcBorders>
              <w:top w:val="single" w:color="auto" w:sz="4" w:space="0"/>
              <w:left w:val="single" w:color="auto" w:sz="4" w:space="0"/>
              <w:right w:val="single" w:color="auto" w:sz="4" w:space="0"/>
            </w:tcBorders>
            <w:shd w:val="clear" w:color="auto" w:fill="auto"/>
            <w:vAlign w:val="center"/>
          </w:tcPr>
          <w:p w14:paraId="0F6CA800">
            <w:pPr>
              <w:spacing w:line="44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rPr>
              <w:t>根据招标文件</w:t>
            </w:r>
            <w:r>
              <w:rPr>
                <w:rFonts w:hint="eastAsia" w:ascii="宋体" w:hAnsi="宋体" w:eastAsia="宋体" w:cs="宋体"/>
                <w:color w:val="auto"/>
                <w:lang w:eastAsia="zh-CN"/>
              </w:rPr>
              <w:t>“</w:t>
            </w:r>
            <w:r>
              <w:rPr>
                <w:rFonts w:hint="eastAsia" w:ascii="宋体" w:hAnsi="宋体" w:eastAsia="宋体" w:cs="宋体"/>
                <w:color w:val="auto"/>
              </w:rPr>
              <w:t>第五章 三、招标内容及技术要求</w:t>
            </w:r>
            <w:r>
              <w:rPr>
                <w:rFonts w:hint="eastAsia" w:ascii="宋体" w:hAnsi="宋体" w:eastAsia="宋体" w:cs="宋体"/>
                <w:color w:val="auto"/>
                <w:lang w:val="en-US" w:eastAsia="zh-CN"/>
              </w:rPr>
              <w:t xml:space="preserve"> （四）突发紧急事件处理应急预案</w:t>
            </w:r>
            <w:r>
              <w:rPr>
                <w:rFonts w:hint="eastAsia" w:ascii="宋体" w:hAnsi="宋体" w:eastAsia="宋体" w:cs="宋体"/>
                <w:color w:val="auto"/>
                <w:lang w:eastAsia="zh-CN"/>
              </w:rPr>
              <w:t>”</w:t>
            </w:r>
            <w:r>
              <w:rPr>
                <w:rFonts w:hint="eastAsia" w:ascii="宋体" w:hAnsi="宋体" w:eastAsia="宋体" w:cs="宋体"/>
                <w:color w:val="auto"/>
              </w:rPr>
              <w:t>，</w:t>
            </w:r>
            <w:r>
              <w:rPr>
                <w:rFonts w:hint="eastAsia" w:ascii="宋体" w:hAnsi="宋体" w:eastAsia="宋体" w:cs="宋体"/>
                <w:color w:val="auto"/>
                <w:lang w:val="en-US" w:eastAsia="zh-CN"/>
              </w:rPr>
              <w:t>供应商自行识别专门学校在校未成年人突发事件风险，针对宿舍夜间巡查、课堂秩序管控、食堂集体就餐管理等专门学校特有场景</w:t>
            </w:r>
            <w:r>
              <w:rPr>
                <w:rFonts w:hint="eastAsia" w:ascii="宋体" w:hAnsi="宋体" w:eastAsia="宋体" w:cs="宋体"/>
                <w:color w:val="auto"/>
              </w:rPr>
              <w:t>制订详细的</w:t>
            </w:r>
            <w:r>
              <w:rPr>
                <w:rFonts w:hint="eastAsia" w:ascii="宋体" w:hAnsi="宋体" w:eastAsia="宋体" w:cs="宋体"/>
                <w:color w:val="auto"/>
                <w:lang w:val="en-US" w:eastAsia="zh-CN"/>
              </w:rPr>
              <w:t>服务方案。</w:t>
            </w:r>
          </w:p>
          <w:p w14:paraId="49283BE8">
            <w:pPr>
              <w:spacing w:line="44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评审标准：</w:t>
            </w:r>
          </w:p>
          <w:p w14:paraId="6C660C07">
            <w:pPr>
              <w:spacing w:line="44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1、方案内容充实、全面、可行性强，应急处置预案措施结合场地特性且合理得当的得</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分；</w:t>
            </w:r>
          </w:p>
          <w:p w14:paraId="6A11964A">
            <w:pPr>
              <w:spacing w:line="44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2、方案内容基本完善，有一定的合理性、可行性的，得3分；</w:t>
            </w:r>
          </w:p>
          <w:p w14:paraId="08C52A0D">
            <w:pPr>
              <w:spacing w:line="440" w:lineRule="exact"/>
              <w:ind w:firstLine="420" w:firstLineChars="200"/>
              <w:rPr>
                <w:rFonts w:hint="eastAsia" w:ascii="宋体" w:hAnsi="宋体" w:eastAsia="宋体" w:cs="宋体"/>
                <w:color w:val="auto"/>
                <w:highlight w:val="none"/>
                <w:lang w:val="en-US" w:eastAsia="zh-CN"/>
              </w:rPr>
            </w:pPr>
            <w:r>
              <w:rPr>
                <w:rFonts w:hint="eastAsia" w:ascii="Times New Roman" w:hAnsi="Times New Roman" w:eastAsia="宋体" w:cs="Times New Roman"/>
                <w:color w:val="auto"/>
                <w:highlight w:val="none"/>
                <w:lang w:val="en-US" w:eastAsia="zh-CN"/>
              </w:rPr>
              <w:t>3、方案内容过于简单、缺乏合理、可行性的，得1分。</w:t>
            </w:r>
          </w:p>
        </w:tc>
      </w:tr>
      <w:tr w14:paraId="67524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618" w:type="dxa"/>
            <w:vMerge w:val="continue"/>
            <w:tcBorders>
              <w:bottom w:val="single" w:color="auto" w:sz="4" w:space="0"/>
              <w:right w:val="single" w:color="auto" w:sz="4" w:space="0"/>
            </w:tcBorders>
            <w:vAlign w:val="center"/>
          </w:tcPr>
          <w:p w14:paraId="4CEF8639">
            <w:pPr>
              <w:spacing w:line="440" w:lineRule="exact"/>
              <w:jc w:val="center"/>
              <w:rPr>
                <w:rFonts w:ascii="宋体" w:hAnsi="宋体"/>
                <w:color w:val="auto"/>
                <w:highlight w:val="none"/>
              </w:rPr>
            </w:pPr>
          </w:p>
        </w:tc>
        <w:tc>
          <w:tcPr>
            <w:tcW w:w="642" w:type="dxa"/>
            <w:vMerge w:val="continue"/>
            <w:tcBorders>
              <w:left w:val="single" w:color="auto" w:sz="4" w:space="0"/>
              <w:bottom w:val="single" w:color="auto" w:sz="4" w:space="0"/>
              <w:right w:val="single" w:color="auto" w:sz="4" w:space="0"/>
            </w:tcBorders>
            <w:vAlign w:val="center"/>
          </w:tcPr>
          <w:p w14:paraId="1C5720F5">
            <w:pPr>
              <w:spacing w:line="440" w:lineRule="exact"/>
              <w:jc w:val="center"/>
              <w:rPr>
                <w:rFonts w:ascii="宋体" w:hAnsi="宋体"/>
                <w:color w:val="auto"/>
                <w:highlight w:val="none"/>
              </w:rPr>
            </w:pPr>
          </w:p>
        </w:tc>
        <w:tc>
          <w:tcPr>
            <w:tcW w:w="1583" w:type="dxa"/>
            <w:tcBorders>
              <w:top w:val="single" w:color="auto" w:sz="4" w:space="0"/>
              <w:left w:val="single" w:color="auto" w:sz="4" w:space="0"/>
              <w:right w:val="single" w:color="auto" w:sz="4" w:space="0"/>
            </w:tcBorders>
            <w:shd w:val="clear" w:color="auto" w:fill="auto"/>
            <w:vAlign w:val="center"/>
          </w:tcPr>
          <w:p w14:paraId="0021B945">
            <w:pPr>
              <w:spacing w:line="440" w:lineRule="exact"/>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lang w:val="en-US" w:eastAsia="zh-CN"/>
              </w:rPr>
              <w:t>项目</w:t>
            </w:r>
            <w:r>
              <w:rPr>
                <w:rFonts w:hint="eastAsia" w:ascii="宋体" w:hAnsi="宋体" w:eastAsia="宋体" w:cs="宋体"/>
                <w:color w:val="auto"/>
                <w:highlight w:val="none"/>
                <w:lang w:val="en-US" w:eastAsia="zh-CN"/>
              </w:rPr>
              <w:t>拟投入</w:t>
            </w:r>
            <w:r>
              <w:rPr>
                <w:rFonts w:hint="eastAsia" w:ascii="宋体" w:hAnsi="宋体" w:cs="宋体"/>
                <w:color w:val="auto"/>
                <w:highlight w:val="none"/>
                <w:lang w:val="en-US" w:eastAsia="zh-CN"/>
              </w:rPr>
              <w:t>的物资、</w:t>
            </w:r>
            <w:r>
              <w:rPr>
                <w:rFonts w:hint="eastAsia" w:ascii="宋体" w:hAnsi="宋体" w:eastAsia="宋体" w:cs="宋体"/>
                <w:color w:val="auto"/>
                <w:lang w:val="en-US" w:eastAsia="zh-CN"/>
              </w:rPr>
              <w:t>设备</w:t>
            </w:r>
          </w:p>
        </w:tc>
        <w:tc>
          <w:tcPr>
            <w:tcW w:w="701" w:type="dxa"/>
            <w:tcBorders>
              <w:top w:val="single" w:color="auto" w:sz="4" w:space="0"/>
              <w:left w:val="single" w:color="auto" w:sz="4" w:space="0"/>
              <w:right w:val="single" w:color="auto" w:sz="4" w:space="0"/>
            </w:tcBorders>
            <w:shd w:val="clear" w:color="auto" w:fill="auto"/>
            <w:vAlign w:val="center"/>
          </w:tcPr>
          <w:p w14:paraId="02F2BEF9">
            <w:pPr>
              <w:spacing w:line="440" w:lineRule="exact"/>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5分</w:t>
            </w:r>
          </w:p>
        </w:tc>
        <w:tc>
          <w:tcPr>
            <w:tcW w:w="4736" w:type="dxa"/>
            <w:tcBorders>
              <w:top w:val="single" w:color="auto" w:sz="4" w:space="0"/>
              <w:left w:val="single" w:color="auto" w:sz="4" w:space="0"/>
              <w:right w:val="single" w:color="auto" w:sz="4" w:space="0"/>
            </w:tcBorders>
            <w:shd w:val="clear" w:color="auto" w:fill="auto"/>
            <w:vAlign w:val="center"/>
          </w:tcPr>
          <w:p w14:paraId="6C98E5ED">
            <w:pPr>
              <w:spacing w:line="440" w:lineRule="exact"/>
              <w:ind w:firstLine="420"/>
              <w:rPr>
                <w:rFonts w:hint="eastAsia" w:ascii="宋体" w:hAnsi="宋体" w:eastAsia="宋体" w:cs="宋体"/>
                <w:color w:val="auto"/>
                <w:lang w:val="en-US" w:eastAsia="zh-CN"/>
              </w:rPr>
            </w:pPr>
            <w:r>
              <w:rPr>
                <w:rFonts w:hint="eastAsia" w:ascii="宋体" w:hAnsi="宋体" w:eastAsia="宋体" w:cs="宋体"/>
                <w:color w:val="auto"/>
                <w:lang w:val="en-US" w:eastAsia="zh-CN"/>
              </w:rPr>
              <w:t>根据项目情况列明拟投入的</w:t>
            </w:r>
            <w:r>
              <w:rPr>
                <w:rFonts w:hint="eastAsia" w:ascii="宋体" w:hAnsi="宋体" w:cs="宋体"/>
                <w:color w:val="auto"/>
                <w:lang w:val="en-US" w:eastAsia="zh-CN"/>
              </w:rPr>
              <w:t>物资、</w:t>
            </w:r>
            <w:r>
              <w:rPr>
                <w:rFonts w:hint="eastAsia" w:ascii="宋体" w:hAnsi="宋体" w:eastAsia="宋体" w:cs="宋体"/>
                <w:color w:val="auto"/>
                <w:lang w:val="en-US" w:eastAsia="zh-CN"/>
              </w:rPr>
              <w:t>设备、工具</w:t>
            </w:r>
            <w:r>
              <w:rPr>
                <w:rFonts w:hint="eastAsia" w:ascii="宋体" w:hAnsi="宋体" w:cs="宋体"/>
                <w:color w:val="auto"/>
                <w:lang w:val="en-US" w:eastAsia="zh-CN"/>
              </w:rPr>
              <w:t>、</w:t>
            </w:r>
            <w:r>
              <w:rPr>
                <w:rFonts w:hint="eastAsia" w:ascii="宋体" w:hAnsi="宋体" w:eastAsia="宋体" w:cs="宋体"/>
                <w:color w:val="auto"/>
                <w:lang w:val="en-US" w:eastAsia="zh-CN"/>
              </w:rPr>
              <w:t>及数量</w:t>
            </w:r>
            <w:r>
              <w:rPr>
                <w:rFonts w:hint="eastAsia" w:ascii="宋体" w:hAnsi="宋体" w:cs="宋体"/>
                <w:color w:val="auto"/>
                <w:lang w:val="en-US" w:eastAsia="zh-CN"/>
              </w:rPr>
              <w:t>，包括但不限于项目涉及的防爆器材、急救药品、通讯设备</w:t>
            </w:r>
            <w:r>
              <w:rPr>
                <w:rFonts w:hint="eastAsia" w:ascii="宋体" w:hAnsi="宋体" w:eastAsia="宋体" w:cs="宋体"/>
                <w:color w:val="auto"/>
                <w:lang w:val="en-US" w:eastAsia="zh-CN"/>
              </w:rPr>
              <w:t>。</w:t>
            </w:r>
          </w:p>
          <w:p w14:paraId="62085F2E">
            <w:pPr>
              <w:spacing w:line="440" w:lineRule="exact"/>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szCs w:val="21"/>
                <w:highlight w:val="none"/>
                <w:lang w:val="en-US" w:eastAsia="zh-CN"/>
              </w:rPr>
              <w:t>评审标准：</w:t>
            </w:r>
          </w:p>
          <w:p w14:paraId="052D5AEF">
            <w:pPr>
              <w:spacing w:line="440" w:lineRule="exact"/>
              <w:ind w:firstLine="420"/>
              <w:rPr>
                <w:rFonts w:hint="eastAsia" w:ascii="宋体" w:hAnsi="宋体" w:eastAsia="宋体" w:cs="宋体"/>
                <w:color w:val="auto"/>
                <w:lang w:val="en-US" w:eastAsia="zh-CN"/>
              </w:rPr>
            </w:pPr>
            <w:r>
              <w:rPr>
                <w:rFonts w:hint="eastAsia" w:ascii="宋体" w:hAnsi="宋体" w:eastAsia="宋体" w:cs="宋体"/>
                <w:color w:val="auto"/>
                <w:lang w:val="en-US" w:eastAsia="zh-CN"/>
              </w:rPr>
              <w:t>1、</w:t>
            </w:r>
            <w:r>
              <w:rPr>
                <w:rFonts w:hint="eastAsia" w:ascii="宋体" w:hAnsi="宋体" w:cs="宋体"/>
                <w:color w:val="auto"/>
                <w:lang w:val="en-US" w:eastAsia="zh-CN"/>
              </w:rPr>
              <w:t>物资、</w:t>
            </w:r>
            <w:r>
              <w:rPr>
                <w:rFonts w:hint="eastAsia" w:ascii="宋体" w:hAnsi="宋体" w:eastAsia="宋体" w:cs="宋体"/>
                <w:color w:val="auto"/>
                <w:lang w:val="en-US" w:eastAsia="zh-CN"/>
              </w:rPr>
              <w:t>设备、工具齐全，数量充足，能充分满足项目需求，得</w:t>
            </w:r>
            <w:r>
              <w:rPr>
                <w:rFonts w:hint="eastAsia" w:ascii="宋体" w:hAnsi="宋体" w:cs="宋体"/>
                <w:color w:val="auto"/>
                <w:lang w:val="en-US" w:eastAsia="zh-CN"/>
              </w:rPr>
              <w:t>5</w:t>
            </w:r>
            <w:r>
              <w:rPr>
                <w:rFonts w:hint="eastAsia" w:ascii="宋体" w:hAnsi="宋体" w:eastAsia="宋体" w:cs="宋体"/>
                <w:color w:val="auto"/>
                <w:lang w:val="en-US" w:eastAsia="zh-CN"/>
              </w:rPr>
              <w:t xml:space="preserve">分； </w:t>
            </w:r>
          </w:p>
          <w:p w14:paraId="41980597">
            <w:pPr>
              <w:spacing w:line="440" w:lineRule="exact"/>
              <w:ind w:firstLine="420"/>
              <w:rPr>
                <w:rFonts w:hint="eastAsia" w:ascii="宋体" w:hAnsi="宋体" w:eastAsia="宋体" w:cs="宋体"/>
                <w:color w:val="auto"/>
                <w:lang w:val="en-US" w:eastAsia="zh-CN"/>
              </w:rPr>
            </w:pPr>
            <w:r>
              <w:rPr>
                <w:rFonts w:hint="eastAsia" w:ascii="宋体" w:hAnsi="宋体" w:eastAsia="宋体" w:cs="宋体"/>
                <w:color w:val="auto"/>
                <w:lang w:val="en-US" w:eastAsia="zh-CN"/>
              </w:rPr>
              <w:t>2、</w:t>
            </w:r>
            <w:r>
              <w:rPr>
                <w:rFonts w:hint="eastAsia" w:ascii="宋体" w:hAnsi="宋体" w:cs="宋体"/>
                <w:color w:val="auto"/>
                <w:lang w:val="en-US" w:eastAsia="zh-CN"/>
              </w:rPr>
              <w:t>物资、</w:t>
            </w:r>
            <w:r>
              <w:rPr>
                <w:rFonts w:hint="eastAsia" w:ascii="宋体" w:hAnsi="宋体" w:eastAsia="宋体" w:cs="宋体"/>
                <w:color w:val="auto"/>
                <w:lang w:val="en-US" w:eastAsia="zh-CN"/>
              </w:rPr>
              <w:t>设备、工具及数量基本能满足项目需求，得</w:t>
            </w:r>
            <w:r>
              <w:rPr>
                <w:rFonts w:hint="eastAsia" w:ascii="宋体" w:hAnsi="宋体" w:cs="宋体"/>
                <w:color w:val="auto"/>
                <w:lang w:val="en-US" w:eastAsia="zh-CN"/>
              </w:rPr>
              <w:t>3</w:t>
            </w:r>
            <w:r>
              <w:rPr>
                <w:rFonts w:hint="eastAsia" w:ascii="宋体" w:hAnsi="宋体" w:eastAsia="宋体" w:cs="宋体"/>
                <w:color w:val="auto"/>
                <w:lang w:val="en-US" w:eastAsia="zh-CN"/>
              </w:rPr>
              <w:t>分；</w:t>
            </w:r>
          </w:p>
          <w:p w14:paraId="196032BB">
            <w:pPr>
              <w:spacing w:line="440" w:lineRule="exact"/>
              <w:ind w:firstLine="42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val="en-US" w:eastAsia="zh-CN"/>
              </w:rPr>
              <w:t>3、</w:t>
            </w:r>
            <w:r>
              <w:rPr>
                <w:rFonts w:hint="eastAsia" w:ascii="宋体" w:hAnsi="宋体" w:cs="宋体"/>
                <w:color w:val="auto"/>
                <w:lang w:val="en-US" w:eastAsia="zh-CN"/>
              </w:rPr>
              <w:t>物资、</w:t>
            </w:r>
            <w:r>
              <w:rPr>
                <w:rFonts w:hint="eastAsia" w:ascii="宋体" w:hAnsi="宋体" w:eastAsia="宋体" w:cs="宋体"/>
                <w:color w:val="auto"/>
                <w:lang w:val="en-US" w:eastAsia="zh-CN"/>
              </w:rPr>
              <w:t>设备、工具及数量明显不能满足项目需求，得1分。</w:t>
            </w:r>
          </w:p>
        </w:tc>
      </w:tr>
      <w:tr w14:paraId="38AC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260" w:type="dxa"/>
            <w:gridSpan w:val="2"/>
            <w:tcBorders>
              <w:top w:val="single" w:color="auto" w:sz="4" w:space="0"/>
              <w:left w:val="single" w:color="auto" w:sz="4" w:space="0"/>
              <w:bottom w:val="single" w:color="auto" w:sz="4" w:space="0"/>
              <w:right w:val="single" w:color="auto" w:sz="4" w:space="0"/>
            </w:tcBorders>
          </w:tcPr>
          <w:p w14:paraId="1062E1E2">
            <w:pPr>
              <w:spacing w:line="440" w:lineRule="exact"/>
              <w:ind w:right="-134" w:rightChars="-64"/>
              <w:jc w:val="center"/>
              <w:rPr>
                <w:rFonts w:ascii="宋体" w:hAnsi="宋体"/>
                <w:b/>
                <w:szCs w:val="21"/>
                <w:highlight w:val="none"/>
              </w:rPr>
            </w:pPr>
            <w:r>
              <w:rPr>
                <w:rFonts w:hint="eastAsia" w:ascii="宋体" w:hAnsi="宋体"/>
                <w:b/>
                <w:sz w:val="20"/>
                <w:szCs w:val="20"/>
                <w:highlight w:val="none"/>
              </w:rPr>
              <w:t>条款号</w:t>
            </w:r>
          </w:p>
        </w:tc>
        <w:tc>
          <w:tcPr>
            <w:tcW w:w="1583" w:type="dxa"/>
            <w:tcBorders>
              <w:top w:val="single" w:color="auto" w:sz="4" w:space="0"/>
              <w:left w:val="single" w:color="auto" w:sz="4" w:space="0"/>
              <w:bottom w:val="single" w:color="auto" w:sz="4" w:space="0"/>
              <w:right w:val="single" w:color="auto" w:sz="4" w:space="0"/>
            </w:tcBorders>
            <w:vAlign w:val="center"/>
          </w:tcPr>
          <w:p w14:paraId="153AD2A9">
            <w:pPr>
              <w:spacing w:line="440" w:lineRule="exact"/>
              <w:jc w:val="center"/>
              <w:rPr>
                <w:rFonts w:ascii="宋体" w:hAnsi="宋体"/>
                <w:b/>
                <w:szCs w:val="21"/>
                <w:highlight w:val="none"/>
              </w:rPr>
            </w:pPr>
            <w:r>
              <w:rPr>
                <w:rFonts w:hint="eastAsia" w:ascii="宋体" w:hAnsi="宋体"/>
                <w:b/>
                <w:szCs w:val="21"/>
                <w:highlight w:val="none"/>
              </w:rPr>
              <w:t>条款内容</w:t>
            </w:r>
          </w:p>
        </w:tc>
        <w:tc>
          <w:tcPr>
            <w:tcW w:w="5437" w:type="dxa"/>
            <w:gridSpan w:val="2"/>
            <w:tcBorders>
              <w:top w:val="single" w:color="auto" w:sz="4" w:space="0"/>
              <w:left w:val="single" w:color="auto" w:sz="4" w:space="0"/>
              <w:bottom w:val="single" w:color="auto" w:sz="4" w:space="0"/>
              <w:right w:val="single" w:color="auto" w:sz="4" w:space="0"/>
            </w:tcBorders>
            <w:vAlign w:val="center"/>
          </w:tcPr>
          <w:p w14:paraId="7547BB1C">
            <w:pPr>
              <w:spacing w:line="440" w:lineRule="exact"/>
              <w:jc w:val="center"/>
              <w:rPr>
                <w:rFonts w:ascii="宋体" w:hAnsi="宋体"/>
                <w:b/>
                <w:szCs w:val="21"/>
                <w:highlight w:val="none"/>
              </w:rPr>
            </w:pPr>
            <w:r>
              <w:rPr>
                <w:rFonts w:hint="eastAsia" w:ascii="宋体" w:hAnsi="宋体"/>
                <w:b/>
                <w:szCs w:val="21"/>
                <w:highlight w:val="none"/>
              </w:rPr>
              <w:t>编列内容</w:t>
            </w:r>
          </w:p>
        </w:tc>
      </w:tr>
      <w:tr w14:paraId="4EE02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1260" w:type="dxa"/>
            <w:gridSpan w:val="2"/>
            <w:tcBorders>
              <w:top w:val="single" w:color="auto" w:sz="4" w:space="0"/>
              <w:left w:val="single" w:color="auto" w:sz="4" w:space="0"/>
              <w:bottom w:val="single" w:color="auto" w:sz="4" w:space="0"/>
              <w:right w:val="single" w:color="auto" w:sz="4" w:space="0"/>
            </w:tcBorders>
            <w:vAlign w:val="center"/>
          </w:tcPr>
          <w:p w14:paraId="378D28E0">
            <w:pPr>
              <w:spacing w:line="440" w:lineRule="exact"/>
              <w:jc w:val="center"/>
              <w:rPr>
                <w:rFonts w:ascii="宋体" w:hAnsi="宋体"/>
                <w:szCs w:val="21"/>
                <w:highlight w:val="none"/>
              </w:rPr>
            </w:pPr>
            <w:r>
              <w:rPr>
                <w:rFonts w:hint="eastAsia" w:ascii="宋体" w:hAnsi="宋体"/>
                <w:szCs w:val="21"/>
                <w:highlight w:val="none"/>
              </w:rPr>
              <w:t>3.4.2</w:t>
            </w:r>
          </w:p>
        </w:tc>
        <w:tc>
          <w:tcPr>
            <w:tcW w:w="1583" w:type="dxa"/>
            <w:tcBorders>
              <w:top w:val="single" w:color="auto" w:sz="4" w:space="0"/>
              <w:left w:val="single" w:color="auto" w:sz="4" w:space="0"/>
              <w:bottom w:val="single" w:color="auto" w:sz="4" w:space="0"/>
              <w:right w:val="single" w:color="auto" w:sz="4" w:space="0"/>
            </w:tcBorders>
            <w:vAlign w:val="center"/>
          </w:tcPr>
          <w:p w14:paraId="4252E2B9">
            <w:pPr>
              <w:spacing w:line="440" w:lineRule="exact"/>
              <w:jc w:val="center"/>
              <w:rPr>
                <w:rFonts w:ascii="宋体" w:hAnsi="宋体"/>
                <w:szCs w:val="21"/>
                <w:highlight w:val="none"/>
              </w:rPr>
            </w:pPr>
            <w:r>
              <w:rPr>
                <w:rFonts w:hint="eastAsia" w:ascii="宋体" w:hAnsi="宋体"/>
                <w:szCs w:val="21"/>
                <w:highlight w:val="none"/>
              </w:rPr>
              <w:t>评标报告</w:t>
            </w:r>
          </w:p>
          <w:p w14:paraId="348181E4">
            <w:pPr>
              <w:spacing w:line="440" w:lineRule="exact"/>
              <w:jc w:val="center"/>
              <w:rPr>
                <w:rFonts w:ascii="宋体" w:hAnsi="宋体"/>
                <w:szCs w:val="21"/>
                <w:highlight w:val="none"/>
              </w:rPr>
            </w:pPr>
            <w:r>
              <w:rPr>
                <w:rFonts w:hint="eastAsia" w:ascii="宋体" w:hAnsi="宋体"/>
                <w:szCs w:val="21"/>
                <w:highlight w:val="none"/>
              </w:rPr>
              <w:t>（样本）</w:t>
            </w:r>
          </w:p>
        </w:tc>
        <w:tc>
          <w:tcPr>
            <w:tcW w:w="5437" w:type="dxa"/>
            <w:gridSpan w:val="2"/>
            <w:tcBorders>
              <w:top w:val="single" w:color="auto" w:sz="4" w:space="0"/>
              <w:left w:val="single" w:color="auto" w:sz="4" w:space="0"/>
              <w:bottom w:val="single" w:color="auto" w:sz="4" w:space="0"/>
              <w:right w:val="single" w:color="auto" w:sz="4" w:space="0"/>
            </w:tcBorders>
            <w:vAlign w:val="center"/>
          </w:tcPr>
          <w:p w14:paraId="0CD74E15">
            <w:pPr>
              <w:spacing w:line="440" w:lineRule="exact"/>
              <w:jc w:val="center"/>
              <w:rPr>
                <w:rFonts w:ascii="宋体" w:hAnsi="宋体"/>
                <w:szCs w:val="21"/>
                <w:highlight w:val="none"/>
              </w:rPr>
            </w:pPr>
            <w:r>
              <w:rPr>
                <w:rFonts w:hint="eastAsia" w:ascii="宋体" w:hAnsi="宋体"/>
                <w:szCs w:val="21"/>
                <w:highlight w:val="none"/>
              </w:rPr>
              <w:t>评标委员会应参照评标报告样本编制评标报告。</w:t>
            </w:r>
          </w:p>
          <w:p w14:paraId="5D48522D">
            <w:pPr>
              <w:spacing w:line="440" w:lineRule="exact"/>
              <w:jc w:val="center"/>
              <w:rPr>
                <w:rFonts w:ascii="宋体" w:hAnsi="宋体"/>
                <w:szCs w:val="21"/>
                <w:highlight w:val="none"/>
              </w:rPr>
            </w:pPr>
            <w:r>
              <w:rPr>
                <w:rFonts w:hint="eastAsia" w:ascii="宋体" w:hAnsi="宋体"/>
                <w:szCs w:val="21"/>
                <w:highlight w:val="none"/>
              </w:rPr>
              <w:t>内容详见本章附件B：评标报告（样本）</w:t>
            </w:r>
          </w:p>
        </w:tc>
      </w:tr>
    </w:tbl>
    <w:p w14:paraId="064AF956">
      <w:pPr>
        <w:spacing w:line="400" w:lineRule="exact"/>
        <w:rPr>
          <w:rFonts w:ascii="宋体" w:hAnsi="宋体"/>
          <w:highlight w:val="none"/>
        </w:rPr>
      </w:pPr>
    </w:p>
    <w:p w14:paraId="6A97DE57">
      <w:pPr>
        <w:spacing w:line="400" w:lineRule="exact"/>
        <w:rPr>
          <w:rFonts w:ascii="宋体" w:hAnsi="宋体"/>
          <w:highlight w:val="none"/>
        </w:rPr>
      </w:pPr>
    </w:p>
    <w:p w14:paraId="2B985717">
      <w:pPr>
        <w:pStyle w:val="3"/>
        <w:outlineLvl w:val="1"/>
        <w:rPr>
          <w:rFonts w:ascii="宋体" w:hAnsi="宋体" w:eastAsia="宋体"/>
          <w:highlight w:val="none"/>
        </w:rPr>
      </w:pPr>
      <w:bookmarkStart w:id="562" w:name="_Toc144974567"/>
      <w:bookmarkStart w:id="563" w:name="_Toc494526412"/>
      <w:bookmarkStart w:id="564" w:name="_Toc494093440"/>
      <w:bookmarkStart w:id="565" w:name="_Toc346523414"/>
      <w:bookmarkStart w:id="566" w:name="_Toc152042377"/>
      <w:bookmarkStart w:id="567" w:name="_Toc179632618"/>
      <w:bookmarkStart w:id="568" w:name="_Toc338840454"/>
      <w:bookmarkStart w:id="569" w:name="_Toc346523477"/>
      <w:bookmarkStart w:id="570" w:name="_Toc338840493"/>
      <w:bookmarkStart w:id="571" w:name="_Toc246996986"/>
      <w:bookmarkStart w:id="572" w:name="_Toc246996243"/>
      <w:bookmarkStart w:id="573" w:name="_Toc247085758"/>
      <w:bookmarkStart w:id="574" w:name="_Toc338840239"/>
      <w:bookmarkStart w:id="575" w:name="_Toc152045600"/>
      <w:r>
        <w:rPr>
          <w:rFonts w:hint="eastAsia" w:ascii="宋体" w:hAnsi="宋体" w:eastAsia="宋体"/>
          <w:highlight w:val="none"/>
        </w:rPr>
        <w:br w:type="page"/>
      </w:r>
      <w:bookmarkStart w:id="576" w:name="_Toc5999"/>
      <w:bookmarkStart w:id="577" w:name="_Toc25996"/>
      <w:bookmarkStart w:id="578" w:name="_Toc30330"/>
      <w:bookmarkStart w:id="579" w:name="_Toc5190"/>
      <w:bookmarkStart w:id="580" w:name="_Toc9899"/>
      <w:bookmarkStart w:id="581" w:name="_Toc8134"/>
      <w:r>
        <w:rPr>
          <w:rFonts w:hint="eastAsia" w:ascii="宋体" w:hAnsi="宋体" w:eastAsia="宋体"/>
          <w:highlight w:val="none"/>
        </w:rPr>
        <w:t>1. 评标方法</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D8DFBAD">
      <w:pPr>
        <w:spacing w:line="400" w:lineRule="exact"/>
        <w:ind w:firstLine="420" w:firstLineChars="200"/>
        <w:rPr>
          <w:rFonts w:ascii="宋体" w:hAnsi="宋体"/>
          <w:highlight w:val="none"/>
        </w:rPr>
      </w:pPr>
      <w:r>
        <w:rPr>
          <w:rFonts w:hint="eastAsia" w:ascii="宋体" w:hAnsi="宋体"/>
          <w:highlight w:val="none"/>
        </w:rPr>
        <w:t>本次评标采用的评标方法见评标办法前附表。投标文件是评委评审的直接依据，评标委员会按照公平、公正、科学、择优的评标原则，对满足招标文件实质性要求的投标文件，按照本章有关规定进行评审，并推荐中标候选人，或根据采购人授权直接确定中标人，但投标报价低于其成本的除外。</w:t>
      </w:r>
    </w:p>
    <w:p w14:paraId="7F574DD1">
      <w:pPr>
        <w:pStyle w:val="3"/>
        <w:outlineLvl w:val="1"/>
        <w:rPr>
          <w:rFonts w:ascii="宋体" w:hAnsi="宋体" w:eastAsia="宋体"/>
          <w:highlight w:val="none"/>
        </w:rPr>
      </w:pPr>
      <w:bookmarkStart w:id="582" w:name="_Toc25915"/>
      <w:bookmarkStart w:id="583" w:name="_Toc5539"/>
      <w:bookmarkStart w:id="584" w:name="_Toc246996244"/>
      <w:bookmarkStart w:id="585" w:name="_Toc346523478"/>
      <w:bookmarkStart w:id="586" w:name="_Toc508"/>
      <w:bookmarkStart w:id="587" w:name="_Toc26043"/>
      <w:bookmarkStart w:id="588" w:name="_Toc247085759"/>
      <w:bookmarkStart w:id="589" w:name="_Toc10387"/>
      <w:bookmarkStart w:id="590" w:name="_Toc338840240"/>
      <w:bookmarkStart w:id="591" w:name="_Toc338840455"/>
      <w:bookmarkStart w:id="592" w:name="_Toc346523415"/>
      <w:bookmarkStart w:id="593" w:name="_Toc152042378"/>
      <w:bookmarkStart w:id="594" w:name="_Toc494526413"/>
      <w:bookmarkStart w:id="595" w:name="_Toc152045601"/>
      <w:bookmarkStart w:id="596" w:name="_Toc144974568"/>
      <w:bookmarkStart w:id="597" w:name="_Toc179632619"/>
      <w:bookmarkStart w:id="598" w:name="_Toc246996987"/>
      <w:bookmarkStart w:id="599" w:name="_Toc27676"/>
      <w:bookmarkStart w:id="600" w:name="_Toc338840494"/>
      <w:bookmarkStart w:id="601" w:name="_Toc494093441"/>
      <w:r>
        <w:rPr>
          <w:rFonts w:hint="eastAsia" w:ascii="宋体" w:hAnsi="宋体" w:eastAsia="宋体"/>
          <w:highlight w:val="none"/>
        </w:rPr>
        <w:t>2. 评审标准</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338BDFE7">
      <w:pPr>
        <w:pStyle w:val="4"/>
        <w:outlineLvl w:val="2"/>
        <w:rPr>
          <w:rFonts w:ascii="宋体" w:hAnsi="宋体"/>
          <w:highlight w:val="none"/>
        </w:rPr>
      </w:pPr>
      <w:bookmarkStart w:id="602" w:name="_Toc152042379"/>
      <w:bookmarkStart w:id="603" w:name="_Toc144974569"/>
      <w:bookmarkStart w:id="604" w:name="_Toc246996245"/>
      <w:bookmarkStart w:id="605" w:name="_Toc246996988"/>
      <w:bookmarkStart w:id="606" w:name="_Toc179632620"/>
      <w:bookmarkStart w:id="607" w:name="_Toc152045602"/>
      <w:bookmarkStart w:id="608" w:name="_Toc247085760"/>
      <w:bookmarkStart w:id="609" w:name="_Toc338840241"/>
      <w:r>
        <w:rPr>
          <w:rFonts w:hint="eastAsia" w:ascii="宋体" w:hAnsi="宋体"/>
          <w:highlight w:val="none"/>
        </w:rPr>
        <w:t>2.1 初步评审标准</w:t>
      </w:r>
      <w:bookmarkEnd w:id="602"/>
      <w:bookmarkEnd w:id="603"/>
      <w:bookmarkEnd w:id="604"/>
      <w:bookmarkEnd w:id="605"/>
      <w:bookmarkEnd w:id="606"/>
      <w:bookmarkEnd w:id="607"/>
      <w:bookmarkEnd w:id="608"/>
      <w:bookmarkEnd w:id="609"/>
    </w:p>
    <w:p w14:paraId="001D961E">
      <w:pPr>
        <w:spacing w:line="400" w:lineRule="exact"/>
        <w:ind w:firstLine="420" w:firstLineChars="200"/>
        <w:rPr>
          <w:rFonts w:ascii="宋体" w:hAnsi="宋体"/>
          <w:highlight w:val="none"/>
        </w:rPr>
      </w:pPr>
      <w:r>
        <w:rPr>
          <w:rFonts w:hint="eastAsia" w:ascii="宋体" w:hAnsi="宋体"/>
          <w:highlight w:val="none"/>
        </w:rPr>
        <w:t>2.1.1资格审查：见评标办法前附表。</w:t>
      </w:r>
    </w:p>
    <w:p w14:paraId="67F5E455">
      <w:pPr>
        <w:spacing w:line="400" w:lineRule="exact"/>
        <w:ind w:firstLine="420" w:firstLineChars="200"/>
        <w:rPr>
          <w:rFonts w:ascii="宋体" w:hAnsi="宋体"/>
          <w:highlight w:val="none"/>
        </w:rPr>
      </w:pPr>
      <w:r>
        <w:rPr>
          <w:rFonts w:hint="eastAsia" w:ascii="宋体" w:hAnsi="宋体"/>
          <w:highlight w:val="none"/>
        </w:rPr>
        <w:t>2.1.2符合性审查：见评标办法前附表。</w:t>
      </w:r>
    </w:p>
    <w:p w14:paraId="2BF92689">
      <w:pPr>
        <w:pStyle w:val="4"/>
        <w:outlineLvl w:val="2"/>
        <w:rPr>
          <w:rFonts w:ascii="宋体" w:hAnsi="宋体"/>
          <w:highlight w:val="none"/>
        </w:rPr>
      </w:pPr>
      <w:r>
        <w:rPr>
          <w:rFonts w:hint="eastAsia" w:ascii="宋体" w:hAnsi="宋体"/>
          <w:highlight w:val="none"/>
        </w:rPr>
        <w:t>2.2 详细评审标准（分值构成和评分标准）</w:t>
      </w:r>
    </w:p>
    <w:p w14:paraId="0C18425B">
      <w:pPr>
        <w:spacing w:line="400" w:lineRule="exact"/>
        <w:ind w:firstLine="420" w:firstLineChars="200"/>
        <w:outlineLvl w:val="3"/>
        <w:rPr>
          <w:rFonts w:ascii="宋体" w:hAnsi="宋体"/>
          <w:highlight w:val="none"/>
        </w:rPr>
      </w:pPr>
      <w:r>
        <w:rPr>
          <w:rFonts w:hint="eastAsia" w:ascii="宋体" w:hAnsi="宋体"/>
          <w:highlight w:val="none"/>
        </w:rPr>
        <w:t>2.2.1分值构成：见评标办法前附表。</w:t>
      </w:r>
    </w:p>
    <w:p w14:paraId="0754B16A">
      <w:pPr>
        <w:spacing w:line="400" w:lineRule="exact"/>
        <w:ind w:firstLine="420" w:firstLineChars="200"/>
        <w:rPr>
          <w:rFonts w:ascii="宋体" w:hAnsi="宋体"/>
          <w:highlight w:val="none"/>
        </w:rPr>
      </w:pPr>
      <w:r>
        <w:rPr>
          <w:rFonts w:hint="eastAsia" w:ascii="宋体" w:hAnsi="宋体"/>
          <w:highlight w:val="none"/>
        </w:rPr>
        <w:t>2.2.2</w:t>
      </w:r>
      <w:r>
        <w:rPr>
          <w:rFonts w:hint="eastAsia" w:ascii="宋体" w:hAnsi="宋体" w:cs="宋体"/>
          <w:szCs w:val="21"/>
          <w:highlight w:val="none"/>
        </w:rPr>
        <w:t>小型微型企业、监狱企业、残疾人福利性单位</w:t>
      </w:r>
      <w:r>
        <w:rPr>
          <w:rFonts w:hint="eastAsia" w:ascii="宋体" w:hAnsi="宋体"/>
          <w:highlight w:val="none"/>
        </w:rPr>
        <w:t>：见评标办法前附表。</w:t>
      </w:r>
    </w:p>
    <w:p w14:paraId="6AE36D93">
      <w:pPr>
        <w:spacing w:line="400" w:lineRule="exact"/>
        <w:ind w:firstLine="420" w:firstLineChars="200"/>
        <w:rPr>
          <w:rFonts w:ascii="宋体" w:hAnsi="宋体"/>
          <w:highlight w:val="none"/>
        </w:rPr>
      </w:pPr>
      <w:r>
        <w:rPr>
          <w:rFonts w:hint="eastAsia" w:ascii="宋体" w:hAnsi="宋体"/>
          <w:highlight w:val="none"/>
        </w:rPr>
        <w:t>2.2.3投标报价：见评标办法前附表。</w:t>
      </w:r>
    </w:p>
    <w:p w14:paraId="707B5566">
      <w:pPr>
        <w:spacing w:line="400" w:lineRule="exact"/>
        <w:ind w:firstLine="420" w:firstLineChars="200"/>
        <w:rPr>
          <w:rFonts w:ascii="宋体" w:hAnsi="宋体"/>
          <w:highlight w:val="none"/>
        </w:rPr>
      </w:pPr>
      <w:r>
        <w:rPr>
          <w:rFonts w:hint="eastAsia" w:ascii="宋体" w:hAnsi="宋体"/>
          <w:highlight w:val="none"/>
        </w:rPr>
        <w:t>2.2.4商务评审内容：见评标办法前附表。</w:t>
      </w:r>
    </w:p>
    <w:p w14:paraId="781BDB15">
      <w:pPr>
        <w:spacing w:line="400" w:lineRule="exact"/>
        <w:ind w:firstLine="420" w:firstLineChars="200"/>
        <w:rPr>
          <w:rFonts w:ascii="宋体" w:hAnsi="宋体"/>
          <w:highlight w:val="none"/>
        </w:rPr>
      </w:pPr>
      <w:r>
        <w:rPr>
          <w:rFonts w:hint="eastAsia" w:ascii="宋体" w:hAnsi="宋体"/>
          <w:highlight w:val="none"/>
        </w:rPr>
        <w:t>2.2.5技术评审内容：见评标办法前附表。</w:t>
      </w:r>
    </w:p>
    <w:p w14:paraId="158E2A42">
      <w:pPr>
        <w:spacing w:line="400" w:lineRule="exact"/>
        <w:ind w:firstLine="420" w:firstLineChars="200"/>
        <w:rPr>
          <w:rFonts w:ascii="宋体" w:hAnsi="宋体"/>
          <w:highlight w:val="none"/>
        </w:rPr>
      </w:pPr>
      <w:r>
        <w:rPr>
          <w:rFonts w:hint="eastAsia" w:ascii="宋体" w:hAnsi="宋体"/>
          <w:highlight w:val="none"/>
        </w:rPr>
        <w:t>2.2.6其他评审内容：见评标办法前附表。</w:t>
      </w:r>
    </w:p>
    <w:p w14:paraId="0E65D9FA">
      <w:pPr>
        <w:pStyle w:val="3"/>
        <w:outlineLvl w:val="1"/>
        <w:rPr>
          <w:rFonts w:ascii="宋体" w:hAnsi="宋体" w:eastAsia="宋体"/>
          <w:highlight w:val="none"/>
        </w:rPr>
      </w:pPr>
      <w:bookmarkStart w:id="610" w:name="_Toc247085762"/>
      <w:bookmarkStart w:id="611" w:name="_Toc346523416"/>
      <w:bookmarkStart w:id="612" w:name="_Toc152042381"/>
      <w:bookmarkStart w:id="613" w:name="_Toc4794"/>
      <w:bookmarkStart w:id="614" w:name="_Toc246996247"/>
      <w:bookmarkStart w:id="615" w:name="_Toc494093442"/>
      <w:bookmarkStart w:id="616" w:name="_Toc30064"/>
      <w:bookmarkStart w:id="617" w:name="_Toc246996990"/>
      <w:bookmarkStart w:id="618" w:name="_Toc338840243"/>
      <w:bookmarkStart w:id="619" w:name="_Toc338840495"/>
      <w:bookmarkStart w:id="620" w:name="_Toc338840456"/>
      <w:bookmarkStart w:id="621" w:name="_Toc24841"/>
      <w:bookmarkStart w:id="622" w:name="_Toc494526414"/>
      <w:bookmarkStart w:id="623" w:name="_Toc2541"/>
      <w:bookmarkStart w:id="624" w:name="_Toc346523479"/>
      <w:bookmarkStart w:id="625" w:name="_Toc22953"/>
      <w:bookmarkStart w:id="626" w:name="_Toc16714"/>
      <w:bookmarkStart w:id="627" w:name="_Toc152045604"/>
      <w:bookmarkStart w:id="628" w:name="_Toc144974571"/>
      <w:bookmarkStart w:id="629" w:name="_Toc179632622"/>
      <w:r>
        <w:rPr>
          <w:rFonts w:hint="eastAsia" w:ascii="宋体" w:hAnsi="宋体" w:eastAsia="宋体"/>
          <w:highlight w:val="none"/>
        </w:rPr>
        <w:t>3. 评标程序</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395DB922">
      <w:pPr>
        <w:pStyle w:val="4"/>
        <w:outlineLvl w:val="2"/>
        <w:rPr>
          <w:rFonts w:ascii="宋体" w:hAnsi="宋体"/>
          <w:highlight w:val="none"/>
        </w:rPr>
      </w:pPr>
      <w:bookmarkStart w:id="630" w:name="_Toc247085763"/>
      <w:bookmarkStart w:id="631" w:name="_Toc338840244"/>
      <w:bookmarkStart w:id="632" w:name="_Toc144974572"/>
      <w:bookmarkStart w:id="633" w:name="_Toc246996991"/>
      <w:bookmarkStart w:id="634" w:name="_Toc152042382"/>
      <w:bookmarkStart w:id="635" w:name="_Toc246996248"/>
      <w:bookmarkStart w:id="636" w:name="_Toc152045605"/>
      <w:bookmarkStart w:id="637" w:name="_Toc179632623"/>
      <w:r>
        <w:rPr>
          <w:rFonts w:hint="eastAsia" w:ascii="宋体" w:hAnsi="宋体"/>
          <w:highlight w:val="none"/>
        </w:rPr>
        <w:t>3.1 初步评审</w:t>
      </w:r>
      <w:bookmarkEnd w:id="630"/>
      <w:bookmarkEnd w:id="631"/>
      <w:bookmarkEnd w:id="632"/>
      <w:bookmarkEnd w:id="633"/>
      <w:bookmarkEnd w:id="634"/>
      <w:bookmarkEnd w:id="635"/>
      <w:bookmarkEnd w:id="636"/>
      <w:bookmarkEnd w:id="637"/>
    </w:p>
    <w:p w14:paraId="5F4BCC7F">
      <w:pPr>
        <w:spacing w:line="400" w:lineRule="exact"/>
        <w:ind w:firstLine="420" w:firstLineChars="200"/>
        <w:rPr>
          <w:rFonts w:ascii="宋体" w:hAnsi="宋体"/>
          <w:highlight w:val="none"/>
        </w:rPr>
      </w:pPr>
      <w:r>
        <w:rPr>
          <w:rFonts w:hint="eastAsia" w:ascii="宋体" w:hAnsi="宋体"/>
          <w:highlight w:val="none"/>
        </w:rPr>
        <w:t>3.1.1依据本章第2.1款规定的标准对投标文件进行初步评审。有一项不符合资格审查和符合性审查要求的，为无效投标。</w:t>
      </w:r>
    </w:p>
    <w:p w14:paraId="5C22FB2A">
      <w:pPr>
        <w:spacing w:line="400" w:lineRule="exact"/>
        <w:ind w:firstLine="420" w:firstLineChars="200"/>
        <w:rPr>
          <w:rFonts w:ascii="宋体" w:hAnsi="宋体"/>
          <w:highlight w:val="none"/>
        </w:rPr>
      </w:pPr>
      <w:r>
        <w:rPr>
          <w:rFonts w:hint="eastAsia" w:ascii="宋体" w:hAnsi="宋体"/>
          <w:highlight w:val="none"/>
        </w:rPr>
        <w:t>3.1.2 供应商符合“无效投标条件”的，评标委员会应当否决其投标；</w:t>
      </w:r>
    </w:p>
    <w:p w14:paraId="3122C0B8">
      <w:pPr>
        <w:spacing w:line="400" w:lineRule="exact"/>
        <w:ind w:firstLine="420" w:firstLineChars="200"/>
        <w:outlineLvl w:val="3"/>
        <w:rPr>
          <w:rFonts w:ascii="宋体" w:hAnsi="宋体"/>
          <w:highlight w:val="none"/>
        </w:rPr>
      </w:pPr>
      <w:r>
        <w:rPr>
          <w:rFonts w:hint="eastAsia" w:ascii="宋体" w:hAnsi="宋体"/>
          <w:highlight w:val="none"/>
        </w:rPr>
        <w:t>3.1.3投标文件报价出现前后不一致的，按照下列规定修正：</w:t>
      </w:r>
    </w:p>
    <w:p w14:paraId="1A87F2F2">
      <w:pPr>
        <w:spacing w:line="400" w:lineRule="exact"/>
        <w:ind w:firstLine="420" w:firstLineChars="200"/>
        <w:rPr>
          <w:rFonts w:ascii="宋体" w:hAnsi="宋体"/>
          <w:highlight w:val="none"/>
        </w:rPr>
      </w:pPr>
      <w:r>
        <w:rPr>
          <w:rFonts w:hint="eastAsia" w:ascii="宋体" w:hAnsi="宋体"/>
          <w:highlight w:val="none"/>
        </w:rPr>
        <w:t>　　（1）投标文件中投标函内容与投标文件中相应内容不一致的，以投标函为准；</w:t>
      </w:r>
    </w:p>
    <w:p w14:paraId="74E50614">
      <w:pPr>
        <w:spacing w:line="400" w:lineRule="exact"/>
        <w:ind w:firstLine="420" w:firstLineChars="200"/>
        <w:outlineLvl w:val="4"/>
        <w:rPr>
          <w:rFonts w:ascii="宋体" w:hAnsi="宋体"/>
          <w:highlight w:val="none"/>
        </w:rPr>
      </w:pPr>
      <w:r>
        <w:rPr>
          <w:rFonts w:hint="eastAsia" w:ascii="宋体" w:hAnsi="宋体"/>
          <w:highlight w:val="none"/>
        </w:rPr>
        <w:t>　　（2）大写金额和小写金额不一致的，以大写金额为准；</w:t>
      </w:r>
    </w:p>
    <w:p w14:paraId="6469A01C">
      <w:pPr>
        <w:spacing w:line="400" w:lineRule="exact"/>
        <w:ind w:firstLine="420" w:firstLineChars="200"/>
        <w:rPr>
          <w:rFonts w:ascii="宋体" w:hAnsi="宋体"/>
          <w:highlight w:val="none"/>
        </w:rPr>
      </w:pPr>
      <w:r>
        <w:rPr>
          <w:rFonts w:hint="eastAsia" w:ascii="宋体" w:hAnsi="宋体"/>
          <w:highlight w:val="none"/>
        </w:rPr>
        <w:t>　　（3）单价金额小数点或者百分比有明显错位的，以投标函的总价为准，并修改单价；</w:t>
      </w:r>
    </w:p>
    <w:p w14:paraId="5C5C3E8F">
      <w:pPr>
        <w:spacing w:line="400" w:lineRule="exact"/>
        <w:ind w:firstLine="420" w:firstLineChars="200"/>
        <w:rPr>
          <w:rFonts w:ascii="宋体" w:hAnsi="宋体"/>
          <w:highlight w:val="none"/>
        </w:rPr>
      </w:pPr>
      <w:r>
        <w:rPr>
          <w:rFonts w:hint="eastAsia" w:ascii="宋体" w:hAnsi="宋体"/>
          <w:highlight w:val="none"/>
        </w:rPr>
        <w:t>　　（4）总价金额与按单价汇总金额不一致的，以单价金额计算结果为准。</w:t>
      </w:r>
    </w:p>
    <w:p w14:paraId="72D08E3E">
      <w:pPr>
        <w:spacing w:line="400" w:lineRule="exact"/>
        <w:ind w:firstLine="420" w:firstLineChars="200"/>
        <w:rPr>
          <w:rFonts w:ascii="宋体" w:hAnsi="宋体"/>
          <w:highlight w:val="none"/>
        </w:rPr>
      </w:pPr>
      <w:r>
        <w:rPr>
          <w:rFonts w:hint="eastAsia" w:ascii="宋体" w:hAnsi="宋体"/>
          <w:highlight w:val="none"/>
        </w:rPr>
        <w:t>同时出现两种以上不一致的，按照前款规定的顺序修正。修正后的报价经供应商确认后产生约束力，供应商不确认的，其投标无效。</w:t>
      </w:r>
    </w:p>
    <w:p w14:paraId="1CE1B40E">
      <w:pPr>
        <w:pStyle w:val="4"/>
        <w:outlineLvl w:val="2"/>
        <w:rPr>
          <w:rFonts w:ascii="宋体" w:hAnsi="宋体"/>
          <w:highlight w:val="none"/>
        </w:rPr>
      </w:pPr>
      <w:bookmarkStart w:id="638" w:name="_Toc338840245"/>
      <w:bookmarkStart w:id="639" w:name="_Toc246996249"/>
      <w:bookmarkStart w:id="640" w:name="_Toc144974573"/>
      <w:bookmarkStart w:id="641" w:name="_Toc152042384"/>
      <w:bookmarkStart w:id="642" w:name="_Toc246996992"/>
      <w:bookmarkStart w:id="643" w:name="_Toc179632624"/>
      <w:bookmarkStart w:id="644" w:name="_Toc152045606"/>
      <w:bookmarkStart w:id="645" w:name="_Toc247085764"/>
      <w:r>
        <w:rPr>
          <w:rFonts w:hint="eastAsia" w:ascii="宋体" w:hAnsi="宋体"/>
          <w:highlight w:val="none"/>
        </w:rPr>
        <w:t>3.2 详细评审</w:t>
      </w:r>
      <w:bookmarkEnd w:id="638"/>
      <w:bookmarkEnd w:id="639"/>
      <w:bookmarkEnd w:id="640"/>
      <w:bookmarkEnd w:id="641"/>
      <w:bookmarkEnd w:id="642"/>
      <w:bookmarkEnd w:id="643"/>
      <w:bookmarkEnd w:id="644"/>
      <w:bookmarkEnd w:id="645"/>
    </w:p>
    <w:p w14:paraId="21C4B051">
      <w:pPr>
        <w:spacing w:line="400" w:lineRule="exact"/>
        <w:ind w:firstLine="420" w:firstLineChars="200"/>
        <w:rPr>
          <w:rFonts w:ascii="宋体" w:hAnsi="宋体"/>
          <w:highlight w:val="none"/>
        </w:rPr>
      </w:pPr>
      <w:r>
        <w:rPr>
          <w:rFonts w:hint="eastAsia" w:ascii="宋体" w:hAnsi="宋体"/>
          <w:highlight w:val="none"/>
        </w:rPr>
        <w:t>3.2.1评标委员会按照规定的量化因素和分值进行评审打分，详见评标办法前附表。</w:t>
      </w:r>
    </w:p>
    <w:p w14:paraId="655B8AE1">
      <w:pPr>
        <w:spacing w:line="400" w:lineRule="exact"/>
        <w:ind w:firstLine="420" w:firstLineChars="200"/>
        <w:rPr>
          <w:rFonts w:ascii="宋体" w:hAnsi="宋体"/>
          <w:highlight w:val="none"/>
        </w:rPr>
      </w:pPr>
      <w:r>
        <w:rPr>
          <w:rFonts w:hint="eastAsia" w:ascii="宋体" w:hAnsi="宋体"/>
          <w:highlight w:val="none"/>
        </w:rPr>
        <w:t>3.2.2评标委员会发现供应商的报价明显低于其他投标报价，</w:t>
      </w:r>
      <w:r>
        <w:rPr>
          <w:rFonts w:hint="eastAsia" w:ascii="宋体" w:hAnsi="宋体"/>
          <w:szCs w:val="21"/>
          <w:highlight w:val="none"/>
        </w:rPr>
        <w:t>影响产品质量或者不能诚信履约的，</w:t>
      </w:r>
      <w:r>
        <w:rPr>
          <w:rFonts w:hint="eastAsia" w:ascii="宋体" w:hAnsi="宋体"/>
          <w:highlight w:val="none"/>
        </w:rPr>
        <w:t>应当要求该供应商在合理的时间内作出书面说明，必要时提供相应的证明材料。供应商不能合理说明或者不能提供相应证明材料的，为无效投标。</w:t>
      </w:r>
    </w:p>
    <w:p w14:paraId="4B1C71F9">
      <w:pPr>
        <w:pStyle w:val="4"/>
        <w:outlineLvl w:val="2"/>
        <w:rPr>
          <w:rFonts w:ascii="宋体" w:hAnsi="宋体"/>
          <w:highlight w:val="none"/>
        </w:rPr>
      </w:pPr>
      <w:bookmarkStart w:id="646" w:name="_Toc144974575"/>
      <w:bookmarkStart w:id="647" w:name="_Toc246996993"/>
      <w:bookmarkStart w:id="648" w:name="_Toc179632625"/>
      <w:bookmarkStart w:id="649" w:name="_Toc246996250"/>
      <w:bookmarkStart w:id="650" w:name="_Toc247085765"/>
      <w:bookmarkStart w:id="651" w:name="_Toc152042385"/>
      <w:bookmarkStart w:id="652" w:name="_Toc152045607"/>
      <w:bookmarkStart w:id="653" w:name="_Toc338840246"/>
      <w:r>
        <w:rPr>
          <w:rFonts w:hint="eastAsia" w:ascii="宋体" w:hAnsi="宋体"/>
          <w:highlight w:val="none"/>
        </w:rPr>
        <w:t>3.3 投标文件的澄清</w:t>
      </w:r>
      <w:bookmarkEnd w:id="646"/>
      <w:r>
        <w:rPr>
          <w:rFonts w:hint="eastAsia" w:ascii="宋体" w:hAnsi="宋体"/>
          <w:highlight w:val="none"/>
        </w:rPr>
        <w:t>和补正</w:t>
      </w:r>
      <w:bookmarkEnd w:id="647"/>
      <w:bookmarkEnd w:id="648"/>
      <w:bookmarkEnd w:id="649"/>
      <w:bookmarkEnd w:id="650"/>
      <w:bookmarkEnd w:id="651"/>
      <w:bookmarkEnd w:id="652"/>
      <w:bookmarkEnd w:id="653"/>
    </w:p>
    <w:p w14:paraId="5FAF6263">
      <w:pPr>
        <w:spacing w:line="400" w:lineRule="exact"/>
        <w:ind w:firstLine="420" w:firstLineChars="200"/>
        <w:rPr>
          <w:rFonts w:ascii="宋体" w:hAnsi="宋体"/>
          <w:highlight w:val="none"/>
        </w:rPr>
      </w:pPr>
      <w:r>
        <w:rPr>
          <w:rFonts w:hint="eastAsia" w:ascii="宋体" w:hAnsi="宋体"/>
          <w:highlight w:val="none"/>
        </w:rPr>
        <w:t>3.3.1在评标过程中，评标委员会可以书面形式要求供应商对所提交投标文件中不明确的内容进行书面澄清或说明，或者对细微偏差进行补正。评标委员会不接受供应商主动提出的澄清、说明或补正。评标委员会拒绝供应商通过修正或撤消不符合要求的偏差，使之成为具有响应性的投标。</w:t>
      </w:r>
    </w:p>
    <w:p w14:paraId="49A14915">
      <w:pPr>
        <w:spacing w:line="400" w:lineRule="exact"/>
        <w:ind w:firstLine="420" w:firstLineChars="200"/>
        <w:rPr>
          <w:rFonts w:ascii="宋体" w:hAnsi="宋体"/>
          <w:highlight w:val="none"/>
        </w:rPr>
      </w:pPr>
      <w:r>
        <w:rPr>
          <w:rFonts w:hint="eastAsia" w:ascii="宋体" w:hAnsi="宋体"/>
          <w:highlight w:val="none"/>
        </w:rPr>
        <w:t>3.3.2 澄清、说明和补正不得改变投标文件的实质性内容。供应商的书面澄清、说明和补正属于投标文件的组成部分。</w:t>
      </w:r>
    </w:p>
    <w:p w14:paraId="1B3BD684">
      <w:pPr>
        <w:spacing w:line="400" w:lineRule="exact"/>
        <w:ind w:firstLine="420" w:firstLineChars="200"/>
        <w:rPr>
          <w:rFonts w:ascii="宋体" w:hAnsi="宋体"/>
          <w:highlight w:val="none"/>
        </w:rPr>
      </w:pPr>
      <w:r>
        <w:rPr>
          <w:rFonts w:hint="eastAsia" w:ascii="宋体" w:hAnsi="宋体"/>
          <w:highlight w:val="none"/>
        </w:rPr>
        <w:t>3.3.3 评标委员会对供应商提交的澄清、说明或补正有疑问的，可以要求供应商进一步澄清、说明或补正，直至满足评标委员会的要求。</w:t>
      </w:r>
    </w:p>
    <w:p w14:paraId="79AE548E">
      <w:pPr>
        <w:pStyle w:val="4"/>
        <w:outlineLvl w:val="2"/>
        <w:rPr>
          <w:rFonts w:ascii="宋体" w:hAnsi="宋体"/>
          <w:highlight w:val="none"/>
        </w:rPr>
      </w:pPr>
      <w:bookmarkStart w:id="654" w:name="_Toc144974576"/>
      <w:bookmarkStart w:id="655" w:name="_Toc179632626"/>
      <w:bookmarkStart w:id="656" w:name="_Toc152042386"/>
      <w:bookmarkStart w:id="657" w:name="_Toc152045608"/>
      <w:bookmarkStart w:id="658" w:name="_Toc246996251"/>
      <w:bookmarkStart w:id="659" w:name="_Toc338840247"/>
      <w:bookmarkStart w:id="660" w:name="_Toc246996994"/>
      <w:bookmarkStart w:id="661" w:name="_Toc247085766"/>
      <w:r>
        <w:rPr>
          <w:rFonts w:hint="eastAsia" w:ascii="宋体" w:hAnsi="宋体"/>
          <w:highlight w:val="none"/>
        </w:rPr>
        <w:t>3.4 评标结果</w:t>
      </w:r>
      <w:bookmarkEnd w:id="654"/>
      <w:bookmarkEnd w:id="655"/>
      <w:bookmarkEnd w:id="656"/>
      <w:bookmarkEnd w:id="657"/>
      <w:bookmarkEnd w:id="658"/>
      <w:bookmarkEnd w:id="659"/>
      <w:bookmarkEnd w:id="660"/>
      <w:bookmarkEnd w:id="661"/>
    </w:p>
    <w:p w14:paraId="1D2D8035">
      <w:pPr>
        <w:spacing w:line="400" w:lineRule="exact"/>
        <w:ind w:firstLine="420" w:firstLineChars="200"/>
        <w:rPr>
          <w:rFonts w:ascii="宋体" w:hAnsi="宋体"/>
          <w:highlight w:val="none"/>
        </w:rPr>
      </w:pPr>
      <w:r>
        <w:rPr>
          <w:rFonts w:hint="eastAsia" w:ascii="宋体" w:hAnsi="宋体"/>
          <w:highlight w:val="none"/>
        </w:rPr>
        <w:t>3.4.1除第二章“供应商须知”前附表授权直接确定中标人外，评标委员会按照规定推荐中标候选人。</w:t>
      </w:r>
    </w:p>
    <w:p w14:paraId="3C3A1A7D">
      <w:pPr>
        <w:spacing w:line="400" w:lineRule="exact"/>
        <w:ind w:firstLine="420" w:firstLineChars="200"/>
        <w:rPr>
          <w:rFonts w:ascii="宋体" w:hAnsi="宋体"/>
          <w:highlight w:val="none"/>
        </w:rPr>
      </w:pPr>
      <w:r>
        <w:rPr>
          <w:rFonts w:hint="eastAsia" w:ascii="宋体" w:hAnsi="宋体"/>
          <w:highlight w:val="none"/>
        </w:rPr>
        <w:t>3.4.2 评标委员会完成评标后，应当向采购人提交书面评标报告。</w:t>
      </w:r>
    </w:p>
    <w:p w14:paraId="0DB9C306">
      <w:pPr>
        <w:spacing w:line="400" w:lineRule="exact"/>
        <w:rPr>
          <w:rFonts w:ascii="宋体" w:hAnsi="宋体"/>
          <w:highlight w:val="none"/>
        </w:rPr>
      </w:pPr>
    </w:p>
    <w:p w14:paraId="15B1B623">
      <w:pPr>
        <w:adjustRightInd w:val="0"/>
        <w:snapToGrid w:val="0"/>
        <w:spacing w:line="440" w:lineRule="exact"/>
        <w:outlineLvl w:val="1"/>
        <w:rPr>
          <w:rFonts w:ascii="宋体" w:hAnsi="宋体"/>
          <w:sz w:val="24"/>
          <w:highlight w:val="none"/>
        </w:rPr>
      </w:pPr>
      <w:r>
        <w:rPr>
          <w:rFonts w:ascii="宋体" w:hAnsi="宋体"/>
          <w:highlight w:val="none"/>
        </w:rPr>
        <w:br w:type="page"/>
      </w:r>
      <w:bookmarkStart w:id="662" w:name="_Toc19784"/>
      <w:bookmarkStart w:id="663" w:name="_Toc21307"/>
      <w:bookmarkStart w:id="664" w:name="_Toc28037"/>
      <w:bookmarkStart w:id="665" w:name="_Toc4190"/>
      <w:bookmarkStart w:id="666" w:name="_Toc338840497"/>
      <w:bookmarkStart w:id="667" w:name="_Toc338840249"/>
      <w:bookmarkStart w:id="668" w:name="_Toc494093443"/>
      <w:bookmarkStart w:id="669" w:name="_Toc346523418"/>
      <w:bookmarkStart w:id="670" w:name="_Toc19465"/>
      <w:bookmarkStart w:id="671" w:name="_Toc346523481"/>
      <w:bookmarkStart w:id="672" w:name="_Toc338840458"/>
      <w:bookmarkStart w:id="673" w:name="_Toc27082"/>
      <w:bookmarkStart w:id="674" w:name="_Toc494526415"/>
      <w:r>
        <w:rPr>
          <w:rFonts w:hint="eastAsia" w:ascii="宋体" w:hAnsi="宋体"/>
          <w:sz w:val="24"/>
          <w:highlight w:val="none"/>
        </w:rPr>
        <w:t>附件</w:t>
      </w:r>
      <w:r>
        <w:rPr>
          <w:rFonts w:hint="eastAsia" w:ascii="宋体" w:hAnsi="宋体"/>
          <w:b/>
          <w:sz w:val="24"/>
          <w:highlight w:val="none"/>
        </w:rPr>
        <w:t>Ａ</w:t>
      </w:r>
      <w:r>
        <w:rPr>
          <w:rFonts w:hint="eastAsia" w:ascii="宋体" w:hAnsi="宋体"/>
          <w:sz w:val="24"/>
          <w:highlight w:val="none"/>
        </w:rPr>
        <w:t>：</w:t>
      </w:r>
      <w:bookmarkEnd w:id="662"/>
      <w:bookmarkEnd w:id="663"/>
      <w:bookmarkEnd w:id="664"/>
      <w:bookmarkEnd w:id="665"/>
      <w:bookmarkEnd w:id="666"/>
      <w:bookmarkEnd w:id="667"/>
      <w:bookmarkEnd w:id="668"/>
      <w:bookmarkEnd w:id="669"/>
      <w:bookmarkEnd w:id="670"/>
      <w:bookmarkEnd w:id="671"/>
      <w:bookmarkEnd w:id="672"/>
      <w:bookmarkEnd w:id="673"/>
      <w:bookmarkEnd w:id="674"/>
      <w:r>
        <w:rPr>
          <w:rFonts w:hint="eastAsia" w:ascii="宋体" w:hAnsi="宋体"/>
          <w:sz w:val="24"/>
          <w:highlight w:val="none"/>
        </w:rPr>
        <w:t xml:space="preserve"> </w:t>
      </w:r>
    </w:p>
    <w:p w14:paraId="76D38F8A">
      <w:pPr>
        <w:adjustRightInd w:val="0"/>
        <w:snapToGrid w:val="0"/>
        <w:spacing w:before="312" w:beforeLines="100" w:after="312" w:afterLines="100" w:line="160" w:lineRule="exact"/>
        <w:ind w:firstLine="560" w:firstLineChars="200"/>
        <w:jc w:val="center"/>
        <w:rPr>
          <w:rFonts w:ascii="宋体" w:hAnsi="宋体"/>
          <w:b/>
          <w:szCs w:val="21"/>
          <w:highlight w:val="none"/>
        </w:rPr>
      </w:pPr>
      <w:r>
        <w:rPr>
          <w:rFonts w:hint="eastAsia" w:ascii="宋体" w:hAnsi="宋体"/>
          <w:sz w:val="28"/>
          <w:szCs w:val="28"/>
          <w:highlight w:val="none"/>
        </w:rPr>
        <w:t>无效投标条件</w:t>
      </w:r>
      <w:r>
        <w:rPr>
          <w:rFonts w:hint="eastAsia" w:ascii="宋体" w:hAnsi="宋体"/>
          <w:b/>
          <w:szCs w:val="21"/>
          <w:highlight w:val="none"/>
        </w:rPr>
        <w:t>　</w:t>
      </w:r>
    </w:p>
    <w:p w14:paraId="3227AF23">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rPr>
        <w:t>有下列情形之一的，其投标为无效投标：</w:t>
      </w:r>
    </w:p>
    <w:p w14:paraId="4ABA3CA6">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rPr>
        <w:t>1 、有第二章“供应商须知”第1.4.2项规定的任何一种情形的。</w:t>
      </w:r>
    </w:p>
    <w:p w14:paraId="0E555116">
      <w:pPr>
        <w:adjustRightInd w:val="0"/>
        <w:snapToGrid w:val="0"/>
        <w:spacing w:line="440" w:lineRule="exact"/>
        <w:ind w:firstLine="420" w:firstLineChars="200"/>
        <w:outlineLvl w:val="1"/>
        <w:rPr>
          <w:rFonts w:ascii="宋体" w:hAnsi="宋体"/>
          <w:szCs w:val="21"/>
          <w:highlight w:val="none"/>
        </w:rPr>
      </w:pPr>
      <w:bookmarkStart w:id="675" w:name="_Toc23320"/>
      <w:r>
        <w:rPr>
          <w:rFonts w:hint="eastAsia" w:ascii="宋体" w:hAnsi="宋体"/>
          <w:szCs w:val="21"/>
          <w:highlight w:val="none"/>
        </w:rPr>
        <w:t>2 、有下列情形之一，视为供应商串通投标，其投标无效：</w:t>
      </w:r>
      <w:bookmarkEnd w:id="675"/>
    </w:p>
    <w:p w14:paraId="7F55F307">
      <w:pPr>
        <w:adjustRightInd w:val="0"/>
        <w:snapToGrid w:val="0"/>
        <w:spacing w:line="440" w:lineRule="exact"/>
        <w:rPr>
          <w:rFonts w:ascii="宋体" w:hAnsi="宋体"/>
          <w:szCs w:val="21"/>
          <w:highlight w:val="none"/>
        </w:rPr>
      </w:pPr>
      <w:r>
        <w:rPr>
          <w:rFonts w:hint="eastAsia" w:ascii="宋体" w:hAnsi="宋体"/>
          <w:szCs w:val="21"/>
          <w:highlight w:val="none"/>
        </w:rPr>
        <w:t>　　（一）不同供应商的投标文件由同一单位或者个人编制；</w:t>
      </w:r>
    </w:p>
    <w:p w14:paraId="3D5D51EA">
      <w:pPr>
        <w:adjustRightInd w:val="0"/>
        <w:snapToGrid w:val="0"/>
        <w:spacing w:line="440" w:lineRule="exact"/>
        <w:rPr>
          <w:rFonts w:ascii="宋体" w:hAnsi="宋体"/>
          <w:szCs w:val="21"/>
          <w:highlight w:val="none"/>
        </w:rPr>
      </w:pPr>
      <w:r>
        <w:rPr>
          <w:rFonts w:hint="eastAsia" w:ascii="宋体" w:hAnsi="宋体"/>
          <w:szCs w:val="21"/>
          <w:highlight w:val="none"/>
        </w:rPr>
        <w:t>　　（二）不同供应商委托同一单位或者个人办理投标事宜；</w:t>
      </w:r>
    </w:p>
    <w:p w14:paraId="3BF34B48">
      <w:pPr>
        <w:adjustRightInd w:val="0"/>
        <w:snapToGrid w:val="0"/>
        <w:spacing w:line="440" w:lineRule="exact"/>
        <w:rPr>
          <w:rFonts w:ascii="宋体" w:hAnsi="宋体"/>
          <w:szCs w:val="21"/>
          <w:highlight w:val="none"/>
        </w:rPr>
      </w:pPr>
      <w:r>
        <w:rPr>
          <w:rFonts w:hint="eastAsia" w:ascii="宋体" w:hAnsi="宋体"/>
          <w:szCs w:val="21"/>
          <w:highlight w:val="none"/>
        </w:rPr>
        <w:t>　　（三）不同供应商的投标文件载明的项目管理成员或者联系人员为同一人；</w:t>
      </w:r>
    </w:p>
    <w:p w14:paraId="6D579507">
      <w:pPr>
        <w:adjustRightInd w:val="0"/>
        <w:snapToGrid w:val="0"/>
        <w:spacing w:line="440" w:lineRule="exact"/>
        <w:rPr>
          <w:rFonts w:ascii="宋体" w:hAnsi="宋体"/>
          <w:szCs w:val="21"/>
          <w:highlight w:val="none"/>
        </w:rPr>
      </w:pPr>
      <w:r>
        <w:rPr>
          <w:rFonts w:hint="eastAsia" w:ascii="宋体" w:hAnsi="宋体"/>
          <w:szCs w:val="21"/>
          <w:highlight w:val="none"/>
        </w:rPr>
        <w:t>　　（四）不同供应商的投标文件异常一致或者投标报价呈规律性差异；</w:t>
      </w:r>
    </w:p>
    <w:p w14:paraId="7FDE7DE5">
      <w:pPr>
        <w:adjustRightInd w:val="0"/>
        <w:snapToGrid w:val="0"/>
        <w:spacing w:line="440" w:lineRule="exact"/>
        <w:outlineLvl w:val="2"/>
        <w:rPr>
          <w:rFonts w:ascii="宋体" w:hAnsi="宋体"/>
          <w:szCs w:val="21"/>
          <w:highlight w:val="none"/>
        </w:rPr>
      </w:pPr>
      <w:r>
        <w:rPr>
          <w:rFonts w:hint="eastAsia" w:ascii="宋体" w:hAnsi="宋体"/>
          <w:szCs w:val="21"/>
          <w:highlight w:val="none"/>
        </w:rPr>
        <w:t>　　（五）不同供应商的投标文件相互混装；</w:t>
      </w:r>
    </w:p>
    <w:p w14:paraId="4D15E9D4">
      <w:pPr>
        <w:adjustRightInd w:val="0"/>
        <w:snapToGrid w:val="0"/>
        <w:spacing w:line="440" w:lineRule="exact"/>
        <w:rPr>
          <w:rFonts w:ascii="宋体" w:hAnsi="宋体"/>
          <w:szCs w:val="21"/>
          <w:highlight w:val="none"/>
        </w:rPr>
      </w:pPr>
      <w:r>
        <w:rPr>
          <w:rFonts w:hint="eastAsia" w:ascii="宋体" w:hAnsi="宋体"/>
          <w:szCs w:val="21"/>
          <w:highlight w:val="none"/>
        </w:rPr>
        <w:t>　　（六）不同供应商的投标保证金从同一单位或者个人的账户转出。</w:t>
      </w:r>
    </w:p>
    <w:p w14:paraId="4BF81BE5">
      <w:pPr>
        <w:adjustRightInd w:val="0"/>
        <w:snapToGrid w:val="0"/>
        <w:spacing w:line="440" w:lineRule="exact"/>
        <w:ind w:left="420" w:leftChars="200"/>
        <w:rPr>
          <w:rFonts w:hint="eastAsia" w:ascii="宋体" w:hAnsi="宋体"/>
          <w:szCs w:val="21"/>
          <w:highlight w:val="none"/>
        </w:rPr>
      </w:pPr>
      <w:r>
        <w:rPr>
          <w:rFonts w:hint="eastAsia" w:ascii="宋体" w:hAnsi="宋体"/>
          <w:szCs w:val="21"/>
          <w:highlight w:val="none"/>
        </w:rPr>
        <w:t>3 、单位负责人为同一人或者存在直接控股、管理关系的不同供应商，参加同一合同项下的政府采购活动的。　为采购项目提供整体设计、规范编制或者项目管理、监理、检测等服务的供应商，不得再参加该采购项目的其他采购活动。</w:t>
      </w:r>
    </w:p>
    <w:p w14:paraId="04DEEDD7">
      <w:pPr>
        <w:adjustRightInd w:val="0"/>
        <w:snapToGrid w:val="0"/>
        <w:spacing w:line="440" w:lineRule="exact"/>
        <w:ind w:left="420" w:leftChars="200"/>
        <w:rPr>
          <w:rFonts w:ascii="宋体" w:hAnsi="宋体"/>
          <w:strike/>
          <w:szCs w:val="21"/>
          <w:highlight w:val="none"/>
        </w:rPr>
      </w:pPr>
      <w:r>
        <w:rPr>
          <w:rFonts w:hint="eastAsia" w:ascii="宋体" w:hAnsi="宋体"/>
          <w:szCs w:val="21"/>
          <w:highlight w:val="none"/>
          <w:lang w:val="en-US" w:eastAsia="zh-CN"/>
        </w:rPr>
        <w:t>4</w:t>
      </w:r>
      <w:r>
        <w:rPr>
          <w:rFonts w:hint="eastAsia" w:ascii="宋体" w:hAnsi="宋体"/>
          <w:szCs w:val="21"/>
          <w:highlight w:val="none"/>
        </w:rPr>
        <w:t>、提供虚假材料或伪造材料的。</w:t>
      </w:r>
    </w:p>
    <w:p w14:paraId="1F502842">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、联合体投标者没有提交共同投标协议的。</w:t>
      </w:r>
    </w:p>
    <w:p w14:paraId="57D18989">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、采购人提供证据证明供应商在以往履行与采购人及其所属单位的采购合同时，发生过重大实质性违约且未及时采取合理补救措施的。</w:t>
      </w:r>
    </w:p>
    <w:p w14:paraId="568DD848">
      <w:pPr>
        <w:adjustRightInd w:val="0"/>
        <w:snapToGrid w:val="0"/>
        <w:spacing w:line="440" w:lineRule="exact"/>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7、</w:t>
      </w:r>
      <w:r>
        <w:rPr>
          <w:rFonts w:hint="eastAsia" w:ascii="宋体" w:hAnsi="宋体"/>
          <w:szCs w:val="21"/>
          <w:highlight w:val="none"/>
        </w:rPr>
        <w:t>投标文件含有采购人不能接受的附加条件的</w:t>
      </w:r>
      <w:r>
        <w:rPr>
          <w:rFonts w:hint="eastAsia" w:ascii="宋体" w:hAnsi="宋体"/>
          <w:szCs w:val="21"/>
          <w:highlight w:val="none"/>
          <w:lang w:eastAsia="zh-CN"/>
        </w:rPr>
        <w:t>。</w:t>
      </w:r>
    </w:p>
    <w:p w14:paraId="7C6330E4">
      <w:pPr>
        <w:adjustRightInd w:val="0"/>
        <w:snapToGrid w:val="0"/>
        <w:spacing w:line="440" w:lineRule="exact"/>
        <w:rPr>
          <w:rFonts w:ascii="宋体" w:hAnsi="宋体"/>
          <w:szCs w:val="21"/>
          <w:highlight w:val="none"/>
        </w:rPr>
      </w:pPr>
    </w:p>
    <w:p w14:paraId="46C84F5F">
      <w:pPr>
        <w:adjustRightInd w:val="0"/>
        <w:snapToGrid w:val="0"/>
        <w:spacing w:line="440" w:lineRule="exact"/>
        <w:ind w:firstLine="420" w:firstLineChars="200"/>
        <w:rPr>
          <w:rFonts w:hint="eastAsia" w:ascii="宋体" w:hAnsi="宋体"/>
          <w:sz w:val="24"/>
          <w:highlight w:val="none"/>
        </w:rPr>
      </w:pPr>
      <w:r>
        <w:rPr>
          <w:rFonts w:hint="eastAsia" w:ascii="宋体" w:hAnsi="宋体"/>
          <w:szCs w:val="21"/>
          <w:highlight w:val="none"/>
        </w:rPr>
        <w:t>注：以上内容是对采购文件中其他部分无效投标条件的补充。</w:t>
      </w:r>
      <w:r>
        <w:rPr>
          <w:rFonts w:hint="eastAsia" w:ascii="宋体" w:hAnsi="宋体"/>
          <w:b/>
          <w:sz w:val="24"/>
          <w:highlight w:val="none"/>
        </w:rPr>
        <w:br w:type="page"/>
      </w:r>
      <w:r>
        <w:rPr>
          <w:rFonts w:hint="eastAsia" w:ascii="宋体" w:hAnsi="宋体"/>
          <w:sz w:val="24"/>
          <w:highlight w:val="none"/>
        </w:rPr>
        <w:t>附件B：</w:t>
      </w:r>
    </w:p>
    <w:p w14:paraId="7C3CC891">
      <w:pPr>
        <w:spacing w:line="520" w:lineRule="exact"/>
        <w:jc w:val="center"/>
        <w:outlineLvl w:val="3"/>
        <w:rPr>
          <w:b/>
          <w:sz w:val="36"/>
          <w:szCs w:val="36"/>
          <w:highlight w:val="none"/>
        </w:rPr>
      </w:pPr>
      <w:r>
        <w:rPr>
          <w:rFonts w:hint="eastAsia"/>
          <w:b/>
          <w:sz w:val="36"/>
          <w:szCs w:val="36"/>
          <w:highlight w:val="none"/>
        </w:rPr>
        <w:t>评标报告（样本）</w:t>
      </w:r>
    </w:p>
    <w:p w14:paraId="7B996A36">
      <w:pPr>
        <w:spacing w:line="560" w:lineRule="exact"/>
        <w:jc w:val="center"/>
        <w:rPr>
          <w:rFonts w:ascii="仿宋_GB2312" w:eastAsia="仿宋_GB2312"/>
          <w:sz w:val="24"/>
          <w:highlight w:val="none"/>
        </w:rPr>
      </w:pPr>
    </w:p>
    <w:p w14:paraId="6C772107">
      <w:pPr>
        <w:pStyle w:val="10"/>
        <w:spacing w:line="560" w:lineRule="exact"/>
        <w:ind w:firstLine="470" w:firstLineChars="196"/>
        <w:outlineLvl w:val="3"/>
        <w:rPr>
          <w:rFonts w:ascii="仿宋_GB2312" w:eastAsia="仿宋_GB2312"/>
          <w:sz w:val="24"/>
          <w:highlight w:val="none"/>
        </w:rPr>
      </w:pPr>
      <w:r>
        <w:rPr>
          <w:rFonts w:hint="eastAsia" w:ascii="仿宋_GB2312" w:eastAsia="仿宋_GB2312"/>
          <w:sz w:val="24"/>
          <w:highlight w:val="none"/>
        </w:rPr>
        <w:t>一、基本情况。</w:t>
      </w:r>
    </w:p>
    <w:p w14:paraId="10404971">
      <w:pPr>
        <w:pStyle w:val="10"/>
        <w:spacing w:line="560" w:lineRule="exact"/>
        <w:ind w:firstLine="480" w:firstLineChars="200"/>
        <w:rPr>
          <w:rFonts w:ascii="仿宋_GB2312" w:eastAsia="仿宋_GB2312"/>
          <w:sz w:val="24"/>
          <w:highlight w:val="none"/>
        </w:rPr>
      </w:pPr>
      <w:r>
        <w:rPr>
          <w:rFonts w:hint="eastAsia" w:ascii="仿宋_GB2312" w:eastAsia="仿宋_GB2312"/>
          <w:sz w:val="24"/>
          <w:highlight w:val="none"/>
        </w:rPr>
        <w:t>项目名称：</w:t>
      </w:r>
      <w:r>
        <w:rPr>
          <w:rFonts w:hint="eastAsia" w:ascii="仿宋_GB2312" w:eastAsia="仿宋_GB2312"/>
          <w:sz w:val="24"/>
          <w:highlight w:val="none"/>
          <w:u w:val="single"/>
        </w:rPr>
        <w:t xml:space="preserve">                         </w:t>
      </w:r>
      <w:r>
        <w:rPr>
          <w:rFonts w:hint="eastAsia" w:ascii="仿宋_GB2312" w:eastAsia="仿宋_GB2312"/>
          <w:sz w:val="24"/>
          <w:highlight w:val="none"/>
        </w:rPr>
        <w:t>第</w:t>
      </w:r>
      <w:r>
        <w:rPr>
          <w:rFonts w:hint="eastAsia" w:ascii="仿宋_GB2312" w:eastAsia="仿宋_GB2312"/>
          <w:sz w:val="24"/>
          <w:highlight w:val="none"/>
          <w:u w:val="single"/>
        </w:rPr>
        <w:t xml:space="preserve">    </w:t>
      </w:r>
      <w:r>
        <w:rPr>
          <w:rFonts w:hint="eastAsia" w:ascii="仿宋_GB2312" w:eastAsia="仿宋_GB2312"/>
          <w:sz w:val="24"/>
          <w:highlight w:val="none"/>
        </w:rPr>
        <w:t>标段</w:t>
      </w:r>
    </w:p>
    <w:p w14:paraId="20320830">
      <w:pPr>
        <w:pStyle w:val="10"/>
        <w:spacing w:line="560" w:lineRule="exact"/>
        <w:ind w:firstLine="480" w:firstLineChars="200"/>
        <w:rPr>
          <w:rFonts w:ascii="仿宋_GB2312" w:eastAsia="仿宋_GB2312"/>
          <w:sz w:val="24"/>
          <w:highlight w:val="none"/>
          <w:u w:val="single"/>
        </w:rPr>
      </w:pPr>
      <w:r>
        <w:rPr>
          <w:rFonts w:hint="eastAsia" w:ascii="仿宋_GB2312" w:eastAsia="仿宋_GB2312"/>
          <w:sz w:val="24"/>
          <w:highlight w:val="none"/>
        </w:rPr>
        <w:t>项目编号：</w:t>
      </w:r>
      <w:r>
        <w:rPr>
          <w:rFonts w:hint="eastAsia" w:ascii="仿宋_GB2312" w:eastAsia="仿宋_GB2312"/>
          <w:sz w:val="24"/>
          <w:highlight w:val="none"/>
          <w:u w:val="single"/>
        </w:rPr>
        <w:t xml:space="preserve">                        </w:t>
      </w:r>
    </w:p>
    <w:p w14:paraId="08204E32">
      <w:pPr>
        <w:spacing w:line="560" w:lineRule="exact"/>
        <w:ind w:firstLine="480" w:firstLineChars="200"/>
        <w:rPr>
          <w:rFonts w:ascii="仿宋_GB2312" w:eastAsia="仿宋_GB2312"/>
          <w:sz w:val="24"/>
          <w:highlight w:val="none"/>
        </w:rPr>
      </w:pPr>
      <w:r>
        <w:rPr>
          <w:rFonts w:hint="eastAsia" w:ascii="仿宋_GB2312" w:eastAsia="仿宋_GB2312"/>
          <w:sz w:val="24"/>
          <w:highlight w:val="none"/>
        </w:rPr>
        <w:t>评标地点：开封市民之家五楼评标室</w:t>
      </w:r>
    </w:p>
    <w:p w14:paraId="710DF1EC">
      <w:pPr>
        <w:spacing w:line="560" w:lineRule="exact"/>
        <w:ind w:firstLine="600"/>
        <w:jc w:val="left"/>
        <w:rPr>
          <w:rFonts w:ascii="仿宋_GB2312" w:eastAsia="仿宋_GB2312"/>
          <w:sz w:val="24"/>
          <w:highlight w:val="none"/>
        </w:rPr>
      </w:pPr>
      <w:r>
        <w:rPr>
          <w:rFonts w:hint="eastAsia" w:ascii="仿宋_GB2312" w:eastAsia="仿宋_GB2312"/>
          <w:sz w:val="24"/>
          <w:highlight w:val="none"/>
        </w:rPr>
        <w:t>本次招标采购于</w:t>
      </w:r>
      <w:r>
        <w:rPr>
          <w:rFonts w:hint="eastAsia" w:ascii="仿宋_GB2312" w:eastAsia="仿宋_GB2312"/>
          <w:sz w:val="24"/>
          <w:highlight w:val="none"/>
          <w:u w:val="single"/>
        </w:rPr>
        <w:t>　　　</w:t>
      </w:r>
      <w:r>
        <w:rPr>
          <w:rFonts w:hint="eastAsia" w:ascii="仿宋_GB2312" w:eastAsia="仿宋_GB2312"/>
          <w:sz w:val="24"/>
          <w:highlight w:val="none"/>
        </w:rPr>
        <w:t>年</w:t>
      </w:r>
      <w:r>
        <w:rPr>
          <w:rFonts w:hint="eastAsia" w:ascii="仿宋_GB2312" w:eastAsia="仿宋_GB2312"/>
          <w:sz w:val="24"/>
          <w:highlight w:val="none"/>
          <w:u w:val="single"/>
        </w:rPr>
        <w:t>　　</w:t>
      </w:r>
      <w:r>
        <w:rPr>
          <w:rFonts w:hint="eastAsia" w:ascii="仿宋_GB2312" w:eastAsia="仿宋_GB2312"/>
          <w:sz w:val="24"/>
          <w:highlight w:val="none"/>
        </w:rPr>
        <w:t>月</w:t>
      </w:r>
      <w:r>
        <w:rPr>
          <w:rFonts w:hint="eastAsia" w:ascii="仿宋_GB2312" w:eastAsia="仿宋_GB2312"/>
          <w:sz w:val="24"/>
          <w:highlight w:val="none"/>
          <w:u w:val="single"/>
        </w:rPr>
        <w:t>　　</w:t>
      </w:r>
      <w:r>
        <w:rPr>
          <w:rFonts w:hint="eastAsia" w:ascii="仿宋_GB2312" w:eastAsia="仿宋_GB2312"/>
          <w:sz w:val="24"/>
          <w:highlight w:val="none"/>
        </w:rPr>
        <w:t>日在河南省政府采购网及开封市公共资源交易信息网上发布招标公告，潜在供应商可以通过开封市公共资源交易信息网获取招标文件。</w:t>
      </w:r>
    </w:p>
    <w:p w14:paraId="0B5885EB">
      <w:pPr>
        <w:spacing w:line="560" w:lineRule="exact"/>
        <w:ind w:firstLine="446" w:firstLineChars="186"/>
        <w:rPr>
          <w:rFonts w:ascii="仿宋_GB2312" w:eastAsia="仿宋_GB2312"/>
          <w:sz w:val="24"/>
          <w:highlight w:val="none"/>
        </w:rPr>
      </w:pPr>
      <w:r>
        <w:rPr>
          <w:rFonts w:hint="eastAsia" w:ascii="仿宋_GB2312" w:eastAsia="仿宋_GB2312"/>
          <w:sz w:val="24"/>
          <w:highlight w:val="none"/>
        </w:rPr>
        <w:t>投标截止及开标时间为</w:t>
      </w:r>
      <w:r>
        <w:rPr>
          <w:rFonts w:hint="eastAsia" w:ascii="仿宋_GB2312" w:eastAsia="仿宋_GB2312"/>
          <w:sz w:val="24"/>
          <w:highlight w:val="none"/>
          <w:u w:val="single"/>
        </w:rPr>
        <w:t>　　　</w:t>
      </w:r>
      <w:r>
        <w:rPr>
          <w:rFonts w:hint="eastAsia" w:ascii="仿宋_GB2312" w:eastAsia="仿宋_GB2312"/>
          <w:sz w:val="24"/>
          <w:highlight w:val="none"/>
        </w:rPr>
        <w:t>年</w:t>
      </w:r>
      <w:r>
        <w:rPr>
          <w:rFonts w:hint="eastAsia" w:ascii="仿宋_GB2312" w:eastAsia="仿宋_GB2312"/>
          <w:sz w:val="24"/>
          <w:highlight w:val="none"/>
          <w:u w:val="single"/>
        </w:rPr>
        <w:t>　　</w:t>
      </w:r>
      <w:r>
        <w:rPr>
          <w:rFonts w:hint="eastAsia" w:ascii="仿宋_GB2312" w:eastAsia="仿宋_GB2312"/>
          <w:sz w:val="24"/>
          <w:highlight w:val="none"/>
        </w:rPr>
        <w:t>月</w:t>
      </w:r>
      <w:r>
        <w:rPr>
          <w:rFonts w:hint="eastAsia" w:ascii="仿宋_GB2312" w:eastAsia="仿宋_GB2312"/>
          <w:sz w:val="24"/>
          <w:highlight w:val="none"/>
          <w:u w:val="single"/>
        </w:rPr>
        <w:t>　　</w:t>
      </w:r>
      <w:r>
        <w:rPr>
          <w:rFonts w:hint="eastAsia" w:ascii="仿宋_GB2312" w:eastAsia="仿宋_GB2312"/>
          <w:sz w:val="24"/>
          <w:highlight w:val="none"/>
        </w:rPr>
        <w:t>日</w:t>
      </w:r>
      <w:r>
        <w:rPr>
          <w:rFonts w:hint="eastAsia" w:ascii="仿宋_GB2312" w:eastAsia="仿宋_GB2312"/>
          <w:sz w:val="24"/>
          <w:highlight w:val="none"/>
          <w:u w:val="single"/>
        </w:rPr>
        <w:t>　　</w:t>
      </w:r>
      <w:r>
        <w:rPr>
          <w:rFonts w:hint="eastAsia" w:ascii="仿宋_GB2312" w:eastAsia="仿宋_GB2312"/>
          <w:sz w:val="24"/>
          <w:highlight w:val="none"/>
        </w:rPr>
        <w:t>时</w:t>
      </w:r>
      <w:r>
        <w:rPr>
          <w:rFonts w:hint="eastAsia" w:ascii="仿宋_GB2312" w:eastAsia="仿宋_GB2312"/>
          <w:sz w:val="24"/>
          <w:highlight w:val="none"/>
          <w:u w:val="single"/>
        </w:rPr>
        <w:t xml:space="preserve">  </w:t>
      </w:r>
      <w:r>
        <w:rPr>
          <w:rFonts w:hint="eastAsia" w:ascii="仿宋_GB2312" w:eastAsia="仿宋_GB2312"/>
          <w:sz w:val="24"/>
          <w:highlight w:val="none"/>
        </w:rPr>
        <w:t>分，在开封市民之家五楼开标室进行网上开标，共有</w:t>
      </w:r>
      <w:r>
        <w:rPr>
          <w:rFonts w:hint="eastAsia" w:ascii="仿宋_GB2312" w:eastAsia="仿宋_GB2312"/>
          <w:sz w:val="24"/>
          <w:highlight w:val="none"/>
          <w:u w:val="single"/>
        </w:rPr>
        <w:t xml:space="preserve">     </w:t>
      </w:r>
      <w:r>
        <w:rPr>
          <w:rFonts w:hint="eastAsia" w:ascii="仿宋_GB2312" w:eastAsia="仿宋_GB2312"/>
          <w:sz w:val="24"/>
          <w:highlight w:val="none"/>
        </w:rPr>
        <w:t>个供应商按规定递交投标文件（投标供应商名称详见开标记录表），开标内容详见开标记录。</w:t>
      </w:r>
    </w:p>
    <w:p w14:paraId="391FF4A3">
      <w:pPr>
        <w:spacing w:line="560" w:lineRule="exact"/>
        <w:ind w:firstLine="600"/>
        <w:rPr>
          <w:rFonts w:ascii="仿宋_GB2312" w:eastAsia="仿宋_GB2312"/>
          <w:sz w:val="24"/>
          <w:highlight w:val="none"/>
        </w:rPr>
      </w:pPr>
      <w:r>
        <w:rPr>
          <w:rFonts w:hint="eastAsia" w:ascii="仿宋_GB2312" w:eastAsia="仿宋_GB2312"/>
          <w:b/>
          <w:sz w:val="24"/>
          <w:highlight w:val="none"/>
        </w:rPr>
        <w:t>二、评标委员会成员名单。</w:t>
      </w:r>
      <w:r>
        <w:rPr>
          <w:rFonts w:hint="eastAsia" w:ascii="仿宋_GB2312" w:eastAsia="仿宋_GB2312"/>
          <w:sz w:val="24"/>
          <w:highlight w:val="none"/>
        </w:rPr>
        <w:t>采购单位按规定从专家库中随机抽取了评审专家</w:t>
      </w:r>
      <w:r>
        <w:rPr>
          <w:rFonts w:hint="eastAsia" w:ascii="仿宋_GB2312" w:eastAsia="仿宋_GB2312"/>
          <w:sz w:val="24"/>
          <w:highlight w:val="none"/>
          <w:u w:val="single"/>
        </w:rPr>
        <w:t xml:space="preserve">     </w:t>
      </w:r>
      <w:r>
        <w:rPr>
          <w:rFonts w:hint="eastAsia" w:ascii="仿宋_GB2312" w:eastAsia="仿宋_GB2312"/>
          <w:sz w:val="24"/>
          <w:highlight w:val="none"/>
        </w:rPr>
        <w:t>人（名单：</w:t>
      </w:r>
      <w:r>
        <w:rPr>
          <w:rFonts w:hint="eastAsia" w:ascii="仿宋_GB2312" w:eastAsia="仿宋_GB2312"/>
          <w:sz w:val="24"/>
          <w:highlight w:val="none"/>
          <w:u w:val="single"/>
        </w:rPr>
        <w:t xml:space="preserve">                        </w:t>
      </w:r>
      <w:r>
        <w:rPr>
          <w:rFonts w:hint="eastAsia" w:ascii="仿宋_GB2312" w:eastAsia="仿宋_GB2312"/>
          <w:sz w:val="24"/>
          <w:highlight w:val="none"/>
        </w:rPr>
        <w:t>），参与评标的采购人代表为：</w:t>
      </w:r>
      <w:r>
        <w:rPr>
          <w:rFonts w:hint="eastAsia" w:ascii="仿宋_GB2312" w:eastAsia="仿宋_GB2312"/>
          <w:sz w:val="24"/>
          <w:highlight w:val="none"/>
          <w:u w:val="single"/>
        </w:rPr>
        <w:t xml:space="preserve">          </w:t>
      </w:r>
      <w:r>
        <w:rPr>
          <w:rFonts w:hint="eastAsia" w:ascii="仿宋_GB2312" w:eastAsia="仿宋_GB2312"/>
          <w:sz w:val="24"/>
          <w:highlight w:val="none"/>
        </w:rPr>
        <w:t>，上述人员共同组成评标委员会，负责本项目的评标工作(人员名单详见《</w:t>
      </w:r>
      <w:r>
        <w:rPr>
          <w:rFonts w:hint="eastAsia" w:ascii="仿宋_GB2312" w:hAnsi="宋体" w:eastAsia="仿宋_GB2312"/>
          <w:bCs/>
          <w:sz w:val="24"/>
          <w:highlight w:val="none"/>
        </w:rPr>
        <w:t>评委专家抽取结果表》和《评标授权函》</w:t>
      </w:r>
      <w:r>
        <w:rPr>
          <w:rFonts w:hint="eastAsia" w:ascii="仿宋_GB2312" w:eastAsia="仿宋_GB2312"/>
          <w:sz w:val="24"/>
          <w:highlight w:val="none"/>
        </w:rPr>
        <w:t>)。推荐</w:t>
      </w:r>
      <w:r>
        <w:rPr>
          <w:rFonts w:hint="eastAsia" w:ascii="仿宋_GB2312" w:eastAsia="仿宋_GB2312"/>
          <w:sz w:val="24"/>
          <w:highlight w:val="none"/>
          <w:u w:val="single"/>
        </w:rPr>
        <w:t xml:space="preserve">        </w:t>
      </w:r>
      <w:r>
        <w:rPr>
          <w:rFonts w:hint="eastAsia" w:ascii="仿宋_GB2312" w:eastAsia="仿宋_GB2312"/>
          <w:sz w:val="24"/>
          <w:highlight w:val="none"/>
        </w:rPr>
        <w:t>为评标委员会主任。</w:t>
      </w:r>
    </w:p>
    <w:p w14:paraId="0BA451AA">
      <w:pPr>
        <w:spacing w:line="560" w:lineRule="exact"/>
        <w:ind w:firstLine="600"/>
        <w:rPr>
          <w:rFonts w:ascii="仿宋_GB2312" w:eastAsia="仿宋_GB2312"/>
          <w:sz w:val="24"/>
          <w:highlight w:val="none"/>
        </w:rPr>
      </w:pPr>
      <w:r>
        <w:rPr>
          <w:rFonts w:hint="eastAsia" w:ascii="仿宋_GB2312" w:eastAsia="仿宋_GB2312"/>
          <w:b/>
          <w:sz w:val="24"/>
          <w:highlight w:val="none"/>
        </w:rPr>
        <w:t>三、开标记录。</w:t>
      </w:r>
      <w:r>
        <w:rPr>
          <w:rFonts w:hint="eastAsia" w:ascii="仿宋_GB2312" w:eastAsia="仿宋_GB2312"/>
          <w:sz w:val="24"/>
          <w:highlight w:val="none"/>
        </w:rPr>
        <w:t>另附。</w:t>
      </w:r>
    </w:p>
    <w:p w14:paraId="25CB6B48">
      <w:pPr>
        <w:spacing w:line="560" w:lineRule="exact"/>
        <w:ind w:firstLine="600"/>
        <w:rPr>
          <w:rFonts w:ascii="仿宋_GB2312" w:eastAsia="仿宋_GB2312"/>
          <w:b/>
          <w:sz w:val="24"/>
          <w:highlight w:val="none"/>
        </w:rPr>
      </w:pPr>
      <w:r>
        <w:rPr>
          <w:rFonts w:hint="eastAsia" w:ascii="仿宋_GB2312" w:eastAsia="仿宋_GB2312"/>
          <w:b/>
          <w:sz w:val="24"/>
          <w:highlight w:val="none"/>
        </w:rPr>
        <w:t>四、资格审查。</w:t>
      </w:r>
      <w:r>
        <w:rPr>
          <w:rFonts w:hint="eastAsia" w:ascii="仿宋_GB2312" w:eastAsia="仿宋_GB2312"/>
          <w:sz w:val="24"/>
          <w:highlight w:val="none"/>
        </w:rPr>
        <w:t>由采购人或采购代理机构负责。详见资格审查表。</w:t>
      </w:r>
    </w:p>
    <w:p w14:paraId="45CBB20A">
      <w:pPr>
        <w:spacing w:line="560" w:lineRule="exact"/>
        <w:ind w:firstLine="600"/>
        <w:rPr>
          <w:rFonts w:ascii="仿宋_GB2312" w:eastAsia="仿宋_GB2312"/>
          <w:sz w:val="24"/>
          <w:highlight w:val="none"/>
        </w:rPr>
      </w:pPr>
      <w:r>
        <w:rPr>
          <w:rFonts w:hint="eastAsia" w:ascii="仿宋_GB2312" w:eastAsia="仿宋_GB2312"/>
          <w:b/>
          <w:sz w:val="24"/>
          <w:highlight w:val="none"/>
        </w:rPr>
        <w:t>五、符合性审查、商务和技术评审。</w:t>
      </w:r>
      <w:r>
        <w:rPr>
          <w:rFonts w:hint="eastAsia" w:ascii="仿宋_GB2312" w:eastAsia="仿宋_GB2312"/>
          <w:sz w:val="24"/>
          <w:highlight w:val="none"/>
        </w:rPr>
        <w:t>由评标委员会负责。详见符合性审查表、商务和技术评审表。</w:t>
      </w:r>
    </w:p>
    <w:p w14:paraId="4C72CB6E">
      <w:pPr>
        <w:spacing w:line="560" w:lineRule="exact"/>
        <w:ind w:firstLine="600"/>
        <w:rPr>
          <w:rFonts w:ascii="仿宋_GB2312" w:eastAsia="仿宋_GB2312"/>
          <w:b/>
          <w:sz w:val="24"/>
          <w:highlight w:val="none"/>
        </w:rPr>
      </w:pPr>
      <w:r>
        <w:rPr>
          <w:rFonts w:hint="eastAsia" w:ascii="仿宋_GB2312" w:eastAsia="仿宋_GB2312"/>
          <w:b/>
          <w:sz w:val="24"/>
          <w:highlight w:val="none"/>
        </w:rPr>
        <w:t>六、无效标情况说明。</w:t>
      </w:r>
      <w:r>
        <w:rPr>
          <w:rFonts w:hint="eastAsia" w:ascii="仿宋_GB2312" w:eastAsia="仿宋_GB2312"/>
          <w:sz w:val="24"/>
          <w:highlight w:val="none"/>
        </w:rPr>
        <w:t>经过采购人和代理机构进行资格审查，评标委员会进行符合性审查，本项目第</w:t>
      </w:r>
      <w:r>
        <w:rPr>
          <w:rFonts w:hint="eastAsia" w:ascii="仿宋_GB2312" w:eastAsia="仿宋_GB2312"/>
          <w:sz w:val="24"/>
          <w:highlight w:val="none"/>
          <w:u w:val="single"/>
        </w:rPr>
        <w:t xml:space="preserve">   </w:t>
      </w:r>
      <w:r>
        <w:rPr>
          <w:rFonts w:hint="eastAsia" w:ascii="仿宋_GB2312" w:eastAsia="仿宋_GB2312"/>
          <w:sz w:val="24"/>
          <w:highlight w:val="none"/>
        </w:rPr>
        <w:t>标段有</w:t>
      </w:r>
      <w:r>
        <w:rPr>
          <w:rFonts w:hint="eastAsia" w:ascii="仿宋_GB2312" w:eastAsia="仿宋_GB2312"/>
          <w:sz w:val="24"/>
          <w:highlight w:val="none"/>
          <w:u w:val="single"/>
        </w:rPr>
        <w:t xml:space="preserve">      </w:t>
      </w:r>
      <w:r>
        <w:rPr>
          <w:rFonts w:hint="eastAsia" w:ascii="仿宋_GB2312" w:eastAsia="仿宋_GB2312"/>
          <w:sz w:val="24"/>
          <w:highlight w:val="none"/>
        </w:rPr>
        <w:t>个供应商的投标为有效投标，有</w:t>
      </w:r>
      <w:r>
        <w:rPr>
          <w:rFonts w:hint="eastAsia" w:ascii="仿宋_GB2312" w:eastAsia="仿宋_GB2312"/>
          <w:sz w:val="24"/>
          <w:highlight w:val="none"/>
          <w:u w:val="single"/>
        </w:rPr>
        <w:t xml:space="preserve">    </w:t>
      </w:r>
      <w:r>
        <w:rPr>
          <w:rFonts w:hint="eastAsia" w:ascii="仿宋_GB2312" w:eastAsia="仿宋_GB2312"/>
          <w:sz w:val="24"/>
          <w:highlight w:val="none"/>
        </w:rPr>
        <w:t>个供应商的投标为无效投标，无效投标名单及原因为：</w:t>
      </w:r>
      <w:r>
        <w:rPr>
          <w:rFonts w:hint="eastAsia" w:ascii="仿宋_GB2312" w:eastAsia="仿宋_GB2312"/>
          <w:sz w:val="24"/>
          <w:highlight w:val="none"/>
          <w:u w:val="single"/>
        </w:rPr>
        <w:t xml:space="preserve"> 　　　　　                        </w:t>
      </w:r>
    </w:p>
    <w:p w14:paraId="7AB1D41B">
      <w:pPr>
        <w:spacing w:line="560" w:lineRule="exact"/>
        <w:rPr>
          <w:rFonts w:ascii="仿宋_GB2312" w:eastAsia="仿宋_GB2312"/>
          <w:sz w:val="24"/>
          <w:highlight w:val="none"/>
          <w:u w:val="single"/>
        </w:rPr>
      </w:pPr>
      <w:r>
        <w:rPr>
          <w:rFonts w:hint="eastAsia" w:ascii="仿宋_GB2312" w:eastAsia="仿宋_GB2312"/>
          <w:sz w:val="24"/>
          <w:highlight w:val="none"/>
          <w:u w:val="single"/>
        </w:rPr>
        <w:t xml:space="preserve">                                                       </w:t>
      </w:r>
    </w:p>
    <w:p w14:paraId="720CE0E5">
      <w:pPr>
        <w:spacing w:line="560" w:lineRule="exact"/>
        <w:rPr>
          <w:rFonts w:ascii="仿宋_GB2312" w:eastAsia="仿宋_GB2312"/>
          <w:sz w:val="24"/>
          <w:highlight w:val="none"/>
          <w:u w:val="single"/>
        </w:rPr>
      </w:pPr>
      <w:r>
        <w:rPr>
          <w:rFonts w:hint="eastAsia" w:ascii="仿宋_GB2312" w:eastAsia="仿宋_GB2312"/>
          <w:sz w:val="24"/>
          <w:highlight w:val="none"/>
          <w:u w:val="single"/>
        </w:rPr>
        <w:t xml:space="preserve">                                            　  </w:t>
      </w:r>
      <w:r>
        <w:rPr>
          <w:rFonts w:hint="eastAsia" w:ascii="仿宋_GB2312" w:eastAsia="仿宋_GB2312"/>
          <w:sz w:val="24"/>
          <w:highlight w:val="none"/>
        </w:rPr>
        <w:t>（详见资格审查表、符合性审查表及有关评审记录)。</w:t>
      </w:r>
    </w:p>
    <w:p w14:paraId="109E835E">
      <w:pPr>
        <w:spacing w:line="560" w:lineRule="exact"/>
        <w:ind w:firstLine="482" w:firstLineChars="200"/>
        <w:rPr>
          <w:rFonts w:ascii="仿宋_GB2312" w:eastAsia="仿宋_GB2312"/>
          <w:b/>
          <w:sz w:val="24"/>
          <w:highlight w:val="none"/>
        </w:rPr>
      </w:pPr>
      <w:r>
        <w:rPr>
          <w:rFonts w:hint="eastAsia" w:ascii="仿宋_GB2312" w:eastAsia="仿宋_GB2312"/>
          <w:b/>
          <w:sz w:val="24"/>
          <w:highlight w:val="none"/>
        </w:rPr>
        <w:t>七、评标方法、评标因素、评标标准（详见招标文件中评标办法前附表）。</w:t>
      </w:r>
    </w:p>
    <w:p w14:paraId="08EEDD7D">
      <w:pPr>
        <w:spacing w:line="560" w:lineRule="exact"/>
        <w:ind w:firstLine="482" w:firstLineChars="200"/>
        <w:rPr>
          <w:rFonts w:ascii="仿宋_GB2312" w:eastAsia="仿宋_GB2312"/>
          <w:b/>
          <w:sz w:val="24"/>
          <w:highlight w:val="none"/>
        </w:rPr>
      </w:pPr>
      <w:r>
        <w:rPr>
          <w:rFonts w:hint="eastAsia" w:ascii="仿宋_GB2312" w:eastAsia="仿宋_GB2312"/>
          <w:b/>
          <w:sz w:val="24"/>
          <w:highlight w:val="none"/>
        </w:rPr>
        <w:t>八、属于价格折扣范围的小型微型企业、监狱企业、残疾人福利性单位情况：</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1503"/>
        <w:gridCol w:w="2520"/>
      </w:tblGrid>
      <w:tr w14:paraId="77FC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0C24A60A">
            <w:pPr>
              <w:spacing w:line="560" w:lineRule="exact"/>
              <w:rPr>
                <w:rFonts w:ascii="仿宋_GB2312" w:eastAsia="仿宋_GB2312"/>
                <w:sz w:val="24"/>
                <w:highlight w:val="none"/>
              </w:rPr>
            </w:pPr>
            <w:r>
              <w:rPr>
                <w:rFonts w:hint="eastAsia" w:ascii="仿宋_GB2312" w:eastAsia="仿宋_GB2312"/>
                <w:b/>
                <w:sz w:val="24"/>
                <w:highlight w:val="none"/>
              </w:rPr>
              <w:t>单位名称（小型微型企业、监狱企业、残疾人福利性单位）</w:t>
            </w:r>
          </w:p>
        </w:tc>
        <w:tc>
          <w:tcPr>
            <w:tcW w:w="1503" w:type="dxa"/>
            <w:vAlign w:val="center"/>
          </w:tcPr>
          <w:p w14:paraId="0BB5F3D7">
            <w:pPr>
              <w:spacing w:line="560" w:lineRule="exact"/>
              <w:rPr>
                <w:rFonts w:ascii="仿宋_GB2312" w:eastAsia="仿宋_GB2312"/>
                <w:b/>
                <w:sz w:val="24"/>
                <w:highlight w:val="none"/>
              </w:rPr>
            </w:pPr>
            <w:r>
              <w:rPr>
                <w:rFonts w:hint="eastAsia" w:ascii="仿宋_GB2312" w:eastAsia="仿宋_GB2312"/>
                <w:b/>
                <w:sz w:val="24"/>
                <w:highlight w:val="none"/>
              </w:rPr>
              <w:t>投标报价（元）</w:t>
            </w:r>
          </w:p>
        </w:tc>
        <w:tc>
          <w:tcPr>
            <w:tcW w:w="2520" w:type="dxa"/>
            <w:vAlign w:val="center"/>
          </w:tcPr>
          <w:p w14:paraId="43F99B38">
            <w:pPr>
              <w:spacing w:line="560" w:lineRule="exact"/>
              <w:rPr>
                <w:rFonts w:ascii="仿宋_GB2312" w:eastAsia="仿宋_GB2312"/>
                <w:sz w:val="22"/>
                <w:szCs w:val="22"/>
                <w:highlight w:val="none"/>
              </w:rPr>
            </w:pPr>
            <w:r>
              <w:rPr>
                <w:rFonts w:hint="eastAsia"/>
                <w:b/>
                <w:bCs/>
                <w:i w:val="0"/>
                <w:iCs w:val="0"/>
                <w:highlight w:val="none"/>
                <w:lang w:val="en-US" w:eastAsia="zh-CN"/>
              </w:rPr>
              <w:t>评审报价</w:t>
            </w:r>
            <w:r>
              <w:rPr>
                <w:rFonts w:hint="eastAsia" w:ascii="仿宋_GB2312" w:eastAsia="仿宋_GB2312"/>
                <w:sz w:val="22"/>
                <w:szCs w:val="22"/>
                <w:highlight w:val="none"/>
              </w:rPr>
              <w:t>（价格扣除后的价格）</w:t>
            </w:r>
          </w:p>
        </w:tc>
      </w:tr>
      <w:tr w14:paraId="71A9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320" w:type="dxa"/>
          </w:tcPr>
          <w:p w14:paraId="11ED76E8">
            <w:pPr>
              <w:spacing w:line="560" w:lineRule="exact"/>
              <w:rPr>
                <w:rFonts w:ascii="仿宋_GB2312" w:eastAsia="仿宋_GB2312"/>
                <w:sz w:val="24"/>
                <w:highlight w:val="none"/>
              </w:rPr>
            </w:pPr>
          </w:p>
        </w:tc>
        <w:tc>
          <w:tcPr>
            <w:tcW w:w="1503" w:type="dxa"/>
          </w:tcPr>
          <w:p w14:paraId="13E7EBAE">
            <w:pPr>
              <w:spacing w:line="560" w:lineRule="exact"/>
              <w:rPr>
                <w:rFonts w:ascii="仿宋_GB2312" w:eastAsia="仿宋_GB2312"/>
                <w:sz w:val="24"/>
                <w:highlight w:val="none"/>
              </w:rPr>
            </w:pPr>
          </w:p>
        </w:tc>
        <w:tc>
          <w:tcPr>
            <w:tcW w:w="2520" w:type="dxa"/>
          </w:tcPr>
          <w:p w14:paraId="1EAAD8B6">
            <w:pPr>
              <w:spacing w:line="560" w:lineRule="exact"/>
              <w:rPr>
                <w:rFonts w:ascii="仿宋_GB2312" w:eastAsia="仿宋_GB2312"/>
                <w:sz w:val="24"/>
                <w:highlight w:val="none"/>
              </w:rPr>
            </w:pPr>
          </w:p>
        </w:tc>
      </w:tr>
      <w:tr w14:paraId="3E99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320" w:type="dxa"/>
          </w:tcPr>
          <w:p w14:paraId="5ABF229D">
            <w:pPr>
              <w:spacing w:line="560" w:lineRule="exact"/>
              <w:rPr>
                <w:rFonts w:ascii="仿宋_GB2312" w:eastAsia="仿宋_GB2312"/>
                <w:sz w:val="24"/>
                <w:highlight w:val="none"/>
              </w:rPr>
            </w:pPr>
          </w:p>
        </w:tc>
        <w:tc>
          <w:tcPr>
            <w:tcW w:w="1503" w:type="dxa"/>
          </w:tcPr>
          <w:p w14:paraId="766547B0">
            <w:pPr>
              <w:spacing w:line="560" w:lineRule="exact"/>
              <w:rPr>
                <w:rFonts w:ascii="仿宋_GB2312" w:eastAsia="仿宋_GB2312"/>
                <w:sz w:val="24"/>
                <w:highlight w:val="none"/>
              </w:rPr>
            </w:pPr>
          </w:p>
        </w:tc>
        <w:tc>
          <w:tcPr>
            <w:tcW w:w="2520" w:type="dxa"/>
          </w:tcPr>
          <w:p w14:paraId="77E20A91">
            <w:pPr>
              <w:spacing w:line="560" w:lineRule="exact"/>
              <w:rPr>
                <w:rFonts w:ascii="仿宋_GB2312" w:eastAsia="仿宋_GB2312"/>
                <w:sz w:val="24"/>
                <w:highlight w:val="none"/>
              </w:rPr>
            </w:pPr>
          </w:p>
        </w:tc>
      </w:tr>
    </w:tbl>
    <w:p w14:paraId="26F36EF7">
      <w:pPr>
        <w:spacing w:line="560" w:lineRule="exact"/>
        <w:ind w:firstLine="482" w:firstLineChars="200"/>
        <w:rPr>
          <w:rFonts w:ascii="仿宋_GB2312" w:eastAsia="仿宋_GB2312"/>
          <w:b/>
          <w:sz w:val="24"/>
          <w:highlight w:val="none"/>
        </w:rPr>
      </w:pPr>
    </w:p>
    <w:p w14:paraId="5873A89A">
      <w:pPr>
        <w:spacing w:line="560" w:lineRule="exact"/>
        <w:ind w:firstLine="482" w:firstLineChars="200"/>
        <w:outlineLvl w:val="3"/>
        <w:rPr>
          <w:rFonts w:ascii="仿宋_GB2312" w:eastAsia="仿宋_GB2312"/>
          <w:b/>
          <w:sz w:val="24"/>
          <w:highlight w:val="none"/>
        </w:rPr>
      </w:pPr>
      <w:r>
        <w:rPr>
          <w:rFonts w:hint="eastAsia" w:ascii="仿宋_GB2312" w:eastAsia="仿宋_GB2312"/>
          <w:b/>
          <w:sz w:val="24"/>
          <w:highlight w:val="none"/>
        </w:rPr>
        <w:t>九、经评审的价格或评分比较一览表。</w:t>
      </w:r>
    </w:p>
    <w:p w14:paraId="68FDCA95">
      <w:pPr>
        <w:spacing w:line="560" w:lineRule="exact"/>
        <w:ind w:firstLine="480" w:firstLineChars="200"/>
        <w:rPr>
          <w:rFonts w:ascii="仿宋_GB2312" w:eastAsia="仿宋_GB2312"/>
          <w:sz w:val="24"/>
          <w:highlight w:val="none"/>
        </w:rPr>
      </w:pPr>
      <w:r>
        <w:rPr>
          <w:rFonts w:hint="eastAsia" w:ascii="仿宋_GB2312" w:eastAsia="仿宋_GB2312"/>
          <w:sz w:val="24"/>
          <w:highlight w:val="none"/>
        </w:rPr>
        <w:t>评标委员会对各有效投标进行了详细评审，各供应商的报价及排序如下：</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2"/>
        <w:gridCol w:w="1193"/>
        <w:gridCol w:w="1453"/>
        <w:gridCol w:w="2071"/>
      </w:tblGrid>
      <w:tr w14:paraId="05D5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2" w:type="dxa"/>
            <w:vAlign w:val="center"/>
          </w:tcPr>
          <w:p w14:paraId="073ED6D9">
            <w:pPr>
              <w:spacing w:line="560" w:lineRule="exact"/>
              <w:jc w:val="center"/>
              <w:rPr>
                <w:rFonts w:ascii="仿宋_GB2312" w:eastAsia="仿宋_GB2312"/>
                <w:sz w:val="24"/>
                <w:highlight w:val="none"/>
              </w:rPr>
            </w:pPr>
            <w:r>
              <w:rPr>
                <w:rFonts w:hint="eastAsia" w:ascii="仿宋_GB2312" w:eastAsia="仿宋_GB2312"/>
                <w:sz w:val="24"/>
                <w:highlight w:val="none"/>
              </w:rPr>
              <w:t>供应商</w:t>
            </w:r>
          </w:p>
        </w:tc>
        <w:tc>
          <w:tcPr>
            <w:tcW w:w="1193" w:type="dxa"/>
            <w:vAlign w:val="center"/>
          </w:tcPr>
          <w:p w14:paraId="34D80F9B">
            <w:pPr>
              <w:spacing w:line="560" w:lineRule="exact"/>
              <w:jc w:val="center"/>
              <w:rPr>
                <w:rFonts w:ascii="仿宋_GB2312" w:eastAsia="仿宋_GB2312"/>
                <w:sz w:val="24"/>
                <w:highlight w:val="none"/>
              </w:rPr>
            </w:pPr>
            <w:r>
              <w:rPr>
                <w:rFonts w:hint="eastAsia" w:ascii="仿宋_GB2312" w:eastAsia="仿宋_GB2312"/>
                <w:b/>
                <w:sz w:val="24"/>
                <w:highlight w:val="none"/>
              </w:rPr>
              <w:t>投标报价</w:t>
            </w:r>
            <w:r>
              <w:rPr>
                <w:rFonts w:hint="eastAsia" w:ascii="仿宋_GB2312" w:eastAsia="仿宋_GB2312"/>
                <w:sz w:val="24"/>
                <w:highlight w:val="none"/>
              </w:rPr>
              <w:t>（元）</w:t>
            </w:r>
          </w:p>
        </w:tc>
        <w:tc>
          <w:tcPr>
            <w:tcW w:w="1453" w:type="dxa"/>
            <w:vAlign w:val="center"/>
          </w:tcPr>
          <w:p w14:paraId="6BAD738E">
            <w:pPr>
              <w:spacing w:line="560" w:lineRule="exact"/>
              <w:jc w:val="center"/>
              <w:rPr>
                <w:rFonts w:ascii="仿宋_GB2312" w:eastAsia="仿宋_GB2312"/>
                <w:sz w:val="24"/>
                <w:highlight w:val="none"/>
              </w:rPr>
            </w:pPr>
            <w:r>
              <w:rPr>
                <w:rFonts w:hint="eastAsia" w:ascii="仿宋_GB2312" w:eastAsia="仿宋_GB2312"/>
                <w:b/>
                <w:sz w:val="24"/>
                <w:highlight w:val="none"/>
              </w:rPr>
              <w:t>得分</w:t>
            </w:r>
          </w:p>
        </w:tc>
        <w:tc>
          <w:tcPr>
            <w:tcW w:w="2071" w:type="dxa"/>
            <w:vAlign w:val="center"/>
          </w:tcPr>
          <w:p w14:paraId="617FDC33">
            <w:pPr>
              <w:spacing w:line="560" w:lineRule="exact"/>
              <w:rPr>
                <w:rFonts w:ascii="仿宋_GB2312" w:eastAsia="仿宋_GB2312"/>
                <w:sz w:val="22"/>
                <w:szCs w:val="22"/>
                <w:highlight w:val="none"/>
              </w:rPr>
            </w:pPr>
            <w:r>
              <w:rPr>
                <w:rFonts w:hint="eastAsia" w:ascii="仿宋_GB2312" w:eastAsia="仿宋_GB2312"/>
                <w:b/>
                <w:sz w:val="24"/>
                <w:highlight w:val="none"/>
              </w:rPr>
              <w:t>排序</w:t>
            </w:r>
            <w:r>
              <w:rPr>
                <w:rFonts w:hint="eastAsia" w:ascii="仿宋_GB2312" w:eastAsia="仿宋_GB2312"/>
                <w:sz w:val="22"/>
                <w:szCs w:val="22"/>
                <w:highlight w:val="none"/>
              </w:rPr>
              <w:t>（按得分从高到低排）</w:t>
            </w:r>
          </w:p>
        </w:tc>
      </w:tr>
      <w:tr w14:paraId="0EC1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562" w:type="dxa"/>
          </w:tcPr>
          <w:p w14:paraId="32E9330F">
            <w:pPr>
              <w:spacing w:line="560" w:lineRule="exact"/>
              <w:rPr>
                <w:rFonts w:ascii="仿宋_GB2312" w:eastAsia="仿宋_GB2312"/>
                <w:color w:val="0000FF"/>
                <w:sz w:val="24"/>
                <w:highlight w:val="none"/>
              </w:rPr>
            </w:pPr>
          </w:p>
        </w:tc>
        <w:tc>
          <w:tcPr>
            <w:tcW w:w="1193" w:type="dxa"/>
          </w:tcPr>
          <w:p w14:paraId="545D15D6">
            <w:pPr>
              <w:spacing w:line="560" w:lineRule="exact"/>
              <w:rPr>
                <w:rFonts w:ascii="仿宋_GB2312" w:eastAsia="仿宋_GB2312"/>
                <w:color w:val="0000FF"/>
                <w:sz w:val="24"/>
                <w:highlight w:val="none"/>
              </w:rPr>
            </w:pPr>
          </w:p>
        </w:tc>
        <w:tc>
          <w:tcPr>
            <w:tcW w:w="1453" w:type="dxa"/>
          </w:tcPr>
          <w:p w14:paraId="7B66116D">
            <w:pPr>
              <w:spacing w:line="560" w:lineRule="exact"/>
              <w:rPr>
                <w:rFonts w:ascii="仿宋_GB2312" w:eastAsia="仿宋_GB2312"/>
                <w:color w:val="0000FF"/>
                <w:sz w:val="24"/>
                <w:highlight w:val="none"/>
              </w:rPr>
            </w:pPr>
          </w:p>
        </w:tc>
        <w:tc>
          <w:tcPr>
            <w:tcW w:w="2071" w:type="dxa"/>
          </w:tcPr>
          <w:p w14:paraId="2A96FE6A">
            <w:pPr>
              <w:spacing w:line="560" w:lineRule="exact"/>
              <w:rPr>
                <w:rFonts w:ascii="仿宋_GB2312" w:eastAsia="仿宋_GB2312"/>
                <w:color w:val="0000FF"/>
                <w:sz w:val="24"/>
                <w:highlight w:val="none"/>
              </w:rPr>
            </w:pPr>
          </w:p>
        </w:tc>
      </w:tr>
      <w:tr w14:paraId="4586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562" w:type="dxa"/>
          </w:tcPr>
          <w:p w14:paraId="4FD27C1A">
            <w:pPr>
              <w:spacing w:line="560" w:lineRule="exact"/>
              <w:rPr>
                <w:rFonts w:ascii="仿宋_GB2312" w:eastAsia="仿宋_GB2312"/>
                <w:color w:val="0000FF"/>
                <w:sz w:val="24"/>
                <w:highlight w:val="none"/>
              </w:rPr>
            </w:pPr>
          </w:p>
        </w:tc>
        <w:tc>
          <w:tcPr>
            <w:tcW w:w="1193" w:type="dxa"/>
          </w:tcPr>
          <w:p w14:paraId="64D0FD8B">
            <w:pPr>
              <w:spacing w:line="560" w:lineRule="exact"/>
              <w:rPr>
                <w:rFonts w:ascii="仿宋_GB2312" w:eastAsia="仿宋_GB2312"/>
                <w:color w:val="0000FF"/>
                <w:sz w:val="24"/>
                <w:highlight w:val="none"/>
              </w:rPr>
            </w:pPr>
          </w:p>
        </w:tc>
        <w:tc>
          <w:tcPr>
            <w:tcW w:w="1453" w:type="dxa"/>
          </w:tcPr>
          <w:p w14:paraId="5361EEFA">
            <w:pPr>
              <w:spacing w:line="560" w:lineRule="exact"/>
              <w:rPr>
                <w:rFonts w:ascii="仿宋_GB2312" w:eastAsia="仿宋_GB2312"/>
                <w:color w:val="0000FF"/>
                <w:sz w:val="24"/>
                <w:highlight w:val="none"/>
              </w:rPr>
            </w:pPr>
          </w:p>
        </w:tc>
        <w:tc>
          <w:tcPr>
            <w:tcW w:w="2071" w:type="dxa"/>
          </w:tcPr>
          <w:p w14:paraId="19331EF4">
            <w:pPr>
              <w:spacing w:line="560" w:lineRule="exact"/>
              <w:rPr>
                <w:rFonts w:ascii="仿宋_GB2312" w:eastAsia="仿宋_GB2312"/>
                <w:color w:val="0000FF"/>
                <w:sz w:val="24"/>
                <w:highlight w:val="none"/>
              </w:rPr>
            </w:pPr>
          </w:p>
        </w:tc>
      </w:tr>
      <w:tr w14:paraId="7789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62" w:type="dxa"/>
          </w:tcPr>
          <w:p w14:paraId="59041F80">
            <w:pPr>
              <w:spacing w:line="560" w:lineRule="exact"/>
              <w:rPr>
                <w:rFonts w:ascii="仿宋_GB2312" w:eastAsia="仿宋_GB2312"/>
                <w:color w:val="0000FF"/>
                <w:sz w:val="24"/>
                <w:highlight w:val="none"/>
              </w:rPr>
            </w:pPr>
          </w:p>
        </w:tc>
        <w:tc>
          <w:tcPr>
            <w:tcW w:w="1193" w:type="dxa"/>
          </w:tcPr>
          <w:p w14:paraId="3E43AD76">
            <w:pPr>
              <w:spacing w:line="560" w:lineRule="exact"/>
              <w:rPr>
                <w:rFonts w:ascii="仿宋_GB2312" w:eastAsia="仿宋_GB2312"/>
                <w:color w:val="0000FF"/>
                <w:sz w:val="24"/>
                <w:highlight w:val="none"/>
              </w:rPr>
            </w:pPr>
          </w:p>
        </w:tc>
        <w:tc>
          <w:tcPr>
            <w:tcW w:w="1453" w:type="dxa"/>
          </w:tcPr>
          <w:p w14:paraId="41A1BC08">
            <w:pPr>
              <w:spacing w:line="560" w:lineRule="exact"/>
              <w:rPr>
                <w:rFonts w:ascii="仿宋_GB2312" w:eastAsia="仿宋_GB2312"/>
                <w:color w:val="0000FF"/>
                <w:sz w:val="24"/>
                <w:highlight w:val="none"/>
              </w:rPr>
            </w:pPr>
          </w:p>
        </w:tc>
        <w:tc>
          <w:tcPr>
            <w:tcW w:w="2071" w:type="dxa"/>
          </w:tcPr>
          <w:p w14:paraId="4E65FA87">
            <w:pPr>
              <w:spacing w:line="560" w:lineRule="exact"/>
              <w:rPr>
                <w:rFonts w:ascii="仿宋_GB2312" w:eastAsia="仿宋_GB2312"/>
                <w:color w:val="0000FF"/>
                <w:sz w:val="24"/>
                <w:highlight w:val="none"/>
              </w:rPr>
            </w:pPr>
          </w:p>
        </w:tc>
      </w:tr>
      <w:tr w14:paraId="731D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62" w:type="dxa"/>
          </w:tcPr>
          <w:p w14:paraId="245B5E6D">
            <w:pPr>
              <w:spacing w:line="560" w:lineRule="exact"/>
              <w:rPr>
                <w:rFonts w:ascii="仿宋_GB2312" w:eastAsia="仿宋_GB2312"/>
                <w:color w:val="0000FF"/>
                <w:sz w:val="24"/>
                <w:highlight w:val="none"/>
              </w:rPr>
            </w:pPr>
          </w:p>
        </w:tc>
        <w:tc>
          <w:tcPr>
            <w:tcW w:w="1193" w:type="dxa"/>
          </w:tcPr>
          <w:p w14:paraId="7186D803">
            <w:pPr>
              <w:spacing w:line="560" w:lineRule="exact"/>
              <w:rPr>
                <w:rFonts w:ascii="仿宋_GB2312" w:eastAsia="仿宋_GB2312"/>
                <w:color w:val="0000FF"/>
                <w:sz w:val="24"/>
                <w:highlight w:val="none"/>
              </w:rPr>
            </w:pPr>
          </w:p>
        </w:tc>
        <w:tc>
          <w:tcPr>
            <w:tcW w:w="1453" w:type="dxa"/>
          </w:tcPr>
          <w:p w14:paraId="103C164D">
            <w:pPr>
              <w:spacing w:line="560" w:lineRule="exact"/>
              <w:rPr>
                <w:rFonts w:ascii="仿宋_GB2312" w:eastAsia="仿宋_GB2312"/>
                <w:color w:val="0000FF"/>
                <w:sz w:val="24"/>
                <w:highlight w:val="none"/>
              </w:rPr>
            </w:pPr>
          </w:p>
        </w:tc>
        <w:tc>
          <w:tcPr>
            <w:tcW w:w="2071" w:type="dxa"/>
          </w:tcPr>
          <w:p w14:paraId="392D6DD9">
            <w:pPr>
              <w:spacing w:line="560" w:lineRule="exact"/>
              <w:rPr>
                <w:rFonts w:ascii="仿宋_GB2312" w:eastAsia="仿宋_GB2312"/>
                <w:color w:val="0000FF"/>
                <w:sz w:val="24"/>
                <w:highlight w:val="none"/>
              </w:rPr>
            </w:pPr>
          </w:p>
        </w:tc>
      </w:tr>
      <w:tr w14:paraId="502B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62" w:type="dxa"/>
          </w:tcPr>
          <w:p w14:paraId="2D1494A5">
            <w:pPr>
              <w:spacing w:line="560" w:lineRule="exact"/>
              <w:rPr>
                <w:rFonts w:ascii="仿宋_GB2312" w:eastAsia="仿宋_GB2312"/>
                <w:color w:val="0000FF"/>
                <w:sz w:val="24"/>
                <w:highlight w:val="none"/>
              </w:rPr>
            </w:pPr>
          </w:p>
        </w:tc>
        <w:tc>
          <w:tcPr>
            <w:tcW w:w="1193" w:type="dxa"/>
          </w:tcPr>
          <w:p w14:paraId="37288E58">
            <w:pPr>
              <w:spacing w:line="560" w:lineRule="exact"/>
              <w:rPr>
                <w:rFonts w:ascii="仿宋_GB2312" w:eastAsia="仿宋_GB2312"/>
                <w:color w:val="0000FF"/>
                <w:sz w:val="24"/>
                <w:highlight w:val="none"/>
              </w:rPr>
            </w:pPr>
          </w:p>
        </w:tc>
        <w:tc>
          <w:tcPr>
            <w:tcW w:w="1453" w:type="dxa"/>
          </w:tcPr>
          <w:p w14:paraId="7A2DFE3E">
            <w:pPr>
              <w:spacing w:line="560" w:lineRule="exact"/>
              <w:rPr>
                <w:rFonts w:ascii="仿宋_GB2312" w:eastAsia="仿宋_GB2312"/>
                <w:color w:val="0000FF"/>
                <w:sz w:val="24"/>
                <w:highlight w:val="none"/>
              </w:rPr>
            </w:pPr>
          </w:p>
        </w:tc>
        <w:tc>
          <w:tcPr>
            <w:tcW w:w="2071" w:type="dxa"/>
          </w:tcPr>
          <w:p w14:paraId="5E15D4A7">
            <w:pPr>
              <w:spacing w:line="560" w:lineRule="exact"/>
              <w:rPr>
                <w:rFonts w:ascii="仿宋_GB2312" w:eastAsia="仿宋_GB2312"/>
                <w:color w:val="0000FF"/>
                <w:sz w:val="24"/>
                <w:highlight w:val="none"/>
              </w:rPr>
            </w:pPr>
          </w:p>
        </w:tc>
      </w:tr>
    </w:tbl>
    <w:p w14:paraId="71EC011E">
      <w:pPr>
        <w:spacing w:line="560" w:lineRule="exact"/>
        <w:ind w:firstLine="600"/>
        <w:rPr>
          <w:rFonts w:ascii="仿宋_GB2312" w:eastAsia="仿宋_GB2312"/>
          <w:sz w:val="24"/>
          <w:highlight w:val="none"/>
        </w:rPr>
      </w:pPr>
      <w:r>
        <w:rPr>
          <w:rFonts w:hint="eastAsia" w:ascii="仿宋_GB2312" w:eastAsia="仿宋_GB2312"/>
          <w:sz w:val="24"/>
          <w:highlight w:val="none"/>
        </w:rPr>
        <w:t>本项目采购控制金额为：</w:t>
      </w:r>
      <w:r>
        <w:rPr>
          <w:rFonts w:hint="eastAsia" w:ascii="仿宋_GB2312" w:eastAsia="仿宋_GB2312"/>
          <w:sz w:val="24"/>
          <w:highlight w:val="none"/>
          <w:u w:val="single"/>
        </w:rPr>
        <w:t>　　　　　　　　　</w:t>
      </w:r>
      <w:r>
        <w:rPr>
          <w:rFonts w:hint="eastAsia" w:ascii="仿宋_GB2312" w:eastAsia="仿宋_GB2312"/>
          <w:sz w:val="24"/>
          <w:highlight w:val="none"/>
        </w:rPr>
        <w:t>。</w:t>
      </w:r>
    </w:p>
    <w:p w14:paraId="419D8B2C">
      <w:pPr>
        <w:spacing w:line="560" w:lineRule="exact"/>
        <w:ind w:firstLine="600" w:firstLineChars="0"/>
        <w:outlineLvl w:val="3"/>
        <w:rPr>
          <w:rFonts w:ascii="仿宋_GB2312" w:eastAsia="仿宋_GB2312"/>
          <w:b/>
          <w:sz w:val="24"/>
          <w:highlight w:val="none"/>
        </w:rPr>
      </w:pPr>
      <w:r>
        <w:rPr>
          <w:rFonts w:hint="eastAsia" w:ascii="仿宋_GB2312" w:eastAsia="仿宋_GB2312"/>
          <w:b/>
          <w:sz w:val="24"/>
          <w:highlight w:val="none"/>
        </w:rPr>
        <w:t>十、推荐的中标候选人。</w:t>
      </w:r>
    </w:p>
    <w:p w14:paraId="37F8A4EF">
      <w:pPr>
        <w:spacing w:line="560" w:lineRule="exact"/>
        <w:ind w:firstLine="600"/>
        <w:rPr>
          <w:rFonts w:ascii="仿宋_GB2312" w:eastAsia="仿宋_GB2312"/>
          <w:sz w:val="24"/>
          <w:highlight w:val="none"/>
        </w:rPr>
      </w:pPr>
      <w:r>
        <w:rPr>
          <w:rFonts w:hint="eastAsia" w:ascii="仿宋_GB2312" w:eastAsia="仿宋_GB2312"/>
          <w:sz w:val="24"/>
          <w:highlight w:val="none"/>
        </w:rPr>
        <w:t>评标委员会根据招标文件的有关规定，一致同意推荐中标候选人及其排名顺序为：</w:t>
      </w:r>
    </w:p>
    <w:p w14:paraId="77EB9962">
      <w:pPr>
        <w:spacing w:line="560" w:lineRule="exact"/>
        <w:ind w:firstLine="600"/>
        <w:rPr>
          <w:rFonts w:ascii="仿宋_GB2312" w:eastAsia="仿宋_GB2312"/>
          <w:sz w:val="24"/>
          <w:highlight w:val="none"/>
          <w:u w:val="single"/>
        </w:rPr>
      </w:pPr>
      <w:r>
        <w:rPr>
          <w:rFonts w:hint="eastAsia" w:ascii="仿宋_GB2312" w:eastAsia="仿宋_GB2312"/>
          <w:sz w:val="24"/>
          <w:highlight w:val="none"/>
        </w:rPr>
        <w:t>第一中标候选人：</w:t>
      </w:r>
      <w:r>
        <w:rPr>
          <w:rFonts w:hint="eastAsia" w:ascii="仿宋_GB2312" w:eastAsia="仿宋_GB2312"/>
          <w:sz w:val="24"/>
          <w:highlight w:val="none"/>
          <w:u w:val="single"/>
        </w:rPr>
        <w:t xml:space="preserve">                                            </w:t>
      </w:r>
    </w:p>
    <w:p w14:paraId="374214A1">
      <w:pPr>
        <w:spacing w:line="560" w:lineRule="exact"/>
        <w:ind w:firstLine="600"/>
        <w:rPr>
          <w:rFonts w:ascii="仿宋_GB2312" w:eastAsia="仿宋_GB2312"/>
          <w:sz w:val="24"/>
          <w:highlight w:val="none"/>
          <w:u w:val="single"/>
        </w:rPr>
      </w:pPr>
      <w:r>
        <w:rPr>
          <w:rFonts w:hint="eastAsia" w:ascii="仿宋_GB2312" w:eastAsia="仿宋_GB2312"/>
          <w:sz w:val="24"/>
          <w:highlight w:val="none"/>
        </w:rPr>
        <w:t>第二中标候选人：</w:t>
      </w:r>
      <w:r>
        <w:rPr>
          <w:rFonts w:hint="eastAsia" w:ascii="仿宋_GB2312" w:eastAsia="仿宋_GB2312"/>
          <w:sz w:val="24"/>
          <w:highlight w:val="none"/>
          <w:u w:val="single"/>
        </w:rPr>
        <w:t xml:space="preserve">                                            </w:t>
      </w:r>
    </w:p>
    <w:p w14:paraId="1CDF5E35">
      <w:pPr>
        <w:spacing w:line="560" w:lineRule="exact"/>
        <w:ind w:firstLine="600"/>
        <w:rPr>
          <w:rFonts w:ascii="仿宋_GB2312" w:eastAsia="仿宋_GB2312"/>
          <w:sz w:val="24"/>
          <w:highlight w:val="none"/>
        </w:rPr>
      </w:pPr>
      <w:r>
        <w:rPr>
          <w:rFonts w:hint="eastAsia" w:ascii="仿宋_GB2312" w:eastAsia="仿宋_GB2312"/>
          <w:sz w:val="24"/>
          <w:highlight w:val="none"/>
        </w:rPr>
        <w:t>第三中标候选人：</w:t>
      </w:r>
      <w:r>
        <w:rPr>
          <w:rFonts w:hint="eastAsia" w:ascii="仿宋_GB2312" w:eastAsia="仿宋_GB2312"/>
          <w:sz w:val="24"/>
          <w:highlight w:val="none"/>
          <w:u w:val="single"/>
        </w:rPr>
        <w:t xml:space="preserve">                                             </w:t>
      </w:r>
      <w:r>
        <w:rPr>
          <w:rFonts w:hint="eastAsia" w:ascii="仿宋_GB2312" w:eastAsia="仿宋_GB2312"/>
          <w:sz w:val="24"/>
          <w:highlight w:val="none"/>
        </w:rPr>
        <w:t xml:space="preserve">               </w:t>
      </w:r>
    </w:p>
    <w:p w14:paraId="075C4401">
      <w:pPr>
        <w:spacing w:line="560" w:lineRule="exact"/>
        <w:ind w:firstLine="600" w:firstLineChars="0"/>
        <w:outlineLvl w:val="3"/>
        <w:rPr>
          <w:rFonts w:ascii="仿宋_GB2312" w:eastAsia="仿宋_GB2312"/>
          <w:b/>
          <w:sz w:val="24"/>
          <w:highlight w:val="none"/>
        </w:rPr>
      </w:pPr>
      <w:r>
        <w:rPr>
          <w:rFonts w:hint="eastAsia" w:ascii="仿宋_GB2312" w:eastAsia="仿宋_GB2312"/>
          <w:b/>
          <w:sz w:val="24"/>
          <w:highlight w:val="none"/>
        </w:rPr>
        <w:t>十一、澄清、说明、补正事项纪要。</w:t>
      </w:r>
    </w:p>
    <w:p w14:paraId="5ABA0756">
      <w:pPr>
        <w:spacing w:line="560" w:lineRule="exact"/>
        <w:ind w:firstLine="600"/>
        <w:rPr>
          <w:rFonts w:ascii="仿宋_GB2312" w:eastAsia="仿宋_GB2312"/>
          <w:b/>
          <w:sz w:val="24"/>
          <w:highlight w:val="none"/>
        </w:rPr>
      </w:pPr>
    </w:p>
    <w:p w14:paraId="37BC390C">
      <w:pPr>
        <w:spacing w:line="560" w:lineRule="exact"/>
        <w:ind w:firstLine="600"/>
        <w:rPr>
          <w:rFonts w:ascii="仿宋_GB2312" w:eastAsia="仿宋_GB2312"/>
          <w:sz w:val="24"/>
          <w:highlight w:val="none"/>
        </w:rPr>
      </w:pPr>
      <w:r>
        <w:rPr>
          <w:rFonts w:hint="eastAsia" w:ascii="仿宋_GB2312" w:eastAsia="仿宋_GB2312"/>
          <w:sz w:val="24"/>
          <w:highlight w:val="none"/>
        </w:rPr>
        <w:t>评标委员会主任：</w:t>
      </w:r>
    </w:p>
    <w:p w14:paraId="31AC8EFE">
      <w:pPr>
        <w:spacing w:line="560" w:lineRule="exact"/>
        <w:ind w:firstLine="600"/>
        <w:rPr>
          <w:rFonts w:ascii="仿宋_GB2312" w:eastAsia="仿宋_GB2312"/>
          <w:sz w:val="24"/>
          <w:highlight w:val="none"/>
        </w:rPr>
      </w:pPr>
      <w:r>
        <w:rPr>
          <w:rFonts w:hint="eastAsia" w:ascii="仿宋_GB2312" w:eastAsia="仿宋_GB2312"/>
          <w:sz w:val="24"/>
          <w:highlight w:val="none"/>
        </w:rPr>
        <w:t>评标委员会成员：</w:t>
      </w:r>
    </w:p>
    <w:p w14:paraId="6153C86E">
      <w:pPr>
        <w:pStyle w:val="10"/>
        <w:wordWrap w:val="0"/>
        <w:spacing w:line="560" w:lineRule="exact"/>
        <w:ind w:firstLine="2409" w:firstLineChars="1000"/>
        <w:rPr>
          <w:rFonts w:ascii="仿宋_GB2312" w:eastAsia="仿宋_GB2312"/>
          <w:b/>
          <w:sz w:val="24"/>
          <w:highlight w:val="none"/>
        </w:rPr>
      </w:pPr>
      <w:r>
        <w:rPr>
          <w:rFonts w:hint="eastAsia" w:ascii="仿宋_GB2312" w:eastAsia="仿宋_GB2312"/>
          <w:b/>
          <w:sz w:val="24"/>
          <w:highlight w:val="none"/>
          <w:u w:val="single"/>
        </w:rPr>
        <w:t>　　　　　　　　　　　　　　</w:t>
      </w:r>
      <w:r>
        <w:rPr>
          <w:rFonts w:hint="eastAsia" w:ascii="仿宋_GB2312" w:eastAsia="仿宋_GB2312"/>
          <w:b/>
          <w:sz w:val="24"/>
          <w:highlight w:val="none"/>
        </w:rPr>
        <w:t xml:space="preserve">项目评标委员会 </w:t>
      </w:r>
      <w:r>
        <w:rPr>
          <w:rFonts w:ascii="仿宋_GB2312" w:eastAsia="仿宋_GB2312"/>
          <w:b/>
          <w:sz w:val="24"/>
          <w:highlight w:val="none"/>
        </w:rPr>
        <w:t xml:space="preserve">   </w:t>
      </w:r>
    </w:p>
    <w:p w14:paraId="0D1BF83F">
      <w:pPr>
        <w:spacing w:line="560" w:lineRule="exact"/>
        <w:ind w:firstLine="6000" w:firstLineChars="2500"/>
        <w:jc w:val="left"/>
        <w:rPr>
          <w:rFonts w:ascii="仿宋_GB2312" w:eastAsia="仿宋_GB2312"/>
          <w:sz w:val="24"/>
          <w:highlight w:val="none"/>
        </w:rPr>
      </w:pPr>
      <w:r>
        <w:rPr>
          <w:rFonts w:hint="eastAsia" w:ascii="仿宋_GB2312" w:eastAsia="仿宋_GB2312"/>
          <w:sz w:val="24"/>
          <w:highlight w:val="none"/>
        </w:rPr>
        <w:t>年</w:t>
      </w:r>
      <w:r>
        <w:rPr>
          <w:rFonts w:hint="eastAsia" w:ascii="仿宋_GB2312" w:eastAsia="仿宋_GB2312"/>
          <w:sz w:val="24"/>
          <w:highlight w:val="none"/>
          <w:u w:val="single"/>
        </w:rPr>
        <w:t xml:space="preserve">   </w:t>
      </w:r>
      <w:r>
        <w:rPr>
          <w:rFonts w:hint="eastAsia" w:ascii="仿宋_GB2312" w:eastAsia="仿宋_GB2312"/>
          <w:sz w:val="24"/>
          <w:highlight w:val="none"/>
        </w:rPr>
        <w:t>月</w:t>
      </w:r>
      <w:r>
        <w:rPr>
          <w:rFonts w:hint="eastAsia" w:ascii="仿宋_GB2312" w:eastAsia="仿宋_GB2312"/>
          <w:sz w:val="24"/>
          <w:highlight w:val="none"/>
          <w:u w:val="single"/>
        </w:rPr>
        <w:t xml:space="preserve">   </w:t>
      </w:r>
      <w:r>
        <w:rPr>
          <w:rFonts w:hint="eastAsia" w:ascii="仿宋_GB2312" w:eastAsia="仿宋_GB2312"/>
          <w:sz w:val="24"/>
          <w:highlight w:val="none"/>
        </w:rPr>
        <w:t>日</w:t>
      </w:r>
    </w:p>
    <w:p w14:paraId="5B0921CE">
      <w:pPr>
        <w:spacing w:line="560" w:lineRule="exact"/>
        <w:rPr>
          <w:rFonts w:ascii="仿宋_GB2312" w:eastAsia="仿宋_GB2312"/>
          <w:sz w:val="28"/>
          <w:szCs w:val="28"/>
          <w:highlight w:val="none"/>
        </w:rPr>
      </w:pPr>
      <w:r>
        <w:rPr>
          <w:rFonts w:ascii="仿宋_GB2312" w:eastAsia="仿宋_GB2312"/>
          <w:sz w:val="28"/>
          <w:szCs w:val="28"/>
          <w:highlight w:val="none"/>
        </w:rPr>
        <w:br w:type="page"/>
      </w:r>
    </w:p>
    <w:p w14:paraId="30C0DB13">
      <w:pPr>
        <w:pStyle w:val="2"/>
        <w:jc w:val="center"/>
        <w:rPr>
          <w:rFonts w:ascii="宋体" w:hAnsi="宋体"/>
          <w:highlight w:val="none"/>
        </w:rPr>
      </w:pPr>
      <w:bookmarkStart w:id="676" w:name="_Toc494093444"/>
      <w:bookmarkStart w:id="677" w:name="_Toc18750"/>
      <w:bookmarkStart w:id="678" w:name="_Toc494526416"/>
      <w:bookmarkStart w:id="679" w:name="_Toc246996252"/>
      <w:bookmarkStart w:id="680" w:name="_Toc338840250"/>
      <w:bookmarkStart w:id="681" w:name="_Toc27003"/>
      <w:bookmarkStart w:id="682" w:name="_Toc346523482"/>
      <w:bookmarkStart w:id="683" w:name="_Toc346523419"/>
      <w:bookmarkStart w:id="684" w:name="_Toc22308"/>
      <w:bookmarkStart w:id="685" w:name="_Toc9654"/>
      <w:bookmarkStart w:id="686" w:name="_Toc17369"/>
      <w:bookmarkStart w:id="687" w:name="_Toc152042387"/>
      <w:bookmarkStart w:id="688" w:name="_Toc152045609"/>
      <w:bookmarkStart w:id="689" w:name="_Toc247085767"/>
      <w:bookmarkStart w:id="690" w:name="_Toc338840459"/>
      <w:bookmarkStart w:id="691" w:name="_Toc338840498"/>
      <w:bookmarkStart w:id="692" w:name="_Toc14959"/>
      <w:bookmarkStart w:id="693" w:name="_Toc246996995"/>
      <w:bookmarkStart w:id="694" w:name="_Toc144974577"/>
      <w:bookmarkStart w:id="695" w:name="_Toc179632627"/>
      <w:r>
        <w:rPr>
          <w:rFonts w:hint="eastAsia" w:ascii="宋体" w:hAnsi="宋体"/>
          <w:highlight w:val="none"/>
        </w:rPr>
        <w:t>第四章 合同条款及格式</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Start w:id="696" w:name="_Toc179632787"/>
      <w:bookmarkStart w:id="697" w:name="_Toc246996338"/>
      <w:bookmarkStart w:id="698" w:name="_Toc152045769"/>
      <w:bookmarkStart w:id="699" w:name="_Toc144974831"/>
      <w:bookmarkStart w:id="700" w:name="_Toc247085853"/>
      <w:bookmarkStart w:id="701" w:name="_Toc246997081"/>
      <w:bookmarkStart w:id="702" w:name="_Toc152042551"/>
    </w:p>
    <w:p w14:paraId="0B952EBB">
      <w:pPr>
        <w:widowControl/>
        <w:ind w:firstLine="3058" w:firstLineChars="695"/>
        <w:rPr>
          <w:rFonts w:hint="eastAsia" w:ascii="宋体" w:hAnsi="宋体" w:eastAsia="宋体"/>
          <w:bCs/>
          <w:kern w:val="0"/>
          <w:sz w:val="44"/>
          <w:szCs w:val="44"/>
          <w:highlight w:val="none"/>
          <w:lang w:eastAsia="zh-CN"/>
        </w:rPr>
      </w:pPr>
      <w:r>
        <w:rPr>
          <w:rFonts w:hint="eastAsia" w:ascii="宋体" w:hAnsi="宋体"/>
          <w:bCs/>
          <w:kern w:val="0"/>
          <w:sz w:val="44"/>
          <w:szCs w:val="44"/>
          <w:highlight w:val="none"/>
        </w:rPr>
        <w:t>合同协议书</w:t>
      </w:r>
      <w:r>
        <w:rPr>
          <w:rFonts w:hint="eastAsia" w:ascii="宋体" w:hAnsi="宋体"/>
          <w:bCs/>
          <w:kern w:val="0"/>
          <w:sz w:val="32"/>
          <w:szCs w:val="32"/>
          <w:highlight w:val="none"/>
          <w:lang w:eastAsia="zh-CN"/>
        </w:rPr>
        <w:t>（</w:t>
      </w:r>
      <w:r>
        <w:rPr>
          <w:rFonts w:hint="eastAsia" w:ascii="宋体" w:hAnsi="宋体"/>
          <w:bCs/>
          <w:kern w:val="0"/>
          <w:sz w:val="32"/>
          <w:szCs w:val="32"/>
          <w:highlight w:val="none"/>
          <w:lang w:val="en-US" w:eastAsia="zh-CN"/>
        </w:rPr>
        <w:t>样本</w:t>
      </w:r>
      <w:r>
        <w:rPr>
          <w:rFonts w:hint="eastAsia" w:ascii="宋体" w:hAnsi="宋体"/>
          <w:bCs/>
          <w:kern w:val="0"/>
          <w:sz w:val="32"/>
          <w:szCs w:val="32"/>
          <w:highlight w:val="none"/>
          <w:lang w:eastAsia="zh-CN"/>
        </w:rPr>
        <w:t>）</w:t>
      </w:r>
    </w:p>
    <w:tbl>
      <w:tblPr>
        <w:tblStyle w:val="32"/>
        <w:tblpPr w:leftFromText="180" w:rightFromText="180" w:vertAnchor="text" w:horzAnchor="margin" w:tblpY="171"/>
        <w:tblW w:w="0" w:type="auto"/>
        <w:tblInd w:w="0" w:type="dxa"/>
        <w:tblLayout w:type="fixed"/>
        <w:tblCellMar>
          <w:top w:w="0" w:type="dxa"/>
          <w:left w:w="108" w:type="dxa"/>
          <w:bottom w:w="0" w:type="dxa"/>
          <w:right w:w="108" w:type="dxa"/>
        </w:tblCellMar>
      </w:tblPr>
      <w:tblGrid>
        <w:gridCol w:w="8190"/>
      </w:tblGrid>
      <w:tr w14:paraId="0E922D97">
        <w:tblPrEx>
          <w:tblCellMar>
            <w:top w:w="0" w:type="dxa"/>
            <w:left w:w="108" w:type="dxa"/>
            <w:bottom w:w="0" w:type="dxa"/>
            <w:right w:w="108" w:type="dxa"/>
          </w:tblCellMar>
        </w:tblPrEx>
        <w:trPr>
          <w:trHeight w:val="1080" w:hRule="atLeast"/>
        </w:trPr>
        <w:tc>
          <w:tcPr>
            <w:tcW w:w="8190" w:type="dxa"/>
            <w:tcBorders>
              <w:top w:val="single" w:color="000000" w:sz="4" w:space="0"/>
              <w:left w:val="single" w:color="000000" w:sz="4" w:space="0"/>
              <w:bottom w:val="single" w:color="000000" w:sz="4" w:space="0"/>
              <w:right w:val="single" w:color="000000" w:sz="4" w:space="0"/>
            </w:tcBorders>
          </w:tcPr>
          <w:p w14:paraId="0421EC2A">
            <w:pPr>
              <w:widowControl/>
              <w:spacing w:before="120" w:line="400" w:lineRule="exact"/>
              <w:ind w:left="105"/>
              <w:rPr>
                <w:rFonts w:ascii="宋体" w:hAnsi="宋体"/>
                <w:kern w:val="0"/>
                <w:sz w:val="24"/>
                <w:highlight w:val="none"/>
              </w:rPr>
            </w:pPr>
            <w:r>
              <w:rPr>
                <w:rFonts w:hint="eastAsia" w:ascii="宋体" w:hAnsi="宋体"/>
                <w:kern w:val="0"/>
                <w:sz w:val="24"/>
                <w:highlight w:val="none"/>
              </w:rPr>
              <w:t>注释：采购人应</w:t>
            </w:r>
            <w:r>
              <w:rPr>
                <w:rFonts w:hint="eastAsia" w:ascii="宋体" w:hAnsi="宋体"/>
                <w:kern w:val="0"/>
                <w:sz w:val="24"/>
                <w:highlight w:val="none"/>
                <w:lang w:val="en-US" w:eastAsia="zh-CN"/>
              </w:rPr>
              <w:t>当</w:t>
            </w:r>
            <w:r>
              <w:rPr>
                <w:rFonts w:hint="eastAsia" w:ascii="宋体" w:hAnsi="宋体"/>
                <w:kern w:val="0"/>
                <w:sz w:val="24"/>
                <w:highlight w:val="none"/>
              </w:rPr>
              <w:t>依据《中华人民共和国民法典》</w:t>
            </w:r>
            <w:r>
              <w:rPr>
                <w:rFonts w:hint="eastAsia" w:ascii="宋体" w:hAnsi="宋体"/>
                <w:kern w:val="0"/>
                <w:sz w:val="24"/>
                <w:highlight w:val="none"/>
                <w:lang w:val="en-US" w:eastAsia="zh-CN"/>
              </w:rPr>
              <w:t>和</w:t>
            </w:r>
            <w:r>
              <w:rPr>
                <w:rFonts w:hint="eastAsia" w:ascii="宋体" w:hAnsi="宋体"/>
                <w:kern w:val="0"/>
                <w:sz w:val="24"/>
                <w:highlight w:val="none"/>
              </w:rPr>
              <w:t>国家</w:t>
            </w:r>
            <w:r>
              <w:rPr>
                <w:rFonts w:hint="eastAsia" w:ascii="宋体" w:hAnsi="宋体"/>
                <w:kern w:val="0"/>
                <w:sz w:val="24"/>
                <w:highlight w:val="none"/>
                <w:lang w:eastAsia="zh-CN"/>
              </w:rPr>
              <w:t>、</w:t>
            </w:r>
            <w:r>
              <w:rPr>
                <w:rFonts w:hint="eastAsia" w:ascii="宋体" w:hAnsi="宋体"/>
                <w:kern w:val="0"/>
                <w:sz w:val="24"/>
                <w:highlight w:val="none"/>
              </w:rPr>
              <w:t>行业标准或示范合同文本</w:t>
            </w:r>
            <w:r>
              <w:rPr>
                <w:rFonts w:hint="eastAsia" w:ascii="宋体" w:hAnsi="宋体"/>
                <w:kern w:val="0"/>
                <w:sz w:val="24"/>
                <w:highlight w:val="none"/>
                <w:lang w:eastAsia="zh-CN"/>
              </w:rPr>
              <w:t>，</w:t>
            </w:r>
            <w:r>
              <w:rPr>
                <w:rFonts w:hint="eastAsia" w:ascii="宋体" w:hAnsi="宋体"/>
                <w:kern w:val="0"/>
                <w:sz w:val="24"/>
                <w:highlight w:val="none"/>
              </w:rPr>
              <w:t>结合项目特点</w:t>
            </w:r>
            <w:r>
              <w:rPr>
                <w:rFonts w:hint="eastAsia" w:ascii="宋体" w:hAnsi="宋体"/>
                <w:kern w:val="0"/>
                <w:sz w:val="24"/>
                <w:highlight w:val="none"/>
                <w:lang w:val="en-US" w:eastAsia="zh-CN"/>
              </w:rPr>
              <w:t>制订</w:t>
            </w:r>
            <w:r>
              <w:rPr>
                <w:rFonts w:hint="eastAsia" w:ascii="宋体" w:hAnsi="宋体"/>
                <w:kern w:val="0"/>
                <w:sz w:val="24"/>
                <w:highlight w:val="none"/>
              </w:rPr>
              <w:t>采购合同</w:t>
            </w:r>
            <w:r>
              <w:rPr>
                <w:rFonts w:hint="eastAsia" w:ascii="宋体" w:hAnsi="宋体"/>
                <w:kern w:val="0"/>
                <w:sz w:val="24"/>
                <w:highlight w:val="none"/>
                <w:lang w:eastAsia="zh-CN"/>
              </w:rPr>
              <w:t>，</w:t>
            </w:r>
            <w:r>
              <w:rPr>
                <w:rFonts w:hint="eastAsia" w:ascii="宋体" w:hAnsi="宋体"/>
                <w:kern w:val="0"/>
                <w:sz w:val="24"/>
                <w:highlight w:val="none"/>
                <w:lang w:val="en-US" w:eastAsia="zh-CN"/>
              </w:rPr>
              <w:t>招标时作为采购文件的组成部分；无者可将</w:t>
            </w:r>
            <w:r>
              <w:rPr>
                <w:rFonts w:hint="eastAsia" w:ascii="宋体" w:hAnsi="宋体"/>
                <w:kern w:val="0"/>
                <w:sz w:val="24"/>
                <w:highlight w:val="none"/>
              </w:rPr>
              <w:t>本合同协议书</w:t>
            </w:r>
            <w:r>
              <w:rPr>
                <w:rFonts w:hint="eastAsia" w:ascii="宋体" w:hAnsi="宋体"/>
                <w:kern w:val="0"/>
                <w:sz w:val="24"/>
                <w:highlight w:val="none"/>
                <w:lang w:eastAsia="zh-CN"/>
              </w:rPr>
              <w:t>（</w:t>
            </w:r>
            <w:r>
              <w:rPr>
                <w:rFonts w:hint="eastAsia" w:ascii="宋体" w:hAnsi="宋体"/>
                <w:kern w:val="0"/>
                <w:sz w:val="24"/>
                <w:highlight w:val="none"/>
                <w:lang w:val="en-US" w:eastAsia="zh-CN"/>
              </w:rPr>
              <w:t>样本</w:t>
            </w:r>
            <w:r>
              <w:rPr>
                <w:rFonts w:hint="eastAsia" w:ascii="宋体" w:hAnsi="宋体"/>
                <w:kern w:val="0"/>
                <w:sz w:val="24"/>
                <w:highlight w:val="none"/>
                <w:lang w:eastAsia="zh-CN"/>
              </w:rPr>
              <w:t>）</w:t>
            </w:r>
            <w:r>
              <w:rPr>
                <w:rFonts w:hint="eastAsia" w:ascii="宋体" w:hAnsi="宋体"/>
                <w:kern w:val="0"/>
                <w:sz w:val="24"/>
                <w:highlight w:val="none"/>
                <w:lang w:val="en-US" w:eastAsia="zh-CN"/>
              </w:rPr>
              <w:t>作为采购合同</w:t>
            </w:r>
            <w:r>
              <w:rPr>
                <w:rFonts w:hint="eastAsia" w:ascii="宋体" w:hAnsi="宋体"/>
                <w:kern w:val="0"/>
                <w:sz w:val="24"/>
                <w:highlight w:val="none"/>
                <w:lang w:eastAsia="zh-CN"/>
              </w:rPr>
              <w:t>，</w:t>
            </w:r>
            <w:r>
              <w:rPr>
                <w:rFonts w:hint="eastAsia" w:ascii="宋体" w:hAnsi="宋体"/>
                <w:kern w:val="0"/>
                <w:sz w:val="24"/>
                <w:highlight w:val="none"/>
              </w:rPr>
              <w:t>经协商可增减条款</w:t>
            </w:r>
            <w:r>
              <w:rPr>
                <w:rFonts w:hint="eastAsia" w:ascii="宋体" w:hAnsi="宋体"/>
                <w:kern w:val="0"/>
                <w:sz w:val="24"/>
                <w:highlight w:val="none"/>
                <w:lang w:eastAsia="zh-CN"/>
              </w:rPr>
              <w:t>，</w:t>
            </w:r>
            <w:r>
              <w:rPr>
                <w:rFonts w:hint="eastAsia" w:ascii="宋体" w:hAnsi="宋体"/>
                <w:kern w:val="0"/>
                <w:sz w:val="24"/>
                <w:highlight w:val="none"/>
              </w:rPr>
              <w:t>但不得与招标文件、投标文件的实质性内容相背离。</w:t>
            </w:r>
          </w:p>
        </w:tc>
      </w:tr>
    </w:tbl>
    <w:p w14:paraId="3C849F8B">
      <w:pPr>
        <w:widowControl/>
        <w:spacing w:line="440" w:lineRule="exact"/>
        <w:rPr>
          <w:rFonts w:ascii="宋体" w:hAnsi="宋体"/>
          <w:kern w:val="0"/>
          <w:szCs w:val="21"/>
          <w:highlight w:val="none"/>
        </w:rPr>
      </w:pPr>
    </w:p>
    <w:p w14:paraId="6E540623">
      <w:pPr>
        <w:widowControl/>
        <w:spacing w:line="440" w:lineRule="exact"/>
        <w:rPr>
          <w:rFonts w:ascii="宋体" w:hAnsi="宋体"/>
          <w:kern w:val="0"/>
          <w:szCs w:val="21"/>
          <w:highlight w:val="none"/>
        </w:rPr>
      </w:pPr>
    </w:p>
    <w:p w14:paraId="505A55C2">
      <w:pPr>
        <w:widowControl/>
        <w:spacing w:line="440" w:lineRule="exact"/>
        <w:rPr>
          <w:rFonts w:ascii="宋体" w:hAnsi="宋体"/>
          <w:kern w:val="0"/>
          <w:szCs w:val="21"/>
          <w:highlight w:val="none"/>
        </w:rPr>
      </w:pPr>
      <w:r>
        <w:rPr>
          <w:rFonts w:hint="eastAsia" w:ascii="宋体" w:hAnsi="宋体"/>
          <w:kern w:val="0"/>
          <w:szCs w:val="21"/>
          <w:highlight w:val="none"/>
        </w:rPr>
        <w:t xml:space="preserve">甲方(采购人)：                   住所地：                                             </w:t>
      </w:r>
    </w:p>
    <w:p w14:paraId="1849B12C">
      <w:pPr>
        <w:widowControl/>
        <w:spacing w:line="440" w:lineRule="exact"/>
        <w:rPr>
          <w:rFonts w:ascii="宋体" w:hAnsi="宋体"/>
          <w:kern w:val="0"/>
          <w:szCs w:val="21"/>
          <w:highlight w:val="none"/>
        </w:rPr>
      </w:pPr>
      <w:r>
        <w:rPr>
          <w:rFonts w:hint="eastAsia" w:ascii="宋体" w:hAnsi="宋体"/>
          <w:kern w:val="0"/>
          <w:szCs w:val="21"/>
          <w:highlight w:val="none"/>
        </w:rPr>
        <w:t>乙方（中标人）：                 住所地：</w:t>
      </w:r>
    </w:p>
    <w:p w14:paraId="4032322B">
      <w:pPr>
        <w:widowControl/>
        <w:spacing w:line="440" w:lineRule="exact"/>
        <w:rPr>
          <w:rFonts w:ascii="宋体" w:hAnsi="宋体"/>
          <w:kern w:val="0"/>
          <w:szCs w:val="21"/>
          <w:highlight w:val="none"/>
        </w:rPr>
      </w:pPr>
      <w:r>
        <w:rPr>
          <w:rFonts w:hint="eastAsia" w:ascii="宋体" w:hAnsi="宋体"/>
          <w:kern w:val="0"/>
          <w:szCs w:val="21"/>
          <w:highlight w:val="none"/>
        </w:rPr>
        <w:t>合同签订地点：　　　　　签订日期：    年   月   日</w:t>
      </w:r>
    </w:p>
    <w:p w14:paraId="4E18CB14">
      <w:pPr>
        <w:widowControl/>
        <w:spacing w:line="440" w:lineRule="exact"/>
        <w:ind w:firstLine="560"/>
        <w:jc w:val="left"/>
        <w:rPr>
          <w:rFonts w:ascii="宋体" w:hAnsi="宋体"/>
          <w:kern w:val="0"/>
          <w:szCs w:val="21"/>
          <w:highlight w:val="none"/>
        </w:rPr>
      </w:pPr>
      <w:r>
        <w:rPr>
          <w:rFonts w:hint="eastAsia" w:ascii="宋体" w:hAnsi="宋体"/>
          <w:kern w:val="0"/>
          <w:szCs w:val="21"/>
          <w:highlight w:val="none"/>
        </w:rPr>
        <w:t xml:space="preserve"> </w:t>
      </w:r>
    </w:p>
    <w:p w14:paraId="60B5BBCE">
      <w:pPr>
        <w:widowControl/>
        <w:spacing w:line="440" w:lineRule="exact"/>
        <w:ind w:firstLine="560"/>
        <w:jc w:val="left"/>
        <w:rPr>
          <w:rFonts w:ascii="宋体" w:hAnsi="宋体"/>
          <w:kern w:val="0"/>
          <w:szCs w:val="21"/>
          <w:highlight w:val="none"/>
        </w:rPr>
      </w:pPr>
      <w:r>
        <w:rPr>
          <w:rFonts w:hint="eastAsia" w:ascii="宋体" w:hAnsi="宋体"/>
          <w:kern w:val="0"/>
          <w:szCs w:val="21"/>
          <w:highlight w:val="none"/>
        </w:rPr>
        <w:t xml:space="preserve">根据《中华人民共和国政府采购法》、《中华人民共和国民法典》等法律法规的规定，甲乙双方按照开封市政府采购中心的招标结果（项目名称： </w:t>
      </w:r>
      <w:r>
        <w:rPr>
          <w:rFonts w:hint="eastAsia" w:ascii="宋体" w:hAnsi="宋体"/>
          <w:kern w:val="0"/>
          <w:szCs w:val="21"/>
          <w:highlight w:val="none"/>
          <w:u w:val="single"/>
        </w:rPr>
        <w:t>　　　　　         　第　　标段</w:t>
      </w:r>
      <w:r>
        <w:rPr>
          <w:rFonts w:hint="eastAsia" w:ascii="宋体" w:hAnsi="宋体"/>
          <w:kern w:val="0"/>
          <w:szCs w:val="21"/>
          <w:highlight w:val="none"/>
        </w:rPr>
        <w:t>，项目编号：</w:t>
      </w:r>
      <w:r>
        <w:rPr>
          <w:rFonts w:hint="eastAsia" w:ascii="宋体" w:hAnsi="宋体"/>
          <w:kern w:val="0"/>
          <w:szCs w:val="21"/>
          <w:highlight w:val="none"/>
          <w:u w:val="single"/>
        </w:rPr>
        <w:t>　　　</w:t>
      </w:r>
      <w:r>
        <w:rPr>
          <w:rFonts w:hint="eastAsia" w:ascii="宋体" w:hAnsi="宋体"/>
          <w:kern w:val="0"/>
          <w:szCs w:val="21"/>
          <w:highlight w:val="none"/>
        </w:rPr>
        <w:t>）签订本合同。</w:t>
      </w:r>
    </w:p>
    <w:p w14:paraId="22404B39">
      <w:pPr>
        <w:widowControl/>
        <w:spacing w:line="440" w:lineRule="exact"/>
        <w:ind w:firstLine="422" w:firstLineChars="200"/>
        <w:rPr>
          <w:rFonts w:ascii="宋体" w:hAnsi="宋体"/>
          <w:kern w:val="0"/>
          <w:szCs w:val="21"/>
          <w:highlight w:val="none"/>
        </w:rPr>
      </w:pPr>
      <w:r>
        <w:rPr>
          <w:rFonts w:hint="eastAsia" w:ascii="宋体" w:hAnsi="宋体"/>
          <w:b/>
          <w:bCs/>
          <w:kern w:val="0"/>
          <w:szCs w:val="21"/>
          <w:highlight w:val="none"/>
        </w:rPr>
        <w:t xml:space="preserve">第一条：合同标的   </w:t>
      </w:r>
      <w:r>
        <w:rPr>
          <w:rFonts w:hint="eastAsia" w:ascii="宋体" w:hAnsi="宋体"/>
          <w:kern w:val="0"/>
          <w:szCs w:val="21"/>
          <w:highlight w:val="none"/>
        </w:rPr>
        <w:t>乙方应根据本项目要求按招标内容和中标结果提供下列产品（或服务），包括附带的备品备件及专用工具等：</w:t>
      </w:r>
    </w:p>
    <w:p w14:paraId="17D1F250">
      <w:pPr>
        <w:widowControl/>
        <w:spacing w:line="440" w:lineRule="exact"/>
        <w:ind w:firstLine="560"/>
        <w:jc w:val="left"/>
        <w:rPr>
          <w:rFonts w:ascii="宋体" w:hAnsi="宋体"/>
          <w:kern w:val="0"/>
          <w:szCs w:val="21"/>
          <w:highlight w:val="none"/>
        </w:rPr>
      </w:pPr>
      <w:r>
        <w:rPr>
          <w:rFonts w:hint="eastAsia" w:ascii="宋体" w:hAnsi="宋体"/>
          <w:kern w:val="0"/>
          <w:szCs w:val="21"/>
          <w:highlight w:val="none"/>
        </w:rPr>
        <w:t>（详见招标文件中的“招标内容及商务技术要求”及有关补充文件、中标人投标文件中的“投标内容及报价明细表”等）</w:t>
      </w:r>
    </w:p>
    <w:p w14:paraId="69CF67A1">
      <w:pPr>
        <w:widowControl/>
        <w:spacing w:line="440" w:lineRule="exact"/>
        <w:ind w:firstLine="422" w:firstLineChars="200"/>
        <w:jc w:val="left"/>
        <w:rPr>
          <w:rFonts w:ascii="宋体" w:hAnsi="宋体"/>
          <w:b/>
          <w:bCs/>
          <w:kern w:val="0"/>
          <w:szCs w:val="21"/>
          <w:highlight w:val="none"/>
        </w:rPr>
      </w:pPr>
    </w:p>
    <w:p w14:paraId="5B9CC297">
      <w:pPr>
        <w:widowControl/>
        <w:spacing w:line="440" w:lineRule="exact"/>
        <w:ind w:firstLine="422" w:firstLineChars="200"/>
        <w:jc w:val="left"/>
        <w:rPr>
          <w:rFonts w:ascii="宋体" w:hAnsi="宋体"/>
          <w:kern w:val="0"/>
          <w:szCs w:val="21"/>
          <w:highlight w:val="none"/>
        </w:rPr>
      </w:pPr>
      <w:r>
        <w:rPr>
          <w:rFonts w:hint="eastAsia" w:ascii="宋体" w:hAnsi="宋体"/>
          <w:b/>
          <w:bCs/>
          <w:kern w:val="0"/>
          <w:szCs w:val="21"/>
          <w:highlight w:val="none"/>
        </w:rPr>
        <w:t xml:space="preserve">第二条：合同总价款    </w:t>
      </w:r>
      <w:r>
        <w:rPr>
          <w:rFonts w:hint="eastAsia" w:ascii="宋体" w:hAnsi="宋体"/>
          <w:kern w:val="0"/>
          <w:szCs w:val="21"/>
          <w:highlight w:val="none"/>
        </w:rPr>
        <w:t>本合同项下项目的总价款为人民币（大写）：</w:t>
      </w:r>
      <w:r>
        <w:rPr>
          <w:rFonts w:hint="eastAsia" w:ascii="宋体" w:hAnsi="宋体"/>
          <w:b/>
          <w:bCs/>
          <w:kern w:val="0"/>
          <w:szCs w:val="21"/>
          <w:highlight w:val="none"/>
          <w:u w:val="single"/>
        </w:rPr>
        <w:t xml:space="preserve">               </w:t>
      </w:r>
      <w:r>
        <w:rPr>
          <w:rFonts w:hint="eastAsia" w:ascii="宋体" w:hAnsi="宋体"/>
          <w:bCs/>
          <w:kern w:val="0"/>
          <w:szCs w:val="21"/>
          <w:highlight w:val="none"/>
        </w:rPr>
        <w:t>（</w:t>
      </w:r>
      <w:r>
        <w:rPr>
          <w:rFonts w:hint="eastAsia" w:ascii="宋体" w:hAnsi="宋体"/>
          <w:kern w:val="0"/>
          <w:szCs w:val="21"/>
          <w:highlight w:val="none"/>
        </w:rPr>
        <w:t>￥：</w:t>
      </w:r>
      <w:r>
        <w:rPr>
          <w:rFonts w:hint="eastAsia" w:ascii="宋体" w:hAnsi="宋体"/>
          <w:kern w:val="0"/>
          <w:szCs w:val="21"/>
          <w:highlight w:val="none"/>
          <w:u w:val="single"/>
        </w:rPr>
        <w:t>　　　　　</w:t>
      </w:r>
      <w:r>
        <w:rPr>
          <w:rFonts w:hint="eastAsia" w:ascii="宋体" w:hAnsi="宋体"/>
          <w:kern w:val="0"/>
          <w:szCs w:val="21"/>
          <w:highlight w:val="none"/>
        </w:rPr>
        <w:t>）。合同总价款中包含：本招标采购对象，及与之相关的</w:t>
      </w:r>
      <w:r>
        <w:rPr>
          <w:rFonts w:hint="eastAsia" w:ascii="宋体" w:hAnsi="宋体"/>
          <w:szCs w:val="21"/>
          <w:highlight w:val="none"/>
        </w:rPr>
        <w:t>设计、制造、包装、运输、装卸、</w:t>
      </w:r>
      <w:r>
        <w:rPr>
          <w:rFonts w:hint="eastAsia" w:ascii="宋体" w:hAnsi="宋体"/>
          <w:kern w:val="0"/>
          <w:szCs w:val="21"/>
          <w:highlight w:val="none"/>
        </w:rPr>
        <w:t>安装、调试、</w:t>
      </w:r>
      <w:r>
        <w:rPr>
          <w:rFonts w:hint="eastAsia" w:ascii="宋体" w:hAnsi="宋体"/>
          <w:szCs w:val="21"/>
          <w:highlight w:val="none"/>
        </w:rPr>
        <w:t>质量检验、各项规费和税费、保险费、意外事故、等</w:t>
      </w:r>
      <w:r>
        <w:rPr>
          <w:rFonts w:hint="eastAsia" w:ascii="宋体" w:hAnsi="宋体"/>
          <w:kern w:val="0"/>
          <w:szCs w:val="21"/>
          <w:highlight w:val="none"/>
        </w:rPr>
        <w:t>验收合格前全部</w:t>
      </w:r>
      <w:r>
        <w:rPr>
          <w:rFonts w:hint="eastAsia" w:ascii="宋体" w:hAnsi="宋体"/>
          <w:szCs w:val="21"/>
          <w:highlight w:val="none"/>
        </w:rPr>
        <w:t>费用</w:t>
      </w:r>
      <w:r>
        <w:rPr>
          <w:rFonts w:hint="eastAsia" w:ascii="宋体" w:hAnsi="宋体"/>
          <w:kern w:val="0"/>
          <w:szCs w:val="21"/>
          <w:highlight w:val="none"/>
        </w:rPr>
        <w:t>，以及备品备件、专用工具、技术培训、技术资料、保修期内的各项保修和系统维护费用、相应的伴随服务和售后服务费用等。</w:t>
      </w:r>
    </w:p>
    <w:p w14:paraId="634ECB0C">
      <w:pPr>
        <w:widowControl/>
        <w:spacing w:line="440" w:lineRule="exact"/>
        <w:ind w:firstLine="422" w:firstLineChars="200"/>
        <w:jc w:val="left"/>
        <w:outlineLvl w:val="1"/>
        <w:rPr>
          <w:rFonts w:ascii="宋体" w:hAnsi="宋体"/>
          <w:b/>
          <w:bCs/>
          <w:kern w:val="0"/>
          <w:szCs w:val="21"/>
          <w:highlight w:val="none"/>
        </w:rPr>
      </w:pPr>
      <w:bookmarkStart w:id="703" w:name="_Toc18540"/>
      <w:r>
        <w:rPr>
          <w:rFonts w:hint="eastAsia" w:ascii="宋体" w:hAnsi="宋体"/>
          <w:b/>
          <w:bCs/>
          <w:kern w:val="0"/>
          <w:szCs w:val="21"/>
          <w:highlight w:val="none"/>
        </w:rPr>
        <w:t>第三条：合同文件的组成</w:t>
      </w:r>
      <w:bookmarkEnd w:id="703"/>
      <w:r>
        <w:rPr>
          <w:rFonts w:hint="eastAsia" w:ascii="宋体" w:hAnsi="宋体"/>
          <w:b/>
          <w:bCs/>
          <w:kern w:val="0"/>
          <w:szCs w:val="21"/>
          <w:highlight w:val="none"/>
        </w:rPr>
        <w:t>　　</w:t>
      </w:r>
    </w:p>
    <w:p w14:paraId="5292B663">
      <w:pPr>
        <w:widowControl/>
        <w:spacing w:line="440" w:lineRule="exact"/>
        <w:ind w:firstLine="420" w:firstLineChars="200"/>
        <w:jc w:val="left"/>
        <w:rPr>
          <w:rFonts w:ascii="宋体" w:hAnsi="宋体"/>
          <w:bCs/>
          <w:kern w:val="0"/>
          <w:szCs w:val="21"/>
          <w:highlight w:val="none"/>
        </w:rPr>
      </w:pPr>
      <w:r>
        <w:rPr>
          <w:rFonts w:hint="eastAsia" w:ascii="宋体" w:hAnsi="宋体"/>
          <w:bCs/>
          <w:kern w:val="0"/>
          <w:szCs w:val="21"/>
          <w:highlight w:val="none"/>
        </w:rPr>
        <w:t>下列文件共同构成合同文件，作为项目履约和验收的依据：</w:t>
      </w:r>
    </w:p>
    <w:p w14:paraId="4577C7B6">
      <w:pPr>
        <w:widowControl/>
        <w:numPr>
          <w:ilvl w:val="0"/>
          <w:numId w:val="5"/>
        </w:numPr>
        <w:spacing w:line="440" w:lineRule="exact"/>
        <w:jc w:val="left"/>
        <w:rPr>
          <w:rFonts w:ascii="宋体" w:hAnsi="宋体"/>
          <w:bCs/>
          <w:kern w:val="0"/>
          <w:szCs w:val="21"/>
          <w:highlight w:val="none"/>
        </w:rPr>
      </w:pPr>
      <w:r>
        <w:rPr>
          <w:rFonts w:hint="eastAsia" w:ascii="宋体" w:hAnsi="宋体"/>
          <w:bCs/>
          <w:kern w:val="0"/>
          <w:szCs w:val="21"/>
          <w:highlight w:val="none"/>
        </w:rPr>
        <w:t>本合同协议书；</w:t>
      </w:r>
    </w:p>
    <w:p w14:paraId="072D46EF">
      <w:pPr>
        <w:widowControl/>
        <w:numPr>
          <w:ilvl w:val="0"/>
          <w:numId w:val="5"/>
        </w:numPr>
        <w:spacing w:line="440" w:lineRule="exact"/>
        <w:jc w:val="left"/>
        <w:rPr>
          <w:rFonts w:ascii="宋体" w:hAnsi="宋体"/>
          <w:kern w:val="0"/>
          <w:szCs w:val="21"/>
          <w:highlight w:val="none"/>
        </w:rPr>
      </w:pPr>
      <w:r>
        <w:rPr>
          <w:rFonts w:hint="eastAsia" w:ascii="宋体" w:hAnsi="宋体"/>
          <w:bCs/>
          <w:kern w:val="0"/>
          <w:szCs w:val="21"/>
          <w:highlight w:val="none"/>
        </w:rPr>
        <w:t>中标通知书；</w:t>
      </w:r>
    </w:p>
    <w:p w14:paraId="34053EDD">
      <w:pPr>
        <w:widowControl/>
        <w:numPr>
          <w:ilvl w:val="0"/>
          <w:numId w:val="5"/>
        </w:numPr>
        <w:spacing w:line="440" w:lineRule="exact"/>
        <w:jc w:val="left"/>
        <w:rPr>
          <w:rFonts w:ascii="宋体" w:hAnsi="宋体"/>
          <w:kern w:val="0"/>
          <w:szCs w:val="21"/>
          <w:highlight w:val="none"/>
        </w:rPr>
      </w:pPr>
      <w:r>
        <w:rPr>
          <w:rFonts w:hint="eastAsia" w:ascii="宋体" w:hAnsi="宋体"/>
          <w:bCs/>
          <w:kern w:val="0"/>
          <w:szCs w:val="21"/>
          <w:highlight w:val="none"/>
        </w:rPr>
        <w:t>投标函；</w:t>
      </w:r>
    </w:p>
    <w:p w14:paraId="7136CAD8">
      <w:pPr>
        <w:widowControl/>
        <w:numPr>
          <w:ilvl w:val="0"/>
          <w:numId w:val="5"/>
        </w:numPr>
        <w:spacing w:line="440" w:lineRule="exact"/>
        <w:jc w:val="left"/>
        <w:rPr>
          <w:rFonts w:ascii="宋体" w:hAnsi="宋体"/>
          <w:kern w:val="0"/>
          <w:szCs w:val="21"/>
          <w:highlight w:val="none"/>
        </w:rPr>
      </w:pPr>
      <w:r>
        <w:rPr>
          <w:rFonts w:hint="eastAsia" w:ascii="宋体" w:hAnsi="宋体"/>
          <w:kern w:val="0"/>
          <w:szCs w:val="21"/>
          <w:highlight w:val="none"/>
        </w:rPr>
        <w:t>招标文件；</w:t>
      </w:r>
    </w:p>
    <w:p w14:paraId="4033818E">
      <w:pPr>
        <w:widowControl/>
        <w:numPr>
          <w:ilvl w:val="0"/>
          <w:numId w:val="5"/>
        </w:numPr>
        <w:spacing w:line="440" w:lineRule="exact"/>
        <w:jc w:val="left"/>
        <w:rPr>
          <w:rFonts w:ascii="宋体" w:hAnsi="宋体"/>
          <w:kern w:val="0"/>
          <w:szCs w:val="21"/>
          <w:highlight w:val="none"/>
        </w:rPr>
      </w:pPr>
      <w:r>
        <w:rPr>
          <w:rFonts w:hint="eastAsia" w:ascii="宋体" w:hAnsi="宋体"/>
          <w:kern w:val="0"/>
          <w:szCs w:val="21"/>
          <w:highlight w:val="none"/>
        </w:rPr>
        <w:t>中标人的投标文件；</w:t>
      </w:r>
    </w:p>
    <w:p w14:paraId="4E1FAA55">
      <w:pPr>
        <w:widowControl/>
        <w:numPr>
          <w:ilvl w:val="0"/>
          <w:numId w:val="5"/>
        </w:numPr>
        <w:spacing w:line="440" w:lineRule="exact"/>
        <w:jc w:val="left"/>
        <w:rPr>
          <w:rFonts w:ascii="宋体" w:hAnsi="宋体"/>
          <w:kern w:val="0"/>
          <w:szCs w:val="21"/>
          <w:highlight w:val="none"/>
        </w:rPr>
      </w:pPr>
      <w:r>
        <w:rPr>
          <w:rFonts w:hint="eastAsia" w:ascii="宋体" w:hAnsi="宋体"/>
          <w:kern w:val="0"/>
          <w:szCs w:val="21"/>
          <w:highlight w:val="none"/>
        </w:rPr>
        <w:t>经双方协商同意和有关监督部门批准的其他内容。</w:t>
      </w:r>
    </w:p>
    <w:p w14:paraId="05D3E786">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上述文件互相补充和解释，如有不明确或不一致之处，以排序作为解释的优先顺序。</w:t>
      </w:r>
    </w:p>
    <w:p w14:paraId="35D52E85">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签订合同时，不得改变中标的金额、付款方式、合同履行期限、采购内容范围和质量技术标准等实质性内容。</w:t>
      </w:r>
    </w:p>
    <w:p w14:paraId="4407C88A">
      <w:pPr>
        <w:widowControl/>
        <w:spacing w:line="440" w:lineRule="exact"/>
        <w:ind w:firstLine="422" w:firstLineChars="200"/>
        <w:jc w:val="left"/>
        <w:rPr>
          <w:rFonts w:ascii="宋体" w:hAnsi="宋体"/>
          <w:b/>
          <w:bCs/>
          <w:kern w:val="0"/>
          <w:szCs w:val="21"/>
          <w:highlight w:val="none"/>
        </w:rPr>
      </w:pPr>
      <w:r>
        <w:rPr>
          <w:rFonts w:hint="eastAsia" w:ascii="宋体" w:hAnsi="宋体"/>
          <w:b/>
          <w:bCs/>
          <w:kern w:val="0"/>
          <w:szCs w:val="21"/>
          <w:highlight w:val="none"/>
        </w:rPr>
        <w:t>第四条  权利保证　　</w:t>
      </w:r>
      <w:r>
        <w:rPr>
          <w:rFonts w:hint="eastAsia" w:ascii="宋体" w:hAnsi="宋体"/>
          <w:kern w:val="0"/>
          <w:szCs w:val="21"/>
          <w:highlight w:val="none"/>
        </w:rPr>
        <w:t>乙方应保证甲方在使用该产品或其任何一部分时不受第三方提出侵犯其专利权、版权、商标权或其他权利的起诉。一旦出现侵权，乙方应承担全部责任。</w:t>
      </w:r>
    </w:p>
    <w:p w14:paraId="6112C544">
      <w:pPr>
        <w:widowControl/>
        <w:spacing w:line="440" w:lineRule="exact"/>
        <w:ind w:firstLine="422" w:firstLineChars="200"/>
        <w:jc w:val="left"/>
        <w:outlineLvl w:val="1"/>
        <w:rPr>
          <w:rFonts w:ascii="宋体" w:hAnsi="宋体"/>
          <w:b/>
          <w:bCs/>
          <w:kern w:val="0"/>
          <w:szCs w:val="21"/>
          <w:highlight w:val="none"/>
        </w:rPr>
      </w:pPr>
      <w:bookmarkStart w:id="704" w:name="_Toc7934"/>
      <w:r>
        <w:rPr>
          <w:rFonts w:hint="eastAsia" w:ascii="宋体" w:hAnsi="宋体"/>
          <w:b/>
          <w:bCs/>
          <w:kern w:val="0"/>
          <w:szCs w:val="21"/>
          <w:highlight w:val="none"/>
        </w:rPr>
        <w:t>第五条  质量保证</w:t>
      </w:r>
      <w:bookmarkEnd w:id="704"/>
    </w:p>
    <w:p w14:paraId="22A42D24">
      <w:pPr>
        <w:widowControl/>
        <w:spacing w:line="440" w:lineRule="exact"/>
        <w:ind w:firstLine="420" w:firstLineChars="200"/>
        <w:jc w:val="left"/>
        <w:rPr>
          <w:rFonts w:ascii="宋体" w:hAnsi="宋体"/>
          <w:b/>
          <w:bCs/>
          <w:kern w:val="0"/>
          <w:szCs w:val="21"/>
          <w:highlight w:val="none"/>
        </w:rPr>
      </w:pPr>
      <w:r>
        <w:rPr>
          <w:rFonts w:hint="eastAsia" w:ascii="宋体" w:hAnsi="宋体"/>
          <w:kern w:val="0"/>
          <w:szCs w:val="21"/>
          <w:highlight w:val="none"/>
        </w:rPr>
        <w:t>1、乙方所提供的产品的技术标准应与招标文件规定的技术规格标准相一致；若技术性能标准无特殊说明，则按国家有关部门最新颁布的标准及规范为准。</w:t>
      </w:r>
    </w:p>
    <w:p w14:paraId="377D55DF">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2、乙方应保证提供的产品是全新、未使用过的原装合格正品，并完全符合本项目规定的质量、规格和性能的要求，符合投标文件中的技术标准和服务承诺，招标文件与投标文件中的技术标准不一致时，以标准高者为准。乙方应保证其提供的项目在正确安装、正常使用和保养条件下，在其使用寿命期限内具有良好的性能。质量验收后，在质量保证期内，乙方应对由于设计、工艺或材料的缺陷所发生的任何不足或故障负责，所需费用由乙方承担。</w:t>
      </w:r>
    </w:p>
    <w:p w14:paraId="63EC8794">
      <w:pPr>
        <w:widowControl/>
        <w:spacing w:line="440" w:lineRule="exact"/>
        <w:ind w:firstLine="422" w:firstLineChars="200"/>
        <w:jc w:val="left"/>
        <w:outlineLvl w:val="1"/>
        <w:rPr>
          <w:rFonts w:ascii="宋体" w:hAnsi="宋体"/>
          <w:b/>
          <w:bCs/>
          <w:kern w:val="0"/>
          <w:szCs w:val="21"/>
          <w:highlight w:val="none"/>
        </w:rPr>
      </w:pPr>
      <w:bookmarkStart w:id="705" w:name="_Toc19462"/>
      <w:r>
        <w:rPr>
          <w:rFonts w:hint="eastAsia" w:ascii="宋体" w:hAnsi="宋体"/>
          <w:b/>
          <w:bCs/>
          <w:kern w:val="0"/>
          <w:szCs w:val="21"/>
          <w:highlight w:val="none"/>
        </w:rPr>
        <w:t>第六条  包装要求</w:t>
      </w:r>
      <w:bookmarkEnd w:id="705"/>
    </w:p>
    <w:p w14:paraId="0F0C4666">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1、除合同另有规定外，乙方提供的全部产品均应按标准保护措施进行包装。该包装应适应于远距离运输、防潮、防震、防锈和防野蛮装卸，以确保产品安全无损运抵指定地点。由于包装不善所引起的损失均由乙方承担。</w:t>
      </w:r>
    </w:p>
    <w:p w14:paraId="1CA9F1F4">
      <w:pPr>
        <w:widowControl/>
        <w:spacing w:line="440" w:lineRule="exact"/>
        <w:ind w:firstLine="420" w:firstLineChars="200"/>
        <w:jc w:val="left"/>
        <w:outlineLvl w:val="2"/>
        <w:rPr>
          <w:rFonts w:ascii="宋体" w:hAnsi="宋体"/>
          <w:kern w:val="0"/>
          <w:szCs w:val="21"/>
          <w:highlight w:val="none"/>
        </w:rPr>
      </w:pPr>
      <w:r>
        <w:rPr>
          <w:rFonts w:hint="eastAsia" w:ascii="宋体" w:hAnsi="宋体"/>
          <w:kern w:val="0"/>
          <w:szCs w:val="21"/>
          <w:highlight w:val="none"/>
        </w:rPr>
        <w:t>2、每一包装单元内应附详细的装箱单和质量合格凭证。</w:t>
      </w:r>
    </w:p>
    <w:p w14:paraId="38799DC2">
      <w:pPr>
        <w:widowControl/>
        <w:spacing w:line="440" w:lineRule="exact"/>
        <w:ind w:firstLine="422" w:firstLineChars="200"/>
        <w:jc w:val="left"/>
        <w:outlineLvl w:val="1"/>
        <w:rPr>
          <w:rFonts w:ascii="宋体" w:hAnsi="宋体"/>
          <w:b/>
          <w:bCs/>
          <w:kern w:val="0"/>
          <w:szCs w:val="21"/>
          <w:highlight w:val="none"/>
        </w:rPr>
      </w:pPr>
      <w:bookmarkStart w:id="706" w:name="_Toc20965"/>
      <w:r>
        <w:rPr>
          <w:rFonts w:hint="eastAsia" w:ascii="宋体" w:hAnsi="宋体"/>
          <w:b/>
          <w:bCs/>
          <w:kern w:val="0"/>
          <w:szCs w:val="21"/>
          <w:highlight w:val="none"/>
        </w:rPr>
        <w:t>第七条  交付和验收</w:t>
      </w:r>
      <w:bookmarkEnd w:id="706"/>
    </w:p>
    <w:p w14:paraId="583FF9DE">
      <w:pPr>
        <w:widowControl/>
        <w:spacing w:line="440" w:lineRule="exact"/>
        <w:ind w:firstLine="420" w:firstLineChars="200"/>
        <w:rPr>
          <w:rFonts w:ascii="宋体" w:hAnsi="宋体"/>
          <w:kern w:val="0"/>
          <w:szCs w:val="21"/>
          <w:highlight w:val="none"/>
        </w:rPr>
      </w:pPr>
      <w:r>
        <w:rPr>
          <w:rFonts w:hint="eastAsia" w:ascii="宋体" w:hAnsi="宋体"/>
          <w:kern w:val="0"/>
          <w:szCs w:val="21"/>
          <w:highlight w:val="none"/>
        </w:rPr>
        <w:t>1、交货（服务）地点：</w:t>
      </w:r>
      <w:r>
        <w:rPr>
          <w:rFonts w:hint="eastAsia" w:ascii="宋体" w:hAnsi="宋体"/>
          <w:kern w:val="0"/>
          <w:szCs w:val="21"/>
          <w:highlight w:val="none"/>
          <w:u w:val="single"/>
        </w:rPr>
        <w:t xml:space="preserve">                     </w:t>
      </w:r>
    </w:p>
    <w:p w14:paraId="55035D24">
      <w:pPr>
        <w:widowControl/>
        <w:spacing w:line="440" w:lineRule="exact"/>
        <w:ind w:firstLine="420" w:firstLineChars="200"/>
        <w:outlineLvl w:val="2"/>
        <w:rPr>
          <w:rFonts w:ascii="宋体" w:hAnsi="宋体"/>
          <w:kern w:val="0"/>
          <w:szCs w:val="21"/>
          <w:highlight w:val="none"/>
          <w:u w:val="single"/>
        </w:rPr>
      </w:pPr>
      <w:r>
        <w:rPr>
          <w:rFonts w:hint="eastAsia" w:ascii="宋体" w:hAnsi="宋体"/>
          <w:kern w:val="0"/>
          <w:szCs w:val="21"/>
          <w:highlight w:val="none"/>
        </w:rPr>
        <w:t>2、交货（服务）期限：</w:t>
      </w:r>
      <w:r>
        <w:rPr>
          <w:rFonts w:hint="eastAsia" w:ascii="宋体" w:hAnsi="宋体"/>
          <w:kern w:val="0"/>
          <w:szCs w:val="21"/>
          <w:highlight w:val="none"/>
          <w:u w:val="single"/>
        </w:rPr>
        <w:t>　　</w:t>
      </w:r>
      <w:r>
        <w:rPr>
          <w:rFonts w:hint="eastAsia" w:ascii="宋体" w:hAnsi="宋体"/>
          <w:kern w:val="0"/>
          <w:szCs w:val="21"/>
          <w:highlight w:val="none"/>
        </w:rPr>
        <w:t>天，从</w:t>
      </w:r>
      <w:r>
        <w:rPr>
          <w:rFonts w:hint="eastAsia" w:ascii="宋体" w:hAnsi="宋体"/>
          <w:kern w:val="0"/>
          <w:szCs w:val="21"/>
          <w:highlight w:val="none"/>
          <w:u w:val="single"/>
        </w:rPr>
        <w:t>　　　　　</w:t>
      </w:r>
      <w:r>
        <w:rPr>
          <w:rFonts w:hint="eastAsia" w:ascii="宋体" w:hAnsi="宋体"/>
          <w:kern w:val="0"/>
          <w:szCs w:val="21"/>
          <w:highlight w:val="none"/>
        </w:rPr>
        <w:t>计算。</w:t>
      </w:r>
    </w:p>
    <w:p w14:paraId="21A648F6">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3、乙方交付的产品应当完全符合本合同、招标文件及投标文件所规定的数量和技术规格要求，不符合要求的，甲方有权拒收，由此引起的风险，由乙方承担。</w:t>
      </w:r>
    </w:p>
    <w:p w14:paraId="2D3E9BF2">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4、质量验收包括：规格、型号、功能、性能、数量、质量、以及包装是否完好等。</w:t>
      </w:r>
    </w:p>
    <w:p w14:paraId="19339D62">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5、乙方应将所提供产品的装箱清单、用户手册、原厂保修卡、随机资料及配件、随机工具等交付给甲方；乙方不能完整交付产品及本款规定的单证和工具的，视为未按合同约定交货，乙方负责补齐，因此导致逾期交付的，由乙方承担相关的违约责任。</w:t>
      </w:r>
    </w:p>
    <w:p w14:paraId="36AB3490">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6、甲方应当在收到产品后的</w:t>
      </w:r>
      <w:r>
        <w:rPr>
          <w:rFonts w:hint="eastAsia" w:ascii="宋体" w:hAnsi="宋体"/>
          <w:kern w:val="0"/>
          <w:szCs w:val="21"/>
          <w:highlight w:val="none"/>
          <w:u w:val="single"/>
        </w:rPr>
        <w:t>　　　　</w:t>
      </w:r>
      <w:r>
        <w:rPr>
          <w:rFonts w:hint="eastAsia" w:ascii="宋体" w:hAnsi="宋体"/>
          <w:kern w:val="0"/>
          <w:szCs w:val="21"/>
          <w:highlight w:val="none"/>
        </w:rPr>
        <w:t>日内对产品进行验收；需要乙方对产品或系统进行安装调试的，甲方应在安装调试完毕后的</w:t>
      </w:r>
      <w:r>
        <w:rPr>
          <w:rFonts w:hint="eastAsia" w:ascii="宋体" w:hAnsi="宋体"/>
          <w:kern w:val="0"/>
          <w:szCs w:val="21"/>
          <w:highlight w:val="none"/>
          <w:u w:val="single"/>
        </w:rPr>
        <w:t>　　　　</w:t>
      </w:r>
      <w:r>
        <w:rPr>
          <w:rFonts w:hint="eastAsia" w:ascii="宋体" w:hAnsi="宋体"/>
          <w:kern w:val="0"/>
          <w:szCs w:val="21"/>
          <w:highlight w:val="none"/>
        </w:rPr>
        <w:t>日内进行质量验收。验收合格的，由甲方签署验收单并加盖单位公章。招标文件对检验期限另有规定的，从其规定。</w:t>
      </w:r>
    </w:p>
    <w:p w14:paraId="2A577EFF">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7、产品和系统调试验收的标准：按国家标准、行业通行标准、出厂标准和乙方投标文件的承诺（详细标准可在合同附件载明，有国家标准时不得低于国家标准）。</w:t>
      </w:r>
    </w:p>
    <w:p w14:paraId="7E979D1C">
      <w:pPr>
        <w:widowControl/>
        <w:spacing w:line="440" w:lineRule="exact"/>
        <w:ind w:firstLine="422" w:firstLineChars="200"/>
        <w:jc w:val="left"/>
        <w:outlineLvl w:val="1"/>
        <w:rPr>
          <w:rFonts w:ascii="宋体" w:hAnsi="宋体"/>
          <w:b/>
          <w:bCs/>
          <w:kern w:val="0"/>
          <w:szCs w:val="21"/>
          <w:highlight w:val="none"/>
        </w:rPr>
      </w:pPr>
      <w:bookmarkStart w:id="707" w:name="_Toc31703"/>
      <w:r>
        <w:rPr>
          <w:rFonts w:hint="eastAsia" w:ascii="宋体" w:hAnsi="宋体"/>
          <w:b/>
          <w:bCs/>
          <w:kern w:val="0"/>
          <w:szCs w:val="21"/>
          <w:highlight w:val="none"/>
        </w:rPr>
        <w:t>第八条  伴随服务及售后服务</w:t>
      </w:r>
      <w:bookmarkEnd w:id="707"/>
    </w:p>
    <w:p w14:paraId="0C08199A">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1、乙方应按照国家有关法律法规规定和“三包”规定以及乙方对本项目的“服务承诺”提供服务。</w:t>
      </w:r>
    </w:p>
    <w:p w14:paraId="40DEA2FA">
      <w:pPr>
        <w:widowControl/>
        <w:spacing w:line="440" w:lineRule="exact"/>
        <w:ind w:firstLine="420" w:firstLineChars="200"/>
        <w:jc w:val="left"/>
        <w:outlineLvl w:val="2"/>
        <w:rPr>
          <w:rFonts w:ascii="宋体" w:hAnsi="宋体"/>
          <w:kern w:val="0"/>
          <w:szCs w:val="21"/>
          <w:highlight w:val="none"/>
        </w:rPr>
      </w:pPr>
      <w:r>
        <w:rPr>
          <w:rFonts w:hint="eastAsia" w:ascii="宋体" w:hAnsi="宋体"/>
          <w:kern w:val="0"/>
          <w:szCs w:val="21"/>
          <w:highlight w:val="none"/>
        </w:rPr>
        <w:t>2、除前款规定外，乙方还应提供下列服务：</w:t>
      </w:r>
    </w:p>
    <w:p w14:paraId="02873C68">
      <w:pPr>
        <w:widowControl/>
        <w:spacing w:line="440" w:lineRule="exact"/>
        <w:ind w:firstLine="420" w:firstLineChars="200"/>
        <w:jc w:val="left"/>
        <w:outlineLvl w:val="3"/>
        <w:rPr>
          <w:rFonts w:ascii="宋体" w:hAnsi="宋体"/>
          <w:kern w:val="0"/>
          <w:szCs w:val="21"/>
          <w:highlight w:val="none"/>
        </w:rPr>
      </w:pPr>
      <w:r>
        <w:rPr>
          <w:rFonts w:hint="eastAsia" w:ascii="宋体" w:hAnsi="宋体"/>
          <w:kern w:val="0"/>
          <w:szCs w:val="21"/>
          <w:highlight w:val="none"/>
        </w:rPr>
        <w:t>（1）产品的现场安装、调试及启动监督；</w:t>
      </w:r>
    </w:p>
    <w:p w14:paraId="2F0AFC7E">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（2）就产品的安装、启动、运行及维护等对甲方人员进行免费培训。</w:t>
      </w:r>
    </w:p>
    <w:p w14:paraId="41468A44">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3、若招标文件中不包含有关伴随服务或售后服务的承诺，双方作如下约定：</w:t>
      </w:r>
    </w:p>
    <w:p w14:paraId="13FC1C47">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3.1、 乙方应为甲方提供免费培训服务，并指派专人负责与甲方联系售后服务事宜。主要培训内容为产品的基本功能、性能、主要部分的结构及处理，日常使用操作、保养与管理、常见故障的排除、紧急情况的处理等，如甲方未使用过同类型产品，乙方还需对甲方人员进行相应的技术培训，培训地点主要在产品安装现场或由甲方安排。</w:t>
      </w:r>
    </w:p>
    <w:p w14:paraId="67967A7C">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3.2、 产品中若包含计算机、服务器产品则由乙方提供至少</w:t>
      </w:r>
      <w:r>
        <w:rPr>
          <w:rFonts w:hint="eastAsia" w:ascii="宋体" w:hAnsi="宋体"/>
          <w:kern w:val="0"/>
          <w:szCs w:val="21"/>
          <w:highlight w:val="none"/>
          <w:u w:val="single"/>
        </w:rPr>
        <w:t xml:space="preserve">   </w:t>
      </w:r>
      <w:r>
        <w:rPr>
          <w:rFonts w:hint="eastAsia" w:ascii="宋体" w:hAnsi="宋体"/>
          <w:kern w:val="0"/>
          <w:szCs w:val="21"/>
          <w:highlight w:val="none"/>
        </w:rPr>
        <w:t xml:space="preserve">年的整机保修和系统维护；若为其他产品则按生产厂家的保修标准执行，但不得少于 </w:t>
      </w:r>
      <w:r>
        <w:rPr>
          <w:rFonts w:hint="eastAsia" w:ascii="宋体" w:hAnsi="宋体"/>
          <w:kern w:val="0"/>
          <w:szCs w:val="21"/>
          <w:highlight w:val="none"/>
          <w:u w:val="single"/>
        </w:rPr>
        <w:t>1</w:t>
      </w:r>
      <w:r>
        <w:rPr>
          <w:rFonts w:hint="eastAsia" w:ascii="宋体" w:hAnsi="宋体"/>
          <w:kern w:val="0"/>
          <w:szCs w:val="21"/>
          <w:highlight w:val="none"/>
        </w:rPr>
        <w:t>年（</w:t>
      </w:r>
      <w:r>
        <w:rPr>
          <w:rFonts w:hint="eastAsia" w:ascii="宋体" w:hAnsi="宋体" w:cs="宋体"/>
          <w:kern w:val="0"/>
          <w:szCs w:val="21"/>
          <w:highlight w:val="none"/>
        </w:rPr>
        <w:t>（请分别列出：</w:t>
      </w:r>
      <w:r>
        <w:rPr>
          <w:rFonts w:hint="eastAsia" w:ascii="宋体" w:hAnsi="宋体" w:cs="宋体"/>
          <w:kern w:val="0"/>
          <w:szCs w:val="21"/>
          <w:highlight w:val="none"/>
          <w:u w:val="single"/>
        </w:rPr>
        <w:t xml:space="preserve">       </w:t>
      </w:r>
      <w:r>
        <w:rPr>
          <w:rFonts w:hint="eastAsia" w:ascii="宋体" w:hAnsi="宋体"/>
          <w:kern w:val="0"/>
          <w:szCs w:val="21"/>
          <w:highlight w:val="none"/>
        </w:rPr>
        <w:t>）；保修期自甲方在产品质量验收单上签字之日起计算，保修费用包含在合同总价中。</w:t>
      </w:r>
    </w:p>
    <w:p w14:paraId="5C070E76">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3.3、 免费保修期：</w:t>
      </w:r>
      <w:r>
        <w:rPr>
          <w:rFonts w:hint="eastAsia" w:ascii="宋体" w:hAnsi="宋体"/>
          <w:kern w:val="0"/>
          <w:szCs w:val="21"/>
          <w:highlight w:val="none"/>
          <w:u w:val="single"/>
        </w:rPr>
        <w:t>　　　　　　　　　</w:t>
      </w:r>
      <w:r>
        <w:rPr>
          <w:rFonts w:hint="eastAsia" w:ascii="宋体" w:hAnsi="宋体"/>
          <w:kern w:val="0"/>
          <w:szCs w:val="21"/>
          <w:highlight w:val="none"/>
        </w:rPr>
        <w:t>，保修期内，乙方负责对其提供的产品整体进行维修和系统维护，不再收取任何费用。</w:t>
      </w:r>
    </w:p>
    <w:p w14:paraId="7424300D">
      <w:pPr>
        <w:widowControl/>
        <w:spacing w:line="440" w:lineRule="exact"/>
        <w:ind w:firstLine="420" w:firstLineChars="200"/>
        <w:jc w:val="left"/>
        <w:outlineLvl w:val="4"/>
        <w:rPr>
          <w:rFonts w:ascii="宋体" w:hAnsi="宋体"/>
          <w:kern w:val="0"/>
          <w:szCs w:val="21"/>
          <w:highlight w:val="none"/>
        </w:rPr>
      </w:pPr>
      <w:r>
        <w:rPr>
          <w:rFonts w:hint="eastAsia" w:ascii="宋体" w:hAnsi="宋体"/>
          <w:kern w:val="0"/>
          <w:szCs w:val="21"/>
          <w:highlight w:val="none"/>
        </w:rPr>
        <w:t>3.4、 产品故障报修的响应时间为：</w:t>
      </w:r>
      <w:r>
        <w:rPr>
          <w:rFonts w:hint="eastAsia" w:ascii="宋体" w:hAnsi="宋体"/>
          <w:kern w:val="0"/>
          <w:szCs w:val="21"/>
          <w:highlight w:val="none"/>
          <w:u w:val="single"/>
        </w:rPr>
        <w:t>　　　　　</w:t>
      </w:r>
      <w:r>
        <w:rPr>
          <w:rFonts w:hint="eastAsia" w:ascii="宋体" w:hAnsi="宋体"/>
          <w:kern w:val="0"/>
          <w:szCs w:val="21"/>
          <w:highlight w:val="none"/>
        </w:rPr>
        <w:t>小时。</w:t>
      </w:r>
    </w:p>
    <w:p w14:paraId="3D0FC7B0">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3.5、若产品故障在检修</w:t>
      </w:r>
      <w:r>
        <w:rPr>
          <w:rFonts w:hint="eastAsia" w:ascii="宋体" w:hAnsi="宋体"/>
          <w:kern w:val="0"/>
          <w:szCs w:val="21"/>
          <w:highlight w:val="none"/>
          <w:u w:val="single"/>
        </w:rPr>
        <w:t xml:space="preserve">  </w:t>
      </w:r>
      <w:r>
        <w:rPr>
          <w:rFonts w:hint="eastAsia" w:ascii="宋体" w:hAnsi="宋体"/>
          <w:kern w:val="0"/>
          <w:szCs w:val="21"/>
          <w:highlight w:val="none"/>
        </w:rPr>
        <w:t>小时后仍无法排除，乙方应在48小时内免费提供不低于故障产品规格标准和档次的备用产品供甲方使用，直至故障产品修复。</w:t>
      </w:r>
    </w:p>
    <w:p w14:paraId="6C192D65">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3.6、 所有产品保修服务方式均为乙方上门保修，即由乙方派人到产品使用现场维修、维护，由此产生的一切费用均由乙方承担。</w:t>
      </w:r>
    </w:p>
    <w:p w14:paraId="01C309B0">
      <w:pPr>
        <w:widowControl/>
        <w:spacing w:line="440" w:lineRule="exact"/>
        <w:ind w:firstLine="420" w:firstLineChars="200"/>
        <w:jc w:val="left"/>
        <w:outlineLvl w:val="4"/>
        <w:rPr>
          <w:rFonts w:ascii="宋体" w:hAnsi="宋体"/>
          <w:kern w:val="0"/>
          <w:szCs w:val="21"/>
          <w:highlight w:val="none"/>
        </w:rPr>
      </w:pPr>
      <w:r>
        <w:rPr>
          <w:rFonts w:hint="eastAsia" w:ascii="宋体" w:hAnsi="宋体"/>
          <w:kern w:val="0"/>
          <w:szCs w:val="21"/>
          <w:highlight w:val="none"/>
        </w:rPr>
        <w:t>3.7、 保修期以后的维修维护由双方协商再定。</w:t>
      </w:r>
    </w:p>
    <w:p w14:paraId="53A4087E">
      <w:pPr>
        <w:widowControl/>
        <w:spacing w:line="440" w:lineRule="exact"/>
        <w:ind w:firstLine="422" w:firstLineChars="200"/>
        <w:jc w:val="left"/>
        <w:outlineLvl w:val="1"/>
        <w:rPr>
          <w:rFonts w:ascii="宋体" w:hAnsi="宋体"/>
          <w:b/>
          <w:bCs/>
          <w:kern w:val="0"/>
          <w:szCs w:val="21"/>
          <w:highlight w:val="none"/>
        </w:rPr>
      </w:pPr>
      <w:bookmarkStart w:id="708" w:name="_Toc25606"/>
      <w:r>
        <w:rPr>
          <w:rFonts w:hint="eastAsia" w:ascii="宋体" w:hAnsi="宋体"/>
          <w:b/>
          <w:bCs/>
          <w:kern w:val="0"/>
          <w:szCs w:val="21"/>
          <w:highlight w:val="none"/>
        </w:rPr>
        <w:t>第九条   履约保证金</w:t>
      </w:r>
      <w:bookmarkEnd w:id="708"/>
    </w:p>
    <w:p w14:paraId="087D5FC3">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本合同签订生效以前乙方应按招标文件规定的金额向甲方或甲方指定的机构提交履约保证金。如乙方未能履行合同规定的义务，甲方有权扣除其履约保证金。</w:t>
      </w:r>
    </w:p>
    <w:p w14:paraId="0A5F2FD9">
      <w:pPr>
        <w:widowControl/>
        <w:spacing w:line="440" w:lineRule="exact"/>
        <w:ind w:firstLine="422" w:firstLineChars="200"/>
        <w:jc w:val="left"/>
        <w:outlineLvl w:val="1"/>
        <w:rPr>
          <w:rFonts w:ascii="宋体" w:hAnsi="宋体"/>
          <w:b/>
          <w:bCs/>
          <w:kern w:val="0"/>
          <w:szCs w:val="21"/>
          <w:highlight w:val="none"/>
        </w:rPr>
      </w:pPr>
      <w:bookmarkStart w:id="709" w:name="_Toc28506"/>
      <w:r>
        <w:rPr>
          <w:rFonts w:hint="eastAsia" w:ascii="宋体" w:hAnsi="宋体"/>
          <w:b/>
          <w:bCs/>
          <w:kern w:val="0"/>
          <w:szCs w:val="21"/>
          <w:highlight w:val="none"/>
        </w:rPr>
        <w:t>第十条   货款支付</w:t>
      </w:r>
      <w:bookmarkEnd w:id="709"/>
    </w:p>
    <w:p w14:paraId="2C4E2AF0">
      <w:pPr>
        <w:widowControl/>
        <w:spacing w:line="440" w:lineRule="exact"/>
        <w:ind w:firstLine="420" w:firstLineChars="200"/>
        <w:jc w:val="left"/>
        <w:rPr>
          <w:rFonts w:ascii="宋体" w:hAnsi="宋体"/>
          <w:kern w:val="0"/>
          <w:szCs w:val="21"/>
          <w:highlight w:val="none"/>
          <w:u w:val="single"/>
        </w:rPr>
      </w:pPr>
      <w:r>
        <w:rPr>
          <w:rFonts w:hint="eastAsia" w:ascii="宋体" w:hAnsi="宋体"/>
          <w:kern w:val="0"/>
          <w:szCs w:val="21"/>
          <w:highlight w:val="none"/>
        </w:rPr>
        <w:t>1、付款方式（按招标文件的规定）：</w:t>
      </w:r>
      <w:r>
        <w:rPr>
          <w:rFonts w:hint="eastAsia" w:ascii="宋体" w:hAnsi="宋体"/>
          <w:kern w:val="0"/>
          <w:szCs w:val="21"/>
          <w:highlight w:val="none"/>
          <w:u w:val="single"/>
        </w:rPr>
        <w:t>　　　　　　　　　　　　　　　　</w:t>
      </w:r>
    </w:p>
    <w:p w14:paraId="617A1E2B">
      <w:pPr>
        <w:widowControl/>
        <w:spacing w:line="440" w:lineRule="exact"/>
        <w:jc w:val="left"/>
        <w:rPr>
          <w:rFonts w:ascii="宋体" w:hAnsi="宋体"/>
          <w:kern w:val="0"/>
          <w:szCs w:val="21"/>
          <w:highlight w:val="none"/>
        </w:rPr>
      </w:pPr>
      <w:r>
        <w:rPr>
          <w:rFonts w:hint="eastAsia" w:ascii="宋体" w:hAnsi="宋体"/>
          <w:kern w:val="0"/>
          <w:szCs w:val="21"/>
          <w:highlight w:val="none"/>
          <w:u w:val="single"/>
        </w:rPr>
        <w:t>　　　　　　　　　　　　　　　　　　　　　　　　　　　　　　　　　</w:t>
      </w:r>
      <w:r>
        <w:rPr>
          <w:rFonts w:hint="eastAsia" w:ascii="宋体" w:hAnsi="宋体"/>
          <w:kern w:val="0"/>
          <w:szCs w:val="21"/>
          <w:highlight w:val="none"/>
        </w:rPr>
        <w:t>。本合同项下所有款项均以人民币支付。</w:t>
      </w:r>
    </w:p>
    <w:p w14:paraId="2D642D04">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2、乙方向甲方开具正规发票，甲方在签署验收单后按付款方式约定付款。</w:t>
      </w:r>
    </w:p>
    <w:p w14:paraId="5F5A660B">
      <w:pPr>
        <w:widowControl/>
        <w:spacing w:line="440" w:lineRule="exact"/>
        <w:ind w:firstLine="422" w:firstLineChars="200"/>
        <w:jc w:val="left"/>
        <w:outlineLvl w:val="1"/>
        <w:rPr>
          <w:rFonts w:ascii="宋体" w:hAnsi="宋体"/>
          <w:b/>
          <w:bCs/>
          <w:kern w:val="0"/>
          <w:szCs w:val="21"/>
          <w:highlight w:val="none"/>
        </w:rPr>
      </w:pPr>
      <w:bookmarkStart w:id="710" w:name="_Toc24551"/>
      <w:r>
        <w:rPr>
          <w:rFonts w:hint="eastAsia" w:ascii="宋体" w:hAnsi="宋体"/>
          <w:b/>
          <w:bCs/>
          <w:kern w:val="0"/>
          <w:szCs w:val="21"/>
          <w:highlight w:val="none"/>
        </w:rPr>
        <w:t>第十一条 违约责任</w:t>
      </w:r>
      <w:bookmarkEnd w:id="710"/>
    </w:p>
    <w:p w14:paraId="700D917B">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1、甲方无正当理由拒绝接收产品、拒付项目款的，由甲方向乙方偿付合同总价的</w:t>
      </w:r>
      <w:r>
        <w:rPr>
          <w:rFonts w:hint="eastAsia" w:ascii="宋体" w:hAnsi="宋体"/>
          <w:kern w:val="0"/>
          <w:szCs w:val="21"/>
          <w:highlight w:val="none"/>
          <w:u w:val="single"/>
        </w:rPr>
        <w:t>　5%　</w:t>
      </w:r>
      <w:r>
        <w:rPr>
          <w:rFonts w:hint="eastAsia" w:ascii="宋体" w:hAnsi="宋体"/>
          <w:kern w:val="0"/>
          <w:szCs w:val="21"/>
          <w:highlight w:val="none"/>
        </w:rPr>
        <w:t>违约金。</w:t>
      </w:r>
    </w:p>
    <w:p w14:paraId="429C76CA">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2、甲方未按合同规定的期限向乙方支付项目款的，每逾期1天甲方向乙方偿付</w:t>
      </w:r>
      <w:r>
        <w:rPr>
          <w:rFonts w:hint="eastAsia" w:ascii="宋体" w:hAnsi="宋体"/>
          <w:kern w:val="0"/>
          <w:szCs w:val="21"/>
          <w:highlight w:val="none"/>
          <w:u w:val="single"/>
        </w:rPr>
        <w:t>　　　　</w:t>
      </w:r>
      <w:r>
        <w:rPr>
          <w:rFonts w:hint="eastAsia" w:ascii="宋体" w:hAnsi="宋体"/>
          <w:kern w:val="0"/>
          <w:szCs w:val="21"/>
          <w:highlight w:val="none"/>
        </w:rPr>
        <w:t>滞纳金，但累计滞纳金总额不超过欠款总额的5% 。</w:t>
      </w:r>
    </w:p>
    <w:p w14:paraId="1FE1DDC2">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3、如乙方不能按约定交付产品，或交付的产品质量、规格、型号、功能、性能等不符合合同规定或有关标准，甲方有权拒收，责令乙方改正，并酌情扣除其履约保证金。</w:t>
      </w:r>
    </w:p>
    <w:p w14:paraId="49F60DE2">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4、 乙方逾期交付产品的，每逾期1天，乙方向甲方偿付</w:t>
      </w:r>
      <w:r>
        <w:rPr>
          <w:rFonts w:hint="eastAsia" w:ascii="宋体" w:hAnsi="宋体"/>
          <w:kern w:val="0"/>
          <w:szCs w:val="21"/>
          <w:highlight w:val="none"/>
          <w:u w:val="single"/>
        </w:rPr>
        <w:t>　　　　</w:t>
      </w:r>
      <w:r>
        <w:rPr>
          <w:rFonts w:hint="eastAsia" w:ascii="宋体" w:hAnsi="宋体"/>
          <w:kern w:val="0"/>
          <w:szCs w:val="21"/>
          <w:highlight w:val="none"/>
        </w:rPr>
        <w:t>滞纳金。如乙方逾期交付达</w:t>
      </w:r>
      <w:r>
        <w:rPr>
          <w:rFonts w:hint="eastAsia" w:ascii="宋体" w:hAnsi="宋体"/>
          <w:kern w:val="0"/>
          <w:szCs w:val="21"/>
          <w:highlight w:val="none"/>
          <w:u w:val="single"/>
        </w:rPr>
        <w:t>　　　　</w:t>
      </w:r>
      <w:r>
        <w:rPr>
          <w:rFonts w:hint="eastAsia" w:ascii="宋体" w:hAnsi="宋体"/>
          <w:kern w:val="0"/>
          <w:szCs w:val="21"/>
          <w:highlight w:val="none"/>
        </w:rPr>
        <w:t>天，甲方有权解除合同，解除合同的通知自到达乙方时生效。</w:t>
      </w:r>
    </w:p>
    <w:p w14:paraId="6E030BDE">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5、在乙方承诺的或国家规定的质量保证期内（取两者中最长的期限），如经乙方两次维修或更换，产品仍不能达到合同约定的质量标准，甲方有权退回，乙方应退回退还产品部分的</w:t>
      </w:r>
      <w:r>
        <w:rPr>
          <w:rFonts w:hint="eastAsia" w:ascii="宋体" w:hAnsi="宋体" w:cs="宋体"/>
          <w:kern w:val="0"/>
          <w:szCs w:val="21"/>
          <w:highlight w:val="none"/>
        </w:rPr>
        <w:t>项目</w:t>
      </w:r>
      <w:r>
        <w:rPr>
          <w:rFonts w:hint="eastAsia" w:ascii="宋体" w:hAnsi="宋体"/>
          <w:kern w:val="0"/>
          <w:szCs w:val="21"/>
          <w:highlight w:val="none"/>
        </w:rPr>
        <w:t>款，并酌情扣除乙方质量保证金，给甲方造成损失者，乙方还应赔偿甲方因此遭受的损失。</w:t>
      </w:r>
    </w:p>
    <w:p w14:paraId="1433F9D0">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6、乙方违反本合同有关约定或未按“服务承诺”提供伴随服务/售后服务的，每次扣除乙方违约金</w:t>
      </w:r>
      <w:r>
        <w:rPr>
          <w:rFonts w:hint="eastAsia" w:ascii="宋体" w:hAnsi="宋体"/>
          <w:kern w:val="0"/>
          <w:szCs w:val="21"/>
          <w:highlight w:val="none"/>
          <w:u w:val="single"/>
        </w:rPr>
        <w:t>　　　　　</w:t>
      </w:r>
      <w:r>
        <w:rPr>
          <w:rFonts w:hint="eastAsia" w:ascii="宋体" w:hAnsi="宋体"/>
          <w:kern w:val="0"/>
          <w:szCs w:val="21"/>
          <w:highlight w:val="none"/>
        </w:rPr>
        <w:t>元（合同另有约定的从其约定）。</w:t>
      </w:r>
    </w:p>
    <w:p w14:paraId="7EF60998">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7、乙方在承担上述一项或多项违约责任后，仍应继续履行合同规定的义务（甲方解除合同的除外）。甲方未及时追究乙方的任何一项违约责任，并不表明甲方放弃追究乙方违约责任的权利。</w:t>
      </w:r>
    </w:p>
    <w:p w14:paraId="4AC3103B">
      <w:pPr>
        <w:widowControl/>
        <w:spacing w:line="440" w:lineRule="exact"/>
        <w:ind w:firstLine="422" w:firstLineChars="200"/>
        <w:jc w:val="left"/>
        <w:rPr>
          <w:rFonts w:ascii="宋体" w:hAnsi="宋体"/>
          <w:b/>
          <w:bCs/>
          <w:kern w:val="0"/>
          <w:szCs w:val="21"/>
          <w:highlight w:val="none"/>
        </w:rPr>
      </w:pPr>
      <w:r>
        <w:rPr>
          <w:rFonts w:hint="eastAsia" w:ascii="宋体" w:hAnsi="宋体"/>
          <w:b/>
          <w:bCs/>
          <w:kern w:val="0"/>
          <w:szCs w:val="21"/>
          <w:highlight w:val="none"/>
        </w:rPr>
        <w:t>第十二条 合同的变更补充，终止及转让　　</w:t>
      </w:r>
      <w:r>
        <w:rPr>
          <w:rFonts w:hint="eastAsia" w:ascii="宋体" w:hAnsi="宋体"/>
          <w:kern w:val="0"/>
          <w:szCs w:val="21"/>
          <w:highlight w:val="none"/>
        </w:rPr>
        <w:t>除《政府采购法》第49条、第50条第二款规定的情形外，本合同一经签订，甲乙双方不得擅自变更、中止或终止合同。合同的变更和补充追加需经开封市政府采购监督管理办公室审核批准后生效。乙方不得擅自部分或全部转让其应履行的合同义务。</w:t>
      </w:r>
    </w:p>
    <w:p w14:paraId="3BE98DFB">
      <w:pPr>
        <w:widowControl/>
        <w:spacing w:line="440" w:lineRule="exact"/>
        <w:ind w:firstLine="422" w:firstLineChars="200"/>
        <w:jc w:val="left"/>
        <w:outlineLvl w:val="1"/>
        <w:rPr>
          <w:rFonts w:ascii="宋体" w:hAnsi="宋体"/>
          <w:b/>
          <w:bCs/>
          <w:kern w:val="0"/>
          <w:szCs w:val="21"/>
          <w:highlight w:val="none"/>
        </w:rPr>
      </w:pPr>
      <w:bookmarkStart w:id="711" w:name="_Toc31760"/>
      <w:r>
        <w:rPr>
          <w:rFonts w:hint="eastAsia" w:ascii="宋体" w:hAnsi="宋体"/>
          <w:b/>
          <w:bCs/>
          <w:kern w:val="0"/>
          <w:szCs w:val="21"/>
          <w:highlight w:val="none"/>
        </w:rPr>
        <w:t>第十三条 　不可抗力</w:t>
      </w:r>
      <w:bookmarkEnd w:id="711"/>
      <w:r>
        <w:rPr>
          <w:rFonts w:hint="eastAsia" w:ascii="宋体" w:hAnsi="宋体"/>
          <w:b/>
          <w:bCs/>
          <w:kern w:val="0"/>
          <w:szCs w:val="21"/>
          <w:highlight w:val="none"/>
        </w:rPr>
        <w:t>　　</w:t>
      </w:r>
    </w:p>
    <w:p w14:paraId="456C0861">
      <w:pPr>
        <w:widowControl/>
        <w:spacing w:line="440" w:lineRule="exact"/>
        <w:ind w:firstLine="422" w:firstLineChars="200"/>
        <w:jc w:val="left"/>
        <w:rPr>
          <w:rFonts w:ascii="宋体" w:hAnsi="宋体"/>
          <w:b/>
          <w:bCs/>
          <w:kern w:val="0"/>
          <w:szCs w:val="21"/>
          <w:highlight w:val="none"/>
        </w:rPr>
      </w:pPr>
      <w:r>
        <w:rPr>
          <w:rFonts w:hint="eastAsia" w:ascii="宋体" w:hAnsi="宋体"/>
          <w:b/>
          <w:bCs/>
          <w:kern w:val="0"/>
          <w:szCs w:val="21"/>
          <w:highlight w:val="none"/>
        </w:rPr>
        <w:t>1、</w:t>
      </w:r>
      <w:r>
        <w:rPr>
          <w:rFonts w:hint="eastAsia" w:ascii="宋体" w:hAnsi="宋体"/>
          <w:kern w:val="0"/>
          <w:szCs w:val="21"/>
          <w:highlight w:val="none"/>
        </w:rPr>
        <w:t>因不可抗力造成违约的，遭受不可抗力一方应及时向对方通报不能履行或不能完全履行的理由，并在随后取得有关主管机关证明后的15日内向另一方提供不可抗力发生以及持续期间的充分证据，根据情况可部分或全部免于承担违约责任。</w:t>
      </w:r>
    </w:p>
    <w:p w14:paraId="03BCD0CE">
      <w:pPr>
        <w:widowControl/>
        <w:spacing w:line="440" w:lineRule="exact"/>
        <w:ind w:firstLine="420" w:firstLineChars="200"/>
        <w:rPr>
          <w:rFonts w:ascii="宋体" w:hAnsi="宋体"/>
          <w:kern w:val="0"/>
          <w:szCs w:val="21"/>
          <w:highlight w:val="none"/>
        </w:rPr>
      </w:pPr>
      <w:r>
        <w:rPr>
          <w:rFonts w:hint="eastAsia" w:ascii="宋体" w:hAnsi="宋体"/>
          <w:kern w:val="0"/>
          <w:szCs w:val="21"/>
          <w:highlight w:val="none"/>
        </w:rPr>
        <w:t>2、</w:t>
      </w:r>
      <w:r>
        <w:rPr>
          <w:rFonts w:hint="eastAsia" w:ascii="宋体" w:hAnsi="宋体"/>
          <w:szCs w:val="21"/>
          <w:highlight w:val="none"/>
        </w:rPr>
        <w:t>不可抗力是指承包人和发包人在订立合同时不可预见，在履行合同过程中不可避免发生并不能克服的自然灾害和社会性突发事件，如地震、台风、海啸、瘟疫、水灾、火灾、骚乱、暴动、战争等情形。</w:t>
      </w:r>
    </w:p>
    <w:p w14:paraId="3788187C">
      <w:pPr>
        <w:widowControl/>
        <w:spacing w:line="440" w:lineRule="exact"/>
        <w:ind w:firstLine="422" w:firstLineChars="200"/>
        <w:jc w:val="left"/>
        <w:outlineLvl w:val="1"/>
        <w:rPr>
          <w:rFonts w:ascii="宋体" w:hAnsi="宋体"/>
          <w:b/>
          <w:bCs/>
          <w:kern w:val="0"/>
          <w:szCs w:val="21"/>
          <w:highlight w:val="none"/>
        </w:rPr>
      </w:pPr>
      <w:bookmarkStart w:id="712" w:name="_Toc11732"/>
      <w:r>
        <w:rPr>
          <w:rFonts w:hint="eastAsia" w:ascii="宋体" w:hAnsi="宋体"/>
          <w:b/>
          <w:bCs/>
          <w:kern w:val="0"/>
          <w:szCs w:val="21"/>
          <w:highlight w:val="none"/>
        </w:rPr>
        <w:t>第十四条  争议的解决</w:t>
      </w:r>
      <w:bookmarkEnd w:id="712"/>
    </w:p>
    <w:p w14:paraId="30C5559D">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1、因质量问题发生争议的，应当邀请国家认可的质量检测机构进行鉴定。经鉴定符合标准的，鉴定费由甲方承担；不符合质量标准的，鉴定费由乙方承担。</w:t>
      </w:r>
    </w:p>
    <w:p w14:paraId="67E00E82">
      <w:pPr>
        <w:widowControl/>
        <w:spacing w:line="440" w:lineRule="exact"/>
        <w:ind w:firstLine="420" w:firstLineChars="200"/>
        <w:jc w:val="left"/>
        <w:rPr>
          <w:rFonts w:ascii="宋体" w:hAnsi="宋体"/>
          <w:kern w:val="0"/>
          <w:szCs w:val="21"/>
          <w:highlight w:val="none"/>
        </w:rPr>
      </w:pPr>
      <w:r>
        <w:rPr>
          <w:rFonts w:hint="eastAsia" w:ascii="宋体" w:hAnsi="宋体"/>
          <w:kern w:val="0"/>
          <w:szCs w:val="21"/>
          <w:highlight w:val="none"/>
        </w:rPr>
        <w:t>2、因履行本合同引起的或与本合同有关的争议，甲、乙双方应首先通过友好协商解决，如果协商不能解决争议，任何一方均可以向甲方所在地有管辖权的人民法院提起诉讼。</w:t>
      </w:r>
    </w:p>
    <w:p w14:paraId="43E899CF">
      <w:pPr>
        <w:widowControl/>
        <w:spacing w:line="440" w:lineRule="exact"/>
        <w:ind w:firstLine="422" w:firstLineChars="200"/>
        <w:jc w:val="left"/>
        <w:outlineLvl w:val="1"/>
        <w:rPr>
          <w:rFonts w:ascii="宋体" w:hAnsi="宋体"/>
          <w:b/>
          <w:bCs/>
          <w:kern w:val="0"/>
          <w:szCs w:val="21"/>
          <w:highlight w:val="none"/>
        </w:rPr>
      </w:pPr>
      <w:bookmarkStart w:id="713" w:name="_Toc22202"/>
      <w:r>
        <w:rPr>
          <w:rFonts w:hint="eastAsia" w:ascii="宋体" w:hAnsi="宋体"/>
          <w:b/>
          <w:bCs/>
          <w:kern w:val="0"/>
          <w:szCs w:val="21"/>
          <w:highlight w:val="none"/>
        </w:rPr>
        <w:t>第十五条   合同生效及其他</w:t>
      </w:r>
      <w:bookmarkEnd w:id="713"/>
    </w:p>
    <w:p w14:paraId="4A958EBE">
      <w:pPr>
        <w:widowControl/>
        <w:spacing w:line="440" w:lineRule="exact"/>
        <w:ind w:firstLine="420" w:firstLineChars="200"/>
        <w:rPr>
          <w:rFonts w:ascii="宋体" w:hAnsi="宋体"/>
          <w:b/>
          <w:bCs/>
          <w:kern w:val="0"/>
          <w:szCs w:val="21"/>
          <w:highlight w:val="none"/>
        </w:rPr>
      </w:pPr>
      <w:r>
        <w:rPr>
          <w:rFonts w:hint="eastAsia" w:ascii="宋体" w:hAnsi="宋体"/>
          <w:kern w:val="0"/>
          <w:szCs w:val="21"/>
          <w:highlight w:val="none"/>
        </w:rPr>
        <w:t>1、本合同未尽事宜，双方另行补充（补充内容不得改变或违背招标文件和中标人投标文件中的实质性内容）。</w:t>
      </w:r>
    </w:p>
    <w:p w14:paraId="437BFA88">
      <w:pPr>
        <w:widowControl/>
        <w:spacing w:line="440" w:lineRule="exact"/>
        <w:ind w:firstLine="420" w:firstLineChars="200"/>
        <w:rPr>
          <w:rFonts w:ascii="宋体" w:hAnsi="宋体"/>
          <w:kern w:val="0"/>
          <w:szCs w:val="21"/>
          <w:highlight w:val="none"/>
        </w:rPr>
      </w:pPr>
      <w:r>
        <w:rPr>
          <w:rFonts w:hint="eastAsia" w:ascii="宋体" w:hAnsi="宋体"/>
          <w:kern w:val="0"/>
          <w:szCs w:val="21"/>
          <w:highlight w:val="none"/>
        </w:rPr>
        <w:t>2、</w:t>
      </w:r>
      <w:r>
        <w:rPr>
          <w:rFonts w:hint="eastAsia" w:ascii="宋体" w:hAnsi="宋体"/>
          <w:bCs/>
          <w:kern w:val="0"/>
          <w:szCs w:val="21"/>
          <w:highlight w:val="none"/>
        </w:rPr>
        <w:t>本合同一式2份，甲、乙双方授权代表签字并盖单位公章后生效。甲方、乙方各一份。</w:t>
      </w:r>
    </w:p>
    <w:p w14:paraId="785C6DFA">
      <w:pPr>
        <w:widowControl/>
        <w:spacing w:line="440" w:lineRule="exact"/>
        <w:rPr>
          <w:rFonts w:ascii="宋体" w:hAnsi="宋体"/>
          <w:b/>
          <w:bCs/>
          <w:kern w:val="0"/>
          <w:szCs w:val="21"/>
          <w:highlight w:val="none"/>
        </w:rPr>
      </w:pPr>
    </w:p>
    <w:p w14:paraId="17A73DE6">
      <w:pPr>
        <w:widowControl/>
        <w:spacing w:line="440" w:lineRule="exact"/>
        <w:rPr>
          <w:rFonts w:ascii="宋体" w:hAnsi="宋体"/>
          <w:kern w:val="0"/>
          <w:szCs w:val="21"/>
          <w:highlight w:val="none"/>
        </w:rPr>
      </w:pPr>
      <w:r>
        <w:rPr>
          <w:rFonts w:hint="eastAsia" w:ascii="宋体" w:hAnsi="宋体"/>
          <w:kern w:val="0"/>
          <w:szCs w:val="21"/>
          <w:highlight w:val="none"/>
        </w:rPr>
        <w:t>甲    方：                　　　　　　 　乙    方：</w:t>
      </w:r>
    </w:p>
    <w:p w14:paraId="454DFF60">
      <w:pPr>
        <w:widowControl/>
        <w:spacing w:line="440" w:lineRule="exact"/>
        <w:rPr>
          <w:rFonts w:ascii="宋体" w:hAnsi="宋体"/>
          <w:kern w:val="0"/>
          <w:szCs w:val="21"/>
          <w:highlight w:val="none"/>
        </w:rPr>
      </w:pPr>
      <w:r>
        <w:rPr>
          <w:rFonts w:hint="eastAsia" w:ascii="宋体" w:hAnsi="宋体"/>
          <w:kern w:val="0"/>
          <w:szCs w:val="21"/>
          <w:highlight w:val="none"/>
        </w:rPr>
        <w:t>法定代表人：              　　　　　　   法定代表人：</w:t>
      </w:r>
    </w:p>
    <w:p w14:paraId="630446F2">
      <w:pPr>
        <w:widowControl/>
        <w:spacing w:line="440" w:lineRule="exact"/>
        <w:rPr>
          <w:rFonts w:ascii="宋体" w:hAnsi="宋体"/>
          <w:kern w:val="0"/>
          <w:szCs w:val="21"/>
          <w:highlight w:val="none"/>
        </w:rPr>
      </w:pPr>
      <w:r>
        <w:rPr>
          <w:rFonts w:hint="eastAsia" w:ascii="宋体" w:hAnsi="宋体"/>
          <w:kern w:val="0"/>
          <w:szCs w:val="21"/>
          <w:highlight w:val="none"/>
        </w:rPr>
        <w:t>委托代理人：               　　　　　　  委托代理人：</w:t>
      </w:r>
    </w:p>
    <w:p w14:paraId="4D22A963">
      <w:pPr>
        <w:widowControl/>
        <w:spacing w:line="440" w:lineRule="exact"/>
        <w:rPr>
          <w:rFonts w:ascii="宋体" w:hAnsi="宋体"/>
          <w:kern w:val="0"/>
          <w:szCs w:val="21"/>
          <w:highlight w:val="none"/>
        </w:rPr>
      </w:pPr>
      <w:r>
        <w:rPr>
          <w:rFonts w:hint="eastAsia" w:ascii="宋体" w:hAnsi="宋体"/>
          <w:kern w:val="0"/>
          <w:szCs w:val="21"/>
          <w:highlight w:val="none"/>
        </w:rPr>
        <w:t>单位地址：                 　　　　　　  单位地址：</w:t>
      </w:r>
    </w:p>
    <w:p w14:paraId="078ECEEC">
      <w:pPr>
        <w:widowControl/>
        <w:spacing w:line="440" w:lineRule="exact"/>
        <w:rPr>
          <w:rFonts w:ascii="宋体" w:hAnsi="宋体"/>
          <w:kern w:val="0"/>
          <w:szCs w:val="21"/>
          <w:highlight w:val="none"/>
        </w:rPr>
      </w:pPr>
      <w:r>
        <w:rPr>
          <w:rFonts w:hint="eastAsia" w:ascii="宋体" w:hAnsi="宋体"/>
          <w:kern w:val="0"/>
          <w:szCs w:val="21"/>
          <w:highlight w:val="none"/>
        </w:rPr>
        <w:t>电    话：                  　　　　　　 电    话：</w:t>
      </w:r>
    </w:p>
    <w:p w14:paraId="36DF519A">
      <w:pPr>
        <w:widowControl/>
        <w:spacing w:line="440" w:lineRule="exact"/>
        <w:rPr>
          <w:rFonts w:ascii="宋体" w:hAnsi="宋体"/>
          <w:kern w:val="0"/>
          <w:szCs w:val="21"/>
          <w:highlight w:val="none"/>
        </w:rPr>
      </w:pPr>
      <w:r>
        <w:rPr>
          <w:rFonts w:hint="eastAsia" w:ascii="宋体" w:hAnsi="宋体"/>
          <w:kern w:val="0"/>
          <w:szCs w:val="21"/>
          <w:highlight w:val="none"/>
        </w:rPr>
        <w:t>开户银行：                   　　　　　　开户银行：</w:t>
      </w:r>
    </w:p>
    <w:p w14:paraId="3902C191">
      <w:pPr>
        <w:widowControl/>
        <w:spacing w:line="440" w:lineRule="exact"/>
        <w:rPr>
          <w:rFonts w:ascii="宋体" w:hAnsi="宋体"/>
          <w:kern w:val="0"/>
          <w:szCs w:val="21"/>
          <w:highlight w:val="none"/>
        </w:rPr>
      </w:pPr>
      <w:r>
        <w:rPr>
          <w:rFonts w:hint="eastAsia" w:ascii="宋体" w:hAnsi="宋体"/>
          <w:kern w:val="0"/>
          <w:szCs w:val="21"/>
          <w:highlight w:val="none"/>
        </w:rPr>
        <w:t>账    号：                 　　　　　　  账    号：</w:t>
      </w:r>
    </w:p>
    <w:p w14:paraId="3087E69A">
      <w:pPr>
        <w:widowControl/>
        <w:spacing w:line="440" w:lineRule="exact"/>
        <w:ind w:firstLine="735" w:firstLineChars="350"/>
        <w:rPr>
          <w:rFonts w:ascii="宋体" w:hAnsi="宋体"/>
          <w:kern w:val="0"/>
          <w:szCs w:val="21"/>
          <w:highlight w:val="none"/>
        </w:rPr>
      </w:pPr>
      <w:r>
        <w:rPr>
          <w:rFonts w:hint="eastAsia" w:ascii="宋体" w:hAnsi="宋体"/>
          <w:kern w:val="0"/>
          <w:szCs w:val="21"/>
          <w:highlight w:val="none"/>
        </w:rPr>
        <w:t xml:space="preserve"> 年  月  日              　　　　　　　　  年  月  日</w:t>
      </w:r>
      <w:bookmarkEnd w:id="696"/>
      <w:bookmarkEnd w:id="697"/>
      <w:bookmarkEnd w:id="698"/>
      <w:bookmarkEnd w:id="699"/>
      <w:bookmarkEnd w:id="700"/>
      <w:bookmarkEnd w:id="701"/>
      <w:bookmarkEnd w:id="702"/>
    </w:p>
    <w:p w14:paraId="16661CCB">
      <w:pPr>
        <w:widowControl/>
        <w:spacing w:line="360" w:lineRule="auto"/>
        <w:rPr>
          <w:rFonts w:ascii="宋体" w:hAnsi="宋体" w:cs="宋体"/>
          <w:sz w:val="28"/>
          <w:szCs w:val="28"/>
          <w:highlight w:val="none"/>
        </w:rPr>
      </w:pPr>
      <w:r>
        <w:rPr>
          <w:highlight w:val="none"/>
        </w:rPr>
        <w:br w:type="page"/>
      </w:r>
    </w:p>
    <w:p w14:paraId="2054B904">
      <w:pPr>
        <w:pStyle w:val="3"/>
        <w:jc w:val="center"/>
        <w:outlineLvl w:val="0"/>
        <w:rPr>
          <w:rFonts w:ascii="宋体" w:hAnsi="宋体" w:eastAsia="宋体" w:cs="宋体"/>
          <w:highlight w:val="none"/>
        </w:rPr>
      </w:pPr>
      <w:bookmarkStart w:id="714" w:name="_Toc28324"/>
      <w:bookmarkStart w:id="715" w:name="_Toc13944"/>
      <w:bookmarkStart w:id="716" w:name="_Toc30854"/>
      <w:r>
        <w:rPr>
          <w:rFonts w:hint="eastAsia" w:ascii="宋体" w:hAnsi="宋体" w:eastAsia="宋体" w:cs="宋体"/>
          <w:highlight w:val="none"/>
        </w:rPr>
        <w:t>开封</w:t>
      </w:r>
      <w:r>
        <w:rPr>
          <w:rFonts w:hint="eastAsia" w:ascii="宋体" w:hAnsi="宋体" w:eastAsia="宋体" w:cs="宋体"/>
          <w:highlight w:val="none"/>
          <w:lang w:val="en-US" w:eastAsia="zh-CN"/>
        </w:rPr>
        <w:t>市</w:t>
      </w:r>
      <w:r>
        <w:rPr>
          <w:rFonts w:hint="eastAsia" w:ascii="宋体" w:hAnsi="宋体" w:eastAsia="宋体" w:cs="宋体"/>
          <w:highlight w:val="none"/>
        </w:rPr>
        <w:t>政府采购合同融资政策告知函</w:t>
      </w:r>
      <w:bookmarkEnd w:id="714"/>
      <w:bookmarkEnd w:id="715"/>
      <w:bookmarkEnd w:id="716"/>
    </w:p>
    <w:p w14:paraId="6C8A46E4">
      <w:pPr>
        <w:widowControl/>
        <w:spacing w:line="360" w:lineRule="auto"/>
        <w:rPr>
          <w:rFonts w:ascii="宋体" w:hAnsi="宋体" w:cs="宋体"/>
          <w:sz w:val="28"/>
          <w:szCs w:val="28"/>
          <w:highlight w:val="none"/>
        </w:rPr>
      </w:pPr>
    </w:p>
    <w:p w14:paraId="03797182">
      <w:pPr>
        <w:widowControl/>
        <w:spacing w:line="360" w:lineRule="auto"/>
        <w:rPr>
          <w:rFonts w:ascii="宋体" w:hAnsi="宋体" w:cs="宋体"/>
          <w:sz w:val="28"/>
          <w:szCs w:val="28"/>
          <w:highlight w:val="none"/>
        </w:rPr>
      </w:pPr>
      <w:r>
        <w:rPr>
          <w:rFonts w:hint="eastAsia" w:ascii="宋体" w:hAnsi="宋体" w:cs="宋体"/>
          <w:sz w:val="28"/>
          <w:szCs w:val="28"/>
          <w:highlight w:val="none"/>
        </w:rPr>
        <w:t>各供应商：</w:t>
      </w:r>
    </w:p>
    <w:p w14:paraId="368F9824">
      <w:pPr>
        <w:widowControl/>
        <w:spacing w:line="360" w:lineRule="auto"/>
        <w:ind w:firstLine="560" w:firstLineChars="200"/>
        <w:rPr>
          <w:rFonts w:ascii="宋体" w:hAnsi="宋体" w:cs="宋体"/>
          <w:sz w:val="28"/>
          <w:szCs w:val="28"/>
          <w:highlight w:val="none"/>
        </w:rPr>
      </w:pPr>
      <w:r>
        <w:rPr>
          <w:rFonts w:hint="eastAsia" w:ascii="宋体" w:hAnsi="宋体" w:cs="宋体"/>
          <w:sz w:val="28"/>
          <w:szCs w:val="28"/>
          <w:highlight w:val="none"/>
        </w:rPr>
        <w:t>欢迎贵公司参与开封政府采购活动！</w:t>
      </w:r>
    </w:p>
    <w:p w14:paraId="4AF1AE16">
      <w:pPr>
        <w:widowControl/>
        <w:spacing w:line="360" w:lineRule="auto"/>
        <w:ind w:firstLine="560" w:firstLineChars="200"/>
        <w:rPr>
          <w:rFonts w:ascii="宋体" w:hAnsi="宋体" w:cs="宋体"/>
          <w:sz w:val="28"/>
          <w:szCs w:val="28"/>
          <w:highlight w:val="none"/>
        </w:rPr>
      </w:pPr>
      <w:r>
        <w:rPr>
          <w:rFonts w:hint="eastAsia" w:ascii="宋体" w:hAnsi="宋体" w:cs="宋体"/>
          <w:sz w:val="28"/>
          <w:szCs w:val="28"/>
          <w:highlight w:val="none"/>
        </w:rPr>
        <w:t>政府采购合同融资是支持中小微企业发展，针对参与政府采购活动的供应商融资难、融资贵问题推出的一项融资政策。贵公司若成为本次政府采购项目的中标成交供应商，可持政府采购合同向金融机构申请贷款，无需抵押、担保，融资机构将根据相关文件要求，按照双方自愿的原则提供便捷、优惠的贷款服务。</w:t>
      </w:r>
    </w:p>
    <w:p w14:paraId="544B3D3E">
      <w:pPr>
        <w:widowControl/>
        <w:spacing w:line="360" w:lineRule="auto"/>
        <w:ind w:firstLine="560" w:firstLineChars="200"/>
        <w:rPr>
          <w:rFonts w:ascii="宋体" w:hAnsi="宋体" w:cs="宋体"/>
          <w:sz w:val="28"/>
          <w:szCs w:val="28"/>
          <w:highlight w:val="none"/>
        </w:rPr>
      </w:pPr>
      <w:r>
        <w:rPr>
          <w:rFonts w:hint="eastAsia" w:ascii="宋体" w:hAnsi="宋体" w:cs="宋体"/>
          <w:sz w:val="28"/>
          <w:szCs w:val="28"/>
          <w:highlight w:val="none"/>
        </w:rPr>
        <w:t>贷款渠道和提供贷款的金融机构，可在开封市政府采购网“政府采购合同融资平台”查询联系。</w:t>
      </w:r>
    </w:p>
    <w:p w14:paraId="3738D82D">
      <w:pPr>
        <w:pStyle w:val="30"/>
        <w:rPr>
          <w:highlight w:val="none"/>
        </w:rPr>
      </w:pPr>
    </w:p>
    <w:p w14:paraId="34045CE0">
      <w:pPr>
        <w:widowControl/>
        <w:spacing w:line="440" w:lineRule="exact"/>
        <w:rPr>
          <w:rFonts w:ascii="宋体" w:hAnsi="宋体"/>
          <w:kern w:val="0"/>
          <w:szCs w:val="21"/>
          <w:highlight w:val="none"/>
        </w:rPr>
      </w:pPr>
    </w:p>
    <w:p w14:paraId="3E7B036A">
      <w:pPr>
        <w:jc w:val="center"/>
        <w:rPr>
          <w:rFonts w:ascii="宋体" w:hAnsi="宋体"/>
          <w:highlight w:val="none"/>
        </w:rPr>
      </w:pPr>
      <w:bookmarkStart w:id="717" w:name="_Toc247085855"/>
      <w:bookmarkStart w:id="718" w:name="_Toc152042554"/>
      <w:bookmarkStart w:id="719" w:name="_Toc246996340"/>
      <w:bookmarkStart w:id="720" w:name="_Toc246997083"/>
      <w:bookmarkStart w:id="721" w:name="_Toc179632789"/>
      <w:bookmarkStart w:id="722" w:name="_Toc152045772"/>
      <w:bookmarkStart w:id="723" w:name="_Toc144974834"/>
      <w:bookmarkStart w:id="724" w:name="_Toc494093445"/>
      <w:bookmarkStart w:id="725" w:name="_Toc338840251"/>
      <w:bookmarkStart w:id="726" w:name="_Toc338840499"/>
      <w:bookmarkStart w:id="727" w:name="_Toc346523420"/>
      <w:bookmarkStart w:id="728" w:name="_Toc346523483"/>
      <w:bookmarkStart w:id="729" w:name="_Toc338840460"/>
      <w:bookmarkStart w:id="730" w:name="_Toc494526417"/>
      <w:r>
        <w:rPr>
          <w:rFonts w:hint="eastAsia" w:ascii="宋体" w:hAnsi="宋体"/>
          <w:highlight w:val="none"/>
        </w:rPr>
        <w:br w:type="page"/>
      </w:r>
    </w:p>
    <w:p w14:paraId="398364B8">
      <w:pPr>
        <w:pStyle w:val="3"/>
        <w:jc w:val="center"/>
        <w:outlineLvl w:val="9"/>
        <w:rPr>
          <w:rFonts w:ascii="宋体" w:hAnsi="宋体" w:eastAsia="宋体" w:cs="宋体"/>
          <w:highlight w:val="none"/>
        </w:rPr>
      </w:pPr>
      <w:bookmarkStart w:id="731" w:name="_Toc6494"/>
      <w:bookmarkStart w:id="732" w:name="_Toc18603"/>
      <w:r>
        <w:rPr>
          <w:rFonts w:hint="eastAsia" w:ascii="宋体" w:hAnsi="宋体" w:eastAsia="宋体" w:cs="宋体"/>
          <w:highlight w:val="none"/>
        </w:rPr>
        <w:t>开封</w:t>
      </w:r>
      <w:r>
        <w:rPr>
          <w:rFonts w:hint="eastAsia" w:ascii="宋体" w:hAnsi="宋体" w:eastAsia="宋体" w:cs="宋体"/>
          <w:highlight w:val="none"/>
          <w:lang w:val="en-US" w:eastAsia="zh-CN"/>
        </w:rPr>
        <w:t>市</w:t>
      </w:r>
      <w:r>
        <w:rPr>
          <w:rFonts w:hint="eastAsia" w:ascii="宋体" w:hAnsi="宋体" w:eastAsia="宋体" w:cs="宋体"/>
          <w:highlight w:val="none"/>
        </w:rPr>
        <w:t>政府采购合同履约保函政策告知函</w:t>
      </w:r>
      <w:bookmarkEnd w:id="731"/>
      <w:bookmarkEnd w:id="732"/>
    </w:p>
    <w:p w14:paraId="65D65DB4">
      <w:pPr>
        <w:pStyle w:val="30"/>
        <w:rPr>
          <w:highlight w:val="none"/>
        </w:rPr>
      </w:pPr>
    </w:p>
    <w:p w14:paraId="2D0CEB2D">
      <w:pPr>
        <w:widowControl/>
        <w:spacing w:line="360" w:lineRule="auto"/>
        <w:rPr>
          <w:rFonts w:ascii="宋体" w:hAnsi="宋体" w:cs="宋体"/>
          <w:sz w:val="28"/>
          <w:szCs w:val="28"/>
          <w:highlight w:val="none"/>
        </w:rPr>
      </w:pPr>
      <w:r>
        <w:rPr>
          <w:rFonts w:hint="eastAsia" w:ascii="宋体" w:hAnsi="宋体" w:cs="宋体"/>
          <w:sz w:val="28"/>
          <w:szCs w:val="28"/>
          <w:highlight w:val="none"/>
        </w:rPr>
        <w:t>各供应商：</w:t>
      </w:r>
    </w:p>
    <w:p w14:paraId="6D82F357">
      <w:pPr>
        <w:widowControl/>
        <w:spacing w:line="360" w:lineRule="auto"/>
        <w:ind w:firstLine="560" w:firstLineChars="200"/>
        <w:rPr>
          <w:rFonts w:ascii="宋体" w:hAnsi="宋体" w:cs="宋体"/>
          <w:sz w:val="28"/>
          <w:szCs w:val="28"/>
          <w:highlight w:val="none"/>
        </w:rPr>
      </w:pPr>
      <w:r>
        <w:rPr>
          <w:rFonts w:hint="eastAsia" w:ascii="宋体" w:hAnsi="宋体" w:cs="宋体"/>
          <w:sz w:val="28"/>
          <w:szCs w:val="28"/>
          <w:highlight w:val="none"/>
        </w:rPr>
        <w:t>欢迎贵公司参与开封政府采购活动！</w:t>
      </w:r>
    </w:p>
    <w:p w14:paraId="07D72BB1">
      <w:pPr>
        <w:widowControl/>
        <w:spacing w:line="360" w:lineRule="auto"/>
        <w:ind w:firstLine="560" w:firstLineChars="200"/>
        <w:rPr>
          <w:rFonts w:ascii="宋体" w:hAnsi="宋体" w:cs="宋体"/>
          <w:sz w:val="28"/>
          <w:szCs w:val="28"/>
          <w:highlight w:val="none"/>
        </w:rPr>
      </w:pPr>
      <w:r>
        <w:rPr>
          <w:rFonts w:hint="eastAsia" w:ascii="宋体" w:hAnsi="宋体" w:cs="宋体"/>
          <w:sz w:val="28"/>
          <w:szCs w:val="28"/>
          <w:highlight w:val="none"/>
        </w:rPr>
        <w:t>政府采购履约保函是进一步优化营商环境支持中小微企业发展，规范我市政府采购项目履约保证金收取及退还工作。保护参与政府采购活动的供应商合法权益，减轻企业负担。采购人不得收取供应商质量保证金，或者在政府采购合同中预留资金作为质量保证金。鼓励采购人根据项目特点、供应商诚信等情况免收履约保证金或降低缴纳比例，并在采购文件中明确；并应在供应商履行完合同约定义务事项后及时退还；原则上供应商需以银行、保险公司出具保函形式提交履约保证金；确需提交转账、现金等形式保证金的需经财政部门同意；采购代理机构不得收取履约保证金。</w:t>
      </w:r>
    </w:p>
    <w:p w14:paraId="35A711F7">
      <w:pPr>
        <w:widowControl/>
        <w:spacing w:line="360" w:lineRule="auto"/>
        <w:ind w:firstLine="560" w:firstLineChars="200"/>
        <w:rPr>
          <w:rFonts w:ascii="宋体" w:hAnsi="宋体" w:cs="宋体"/>
          <w:sz w:val="28"/>
          <w:szCs w:val="28"/>
          <w:highlight w:val="none"/>
        </w:rPr>
      </w:pPr>
      <w:r>
        <w:rPr>
          <w:rFonts w:hint="eastAsia" w:ascii="宋体" w:hAnsi="宋体" w:cs="宋体"/>
          <w:sz w:val="28"/>
          <w:szCs w:val="28"/>
          <w:highlight w:val="none"/>
        </w:rPr>
        <w:t>政府采购合同履约保函机构，可在开封市政府采购网查询联系。</w:t>
      </w:r>
    </w:p>
    <w:p w14:paraId="09D8F30B">
      <w:pPr>
        <w:pStyle w:val="2"/>
        <w:jc w:val="center"/>
        <w:rPr>
          <w:rFonts w:ascii="宋体" w:hAnsi="宋体"/>
          <w:highlight w:val="none"/>
        </w:rPr>
      </w:pPr>
      <w:r>
        <w:rPr>
          <w:rFonts w:hint="eastAsia" w:ascii="宋体" w:hAnsi="宋体"/>
          <w:highlight w:val="none"/>
        </w:rPr>
        <w:br w:type="page"/>
      </w:r>
      <w:bookmarkStart w:id="733" w:name="_Toc14386"/>
      <w:bookmarkStart w:id="734" w:name="_Toc23041"/>
      <w:bookmarkStart w:id="735" w:name="_Toc479"/>
      <w:bookmarkStart w:id="736" w:name="_Toc9194"/>
      <w:bookmarkStart w:id="737" w:name="_Toc24602"/>
      <w:bookmarkStart w:id="738" w:name="_Toc18308"/>
      <w:r>
        <w:rPr>
          <w:rFonts w:hint="eastAsia" w:ascii="宋体" w:hAnsi="宋体"/>
          <w:highlight w:val="none"/>
        </w:rPr>
        <w:t xml:space="preserve">第五章  </w:t>
      </w:r>
      <w:bookmarkEnd w:id="717"/>
      <w:bookmarkEnd w:id="718"/>
      <w:bookmarkEnd w:id="719"/>
      <w:bookmarkEnd w:id="720"/>
      <w:bookmarkEnd w:id="721"/>
      <w:bookmarkEnd w:id="722"/>
      <w:bookmarkEnd w:id="723"/>
      <w:r>
        <w:rPr>
          <w:rFonts w:hint="eastAsia" w:ascii="宋体" w:hAnsi="宋体"/>
          <w:highlight w:val="none"/>
        </w:rPr>
        <w:t>招标内容及商务技术要求</w:t>
      </w:r>
      <w:bookmarkEnd w:id="724"/>
      <w:bookmarkEnd w:id="725"/>
      <w:bookmarkEnd w:id="726"/>
      <w:bookmarkEnd w:id="727"/>
      <w:bookmarkEnd w:id="728"/>
      <w:bookmarkEnd w:id="729"/>
      <w:bookmarkEnd w:id="730"/>
      <w:bookmarkEnd w:id="733"/>
      <w:bookmarkEnd w:id="734"/>
      <w:bookmarkEnd w:id="735"/>
      <w:bookmarkEnd w:id="736"/>
      <w:bookmarkEnd w:id="737"/>
      <w:bookmarkEnd w:id="738"/>
    </w:p>
    <w:p w14:paraId="4F40FB30">
      <w:pPr>
        <w:widowControl/>
        <w:adjustRightInd w:val="0"/>
        <w:snapToGrid w:val="0"/>
        <w:spacing w:line="480" w:lineRule="auto"/>
        <w:ind w:firstLine="420" w:firstLineChars="200"/>
        <w:jc w:val="left"/>
        <w:rPr>
          <w:rFonts w:ascii="宋体" w:hAnsi="宋体"/>
          <w:bCs/>
          <w:color w:val="000000"/>
          <w:kern w:val="0"/>
          <w:szCs w:val="21"/>
          <w:highlight w:val="none"/>
        </w:rPr>
      </w:pPr>
      <w:r>
        <w:rPr>
          <w:rFonts w:ascii="宋体" w:hAnsi="宋体"/>
          <w:bCs/>
          <w:color w:val="000000"/>
          <w:kern w:val="0"/>
          <w:szCs w:val="21"/>
          <w:highlight w:val="none"/>
        </w:rPr>
        <w:t>相关说明</w:t>
      </w:r>
    </w:p>
    <w:p w14:paraId="2036D17D">
      <w:pPr>
        <w:widowControl/>
        <w:snapToGrid w:val="0"/>
        <w:spacing w:line="360" w:lineRule="auto"/>
        <w:ind w:firstLine="420" w:firstLineChars="200"/>
        <w:jc w:val="left"/>
        <w:rPr>
          <w:rFonts w:hint="eastAsia" w:ascii="宋体" w:hAnsi="宋体"/>
          <w:color w:val="000000"/>
          <w:kern w:val="0"/>
          <w:szCs w:val="21"/>
          <w:highlight w:val="none"/>
        </w:rPr>
      </w:pPr>
      <w:r>
        <w:rPr>
          <w:rFonts w:hint="eastAsia" w:ascii="宋体" w:hAnsi="宋体"/>
          <w:color w:val="000000"/>
          <w:kern w:val="0"/>
          <w:szCs w:val="21"/>
          <w:highlight w:val="none"/>
        </w:rPr>
        <w:t>1.采购需求中的质量技术参数或型号如与某产品相同时仅作为供应商选择投标产品时在质量水平上的参考，不强制采购某一特定产品，供应商可提供符合采购需求或更优的产品及方案。</w:t>
      </w:r>
    </w:p>
    <w:p w14:paraId="0D7B49B9">
      <w:pPr>
        <w:widowControl/>
        <w:snapToGrid w:val="0"/>
        <w:spacing w:line="360" w:lineRule="auto"/>
        <w:ind w:firstLine="420" w:firstLineChars="200"/>
        <w:jc w:val="left"/>
        <w:rPr>
          <w:rFonts w:hint="eastAsia" w:ascii="宋体" w:hAnsi="宋体"/>
          <w:color w:val="000000"/>
          <w:kern w:val="0"/>
          <w:szCs w:val="21"/>
          <w:highlight w:val="none"/>
        </w:rPr>
      </w:pPr>
      <w:r>
        <w:rPr>
          <w:rFonts w:hint="eastAsia" w:ascii="宋体" w:hAnsi="宋体"/>
          <w:color w:val="000000"/>
          <w:kern w:val="0"/>
          <w:szCs w:val="21"/>
          <w:highlight w:val="none"/>
        </w:rPr>
        <w:t>2.</w:t>
      </w:r>
      <w:r>
        <w:rPr>
          <w:rFonts w:hint="eastAsia" w:ascii="宋体" w:hAnsi="宋体"/>
          <w:color w:val="auto"/>
          <w:kern w:val="0"/>
          <w:szCs w:val="21"/>
          <w:highlight w:val="none"/>
        </w:rPr>
        <w:t>投标产品</w:t>
      </w:r>
      <w:r>
        <w:rPr>
          <w:rFonts w:hint="eastAsia" w:ascii="宋体" w:hAnsi="宋体"/>
          <w:color w:val="000000"/>
          <w:kern w:val="0"/>
          <w:szCs w:val="21"/>
          <w:highlight w:val="none"/>
        </w:rPr>
        <w:t>应符合国家标准，涉及强制性国家标准时必须符合强制性国家标准。采购需求标准与国家标准不一致时，按照标准较高者执行。</w:t>
      </w:r>
    </w:p>
    <w:p w14:paraId="5F8770B8">
      <w:pPr>
        <w:widowControl/>
        <w:snapToGrid w:val="0"/>
        <w:spacing w:line="360" w:lineRule="auto"/>
        <w:ind w:firstLine="420" w:firstLineChars="200"/>
        <w:jc w:val="left"/>
        <w:rPr>
          <w:rFonts w:hint="eastAsia" w:ascii="宋体" w:hAnsi="宋体"/>
          <w:color w:val="000000"/>
          <w:kern w:val="0"/>
          <w:szCs w:val="21"/>
          <w:highlight w:val="none"/>
        </w:rPr>
      </w:pPr>
      <w:r>
        <w:rPr>
          <w:rFonts w:hint="eastAsia" w:ascii="宋体" w:hAnsi="宋体"/>
          <w:color w:val="000000"/>
          <w:kern w:val="0"/>
          <w:szCs w:val="21"/>
          <w:highlight w:val="none"/>
        </w:rPr>
        <w:t>3.采购需求中的产品如涉及信息安全产品、政府强制采购产品、国家强制性认证产品、网络关键设备和网络安全专用产品的，所投产品</w:t>
      </w:r>
      <w:r>
        <w:rPr>
          <w:rFonts w:hint="eastAsia" w:ascii="宋体" w:hAnsi="宋体"/>
          <w:color w:val="000000"/>
          <w:kern w:val="0"/>
          <w:szCs w:val="21"/>
          <w:highlight w:val="none"/>
          <w:lang w:val="en-US" w:eastAsia="zh-CN"/>
        </w:rPr>
        <w:t>须</w:t>
      </w:r>
      <w:r>
        <w:rPr>
          <w:rFonts w:hint="eastAsia" w:ascii="宋体" w:hAnsi="宋体"/>
          <w:color w:val="000000"/>
          <w:kern w:val="0"/>
          <w:szCs w:val="21"/>
          <w:highlight w:val="none"/>
        </w:rPr>
        <w:t>获得相关认证（网络关键设备和网络安全专用产品可以是认证或检测），并在投标文件中提供有效认证证书或证明材料</w:t>
      </w:r>
      <w:r>
        <w:rPr>
          <w:rFonts w:hint="eastAsia" w:ascii="宋体" w:hAnsi="宋体"/>
          <w:color w:val="000000"/>
          <w:kern w:val="0"/>
          <w:szCs w:val="21"/>
          <w:highlight w:val="none"/>
          <w:lang w:val="en-US" w:eastAsia="zh-CN"/>
        </w:rPr>
        <w:t>。</w:t>
      </w:r>
      <w:r>
        <w:rPr>
          <w:rFonts w:hint="eastAsia" w:ascii="宋体" w:hAnsi="宋体"/>
          <w:color w:val="000000"/>
          <w:kern w:val="0"/>
          <w:szCs w:val="21"/>
          <w:highlight w:val="none"/>
        </w:rPr>
        <w:t>签订合同应包含上述涉及的相关内容，采购人按照国家有关规定进行落实和验收。　</w:t>
      </w:r>
    </w:p>
    <w:p w14:paraId="152E436E">
      <w:pPr>
        <w:widowControl/>
        <w:snapToGrid w:val="0"/>
        <w:spacing w:line="360" w:lineRule="auto"/>
        <w:ind w:firstLine="420" w:firstLineChars="200"/>
        <w:jc w:val="left"/>
        <w:outlineLvl w:val="1"/>
        <w:rPr>
          <w:rFonts w:hint="eastAsia" w:ascii="宋体" w:hAnsi="宋体"/>
          <w:color w:val="000000"/>
          <w:kern w:val="0"/>
          <w:szCs w:val="21"/>
          <w:highlight w:val="none"/>
        </w:rPr>
      </w:pPr>
      <w:bookmarkStart w:id="739" w:name="_Toc4537"/>
      <w:r>
        <w:rPr>
          <w:rFonts w:hint="eastAsia" w:ascii="宋体" w:hAnsi="宋体"/>
          <w:color w:val="000000"/>
          <w:kern w:val="0"/>
          <w:szCs w:val="21"/>
          <w:highlight w:val="none"/>
        </w:rPr>
        <w:t>4.采购需求中如有计算机办公设备，必须预装正版操作系统软件。</w:t>
      </w:r>
      <w:bookmarkEnd w:id="739"/>
    </w:p>
    <w:p w14:paraId="2034DB3F">
      <w:pPr>
        <w:widowControl/>
        <w:snapToGrid w:val="0"/>
        <w:spacing w:line="360" w:lineRule="auto"/>
        <w:ind w:firstLine="420" w:firstLineChars="200"/>
        <w:jc w:val="left"/>
        <w:rPr>
          <w:rFonts w:ascii="宋体" w:hAnsi="宋体"/>
          <w:color w:val="000000"/>
          <w:kern w:val="0"/>
          <w:szCs w:val="21"/>
          <w:highlight w:val="none"/>
        </w:rPr>
      </w:pPr>
      <w:r>
        <w:rPr>
          <w:rFonts w:hint="eastAsia" w:ascii="宋体" w:hAnsi="宋体"/>
          <w:color w:val="000000"/>
          <w:kern w:val="0"/>
          <w:szCs w:val="21"/>
          <w:highlight w:val="none"/>
        </w:rPr>
        <w:t>5.如需安装调试，供应商应在安装、调试、检测合格后，向用户提供检测报告、技术手册等技术资料（操作手册、使用说明书、维修保养手册、安装手册、电路图、产品合格证等）。检测和验收依据国家有关规定执行。</w:t>
      </w:r>
    </w:p>
    <w:p w14:paraId="0F310BC7">
      <w:pPr>
        <w:widowControl/>
        <w:snapToGrid w:val="0"/>
        <w:spacing w:line="360" w:lineRule="auto"/>
        <w:ind w:firstLine="420" w:firstLineChars="200"/>
        <w:jc w:val="left"/>
        <w:rPr>
          <w:rFonts w:ascii="宋体" w:hAnsi="宋体"/>
          <w:color w:val="000000"/>
          <w:kern w:val="0"/>
          <w:szCs w:val="21"/>
          <w:highlight w:val="none"/>
        </w:rPr>
      </w:pPr>
      <w:r>
        <w:rPr>
          <w:rFonts w:hint="eastAsia" w:ascii="宋体" w:hAnsi="宋体"/>
          <w:color w:val="000000"/>
          <w:kern w:val="0"/>
          <w:szCs w:val="21"/>
          <w:highlight w:val="none"/>
        </w:rPr>
        <w:t>6.招标文件对备品备件及专用工具有要求的应详细列明；虽然没有明确要求，而对系统、设备的正常运行和维护必不可少的备品备件、专用工具，或出厂时随产品配备的备品备件，供应商也应详细列明。所有备品备件和专用工具应当符合国家标准及行业要求。</w:t>
      </w:r>
    </w:p>
    <w:p w14:paraId="51FE6007">
      <w:pPr>
        <w:widowControl/>
        <w:snapToGrid w:val="0"/>
        <w:spacing w:line="360" w:lineRule="auto"/>
        <w:ind w:firstLine="420" w:firstLineChars="200"/>
        <w:jc w:val="left"/>
        <w:rPr>
          <w:rFonts w:hint="eastAsia" w:ascii="宋体" w:hAnsi="宋体"/>
          <w:color w:val="000000"/>
          <w:kern w:val="0"/>
          <w:szCs w:val="21"/>
          <w:highlight w:val="none"/>
        </w:rPr>
      </w:pPr>
      <w:r>
        <w:rPr>
          <w:rFonts w:hint="eastAsia" w:ascii="宋体" w:hAnsi="宋体"/>
          <w:color w:val="000000"/>
          <w:kern w:val="0"/>
          <w:szCs w:val="21"/>
          <w:highlight w:val="none"/>
        </w:rPr>
        <w:t>7.供应商应提供具有相关认证证书的节能产品、环境标志产品等绿色产品。项目中涉及涂料、胶黏剂、油墨、清洗剂等挥发性有机物产品，且属于强制性标准的，供应商</w:t>
      </w:r>
      <w:r>
        <w:rPr>
          <w:rFonts w:hint="eastAsia" w:ascii="宋体" w:hAnsi="宋体"/>
          <w:color w:val="000000"/>
          <w:kern w:val="0"/>
          <w:szCs w:val="21"/>
          <w:highlight w:val="none"/>
          <w:lang w:val="en-US" w:eastAsia="zh-CN"/>
        </w:rPr>
        <w:t>须</w:t>
      </w:r>
      <w:r>
        <w:rPr>
          <w:rFonts w:hint="eastAsia" w:ascii="宋体" w:hAnsi="宋体"/>
          <w:color w:val="000000"/>
          <w:kern w:val="0"/>
          <w:szCs w:val="21"/>
          <w:highlight w:val="none"/>
        </w:rPr>
        <w:t>执行符合国家的VOCs</w:t>
      </w:r>
      <w:r>
        <w:rPr>
          <w:rFonts w:hint="eastAsia" w:ascii="宋体" w:hAnsi="宋体"/>
          <w:color w:val="000000"/>
          <w:kern w:val="0"/>
          <w:szCs w:val="21"/>
          <w:highlight w:val="none"/>
          <w:lang w:eastAsia="zh-CN"/>
        </w:rPr>
        <w:t>（</w:t>
      </w:r>
      <w:r>
        <w:rPr>
          <w:rFonts w:hint="eastAsia" w:ascii="宋体" w:hAnsi="宋体"/>
          <w:color w:val="000000"/>
          <w:kern w:val="0"/>
          <w:szCs w:val="21"/>
          <w:highlight w:val="none"/>
        </w:rPr>
        <w:t>挥发性有机化合物</w:t>
      </w:r>
      <w:r>
        <w:rPr>
          <w:rFonts w:hint="eastAsia" w:ascii="宋体" w:hAnsi="宋体"/>
          <w:color w:val="000000"/>
          <w:kern w:val="0"/>
          <w:szCs w:val="21"/>
          <w:highlight w:val="none"/>
          <w:lang w:eastAsia="zh-CN"/>
        </w:rPr>
        <w:t>）</w:t>
      </w:r>
      <w:r>
        <w:rPr>
          <w:rFonts w:hint="eastAsia" w:ascii="宋体" w:hAnsi="宋体"/>
          <w:color w:val="000000"/>
          <w:kern w:val="0"/>
          <w:szCs w:val="21"/>
          <w:highlight w:val="none"/>
          <w:lang w:val="en-US" w:eastAsia="zh-CN"/>
        </w:rPr>
        <w:t>等</w:t>
      </w:r>
      <w:r>
        <w:rPr>
          <w:rFonts w:hint="eastAsia" w:ascii="宋体" w:hAnsi="宋体"/>
          <w:color w:val="000000"/>
          <w:kern w:val="0"/>
          <w:szCs w:val="21"/>
          <w:highlight w:val="none"/>
        </w:rPr>
        <w:t>含量限制标准。</w:t>
      </w:r>
    </w:p>
    <w:p w14:paraId="722CF2F4">
      <w:pPr>
        <w:widowControl/>
        <w:snapToGrid w:val="0"/>
        <w:spacing w:line="360" w:lineRule="auto"/>
        <w:ind w:firstLine="420" w:firstLineChars="200"/>
        <w:jc w:val="left"/>
        <w:rPr>
          <w:rFonts w:ascii="宋体" w:hAnsi="宋体"/>
          <w:color w:val="000000"/>
          <w:kern w:val="0"/>
          <w:szCs w:val="21"/>
          <w:highlight w:val="none"/>
        </w:rPr>
      </w:pPr>
      <w:r>
        <w:rPr>
          <w:rFonts w:hint="eastAsia" w:ascii="宋体" w:hAnsi="宋体"/>
          <w:color w:val="000000"/>
          <w:kern w:val="0"/>
          <w:szCs w:val="21"/>
          <w:highlight w:val="none"/>
        </w:rPr>
        <w:t>8.本项目采购和</w:t>
      </w:r>
      <w:r>
        <w:rPr>
          <w:rFonts w:hint="eastAsia" w:ascii="宋体" w:hAnsi="宋体"/>
          <w:color w:val="000000"/>
          <w:kern w:val="0"/>
          <w:szCs w:val="21"/>
          <w:highlight w:val="none"/>
          <w:lang w:val="en-US" w:eastAsia="zh-CN"/>
        </w:rPr>
        <w:t>履约</w:t>
      </w:r>
      <w:r>
        <w:rPr>
          <w:rFonts w:hint="eastAsia" w:ascii="宋体" w:hAnsi="宋体"/>
          <w:color w:val="000000"/>
          <w:kern w:val="0"/>
          <w:szCs w:val="21"/>
          <w:highlight w:val="none"/>
        </w:rPr>
        <w:t>中形成的知识产权和其他权益归采购人所有（另有约定者除外）。</w:t>
      </w:r>
    </w:p>
    <w:p w14:paraId="59EBA433">
      <w:pPr>
        <w:widowControl/>
        <w:snapToGrid w:val="0"/>
        <w:spacing w:line="360" w:lineRule="auto"/>
        <w:ind w:firstLine="420" w:firstLineChars="200"/>
        <w:jc w:val="left"/>
        <w:rPr>
          <w:rFonts w:hint="eastAsia" w:ascii="宋体" w:hAnsi="宋体"/>
          <w:color w:val="000000"/>
          <w:kern w:val="0"/>
          <w:szCs w:val="21"/>
          <w:highlight w:val="none"/>
        </w:rPr>
      </w:pPr>
      <w:r>
        <w:rPr>
          <w:rFonts w:hint="eastAsia" w:ascii="宋体" w:hAnsi="宋体"/>
          <w:color w:val="000000"/>
          <w:kern w:val="0"/>
          <w:szCs w:val="21"/>
          <w:highlight w:val="none"/>
        </w:rPr>
        <w:t>9.本采购项目为交钥匙项目，项目验收合格前的一切费用均视为已包含在投标报价之中，采购人不承担成交价格以外的任何费用。</w:t>
      </w:r>
    </w:p>
    <w:p w14:paraId="6EEEA1B2">
      <w:pPr>
        <w:widowControl/>
        <w:snapToGrid w:val="0"/>
        <w:spacing w:line="360" w:lineRule="auto"/>
        <w:ind w:firstLine="420" w:firstLineChars="200"/>
        <w:jc w:val="left"/>
        <w:rPr>
          <w:rFonts w:hint="eastAsia" w:ascii="宋体" w:hAnsi="宋体"/>
          <w:color w:val="000000"/>
          <w:kern w:val="0"/>
          <w:szCs w:val="21"/>
          <w:highlight w:val="none"/>
        </w:rPr>
      </w:pPr>
      <w:r>
        <w:rPr>
          <w:rFonts w:hint="eastAsia" w:ascii="宋体" w:hAnsi="宋体"/>
          <w:b w:val="0"/>
          <w:bCs w:val="0"/>
          <w:color w:val="000000"/>
          <w:kern w:val="0"/>
          <w:szCs w:val="21"/>
          <w:highlight w:val="none"/>
          <w:lang w:val="en-US" w:eastAsia="zh-CN"/>
        </w:rPr>
        <w:t>投标内容不符合上述内容中有关强制性要求和标准的投标无效，供应商自行承担由此造成的全部责任和损失。</w:t>
      </w:r>
    </w:p>
    <w:p w14:paraId="60835130">
      <w:pPr>
        <w:spacing w:line="360" w:lineRule="auto"/>
        <w:outlineLvl w:val="9"/>
        <w:rPr>
          <w:rFonts w:ascii="宋体" w:hAnsi="宋体"/>
          <w:b/>
          <w:sz w:val="32"/>
          <w:szCs w:val="32"/>
          <w:highlight w:val="none"/>
        </w:rPr>
      </w:pPr>
      <w:r>
        <w:rPr>
          <w:rFonts w:hint="eastAsia" w:ascii="宋体" w:hAnsi="宋体"/>
          <w:b/>
          <w:sz w:val="32"/>
          <w:szCs w:val="32"/>
          <w:highlight w:val="none"/>
        </w:rPr>
        <w:br w:type="page"/>
      </w:r>
      <w:r>
        <w:rPr>
          <w:rFonts w:hint="eastAsia" w:ascii="宋体" w:hAnsi="宋体"/>
          <w:b/>
          <w:sz w:val="32"/>
          <w:szCs w:val="32"/>
          <w:highlight w:val="none"/>
        </w:rPr>
        <w:t>一、项目概况及总体要求</w:t>
      </w:r>
    </w:p>
    <w:p w14:paraId="58893F2B">
      <w:pPr>
        <w:spacing w:line="480" w:lineRule="auto"/>
        <w:ind w:firstLine="420"/>
        <w:rPr>
          <w:rFonts w:hint="default" w:ascii="宋体" w:hAnsi="宋体"/>
          <w:color w:val="auto"/>
          <w:szCs w:val="21"/>
          <w:lang w:val="en-US" w:eastAsia="zh-CN"/>
        </w:rPr>
      </w:pPr>
      <w:r>
        <w:rPr>
          <w:rFonts w:hint="eastAsia" w:ascii="宋体" w:hAnsi="宋体"/>
          <w:color w:val="auto"/>
          <w:szCs w:val="21"/>
          <w:lang w:val="en-US" w:eastAsia="zh-CN"/>
        </w:rPr>
        <w:t>项目概况：开封市专门学校</w:t>
      </w:r>
      <w:r>
        <w:rPr>
          <w:rFonts w:hint="default" w:ascii="宋体" w:hAnsi="宋体"/>
          <w:color w:val="auto"/>
          <w:szCs w:val="21"/>
          <w:lang w:val="en-US" w:eastAsia="zh-CN"/>
        </w:rPr>
        <w:t>位于</w:t>
      </w:r>
      <w:r>
        <w:rPr>
          <w:rFonts w:hint="eastAsia" w:ascii="宋体" w:hAnsi="宋体"/>
          <w:color w:val="auto"/>
          <w:szCs w:val="21"/>
          <w:lang w:val="en-US" w:eastAsia="zh-CN"/>
        </w:rPr>
        <w:t>开封市鼓楼区</w:t>
      </w:r>
      <w:r>
        <w:rPr>
          <w:rFonts w:hint="default" w:ascii="宋体" w:hAnsi="宋体"/>
          <w:color w:val="auto"/>
          <w:szCs w:val="21"/>
          <w:lang w:val="en-US" w:eastAsia="zh-CN"/>
        </w:rPr>
        <w:t>，</w:t>
      </w:r>
      <w:r>
        <w:rPr>
          <w:rFonts w:hint="eastAsia" w:ascii="宋体" w:hAnsi="宋体"/>
          <w:color w:val="auto"/>
          <w:szCs w:val="21"/>
          <w:lang w:val="en-US" w:eastAsia="zh-CN"/>
        </w:rPr>
        <w:t>是我市唯一一所对未成年人开展专门教育的学校</w:t>
      </w:r>
      <w:r>
        <w:rPr>
          <w:rFonts w:hint="default" w:ascii="宋体" w:hAnsi="宋体"/>
          <w:color w:val="auto"/>
          <w:szCs w:val="21"/>
          <w:lang w:val="en-US" w:eastAsia="zh-CN"/>
        </w:rPr>
        <w:t>，是</w:t>
      </w:r>
      <w:r>
        <w:rPr>
          <w:rFonts w:hint="eastAsia" w:ascii="宋体" w:hAnsi="宋体"/>
          <w:color w:val="auto"/>
          <w:szCs w:val="21"/>
          <w:lang w:val="en-US" w:eastAsia="zh-CN"/>
        </w:rPr>
        <w:t>我市预防未成年人违法犯罪的重点工作</w:t>
      </w:r>
      <w:r>
        <w:rPr>
          <w:rFonts w:hint="default" w:ascii="宋体" w:hAnsi="宋体"/>
          <w:color w:val="auto"/>
          <w:szCs w:val="21"/>
          <w:lang w:val="en-US" w:eastAsia="zh-CN"/>
        </w:rPr>
        <w:t>。</w:t>
      </w:r>
      <w:r>
        <w:rPr>
          <w:rFonts w:hint="eastAsia" w:ascii="宋体" w:hAnsi="宋体"/>
          <w:color w:val="auto"/>
          <w:szCs w:val="21"/>
          <w:lang w:val="en-US" w:eastAsia="zh-CN"/>
        </w:rPr>
        <w:t>专门学校管理区占地面积：13亩，建筑面积：约2700平方米。在校生约100人，需要为在校生提供24小时观护服务。</w:t>
      </w:r>
    </w:p>
    <w:p w14:paraId="1A2E431B">
      <w:pPr>
        <w:spacing w:line="480" w:lineRule="auto"/>
        <w:ind w:firstLine="420"/>
        <w:rPr>
          <w:rFonts w:hint="default" w:ascii="宋体" w:hAnsi="宋体"/>
          <w:color w:val="auto"/>
          <w:szCs w:val="21"/>
          <w:lang w:val="en-US" w:eastAsia="zh-CN"/>
        </w:rPr>
      </w:pPr>
      <w:r>
        <w:rPr>
          <w:rFonts w:hint="eastAsia" w:ascii="宋体" w:hAnsi="宋体"/>
          <w:color w:val="auto"/>
          <w:szCs w:val="21"/>
          <w:lang w:val="en-US" w:eastAsia="zh-CN"/>
        </w:rPr>
        <w:t>本采购项目的主要工作内容及总体要求为：为充实开封市专门学校一线工作力量，保障学校正常运行，有序开展入校未成年人监督、管束及教育转化工作，供应商需为在校收教未成年人提供24小时贴身观护服务。具体服务内容为依托现代化管理模式与方法，落实全时段行为观察、秩序维护及安全保障工作，有效预防安全责任事故，确保校园环境稳定；同时协助任课教师维护课堂教学秩序，履行军事教官职责完成收教学生军事训练任务，严格按照采购人要求完成其他相关工作。</w:t>
      </w:r>
    </w:p>
    <w:p w14:paraId="500DD296">
      <w:pPr>
        <w:spacing w:line="480" w:lineRule="auto"/>
        <w:ind w:firstLine="420"/>
        <w:rPr>
          <w:rFonts w:hint="default" w:ascii="宋体" w:hAnsi="宋体"/>
          <w:color w:val="auto"/>
          <w:szCs w:val="21"/>
          <w:lang w:val="en-US" w:eastAsia="zh-CN"/>
        </w:rPr>
      </w:pPr>
      <w:r>
        <w:rPr>
          <w:rFonts w:hint="eastAsia" w:ascii="宋体" w:hAnsi="宋体"/>
          <w:color w:val="auto"/>
          <w:szCs w:val="21"/>
          <w:lang w:val="en-US" w:eastAsia="zh-CN"/>
        </w:rPr>
        <w:t>采购人所支付的款项为供应商提供服务的整体承包费用，并非劳务报酬。供应商作为法定用人单位，全面负责观护人员的招聘、录用、签订劳动合同、发放工资福利（包括所有加班费）、缴纳社会保险、申报工伤认定及赔偿待遇、处理医疗期、安排休息休假及带薪年假、执行解聘辞退及补偿赔偿、防治职业病、管理档案等与劳动关系相关的所有事宜及人员工装、物品损耗、项目所需配套设备相应费用（包括行政罚款）。采购人不承担上述任何费用或责任。供应商应按合同要求及时支付给其观护人员薪酬（含各类津贴及补贴）、法定节假日加班费、休息日加班费、延长工作时间加班费、各类法定福利待遇（如取暖费、高温津贴等）、社会保险费用、员工福利费用、培训费用、伙食费、管理费、税费、雇主责任险、住宿费以及供应商自身运营所需承担的所有成本、风险与责任。采购人不承担上述任何费用或责任。</w:t>
      </w:r>
    </w:p>
    <w:p w14:paraId="1FCD870F">
      <w:pPr>
        <w:spacing w:line="360" w:lineRule="auto"/>
        <w:rPr>
          <w:rFonts w:ascii="宋体" w:hAnsi="宋体"/>
          <w:b/>
          <w:sz w:val="32"/>
          <w:szCs w:val="32"/>
          <w:highlight w:val="none"/>
        </w:rPr>
      </w:pPr>
    </w:p>
    <w:p w14:paraId="48FCE31F">
      <w:pPr>
        <w:spacing w:line="360" w:lineRule="auto"/>
        <w:rPr>
          <w:rFonts w:ascii="宋体" w:hAnsi="宋体"/>
          <w:b/>
          <w:sz w:val="32"/>
          <w:szCs w:val="32"/>
          <w:highlight w:val="none"/>
        </w:rPr>
      </w:pPr>
    </w:p>
    <w:p w14:paraId="3414BF62">
      <w:pPr>
        <w:spacing w:line="360" w:lineRule="auto"/>
        <w:rPr>
          <w:rFonts w:ascii="宋体" w:hAnsi="宋体"/>
          <w:b/>
          <w:sz w:val="32"/>
          <w:szCs w:val="32"/>
          <w:highlight w:val="none"/>
        </w:rPr>
      </w:pPr>
    </w:p>
    <w:p w14:paraId="4EA00766">
      <w:pPr>
        <w:spacing w:line="360" w:lineRule="auto"/>
        <w:outlineLvl w:val="9"/>
        <w:rPr>
          <w:rFonts w:ascii="宋体" w:hAnsi="宋体"/>
          <w:b/>
          <w:sz w:val="32"/>
          <w:szCs w:val="32"/>
          <w:highlight w:val="none"/>
        </w:rPr>
      </w:pPr>
      <w:r>
        <w:rPr>
          <w:rFonts w:hint="eastAsia" w:ascii="宋体" w:hAnsi="宋体"/>
          <w:b/>
          <w:sz w:val="32"/>
          <w:szCs w:val="32"/>
          <w:highlight w:val="none"/>
        </w:rPr>
        <w:t>二、商务要求</w:t>
      </w:r>
    </w:p>
    <w:p w14:paraId="2C675A01">
      <w:pPr>
        <w:spacing w:line="480" w:lineRule="auto"/>
        <w:ind w:firstLine="420"/>
        <w:rPr>
          <w:rFonts w:ascii="宋体" w:hAnsi="宋体"/>
          <w:color w:val="auto"/>
          <w:szCs w:val="21"/>
        </w:rPr>
      </w:pPr>
      <w:r>
        <w:rPr>
          <w:rFonts w:hint="eastAsia" w:ascii="宋体" w:hAnsi="宋体"/>
          <w:color w:val="auto"/>
          <w:szCs w:val="21"/>
        </w:rPr>
        <w:t>1、合同履行地点：见供应商须知前附表</w:t>
      </w:r>
    </w:p>
    <w:p w14:paraId="518D6A77">
      <w:pPr>
        <w:spacing w:line="480" w:lineRule="auto"/>
        <w:ind w:firstLine="420"/>
        <w:rPr>
          <w:rFonts w:ascii="宋体" w:hAnsi="宋体"/>
          <w:color w:val="auto"/>
          <w:szCs w:val="21"/>
        </w:rPr>
      </w:pPr>
      <w:r>
        <w:rPr>
          <w:rFonts w:hint="eastAsia" w:ascii="宋体" w:hAnsi="宋体"/>
          <w:color w:val="auto"/>
          <w:szCs w:val="21"/>
        </w:rPr>
        <w:t>2、合同履行期限：见供应商须知前附表</w:t>
      </w:r>
    </w:p>
    <w:p w14:paraId="3B22B2F6">
      <w:pPr>
        <w:spacing w:line="480" w:lineRule="auto"/>
        <w:ind w:firstLine="420"/>
        <w:rPr>
          <w:rFonts w:ascii="宋体" w:hAnsi="宋体"/>
          <w:color w:val="auto"/>
          <w:szCs w:val="21"/>
        </w:rPr>
      </w:pPr>
      <w:r>
        <w:rPr>
          <w:rFonts w:hint="eastAsia" w:ascii="宋体" w:hAnsi="宋体"/>
          <w:color w:val="auto"/>
          <w:szCs w:val="21"/>
        </w:rPr>
        <w:t>3、质量要求：见供应商须知前附表</w:t>
      </w:r>
    </w:p>
    <w:p w14:paraId="15516C3A">
      <w:pPr>
        <w:spacing w:line="480" w:lineRule="auto"/>
        <w:ind w:firstLine="420"/>
        <w:rPr>
          <w:rFonts w:ascii="宋体" w:hAnsi="宋体"/>
          <w:color w:val="auto"/>
          <w:szCs w:val="21"/>
        </w:rPr>
      </w:pPr>
      <w:r>
        <w:rPr>
          <w:rFonts w:hint="eastAsia" w:ascii="宋体" w:hAnsi="宋体"/>
          <w:color w:val="auto"/>
          <w:szCs w:val="21"/>
        </w:rPr>
        <w:t>4、付款方式：见供应商须知前附表</w:t>
      </w:r>
    </w:p>
    <w:p w14:paraId="35039DBC">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rPr>
        <w:t>5、</w:t>
      </w:r>
      <w:r>
        <w:rPr>
          <w:rFonts w:hint="default" w:ascii="宋体" w:hAnsi="宋体" w:cs="Times New Roman"/>
          <w:color w:val="auto"/>
          <w:szCs w:val="21"/>
          <w:lang w:val="en-US" w:eastAsia="zh-CN"/>
        </w:rPr>
        <w:t xml:space="preserve">服务承诺要求： </w:t>
      </w:r>
    </w:p>
    <w:p w14:paraId="1A0C3584">
      <w:pPr>
        <w:spacing w:line="480" w:lineRule="auto"/>
        <w:ind w:firstLine="420"/>
        <w:rPr>
          <w:rFonts w:hint="eastAsia" w:ascii="宋体" w:hAnsi="宋体" w:cs="Times New Roman"/>
          <w:color w:val="auto"/>
          <w:szCs w:val="21"/>
          <w:lang w:val="en-US" w:eastAsia="zh-CN"/>
        </w:rPr>
      </w:pPr>
      <w:r>
        <w:rPr>
          <w:rFonts w:hint="default" w:ascii="宋体" w:hAnsi="宋体" w:cs="Times New Roman"/>
          <w:color w:val="auto"/>
          <w:szCs w:val="21"/>
          <w:lang w:val="en-US" w:eastAsia="zh-CN"/>
        </w:rPr>
        <w:t xml:space="preserve"> 1）服务期内的安全措施承诺</w:t>
      </w:r>
      <w:r>
        <w:rPr>
          <w:rFonts w:hint="eastAsia" w:ascii="宋体" w:hAnsi="宋体" w:cs="Times New Roman"/>
          <w:color w:val="auto"/>
          <w:szCs w:val="21"/>
          <w:lang w:val="en-US" w:eastAsia="zh-CN"/>
        </w:rPr>
        <w:t>：</w:t>
      </w:r>
    </w:p>
    <w:p w14:paraId="63B4F5DA">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（1)建立安全管理组织机构 </w:t>
      </w:r>
    </w:p>
    <w:p w14:paraId="3818ADAB">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（2)建立安全保障制度 </w:t>
      </w:r>
    </w:p>
    <w:p w14:paraId="427424DC">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（3)建立安全保障措施</w:t>
      </w:r>
    </w:p>
    <w:p w14:paraId="3F260D1E">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（4)建立安全监督检查办法 </w:t>
      </w:r>
    </w:p>
    <w:p w14:paraId="391C30D1">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w:t>
      </w:r>
    </w:p>
    <w:p w14:paraId="0A1154B8">
      <w:pPr>
        <w:spacing w:line="480" w:lineRule="auto"/>
        <w:ind w:firstLine="420"/>
        <w:rPr>
          <w:rFonts w:hint="default" w:ascii="宋体" w:hAnsi="宋体" w:cs="Times New Roman"/>
          <w:color w:val="000000" w:themeColor="text1"/>
          <w:szCs w:val="21"/>
          <w:lang w:val="en-US" w:eastAsia="zh-CN"/>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注：</w:t>
      </w:r>
      <w:r>
        <w:rPr>
          <w:rFonts w:hint="eastAsia" w:ascii="宋体" w:hAnsi="宋体" w:cs="宋体"/>
          <w:color w:val="000000" w:themeColor="text1"/>
          <w:highlight w:val="none"/>
          <w:lang w:val="en-US" w:eastAsia="zh-CN"/>
          <w14:textFill>
            <w14:solidFill>
              <w14:schemeClr w14:val="tx1"/>
            </w14:solidFill>
          </w14:textFill>
        </w:rPr>
        <w:t>供应商编制服务期内的安全措施承诺时，须针对在校未成年人管理特殊性作出明确刚性承诺，须至少覆盖两类核心内容：一是承诺服务期内有效管控并制止在校未成年人各类违规违纪行为；二是承诺坚决杜绝在校未成年人发生脱逃、打架斗殴、自伤自残、自杀等各类极端事件，同时需要明确出现此类事件后对供应商自身相应处罚措施。</w:t>
      </w:r>
      <w:r>
        <w:rPr>
          <w:rFonts w:hint="default" w:ascii="宋体" w:hAnsi="宋体" w:cs="Times New Roman"/>
          <w:color w:val="000000" w:themeColor="text1"/>
          <w:szCs w:val="21"/>
          <w:lang w:val="en-US" w:eastAsia="zh-CN"/>
          <w14:textFill>
            <w14:solidFill>
              <w14:schemeClr w14:val="tx1"/>
            </w14:solidFill>
          </w14:textFill>
        </w:rPr>
        <w:t xml:space="preserve"> </w:t>
      </w:r>
    </w:p>
    <w:p w14:paraId="242CC966">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2）服务期内质量管理承诺</w:t>
      </w:r>
      <w:r>
        <w:rPr>
          <w:rFonts w:hint="eastAsia" w:ascii="宋体" w:hAnsi="宋体" w:cs="Times New Roman"/>
          <w:color w:val="auto"/>
          <w:szCs w:val="21"/>
          <w:lang w:val="en-US" w:eastAsia="zh-CN"/>
        </w:rPr>
        <w:t>：</w:t>
      </w:r>
    </w:p>
    <w:p w14:paraId="3E86710A">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（1)建立质量管理组织机构 </w:t>
      </w:r>
    </w:p>
    <w:p w14:paraId="64F47F57">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（2)建立质量保障制度 </w:t>
      </w:r>
    </w:p>
    <w:p w14:paraId="0CC51063">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（3)建立质量保障措施 </w:t>
      </w:r>
    </w:p>
    <w:p w14:paraId="5A68E02D">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（4)工资及按时足额发放承诺  </w:t>
      </w:r>
    </w:p>
    <w:p w14:paraId="6FE095EE">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（5）足额购买观护人员社会保险</w:t>
      </w:r>
    </w:p>
    <w:p w14:paraId="328C1F54">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 xml:space="preserve">...... </w:t>
      </w:r>
    </w:p>
    <w:p w14:paraId="42D3C646">
      <w:pPr>
        <w:spacing w:line="480" w:lineRule="auto"/>
        <w:ind w:firstLine="420"/>
        <w:rPr>
          <w:rFonts w:hint="default" w:ascii="宋体" w:hAnsi="宋体" w:cs="Times New Roman"/>
          <w:color w:val="000000" w:themeColor="text1"/>
          <w:szCs w:val="21"/>
          <w:lang w:val="en-US" w:eastAsia="zh-CN"/>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注：</w:t>
      </w:r>
      <w:r>
        <w:rPr>
          <w:rFonts w:hint="eastAsia" w:ascii="宋体" w:hAnsi="宋体" w:eastAsia="宋体" w:cs="宋体"/>
          <w:color w:val="000000" w:themeColor="text1"/>
          <w:szCs w:val="21"/>
          <w:highlight w:val="none"/>
          <w:lang w:val="en-US" w:eastAsia="zh-CN"/>
          <w14:textFill>
            <w14:solidFill>
              <w14:schemeClr w14:val="tx1"/>
            </w14:solidFill>
          </w14:textFill>
        </w:rPr>
        <w:t>供应商须结合本项目具体服务内容，针对性制定服务质量管理提升方案，明确各服务环节的质量标准、管控流程及自查整改机制，同时须明确约定服务未达约定标准的违约责任及具体处罚措施</w:t>
      </w:r>
      <w:r>
        <w:rPr>
          <w:rFonts w:hint="eastAsia" w:ascii="宋体" w:hAnsi="宋体" w:cs="宋体"/>
          <w:color w:val="000000" w:themeColor="text1"/>
          <w:szCs w:val="21"/>
          <w:highlight w:val="none"/>
          <w:lang w:val="en-US" w:eastAsia="zh-CN"/>
          <w14:textFill>
            <w14:solidFill>
              <w14:schemeClr w14:val="tx1"/>
            </w14:solidFill>
          </w14:textFill>
        </w:rPr>
        <w:t>。</w:t>
      </w:r>
      <w:r>
        <w:rPr>
          <w:rFonts w:hint="default" w:ascii="宋体" w:hAnsi="宋体" w:cs="Times New Roman"/>
          <w:color w:val="000000" w:themeColor="text1"/>
          <w:szCs w:val="21"/>
          <w:lang w:val="en-US" w:eastAsia="zh-CN"/>
          <w14:textFill>
            <w14:solidFill>
              <w14:schemeClr w14:val="tx1"/>
            </w14:solidFill>
          </w14:textFill>
        </w:rPr>
        <w:t xml:space="preserve"> </w:t>
      </w:r>
    </w:p>
    <w:p w14:paraId="01B68420">
      <w:pPr>
        <w:numPr>
          <w:ilvl w:val="0"/>
          <w:numId w:val="0"/>
        </w:numPr>
        <w:spacing w:line="480" w:lineRule="auto"/>
        <w:ind w:left="640" w:leftChars="0"/>
        <w:rPr>
          <w:rFonts w:hint="eastAsia" w:ascii="宋体" w:hAnsi="宋体"/>
          <w:color w:val="auto"/>
          <w:szCs w:val="21"/>
          <w:lang w:val="en-US" w:eastAsia="zh-CN"/>
        </w:rPr>
      </w:pPr>
      <w:r>
        <w:rPr>
          <w:rFonts w:hint="eastAsia" w:ascii="宋体" w:hAnsi="宋体"/>
          <w:color w:val="auto"/>
          <w:szCs w:val="21"/>
          <w:lang w:val="en-US" w:eastAsia="zh-CN"/>
        </w:rPr>
        <w:t>7、其他要求</w:t>
      </w:r>
    </w:p>
    <w:p w14:paraId="0224BC24">
      <w:pPr>
        <w:numPr>
          <w:ilvl w:val="0"/>
          <w:numId w:val="0"/>
        </w:numPr>
        <w:spacing w:line="480" w:lineRule="auto"/>
        <w:ind w:left="640" w:leftChars="0"/>
        <w:rPr>
          <w:rFonts w:hint="eastAsia" w:ascii="宋体" w:hAnsi="宋体"/>
          <w:color w:val="auto"/>
          <w:szCs w:val="21"/>
          <w:lang w:val="en-US" w:eastAsia="zh-CN"/>
        </w:rPr>
      </w:pPr>
      <w:r>
        <w:rPr>
          <w:rFonts w:hint="eastAsia" w:ascii="宋体" w:hAnsi="宋体"/>
          <w:color w:val="auto"/>
          <w:szCs w:val="21"/>
          <w:lang w:val="en-US" w:eastAsia="zh-CN"/>
        </w:rPr>
        <w:t>履约验收</w:t>
      </w:r>
    </w:p>
    <w:p w14:paraId="751F2493">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本条款为服务履约验收的法定依据，严格遵循《政府采购需求管理办法》要求，具体规则如下：</w:t>
      </w:r>
    </w:p>
    <w:p w14:paraId="5C65B03F">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1</w:t>
      </w:r>
      <w:r>
        <w:rPr>
          <w:rFonts w:hint="default" w:ascii="宋体" w:hAnsi="宋体" w:cs="Times New Roman"/>
          <w:color w:val="auto"/>
          <w:szCs w:val="21"/>
          <w:lang w:val="en-US" w:eastAsia="zh-CN"/>
        </w:rPr>
        <w:t xml:space="preserve">）验收主体及参与人员 </w:t>
      </w:r>
    </w:p>
    <w:p w14:paraId="057040AC">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验收工作由采购人（开封市司法局）牵头组织，验收组成员包括开封市司法局相关业务科室负责人、开封市专门学校负责人及一线教师代表、驻校监督人员，供应商项目负责人须全程参与验收。必要时采购人可邀请纪检监察部门或第三方专业服务机构参与验收。所有参与验收人员须对验收过程中知悉的在校学生个人隐私、学校管理信息严格保密。</w:t>
      </w:r>
    </w:p>
    <w:p w14:paraId="4CFD4E97">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2</w:t>
      </w:r>
      <w:r>
        <w:rPr>
          <w:rFonts w:hint="default" w:ascii="宋体" w:hAnsi="宋体" w:cs="Times New Roman"/>
          <w:color w:val="auto"/>
          <w:szCs w:val="21"/>
          <w:lang w:val="en-US" w:eastAsia="zh-CN"/>
        </w:rPr>
        <w:t xml:space="preserve">）验收时间及程序 </w:t>
      </w:r>
    </w:p>
    <w:p w14:paraId="75395C7C">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本项目履约验收每季度组织一次，采取资料审核与实地调研相结合的方式进行：</w:t>
      </w:r>
    </w:p>
    <w:p w14:paraId="2590692D">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每季度末最后10个工作日启动当季验收工作，供应商须提前5个工作日向验收组提交当季服务自评报告、人员考勤记录、巡查值守记录、培训演练记录、安全隐患整改台账、工资发放凭证、社保缴纳证明等全部履约资料。验收组首先完成资料审核，随后通过现场检查岗位履职情况、调取核查监控录像、随机访谈在校学生及教职工、现场抽测应急处置流程等方式开展实地调研，全面核实履约情况。验收结束后5个工作日内，验收组出具书面验收意见，明确验收结论及整改要求。</w:t>
      </w:r>
    </w:p>
    <w:p w14:paraId="065F1BFC">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3</w:t>
      </w:r>
      <w:r>
        <w:rPr>
          <w:rFonts w:hint="default" w:ascii="宋体" w:hAnsi="宋体" w:cs="Times New Roman"/>
          <w:color w:val="auto"/>
          <w:szCs w:val="21"/>
          <w:lang w:val="en-US" w:eastAsia="zh-CN"/>
        </w:rPr>
        <w:t xml:space="preserve">）验收内容 </w:t>
      </w:r>
    </w:p>
    <w:p w14:paraId="7B46FD54">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验收内容覆盖本项目全部技术要求及商务要求，具体包括：</w:t>
      </w:r>
    </w:p>
    <w:p w14:paraId="54E935F7">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人员配备履约情况：核验观护人员总数是否满足50人要求（其中女性12-15人、退役军人不少于10人），人员资质是否符合招标文件规定，服务期内人员更换比例是否超过10%，核心管理人员更换是否履行提前告知及审批程序；</w:t>
      </w:r>
    </w:p>
    <w:p w14:paraId="21355787">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岗位履职履约情况：核验24小时值班巡查、监控值守、军事训练、学生日常管理、校园安全隐患排查、应急处置等岗位职责是否落实到位；</w:t>
      </w:r>
    </w:p>
    <w:p w14:paraId="5CF8C405">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安全管理履约情况：核验是否建立并落实违规违纪管控机制，服务期内是否发生脱逃、打架斗殴、自伤自残、自杀等极端事件，是否存在殴打辱骂学生、与学生及家长发生经济往来等违规行为；</w:t>
      </w:r>
    </w:p>
    <w:p w14:paraId="658BD4BE">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质量管理履约情况：核验质量管控机制是否正常运行，自查整改是否形成闭环，服务标准是否达标；</w:t>
      </w:r>
    </w:p>
    <w:p w14:paraId="411E4FDE">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商务要求履约情况：核验观护人员工资是否按时足额发放、社会保险是否足额缴纳、雇主责任险是否按要求购买，是否存在转包、分包服务项目的情况，是否严格执行采购人要求的保密规定。</w:t>
      </w:r>
    </w:p>
    <w:p w14:paraId="1F9854D5">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4</w:t>
      </w:r>
      <w:r>
        <w:rPr>
          <w:rFonts w:hint="default" w:ascii="宋体" w:hAnsi="宋体" w:cs="Times New Roman"/>
          <w:color w:val="auto"/>
          <w:szCs w:val="21"/>
          <w:lang w:val="en-US" w:eastAsia="zh-CN"/>
        </w:rPr>
        <w:t xml:space="preserve">）验收标准 </w:t>
      </w:r>
    </w:p>
    <w:p w14:paraId="6ED97433">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所有验收指标均为客观量化指标，具体达标要求如下：</w:t>
      </w:r>
    </w:p>
    <w:p w14:paraId="08EBE986">
      <w:pPr>
        <w:spacing w:line="480" w:lineRule="auto"/>
        <w:ind w:firstLine="420"/>
        <w:rPr>
          <w:rFonts w:hint="default" w:ascii="宋体" w:hAnsi="宋体" w:cs="Times New Roman"/>
          <w:color w:val="FF0000"/>
          <w:szCs w:val="21"/>
          <w:lang w:val="en-US" w:eastAsia="zh-CN"/>
        </w:rPr>
      </w:pPr>
      <w:r>
        <w:rPr>
          <w:rFonts w:hint="default" w:ascii="宋体" w:hAnsi="宋体" w:cs="Times New Roman"/>
          <w:color w:val="auto"/>
          <w:szCs w:val="21"/>
          <w:lang w:val="en-US" w:eastAsia="zh-CN"/>
        </w:rPr>
        <w:t>人员配备类：观护人员总数50人（其中女性12-15人、退役军人不少于10人），到岗率100%，</w:t>
      </w:r>
      <w:r>
        <w:rPr>
          <w:rFonts w:hint="default" w:ascii="宋体" w:hAnsi="宋体" w:cs="Times New Roman"/>
          <w:color w:val="000000" w:themeColor="text1"/>
          <w:szCs w:val="21"/>
          <w:lang w:val="en-US" w:eastAsia="zh-CN"/>
          <w14:textFill>
            <w14:solidFill>
              <w14:schemeClr w14:val="tx1"/>
            </w14:solidFill>
          </w14:textFill>
        </w:rPr>
        <w:t>服务期内人员更换率不超过10%；</w:t>
      </w:r>
    </w:p>
    <w:p w14:paraId="2AE9DCB0">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人员资质类：所有观护人员持有有效保安员证、健康证，无犯罪记录证明齐全，驻点管理人员符合招标文件规定的学历、管理经验要求；</w:t>
      </w:r>
    </w:p>
    <w:p w14:paraId="5B071CAB">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服务保障类：监控录像保存时间不少于90天，</w:t>
      </w:r>
      <w:r>
        <w:rPr>
          <w:rFonts w:hint="default" w:ascii="宋体" w:hAnsi="宋体" w:cs="Times New Roman"/>
          <w:color w:val="000000" w:themeColor="text1"/>
          <w:szCs w:val="21"/>
          <w:lang w:val="en-US" w:eastAsia="zh-CN"/>
          <w14:textFill>
            <w14:solidFill>
              <w14:schemeClr w14:val="tx1"/>
            </w14:solidFill>
          </w14:textFill>
        </w:rPr>
        <w:t>每月开展人员培训不少于2次，每季度开展应急演练不少于1次</w:t>
      </w:r>
      <w:r>
        <w:rPr>
          <w:rFonts w:hint="default" w:ascii="宋体" w:hAnsi="宋体" w:cs="Times New Roman"/>
          <w:color w:val="auto"/>
          <w:szCs w:val="21"/>
          <w:lang w:val="en-US" w:eastAsia="zh-CN"/>
        </w:rPr>
        <w:t>，安全隐患整改率100%，学生诉求响应时间不超过2小时；</w:t>
      </w:r>
    </w:p>
    <w:p w14:paraId="4FBBF942">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安全底线类：服务期内无脱逃、无打架斗殴致伤、无自伤自残、无自杀等极端事件，无殴打辱骂学生、侵占学生财物、与学生及家长发生经济往来等违规行为；</w:t>
      </w:r>
    </w:p>
    <w:p w14:paraId="2C136A7A">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权益保障类：观护人员工资足额按时发放、社会保险足额缴纳，</w:t>
      </w:r>
      <w:r>
        <w:rPr>
          <w:rFonts w:hint="eastAsia" w:ascii="宋体" w:hAnsi="宋体"/>
          <w:color w:val="auto"/>
          <w:szCs w:val="21"/>
          <w:lang w:val="en-US" w:eastAsia="zh-CN"/>
        </w:rPr>
        <w:t>按时购买雇主责任险</w:t>
      </w:r>
      <w:r>
        <w:rPr>
          <w:rFonts w:hint="default" w:ascii="宋体" w:hAnsi="宋体" w:cs="Times New Roman"/>
          <w:color w:val="auto"/>
          <w:szCs w:val="21"/>
          <w:lang w:val="en-US" w:eastAsia="zh-CN"/>
        </w:rPr>
        <w:t>；</w:t>
      </w:r>
    </w:p>
    <w:p w14:paraId="73DCA84A">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服务质量类：季度考核平均分不低于90分，在校生违规违纪事件发生率不超过5%，采购人及校方满意度不低于90%（满意度由采购人每季度独立开展问卷调查得出，调查样本覆盖在校学生的30%以上）；</w:t>
      </w:r>
    </w:p>
    <w:p w14:paraId="18673E53">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台账管理类：巡查记录、值班记录、培训记录、应急演练记录、问题整改记录等台账齐全，保存期限不少于1年，符合档案管理要求。</w:t>
      </w:r>
    </w:p>
    <w:p w14:paraId="517779DC">
      <w:pPr>
        <w:spacing w:line="480" w:lineRule="auto"/>
        <w:ind w:firstLine="420"/>
        <w:rPr>
          <w:rFonts w:hint="default" w:ascii="宋体" w:hAnsi="宋体" w:cs="Times New Roman"/>
          <w:color w:val="auto"/>
          <w:szCs w:val="21"/>
          <w:lang w:val="en-US" w:eastAsia="zh-CN"/>
        </w:rPr>
      </w:pPr>
      <w:r>
        <w:rPr>
          <w:rFonts w:hint="eastAsia" w:ascii="宋体" w:hAnsi="宋体" w:cs="Times New Roman"/>
          <w:color w:val="auto"/>
          <w:szCs w:val="21"/>
          <w:lang w:val="en-US" w:eastAsia="zh-CN"/>
        </w:rPr>
        <w:t>5</w:t>
      </w:r>
      <w:r>
        <w:rPr>
          <w:rFonts w:hint="default" w:ascii="宋体" w:hAnsi="宋体" w:cs="Times New Roman"/>
          <w:color w:val="auto"/>
          <w:szCs w:val="21"/>
          <w:lang w:val="en-US" w:eastAsia="zh-CN"/>
        </w:rPr>
        <w:t xml:space="preserve">）验收结果及不合格处理方式 </w:t>
      </w:r>
    </w:p>
    <w:p w14:paraId="57F3F41C">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验收结果分为</w:t>
      </w:r>
      <w:r>
        <w:rPr>
          <w:rFonts w:hint="eastAsia" w:ascii="宋体" w:hAnsi="宋体" w:cs="Times New Roman"/>
          <w:color w:val="auto"/>
          <w:szCs w:val="21"/>
          <w:lang w:val="en-US" w:eastAsia="zh-CN"/>
        </w:rPr>
        <w:t>“</w:t>
      </w:r>
      <w:r>
        <w:rPr>
          <w:rFonts w:hint="default" w:ascii="宋体" w:hAnsi="宋体" w:cs="Times New Roman"/>
          <w:color w:val="auto"/>
          <w:szCs w:val="21"/>
          <w:lang w:val="en-US" w:eastAsia="zh-CN"/>
        </w:rPr>
        <w:t>合格</w:t>
      </w:r>
      <w:r>
        <w:rPr>
          <w:rFonts w:hint="eastAsia" w:ascii="宋体" w:hAnsi="宋体" w:cs="Times New Roman"/>
          <w:color w:val="auto"/>
          <w:szCs w:val="21"/>
          <w:lang w:val="en-US" w:eastAsia="zh-CN"/>
        </w:rPr>
        <w:t>”、“</w:t>
      </w:r>
      <w:r>
        <w:rPr>
          <w:rFonts w:hint="default" w:ascii="宋体" w:hAnsi="宋体" w:cs="Times New Roman"/>
          <w:color w:val="auto"/>
          <w:szCs w:val="21"/>
          <w:lang w:val="en-US" w:eastAsia="zh-CN"/>
        </w:rPr>
        <w:t>一般不合格</w:t>
      </w:r>
      <w:r>
        <w:rPr>
          <w:rFonts w:hint="eastAsia" w:ascii="宋体" w:hAnsi="宋体" w:cs="Times New Roman"/>
          <w:color w:val="auto"/>
          <w:szCs w:val="21"/>
          <w:lang w:val="en-US" w:eastAsia="zh-CN"/>
        </w:rPr>
        <w:t>”、“</w:t>
      </w:r>
      <w:r>
        <w:rPr>
          <w:rFonts w:hint="default" w:ascii="宋体" w:hAnsi="宋体" w:cs="Times New Roman"/>
          <w:color w:val="auto"/>
          <w:szCs w:val="21"/>
          <w:lang w:val="en-US" w:eastAsia="zh-CN"/>
        </w:rPr>
        <w:t>严重不合格</w:t>
      </w:r>
      <w:r>
        <w:rPr>
          <w:rFonts w:hint="eastAsia" w:ascii="宋体" w:hAnsi="宋体" w:cs="Times New Roman"/>
          <w:color w:val="auto"/>
          <w:szCs w:val="21"/>
          <w:lang w:val="en-US" w:eastAsia="zh-CN"/>
        </w:rPr>
        <w:t>”</w:t>
      </w:r>
      <w:r>
        <w:rPr>
          <w:rFonts w:hint="default" w:ascii="宋体" w:hAnsi="宋体" w:cs="Times New Roman"/>
          <w:color w:val="auto"/>
          <w:szCs w:val="21"/>
          <w:lang w:val="en-US" w:eastAsia="zh-CN"/>
        </w:rPr>
        <w:t>三类，按以下规则处理：</w:t>
      </w:r>
    </w:p>
    <w:p w14:paraId="01160DD4">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验收合格的，采购人按合同约定支付当季对应服务费。</w:t>
      </w:r>
    </w:p>
    <w:p w14:paraId="6B1560C0">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一般不合格的，指个别非核心指标未达标（如季度考核得分在85-89分之间、个别台账记录不完整、非核心岗位人员临时缺位但不影响整体服务运行等），未触及安全底线、不影响整体服务秩序的情形。供应商须在收到验收意见后7日内完成整改，整改不到位的，扣减当季服务费的2%-5%，整改情况需书面报送采购人备案。</w:t>
      </w:r>
    </w:p>
    <w:p w14:paraId="6DD43F5C">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严重不合格的，指出现以下任一情形的：发生脱逃、打架斗殴致伤、自伤自残、自杀等极端事件；季度考核得分低于85分；核心岗位人员缺位超过3日未整改，或人员配备不足45人超过7日；拖欠观护人员工资、社保超过15日，引发人员不稳定或信访问题；发生殴打辱骂学生、侵占学生财物、与学生及家长发生经济往来等违规行为；擅自转包、分包服务项目。此外，一般不合格累计2次的，直接认定为严重不合格。</w:t>
      </w:r>
    </w:p>
    <w:p w14:paraId="29E32E9A">
      <w:pPr>
        <w:spacing w:line="480" w:lineRule="auto"/>
        <w:ind w:firstLine="42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出现严重不合格的，采购人有权要求供应商15日内完成整改，扣减当季服务费的10%，同时约谈供应商法定代表人；同一服务期内出现2次严重不合格的，采购人有权单方面解除合同，供应商需按合同总金额的15%向采购人支付违约金，赔偿由此造成的全部损失，并纳入政府采购失信行为记录名单。</w:t>
      </w:r>
    </w:p>
    <w:p w14:paraId="1321A7A0">
      <w:pPr>
        <w:spacing w:line="480" w:lineRule="auto"/>
        <w:ind w:firstLine="420" w:firstLineChars="200"/>
        <w:rPr>
          <w:rFonts w:hint="default" w:ascii="宋体" w:hAnsi="宋体" w:cs="Times New Roman"/>
          <w:color w:val="auto"/>
          <w:szCs w:val="21"/>
          <w:lang w:val="en-US" w:eastAsia="zh-CN"/>
        </w:rPr>
      </w:pPr>
      <w:r>
        <w:rPr>
          <w:rFonts w:hint="default" w:ascii="宋体" w:hAnsi="宋体" w:cs="Times New Roman"/>
          <w:color w:val="auto"/>
          <w:szCs w:val="21"/>
          <w:lang w:val="en-US" w:eastAsia="zh-CN"/>
        </w:rPr>
        <w:t>供应商对验收结果有异议的，须在收到验收意见后3个工作日内以书面形式向采购人提出复核申请，采购人须在5个工作日内组织原验收组或另行组建专家组进行复核，复核结果为最终验收结论。</w:t>
      </w:r>
    </w:p>
    <w:p w14:paraId="12D749A9">
      <w:pPr>
        <w:spacing w:line="480" w:lineRule="auto"/>
        <w:ind w:firstLine="420"/>
        <w:rPr>
          <w:rFonts w:hint="default" w:ascii="宋体" w:hAnsi="宋体" w:cs="Times New Roman"/>
          <w:color w:val="auto"/>
          <w:szCs w:val="21"/>
          <w:lang w:val="en-US" w:eastAsia="zh-CN"/>
        </w:rPr>
      </w:pPr>
    </w:p>
    <w:p w14:paraId="327E0742">
      <w:pPr>
        <w:spacing w:line="480" w:lineRule="auto"/>
        <w:ind w:firstLine="420"/>
        <w:rPr>
          <w:rFonts w:hint="default" w:ascii="宋体" w:hAnsi="宋体" w:cs="Times New Roman"/>
          <w:color w:val="auto"/>
          <w:szCs w:val="21"/>
          <w:lang w:val="en-US" w:eastAsia="zh-CN"/>
        </w:rPr>
      </w:pPr>
    </w:p>
    <w:p w14:paraId="449697C9">
      <w:pPr>
        <w:spacing w:line="480" w:lineRule="auto"/>
        <w:ind w:firstLine="420"/>
        <w:rPr>
          <w:rFonts w:hint="default" w:ascii="宋体" w:hAnsi="宋体" w:cs="Times New Roman"/>
          <w:color w:val="auto"/>
          <w:szCs w:val="21"/>
          <w:lang w:val="en-US" w:eastAsia="zh-CN"/>
        </w:rPr>
      </w:pPr>
    </w:p>
    <w:p w14:paraId="497AD776">
      <w:pPr>
        <w:spacing w:line="480" w:lineRule="auto"/>
        <w:ind w:firstLine="420"/>
        <w:rPr>
          <w:rFonts w:hint="default" w:ascii="宋体" w:hAnsi="宋体" w:cs="Times New Roman"/>
          <w:color w:val="auto"/>
          <w:szCs w:val="21"/>
          <w:lang w:val="en-US" w:eastAsia="zh-CN"/>
        </w:rPr>
      </w:pPr>
    </w:p>
    <w:p w14:paraId="1727977A">
      <w:pPr>
        <w:spacing w:line="480" w:lineRule="auto"/>
        <w:ind w:firstLine="420"/>
        <w:rPr>
          <w:rFonts w:hint="default" w:ascii="宋体" w:hAnsi="宋体" w:cs="Times New Roman"/>
          <w:color w:val="auto"/>
          <w:szCs w:val="21"/>
          <w:lang w:val="en-US" w:eastAsia="zh-CN"/>
        </w:rPr>
      </w:pPr>
    </w:p>
    <w:p w14:paraId="7BC1C3F9">
      <w:pPr>
        <w:spacing w:line="480" w:lineRule="auto"/>
        <w:ind w:firstLine="420"/>
        <w:rPr>
          <w:rFonts w:hint="default" w:ascii="宋体" w:hAnsi="宋体" w:cs="Times New Roman"/>
          <w:color w:val="auto"/>
          <w:szCs w:val="21"/>
          <w:lang w:val="en-US" w:eastAsia="zh-CN"/>
        </w:rPr>
      </w:pPr>
    </w:p>
    <w:p w14:paraId="5306229B">
      <w:pPr>
        <w:spacing w:line="480" w:lineRule="auto"/>
        <w:ind w:firstLine="420"/>
        <w:rPr>
          <w:rFonts w:hint="default" w:ascii="宋体" w:hAnsi="宋体" w:cs="Times New Roman"/>
          <w:color w:val="auto"/>
          <w:szCs w:val="21"/>
          <w:lang w:val="en-US" w:eastAsia="zh-CN"/>
        </w:rPr>
      </w:pPr>
    </w:p>
    <w:p w14:paraId="2A11E684">
      <w:pPr>
        <w:spacing w:line="480" w:lineRule="auto"/>
        <w:ind w:firstLine="420"/>
        <w:rPr>
          <w:rFonts w:hint="default" w:ascii="宋体" w:hAnsi="宋体" w:cs="Times New Roman"/>
          <w:color w:val="auto"/>
          <w:szCs w:val="21"/>
          <w:lang w:val="en-US" w:eastAsia="zh-CN"/>
        </w:rPr>
      </w:pPr>
    </w:p>
    <w:p w14:paraId="408F9186">
      <w:pPr>
        <w:spacing w:line="480" w:lineRule="auto"/>
        <w:ind w:firstLine="420"/>
        <w:rPr>
          <w:rFonts w:hint="default" w:ascii="宋体" w:hAnsi="宋体" w:cs="Times New Roman"/>
          <w:color w:val="auto"/>
          <w:szCs w:val="21"/>
          <w:lang w:val="en-US" w:eastAsia="zh-CN"/>
        </w:rPr>
      </w:pPr>
    </w:p>
    <w:p w14:paraId="10657649">
      <w:pPr>
        <w:spacing w:line="480" w:lineRule="auto"/>
        <w:ind w:firstLine="420"/>
        <w:rPr>
          <w:rFonts w:hint="default" w:ascii="宋体" w:hAnsi="宋体" w:cs="Times New Roman"/>
          <w:color w:val="auto"/>
          <w:szCs w:val="21"/>
          <w:lang w:val="en-US" w:eastAsia="zh-CN"/>
        </w:rPr>
      </w:pPr>
    </w:p>
    <w:p w14:paraId="7C9C2716">
      <w:pPr>
        <w:spacing w:line="480" w:lineRule="auto"/>
        <w:ind w:firstLine="420"/>
        <w:rPr>
          <w:rFonts w:hint="default" w:ascii="宋体" w:hAnsi="宋体" w:cs="Times New Roman"/>
          <w:color w:val="auto"/>
          <w:szCs w:val="21"/>
          <w:lang w:val="en-US" w:eastAsia="zh-CN"/>
        </w:rPr>
      </w:pPr>
    </w:p>
    <w:p w14:paraId="2C4707CD">
      <w:pPr>
        <w:spacing w:line="480" w:lineRule="auto"/>
        <w:ind w:firstLine="420"/>
        <w:rPr>
          <w:rFonts w:hint="default" w:ascii="宋体" w:hAnsi="宋体" w:cs="Times New Roman"/>
          <w:color w:val="auto"/>
          <w:szCs w:val="21"/>
          <w:lang w:val="en-US" w:eastAsia="zh-CN"/>
        </w:rPr>
      </w:pPr>
    </w:p>
    <w:p w14:paraId="5120CB81">
      <w:pPr>
        <w:spacing w:line="480" w:lineRule="auto"/>
        <w:ind w:firstLine="420"/>
        <w:rPr>
          <w:rFonts w:hint="default" w:ascii="宋体" w:hAnsi="宋体" w:cs="Times New Roman"/>
          <w:color w:val="auto"/>
          <w:szCs w:val="21"/>
          <w:lang w:val="en-US" w:eastAsia="zh-CN"/>
        </w:rPr>
      </w:pPr>
    </w:p>
    <w:p w14:paraId="2168F3D0">
      <w:pPr>
        <w:spacing w:line="480" w:lineRule="auto"/>
        <w:ind w:firstLine="420"/>
        <w:rPr>
          <w:rFonts w:hint="default" w:ascii="宋体" w:hAnsi="宋体" w:cs="Times New Roman"/>
          <w:color w:val="auto"/>
          <w:szCs w:val="21"/>
          <w:lang w:val="en-US" w:eastAsia="zh-CN"/>
        </w:rPr>
      </w:pPr>
    </w:p>
    <w:p w14:paraId="44A712B2">
      <w:pPr>
        <w:spacing w:line="480" w:lineRule="auto"/>
        <w:ind w:firstLine="420"/>
        <w:rPr>
          <w:rFonts w:hint="default" w:ascii="宋体" w:hAnsi="宋体" w:cs="Times New Roman"/>
          <w:color w:val="auto"/>
          <w:szCs w:val="21"/>
          <w:lang w:val="en-US" w:eastAsia="zh-CN"/>
        </w:rPr>
      </w:pPr>
    </w:p>
    <w:p w14:paraId="4E6AC4FC">
      <w:pPr>
        <w:spacing w:line="480" w:lineRule="auto"/>
        <w:ind w:firstLine="420"/>
        <w:rPr>
          <w:rFonts w:hint="default" w:ascii="宋体" w:hAnsi="宋体" w:cs="Times New Roman"/>
          <w:color w:val="auto"/>
          <w:szCs w:val="21"/>
          <w:lang w:val="en-US" w:eastAsia="zh-CN"/>
        </w:rPr>
      </w:pPr>
    </w:p>
    <w:p w14:paraId="1FA3FCDE">
      <w:pPr>
        <w:spacing w:line="480" w:lineRule="auto"/>
        <w:rPr>
          <w:rFonts w:hint="default" w:ascii="宋体" w:hAnsi="宋体" w:cs="Times New Roman"/>
          <w:color w:val="auto"/>
          <w:szCs w:val="21"/>
          <w:lang w:val="en-US" w:eastAsia="zh-CN"/>
        </w:rPr>
      </w:pPr>
    </w:p>
    <w:p w14:paraId="1CDEF295">
      <w:pPr>
        <w:outlineLvl w:val="2"/>
        <w:rPr>
          <w:rFonts w:ascii="宋体" w:hAnsi="宋体"/>
          <w:sz w:val="32"/>
          <w:szCs w:val="32"/>
          <w:highlight w:val="none"/>
        </w:rPr>
      </w:pPr>
      <w:r>
        <w:rPr>
          <w:rFonts w:hint="eastAsia" w:ascii="宋体" w:hAnsi="宋体"/>
          <w:b/>
          <w:sz w:val="32"/>
          <w:szCs w:val="32"/>
          <w:highlight w:val="none"/>
        </w:rPr>
        <w:t>三、招标内容及技术要求</w:t>
      </w:r>
      <w:bookmarkStart w:id="740" w:name="_Toc247085866"/>
      <w:bookmarkStart w:id="741" w:name="_Toc152045782"/>
      <w:bookmarkStart w:id="742" w:name="_Toc152042571"/>
      <w:bookmarkStart w:id="743" w:name="_Toc144974851"/>
      <w:bookmarkStart w:id="744" w:name="_Toc246997093"/>
      <w:bookmarkStart w:id="745" w:name="_Toc179632800"/>
      <w:bookmarkStart w:id="746" w:name="_Toc246996350"/>
      <w:bookmarkStart w:id="747" w:name="_Toc247096438"/>
    </w:p>
    <w:p w14:paraId="5162DB72">
      <w:pPr>
        <w:autoSpaceDE w:val="0"/>
        <w:autoSpaceDN w:val="0"/>
        <w:adjustRightInd w:val="0"/>
        <w:jc w:val="left"/>
        <w:rPr>
          <w:rFonts w:ascii="宋体" w:hAnsi="宋体" w:cs="宋体"/>
          <w:kern w:val="0"/>
          <w:szCs w:val="21"/>
          <w:highlight w:val="none"/>
        </w:rPr>
      </w:pPr>
    </w:p>
    <w:p w14:paraId="6D3A88BA">
      <w:pPr>
        <w:pStyle w:val="30"/>
        <w:ind w:left="0" w:leftChars="0" w:firstLine="600" w:firstLineChars="200"/>
        <w:rPr>
          <w:bCs/>
          <w:sz w:val="32"/>
          <w:szCs w:val="32"/>
        </w:rPr>
      </w:pPr>
      <w:r>
        <w:rPr>
          <w:rFonts w:hint="eastAsia" w:ascii="宋体" w:hAnsi="宋体"/>
          <w:bCs/>
          <w:sz w:val="30"/>
          <w:szCs w:val="30"/>
        </w:rPr>
        <w:t>本项目招标内容、数量及其有关技术要求如下：</w:t>
      </w:r>
    </w:p>
    <w:p w14:paraId="43B052DD">
      <w:pPr>
        <w:keepNext w:val="0"/>
        <w:keepLines w:val="0"/>
        <w:pageBreakBefore w:val="0"/>
        <w:widowControl w:val="0"/>
        <w:kinsoku/>
        <w:wordWrap/>
        <w:overflowPunct/>
        <w:topLinePunct w:val="0"/>
        <w:autoSpaceDE/>
        <w:autoSpaceDN/>
        <w:bidi w:val="0"/>
        <w:adjustRightInd/>
        <w:snapToGrid/>
        <w:spacing w:line="480" w:lineRule="auto"/>
        <w:ind w:firstLine="422" w:firstLineChars="200"/>
        <w:textAlignment w:val="auto"/>
        <w:rPr>
          <w:rFonts w:hint="default" w:ascii="宋体" w:hAnsi="宋体" w:eastAsia="宋体"/>
          <w:b/>
          <w:bCs/>
          <w:color w:val="auto"/>
          <w:highlight w:val="none"/>
          <w:lang w:val="en-US" w:eastAsia="zh-CN"/>
        </w:rPr>
      </w:pPr>
      <w:r>
        <w:rPr>
          <w:rFonts w:hint="default" w:ascii="宋体" w:hAnsi="宋体" w:eastAsia="宋体"/>
          <w:b/>
          <w:bCs/>
          <w:color w:val="auto"/>
          <w:highlight w:val="none"/>
          <w:lang w:val="en-US" w:eastAsia="zh-CN"/>
        </w:rPr>
        <w:t xml:space="preserve">（一）项目人员配备情况 </w:t>
      </w:r>
    </w:p>
    <w:p w14:paraId="458977E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0"/>
        <w:textAlignment w:val="auto"/>
        <w:rPr>
          <w:rFonts w:hint="eastAsia" w:ascii="宋体" w:hAnsi="宋体"/>
          <w:color w:val="auto"/>
          <w:szCs w:val="21"/>
          <w:lang w:val="en-US" w:eastAsia="zh-CN"/>
        </w:rPr>
      </w:pPr>
      <w:r>
        <w:rPr>
          <w:rFonts w:hint="eastAsia" w:ascii="宋体" w:hAnsi="宋体"/>
          <w:color w:val="auto"/>
          <w:szCs w:val="21"/>
          <w:lang w:val="en-US" w:eastAsia="zh-CN"/>
        </w:rPr>
        <w:t>观护队长（驻点管理人员）3人，观护</w:t>
      </w:r>
      <w:r>
        <w:rPr>
          <w:rFonts w:hint="default" w:ascii="宋体" w:hAnsi="宋体"/>
          <w:color w:val="auto"/>
          <w:szCs w:val="21"/>
          <w:lang w:val="en-US" w:eastAsia="zh-CN"/>
        </w:rPr>
        <w:t>班长</w:t>
      </w:r>
      <w:r>
        <w:rPr>
          <w:rFonts w:hint="eastAsia" w:ascii="宋体" w:hAnsi="宋体"/>
          <w:color w:val="auto"/>
          <w:szCs w:val="21"/>
          <w:lang w:val="en-US" w:eastAsia="zh-CN"/>
        </w:rPr>
        <w:t>5</w:t>
      </w:r>
      <w:r>
        <w:rPr>
          <w:rFonts w:hint="default" w:ascii="宋体" w:hAnsi="宋体"/>
          <w:color w:val="auto"/>
          <w:szCs w:val="21"/>
          <w:lang w:val="en-US" w:eastAsia="zh-CN"/>
        </w:rPr>
        <w:t>人</w:t>
      </w:r>
      <w:r>
        <w:rPr>
          <w:rFonts w:hint="eastAsia" w:ascii="宋体" w:hAnsi="宋体"/>
          <w:color w:val="auto"/>
          <w:szCs w:val="21"/>
          <w:lang w:val="en-US" w:eastAsia="zh-CN"/>
        </w:rPr>
        <w:t>，观护队员42人，上述观护人员共50人（女性观护队员12-15人），其中退役军人不少于10人，担任兼职军事教官。</w:t>
      </w:r>
    </w:p>
    <w:p w14:paraId="2AAABB73">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b/>
          <w:bCs/>
          <w:color w:val="auto"/>
          <w:kern w:val="2"/>
          <w:sz w:val="21"/>
          <w:szCs w:val="21"/>
          <w:highlight w:val="none"/>
          <w:lang w:val="en-US" w:eastAsia="zh-CN" w:bidi="ar-SA"/>
        </w:rPr>
      </w:pPr>
      <w:r>
        <w:rPr>
          <w:rFonts w:hint="default" w:ascii="宋体" w:hAnsi="宋体" w:eastAsia="宋体" w:cs="Times New Roman"/>
          <w:b/>
          <w:bCs/>
          <w:color w:val="auto"/>
          <w:kern w:val="2"/>
          <w:sz w:val="21"/>
          <w:szCs w:val="21"/>
          <w:highlight w:val="none"/>
          <w:lang w:val="en-US" w:eastAsia="zh-CN" w:bidi="ar-SA"/>
        </w:rPr>
        <w:t>（二）岗位</w:t>
      </w:r>
      <w:r>
        <w:rPr>
          <w:rFonts w:hint="eastAsia" w:ascii="宋体" w:hAnsi="宋体" w:eastAsia="宋体" w:cs="Times New Roman"/>
          <w:b/>
          <w:bCs/>
          <w:color w:val="auto"/>
          <w:kern w:val="2"/>
          <w:sz w:val="21"/>
          <w:szCs w:val="21"/>
          <w:highlight w:val="none"/>
          <w:lang w:val="en-US" w:eastAsia="zh-CN" w:bidi="ar-SA"/>
        </w:rPr>
        <w:t>要求及工作职责</w:t>
      </w:r>
    </w:p>
    <w:p w14:paraId="28963C29">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auto"/>
          <w:szCs w:val="21"/>
          <w:lang w:val="en-US" w:eastAsia="zh-CN"/>
        </w:rPr>
      </w:pPr>
      <w:r>
        <w:rPr>
          <w:rFonts w:hint="eastAsia" w:ascii="宋体" w:hAnsi="宋体"/>
          <w:color w:val="auto"/>
          <w:szCs w:val="21"/>
          <w:lang w:val="en-US" w:eastAsia="zh-CN"/>
        </w:rPr>
        <w:t>1、岗位要求</w:t>
      </w:r>
    </w:p>
    <w:p w14:paraId="51D63523">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（1）观护队员：</w:t>
      </w:r>
    </w:p>
    <w:p w14:paraId="72B4AD98">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0"/>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观护人员应着装整齐统一、仪容仪表规范、持证上岗（保安员证）。</w:t>
      </w:r>
    </w:p>
    <w:p w14:paraId="5459A10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0"/>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●2）</w:t>
      </w:r>
      <w:r>
        <w:rPr>
          <w:rFonts w:hint="eastAsia" w:ascii="宋体" w:hAnsi="宋体"/>
          <w:color w:val="000000" w:themeColor="text1"/>
          <w:szCs w:val="21"/>
          <w:lang w:val="en-US" w:eastAsia="zh-CN"/>
          <w14:textFill>
            <w14:solidFill>
              <w14:schemeClr w14:val="tx1"/>
            </w14:solidFill>
          </w14:textFill>
        </w:rPr>
        <w:t>身体健康（健康证），无违法犯罪记录（公安机关出具的证明）。</w:t>
      </w:r>
    </w:p>
    <w:p w14:paraId="33D5450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0"/>
        <w:textAlignment w:val="auto"/>
        <w:rPr>
          <w:rFonts w:hint="eastAsia" w:ascii="宋体" w:hAnsi="宋体"/>
          <w:strike w:val="0"/>
          <w:dstrike w:val="0"/>
          <w:color w:val="FF0000"/>
          <w:szCs w:val="21"/>
          <w:lang w:val="en-US" w:eastAsia="zh-CN"/>
        </w:rPr>
      </w:pPr>
      <w:r>
        <w:rPr>
          <w:rFonts w:hint="eastAsia" w:ascii="宋体" w:hAnsi="宋体" w:eastAsia="宋体" w:cs="Times New Roman"/>
          <w:strike w:val="0"/>
          <w:dstrike w:val="0"/>
          <w:color w:val="000000" w:themeColor="text1"/>
          <w:kern w:val="2"/>
          <w:sz w:val="21"/>
          <w:szCs w:val="21"/>
          <w:lang w:val="en-US" w:eastAsia="zh-CN" w:bidi="ar-SA"/>
          <w14:textFill>
            <w14:solidFill>
              <w14:schemeClr w14:val="tx1"/>
            </w14:solidFill>
          </w14:textFill>
        </w:rPr>
        <w:t>3）</w:t>
      </w:r>
      <w:r>
        <w:rPr>
          <w:rFonts w:hint="eastAsia" w:ascii="宋体" w:hAnsi="宋体"/>
          <w:color w:val="000000" w:themeColor="text1"/>
          <w:szCs w:val="21"/>
          <w:lang w:val="en-US" w:eastAsia="zh-CN"/>
          <w14:textFill>
            <w14:solidFill>
              <w14:schemeClr w14:val="tx1"/>
            </w14:solidFill>
          </w14:textFill>
        </w:rPr>
        <w:t>观护</w:t>
      </w:r>
      <w:r>
        <w:rPr>
          <w:rFonts w:hint="eastAsia" w:ascii="宋体" w:hAnsi="宋体"/>
          <w:color w:val="auto"/>
          <w:szCs w:val="21"/>
          <w:lang w:val="en-US" w:eastAsia="zh-CN"/>
        </w:rPr>
        <w:t>人员自愿从事观护工作，具有品行良好，忠诚奉献、吃苦耐劳精神。</w:t>
      </w:r>
    </w:p>
    <w:p w14:paraId="2DBE5A22">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auto"/>
          <w:szCs w:val="21"/>
          <w:lang w:val="en-US" w:eastAsia="zh-CN"/>
        </w:rPr>
      </w:pPr>
      <w:r>
        <w:rPr>
          <w:rFonts w:hint="eastAsia" w:ascii="宋体" w:hAnsi="宋体"/>
          <w:color w:val="auto"/>
          <w:szCs w:val="21"/>
          <w:lang w:val="en-US" w:eastAsia="zh-CN"/>
        </w:rPr>
        <w:t>4）责任心强，具备良好的沟通能力和应急处置能力。服务期间无安全责任事故。</w:t>
      </w:r>
    </w:p>
    <w:p w14:paraId="6F5F8818">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auto"/>
          <w:szCs w:val="21"/>
          <w:lang w:val="en-US" w:eastAsia="zh-CN"/>
        </w:rPr>
      </w:pP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lang w:val="en-US" w:eastAsia="zh-CN"/>
        </w:rPr>
        <w:t>5）年龄在18周岁以上、42周岁以下(1984年7月至2008年7月期间出生)，退役军人或具有国家承认的大学专科及以上学历可放宽至45周岁（1981年7月至2008年7月期间出生）。</w:t>
      </w:r>
    </w:p>
    <w:p w14:paraId="216F0AC8">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auto"/>
          <w:szCs w:val="21"/>
          <w:lang w:val="en-US" w:eastAsia="zh-CN"/>
        </w:rPr>
      </w:pP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lang w:val="en-US" w:eastAsia="zh-CN"/>
        </w:rPr>
        <w:t>6）具有国家承认的高中及以上学历。</w:t>
      </w:r>
    </w:p>
    <w:p w14:paraId="5819486C">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auto"/>
          <w:szCs w:val="21"/>
          <w:lang w:val="en-US" w:eastAsia="zh-CN"/>
        </w:rPr>
      </w:pPr>
      <w:r>
        <w:rPr>
          <w:rFonts w:hint="eastAsia" w:ascii="宋体" w:hAnsi="宋体"/>
          <w:color w:val="auto"/>
          <w:szCs w:val="21"/>
          <w:lang w:val="en-US" w:eastAsia="zh-CN"/>
        </w:rPr>
        <w:t>7）男性身高1.65米及以上，女性身高1.55米及以上。</w:t>
      </w:r>
    </w:p>
    <w:p w14:paraId="0D1ED168">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color w:val="auto"/>
          <w:szCs w:val="21"/>
          <w:lang w:val="en-US" w:eastAsia="zh-CN"/>
        </w:rPr>
      </w:pPr>
      <w:r>
        <w:rPr>
          <w:rFonts w:hint="eastAsia" w:ascii="宋体" w:hAnsi="宋体"/>
          <w:color w:val="auto"/>
          <w:szCs w:val="21"/>
          <w:lang w:val="en-US" w:eastAsia="zh-CN"/>
        </w:rPr>
        <w:t>8）同等条件下，优先聘用退役军人、警察类或政法院校毕业生。</w:t>
      </w:r>
    </w:p>
    <w:p w14:paraId="0B9B12CA">
      <w:pPr>
        <w:spacing w:line="480" w:lineRule="auto"/>
        <w:ind w:firstLine="420"/>
        <w:rPr>
          <w:rFonts w:hint="eastAsia" w:ascii="宋体" w:hAnsi="宋体"/>
          <w:color w:val="auto"/>
          <w:szCs w:val="21"/>
          <w:lang w:val="en-US" w:eastAsia="zh-CN"/>
        </w:rPr>
      </w:pPr>
      <w:r>
        <w:rPr>
          <w:rFonts w:hint="eastAsia" w:ascii="宋体" w:hAnsi="宋体"/>
          <w:color w:val="auto"/>
          <w:szCs w:val="21"/>
          <w:lang w:val="en-US" w:eastAsia="zh-CN"/>
        </w:rPr>
        <w:t>9）严格按照采购人要求履行保密规定，不得将服务过程中掌握的信息或材料用于服务以外的事项。</w:t>
      </w:r>
    </w:p>
    <w:p w14:paraId="53384549">
      <w:pPr>
        <w:spacing w:line="480" w:lineRule="auto"/>
        <w:ind w:firstLine="420"/>
        <w:rPr>
          <w:rFonts w:hint="eastAsia" w:ascii="宋体" w:hAnsi="宋体"/>
          <w:color w:val="auto"/>
          <w:szCs w:val="21"/>
          <w:lang w:val="en-US" w:eastAsia="zh-CN"/>
        </w:rPr>
      </w:pP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lang w:val="en-US" w:eastAsia="zh-CN"/>
        </w:rPr>
        <w:t>10）观护队员不能胜任工作的，采购人可以要求及时更换</w:t>
      </w:r>
      <w:r>
        <w:rPr>
          <w:rFonts w:hint="eastAsia" w:ascii="宋体" w:hAnsi="宋体"/>
          <w:color w:val="000000" w:themeColor="text1"/>
          <w:szCs w:val="21"/>
          <w:lang w:val="en-US" w:eastAsia="zh-CN"/>
          <w14:textFill>
            <w14:solidFill>
              <w14:schemeClr w14:val="tx1"/>
            </w14:solidFill>
          </w14:textFill>
        </w:rPr>
        <w:t>，供应商应</w:t>
      </w:r>
      <w:r>
        <w:rPr>
          <w:rFonts w:hint="eastAsia" w:ascii="宋体" w:hAnsi="宋体"/>
          <w:color w:val="auto"/>
          <w:szCs w:val="21"/>
          <w:lang w:val="en-US" w:eastAsia="zh-CN"/>
        </w:rPr>
        <w:t>按照采购人要求更换符合条件的人员。</w:t>
      </w:r>
    </w:p>
    <w:p w14:paraId="526B0387">
      <w:pPr>
        <w:spacing w:line="480" w:lineRule="auto"/>
        <w:ind w:firstLine="420"/>
        <w:rPr>
          <w:rFonts w:hint="eastAsia" w:ascii="宋体" w:hAnsi="宋体"/>
          <w:color w:val="auto"/>
          <w:szCs w:val="21"/>
          <w:lang w:val="en-US" w:eastAsia="zh-CN"/>
        </w:rPr>
      </w:pPr>
      <w:r>
        <w:rPr>
          <w:rFonts w:hint="eastAsia" w:ascii="宋体" w:hAnsi="宋体"/>
          <w:color w:val="auto"/>
          <w:szCs w:val="21"/>
          <w:lang w:val="en-US" w:eastAsia="zh-CN"/>
        </w:rPr>
        <w:t>11）</w:t>
      </w:r>
      <w:r>
        <w:rPr>
          <w:rFonts w:hint="default" w:ascii="宋体" w:hAnsi="宋体"/>
          <w:color w:val="auto"/>
          <w:szCs w:val="21"/>
          <w:lang w:val="en-US" w:eastAsia="zh-CN"/>
        </w:rPr>
        <w:t>岗位配置按</w:t>
      </w:r>
      <w:r>
        <w:rPr>
          <w:rFonts w:hint="default" w:ascii="宋体" w:hAnsi="宋体"/>
          <w:color w:val="000000" w:themeColor="text1"/>
          <w:szCs w:val="21"/>
          <w:lang w:val="en-US" w:eastAsia="zh-CN"/>
          <w14:textFill>
            <w14:solidFill>
              <w14:schemeClr w14:val="tx1"/>
            </w14:solidFill>
          </w14:textFill>
        </w:rPr>
        <w:t>照</w:t>
      </w:r>
      <w:r>
        <w:rPr>
          <w:rFonts w:hint="eastAsia" w:ascii="宋体" w:hAnsi="宋体"/>
          <w:color w:val="000000" w:themeColor="text1"/>
          <w:szCs w:val="21"/>
          <w:lang w:val="en-US" w:eastAsia="zh-CN"/>
          <w14:textFill>
            <w14:solidFill>
              <w14:schemeClr w14:val="tx1"/>
            </w14:solidFill>
          </w14:textFill>
        </w:rPr>
        <w:t>采购人</w:t>
      </w:r>
      <w:r>
        <w:rPr>
          <w:rFonts w:hint="default" w:ascii="宋体" w:hAnsi="宋体"/>
          <w:color w:val="000000" w:themeColor="text1"/>
          <w:szCs w:val="21"/>
          <w:lang w:val="en-US" w:eastAsia="zh-CN"/>
          <w14:textFill>
            <w14:solidFill>
              <w14:schemeClr w14:val="tx1"/>
            </w14:solidFill>
          </w14:textFill>
        </w:rPr>
        <w:t>要求进行配置</w:t>
      </w:r>
      <w:r>
        <w:rPr>
          <w:rFonts w:hint="eastAsia" w:ascii="宋体" w:hAnsi="宋体"/>
          <w:color w:val="000000" w:themeColor="text1"/>
          <w:szCs w:val="21"/>
          <w:lang w:val="en-US" w:eastAsia="zh-CN"/>
          <w14:textFill>
            <w14:solidFill>
              <w14:schemeClr w14:val="tx1"/>
            </w14:solidFill>
          </w14:textFill>
        </w:rPr>
        <w:t>。供应商可</w:t>
      </w:r>
      <w:r>
        <w:rPr>
          <w:rFonts w:hint="default" w:ascii="宋体" w:hAnsi="宋体"/>
          <w:color w:val="000000" w:themeColor="text1"/>
          <w:szCs w:val="21"/>
          <w:lang w:val="en-US" w:eastAsia="zh-CN"/>
          <w14:textFill>
            <w14:solidFill>
              <w14:schemeClr w14:val="tx1"/>
            </w14:solidFill>
          </w14:textFill>
        </w:rPr>
        <w:t>基</w:t>
      </w:r>
      <w:r>
        <w:rPr>
          <w:rFonts w:hint="default" w:ascii="宋体" w:hAnsi="宋体"/>
          <w:color w:val="auto"/>
          <w:szCs w:val="21"/>
          <w:lang w:val="en-US" w:eastAsia="zh-CN"/>
        </w:rPr>
        <w:t>于项目实际情况</w:t>
      </w:r>
      <w:r>
        <w:rPr>
          <w:rFonts w:hint="eastAsia" w:ascii="宋体" w:hAnsi="宋体"/>
          <w:color w:val="auto"/>
          <w:szCs w:val="21"/>
          <w:lang w:val="en-US" w:eastAsia="zh-CN"/>
        </w:rPr>
        <w:t>向采购人提出</w:t>
      </w:r>
      <w:r>
        <w:rPr>
          <w:rFonts w:hint="default" w:ascii="宋体" w:hAnsi="宋体"/>
          <w:color w:val="auto"/>
          <w:szCs w:val="21"/>
          <w:lang w:val="en-US" w:eastAsia="zh-CN"/>
        </w:rPr>
        <w:t>专业的岗位划分意见，以便</w:t>
      </w:r>
      <w:r>
        <w:rPr>
          <w:rFonts w:hint="eastAsia" w:ascii="宋体" w:hAnsi="宋体"/>
          <w:color w:val="auto"/>
          <w:szCs w:val="21"/>
          <w:lang w:val="en-US" w:eastAsia="zh-CN"/>
        </w:rPr>
        <w:t>岗位设置</w:t>
      </w:r>
      <w:r>
        <w:rPr>
          <w:rFonts w:hint="default" w:ascii="宋体" w:hAnsi="宋体"/>
          <w:color w:val="auto"/>
          <w:szCs w:val="21"/>
          <w:lang w:val="en-US" w:eastAsia="zh-CN"/>
        </w:rPr>
        <w:t>更加</w:t>
      </w:r>
      <w:r>
        <w:rPr>
          <w:rFonts w:hint="eastAsia" w:ascii="宋体" w:hAnsi="宋体"/>
          <w:color w:val="auto"/>
          <w:szCs w:val="21"/>
          <w:lang w:val="en-US" w:eastAsia="zh-CN"/>
        </w:rPr>
        <w:t>科学、</w:t>
      </w:r>
      <w:r>
        <w:rPr>
          <w:rFonts w:hint="default" w:ascii="宋体" w:hAnsi="宋体"/>
          <w:color w:val="auto"/>
          <w:szCs w:val="21"/>
          <w:lang w:val="en-US" w:eastAsia="zh-CN"/>
        </w:rPr>
        <w:t>合理、高效。</w:t>
      </w:r>
    </w:p>
    <w:p w14:paraId="478A140D">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宋体" w:hAnsi="宋体"/>
          <w:color w:val="000000" w:themeColor="text1"/>
          <w:szCs w:val="21"/>
          <w:lang w:val="en-US" w:eastAsia="zh-CN"/>
          <w14:textFill>
            <w14:solidFill>
              <w14:schemeClr w14:val="tx1"/>
            </w14:solidFill>
          </w14:textFill>
        </w:rPr>
      </w:pPr>
      <w:r>
        <w:rPr>
          <w:rFonts w:hint="eastAsia" w:ascii="宋体" w:hAnsi="宋体" w:eastAsia="宋体" w:cs="Times New Roman"/>
          <w:color w:val="auto"/>
          <w:kern w:val="2"/>
          <w:sz w:val="21"/>
          <w:szCs w:val="21"/>
          <w:lang w:val="en-US" w:eastAsia="zh-CN" w:bidi="ar-SA"/>
        </w:rPr>
        <w:t>●</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（2）</w:t>
      </w:r>
      <w:r>
        <w:rPr>
          <w:rFonts w:hint="eastAsia" w:ascii="宋体" w:hAnsi="宋体"/>
          <w:color w:val="000000" w:themeColor="text1"/>
          <w:szCs w:val="21"/>
          <w:lang w:val="en-US" w:eastAsia="zh-CN"/>
          <w14:textFill>
            <w14:solidFill>
              <w14:schemeClr w14:val="tx1"/>
            </w14:solidFill>
          </w14:textFill>
        </w:rPr>
        <w:t>观护</w:t>
      </w:r>
      <w:r>
        <w:rPr>
          <w:rFonts w:hint="eastAsia" w:ascii="宋体" w:hAnsi="宋体"/>
          <w:color w:val="auto"/>
          <w:szCs w:val="21"/>
          <w:lang w:val="en-US" w:eastAsia="zh-CN"/>
        </w:rPr>
        <w:t>班</w:t>
      </w:r>
      <w:r>
        <w:rPr>
          <w:rFonts w:hint="default" w:ascii="宋体" w:hAnsi="宋体"/>
          <w:color w:val="auto"/>
          <w:szCs w:val="21"/>
          <w:lang w:val="en-US" w:eastAsia="zh-CN"/>
        </w:rPr>
        <w:t>长</w:t>
      </w:r>
      <w:r>
        <w:rPr>
          <w:rFonts w:hint="eastAsia" w:ascii="宋体" w:hAnsi="宋体"/>
          <w:color w:val="auto"/>
          <w:szCs w:val="21"/>
          <w:lang w:val="en-US" w:eastAsia="zh-CN"/>
        </w:rPr>
        <w:t>：满足观护队员的所有岗位要求。退役军人，高中以上学历，能够组织开展军事训练，认真负责，具有良好的</w:t>
      </w:r>
      <w:r>
        <w:rPr>
          <w:rFonts w:hint="eastAsia" w:ascii="宋体" w:hAnsi="宋体"/>
          <w:color w:val="000000" w:themeColor="text1"/>
          <w:szCs w:val="21"/>
          <w:lang w:val="en-US" w:eastAsia="zh-CN"/>
          <w14:textFill>
            <w14:solidFill>
              <w14:schemeClr w14:val="tx1"/>
            </w14:solidFill>
          </w14:textFill>
        </w:rPr>
        <w:t>沟通协调能力，</w:t>
      </w:r>
      <w:r>
        <w:rPr>
          <w:rFonts w:hint="default" w:ascii="宋体" w:hAnsi="宋体"/>
          <w:color w:val="000000" w:themeColor="text1"/>
          <w:szCs w:val="21"/>
          <w:lang w:val="en-US" w:eastAsia="zh-CN"/>
          <w14:textFill>
            <w14:solidFill>
              <w14:schemeClr w14:val="tx1"/>
            </w14:solidFill>
          </w14:textFill>
        </w:rPr>
        <w:t>曾担任相关管理</w:t>
      </w:r>
      <w:r>
        <w:rPr>
          <w:rFonts w:hint="eastAsia" w:ascii="宋体" w:hAnsi="宋体"/>
          <w:color w:val="000000" w:themeColor="text1"/>
          <w:szCs w:val="21"/>
          <w:lang w:val="en-US" w:eastAsia="zh-CN"/>
          <w14:textFill>
            <w14:solidFill>
              <w14:schemeClr w14:val="tx1"/>
            </w14:solidFill>
          </w14:textFill>
        </w:rPr>
        <w:t>工作1</w:t>
      </w:r>
      <w:r>
        <w:rPr>
          <w:rFonts w:hint="default" w:ascii="宋体" w:hAnsi="宋体"/>
          <w:color w:val="000000" w:themeColor="text1"/>
          <w:szCs w:val="21"/>
          <w:lang w:val="en-US" w:eastAsia="zh-CN"/>
          <w14:textFill>
            <w14:solidFill>
              <w14:schemeClr w14:val="tx1"/>
            </w14:solidFill>
          </w14:textFill>
        </w:rPr>
        <w:t>年以上</w:t>
      </w:r>
      <w:r>
        <w:rPr>
          <w:rFonts w:hint="eastAsia" w:ascii="宋体" w:hAnsi="宋体"/>
          <w:color w:val="000000" w:themeColor="text1"/>
          <w:szCs w:val="21"/>
          <w:lang w:val="en-US" w:eastAsia="zh-CN"/>
          <w14:textFill>
            <w14:solidFill>
              <w14:schemeClr w14:val="tx1"/>
            </w14:solidFill>
          </w14:textFill>
        </w:rPr>
        <w:t>（提供相应证明材料）</w:t>
      </w:r>
      <w:r>
        <w:rPr>
          <w:rFonts w:hint="default" w:ascii="宋体" w:hAnsi="宋体"/>
          <w:color w:val="000000" w:themeColor="text1"/>
          <w:szCs w:val="21"/>
          <w:lang w:val="en-US" w:eastAsia="zh-CN"/>
          <w14:textFill>
            <w14:solidFill>
              <w14:schemeClr w14:val="tx1"/>
            </w14:solidFill>
          </w14:textFill>
        </w:rPr>
        <w:t>。</w:t>
      </w:r>
    </w:p>
    <w:p w14:paraId="3FF1E522">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宋体" w:hAnsi="宋体"/>
          <w:color w:val="000000" w:themeColor="text1"/>
          <w:szCs w:val="21"/>
          <w:lang w:val="en-US" w:eastAsia="zh-CN"/>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●（3）</w:t>
      </w:r>
      <w:r>
        <w:rPr>
          <w:rFonts w:hint="eastAsia" w:ascii="宋体" w:hAnsi="宋体"/>
          <w:color w:val="000000" w:themeColor="text1"/>
          <w:szCs w:val="21"/>
          <w:lang w:val="en-US" w:eastAsia="zh-CN"/>
          <w14:textFill>
            <w14:solidFill>
              <w14:schemeClr w14:val="tx1"/>
            </w14:solidFill>
          </w14:textFill>
        </w:rPr>
        <w:t>观护队长：满足观护队员及观护班长的所有岗位要求。退役军人，大专以上学历，熟练掌握办公软件使用，能够担负部分行政工作，</w:t>
      </w:r>
      <w:r>
        <w:rPr>
          <w:rFonts w:hint="default" w:ascii="宋体" w:hAnsi="宋体"/>
          <w:color w:val="000000" w:themeColor="text1"/>
          <w:szCs w:val="21"/>
          <w:lang w:val="en-US" w:eastAsia="zh-CN"/>
          <w14:textFill>
            <w14:solidFill>
              <w14:schemeClr w14:val="tx1"/>
            </w14:solidFill>
          </w14:textFill>
        </w:rPr>
        <w:t>综合管理</w:t>
      </w:r>
      <w:r>
        <w:rPr>
          <w:rFonts w:hint="eastAsia" w:ascii="宋体" w:hAnsi="宋体"/>
          <w:color w:val="000000" w:themeColor="text1"/>
          <w:szCs w:val="21"/>
          <w:lang w:val="en-US" w:eastAsia="zh-CN"/>
          <w14:textFill>
            <w14:solidFill>
              <w14:schemeClr w14:val="tx1"/>
            </w14:solidFill>
          </w14:textFill>
        </w:rPr>
        <w:t>及沟通</w:t>
      </w:r>
      <w:r>
        <w:rPr>
          <w:rFonts w:hint="default" w:ascii="宋体" w:hAnsi="宋体"/>
          <w:color w:val="000000" w:themeColor="text1"/>
          <w:szCs w:val="21"/>
          <w:lang w:val="en-US" w:eastAsia="zh-CN"/>
          <w14:textFill>
            <w14:solidFill>
              <w14:schemeClr w14:val="tx1"/>
            </w14:solidFill>
          </w14:textFill>
        </w:rPr>
        <w:t>协调能力强、认真负责</w:t>
      </w:r>
      <w:r>
        <w:rPr>
          <w:rFonts w:hint="eastAsia" w:ascii="宋体" w:hAnsi="宋体"/>
          <w:color w:val="000000" w:themeColor="text1"/>
          <w:szCs w:val="21"/>
          <w:lang w:val="en-US" w:eastAsia="zh-CN"/>
          <w14:textFill>
            <w14:solidFill>
              <w14:schemeClr w14:val="tx1"/>
            </w14:solidFill>
          </w14:textFill>
        </w:rPr>
        <w:t>，</w:t>
      </w:r>
      <w:r>
        <w:rPr>
          <w:rFonts w:hint="default" w:ascii="宋体" w:hAnsi="宋体"/>
          <w:color w:val="000000" w:themeColor="text1"/>
          <w:szCs w:val="21"/>
          <w:lang w:val="en-US" w:eastAsia="zh-CN"/>
          <w14:textFill>
            <w14:solidFill>
              <w14:schemeClr w14:val="tx1"/>
            </w14:solidFill>
          </w14:textFill>
        </w:rPr>
        <w:t>曾担任相关管理</w:t>
      </w:r>
      <w:r>
        <w:rPr>
          <w:rFonts w:hint="eastAsia" w:ascii="宋体" w:hAnsi="宋体"/>
          <w:color w:val="000000" w:themeColor="text1"/>
          <w:szCs w:val="21"/>
          <w:lang w:val="en-US" w:eastAsia="zh-CN"/>
          <w14:textFill>
            <w14:solidFill>
              <w14:schemeClr w14:val="tx1"/>
            </w14:solidFill>
          </w14:textFill>
        </w:rPr>
        <w:t>工作3</w:t>
      </w:r>
      <w:r>
        <w:rPr>
          <w:rFonts w:hint="default" w:ascii="宋体" w:hAnsi="宋体"/>
          <w:color w:val="000000" w:themeColor="text1"/>
          <w:szCs w:val="21"/>
          <w:lang w:val="en-US" w:eastAsia="zh-CN"/>
          <w14:textFill>
            <w14:solidFill>
              <w14:schemeClr w14:val="tx1"/>
            </w14:solidFill>
          </w14:textFill>
        </w:rPr>
        <w:t>年以上</w:t>
      </w:r>
      <w:r>
        <w:rPr>
          <w:rFonts w:hint="eastAsia" w:ascii="宋体" w:hAnsi="宋体"/>
          <w:color w:val="000000" w:themeColor="text1"/>
          <w:szCs w:val="21"/>
          <w:lang w:val="en-US" w:eastAsia="zh-CN"/>
          <w14:textFill>
            <w14:solidFill>
              <w14:schemeClr w14:val="tx1"/>
            </w14:solidFill>
          </w14:textFill>
        </w:rPr>
        <w:t>（提供相应证明材料）</w:t>
      </w:r>
      <w:r>
        <w:rPr>
          <w:rFonts w:hint="default" w:ascii="宋体" w:hAnsi="宋体"/>
          <w:color w:val="000000" w:themeColor="text1"/>
          <w:szCs w:val="21"/>
          <w:lang w:val="en-US" w:eastAsia="zh-CN"/>
          <w14:textFill>
            <w14:solidFill>
              <w14:schemeClr w14:val="tx1"/>
            </w14:solidFill>
          </w14:textFill>
        </w:rPr>
        <w:t>。</w:t>
      </w:r>
    </w:p>
    <w:p w14:paraId="5670BA42">
      <w:pPr>
        <w:spacing w:line="480" w:lineRule="auto"/>
        <w:ind w:firstLine="420"/>
        <w:rPr>
          <w:rFonts w:hint="eastAsia" w:ascii="宋体" w:hAnsi="宋体"/>
          <w:color w:val="auto"/>
          <w:szCs w:val="21"/>
          <w:lang w:val="en-US" w:eastAsia="zh-CN"/>
        </w:rPr>
      </w:pPr>
      <w:r>
        <w:rPr>
          <w:rFonts w:hint="eastAsia" w:ascii="宋体" w:hAnsi="宋体"/>
          <w:color w:val="auto"/>
          <w:szCs w:val="21"/>
          <w:lang w:val="en-US" w:eastAsia="zh-CN"/>
        </w:rPr>
        <w:t>2、工作职责</w:t>
      </w:r>
    </w:p>
    <w:p w14:paraId="4DED23BD">
      <w:pPr>
        <w:spacing w:line="480" w:lineRule="auto"/>
        <w:ind w:firstLine="420"/>
        <w:rPr>
          <w:rFonts w:hint="eastAsia" w:ascii="宋体" w:hAnsi="宋体"/>
          <w:color w:val="auto"/>
          <w:szCs w:val="21"/>
          <w:lang w:val="en-US" w:eastAsia="zh-CN"/>
        </w:rPr>
      </w:pP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lang w:val="en-US" w:eastAsia="zh-CN"/>
        </w:rPr>
        <w:t>1）观护队员：严格履行岗位职责，遵守各项规章制度，具备相关业务知识和能力，听</w:t>
      </w:r>
      <w:r>
        <w:rPr>
          <w:rFonts w:hint="eastAsia" w:ascii="宋体" w:hAnsi="宋体"/>
          <w:color w:val="000000" w:themeColor="text1"/>
          <w:szCs w:val="21"/>
          <w:lang w:val="en-US" w:eastAsia="zh-CN"/>
          <w14:textFill>
            <w14:solidFill>
              <w14:schemeClr w14:val="tx1"/>
            </w14:solidFill>
          </w14:textFill>
        </w:rPr>
        <w:t>从管理人员工</w:t>
      </w:r>
      <w:r>
        <w:rPr>
          <w:rFonts w:hint="eastAsia" w:ascii="宋体" w:hAnsi="宋体"/>
          <w:color w:val="auto"/>
          <w:szCs w:val="21"/>
          <w:lang w:val="en-US" w:eastAsia="zh-CN"/>
        </w:rPr>
        <w:t>作安排，工作中尽职尽责，发现问题及时妥当处理，重大问题及时上报，掌握在校生基本情况，配合心理辅导教师做好心理疏导工作，完成领导交办的其他工作。负责军事训练工作。根据学校、学生实际拟定军事训练工作计划，有效组织实施；负责学生日常行为管理，认真落实《学生一日生活制度》，加强对课堂、寝室、校园的巡视，与班主任配合对学生进行教育。及时纠正学生不良行为和排除安全隐患；负责学生寝室管理。认真落实《学生寝室内务管理制度》，对学生寝室内务进行考核；夜间值班教官值班期间全程巡查寝室和监控，发现问题及时处理，紧急情况及时报值班领导处理；负责接收新生入校。严格安全检查，禁止学生将违禁物品带入校园；负责学生及校内外安全工作。对学生进行跟踪巡视，严防学生逃跑、打架、自伤自残及其他伤害事故发生。切实维护校园安全稳定；协助教导处做好学生思想教育工作。在教导处统一安排下，做好学生帮教、转化工作，常与学生谈话、交流，了解学生家庭状况、社会关系、思想动态和转化情况，对症下药做好学生思想教育工作；抓好校园卫生工作。协同校方拟定校园卫生任务安排表，明确卫生区域。指定学生责任区和提出卫生要求。带领、监督学生全面清扫，做到区域内无灰尘、无杂物、无污垢。教育学生养成良好的卫生习惯，发现杂物及时拣放垃圾池内；完成领导交办的其他工作。</w:t>
      </w:r>
    </w:p>
    <w:p w14:paraId="5103A6C6">
      <w:pPr>
        <w:spacing w:line="480" w:lineRule="auto"/>
        <w:ind w:firstLine="420"/>
        <w:rPr>
          <w:rFonts w:hint="eastAsia" w:ascii="宋体" w:hAnsi="宋体"/>
          <w:color w:val="auto"/>
          <w:szCs w:val="21"/>
          <w:lang w:val="en-US" w:eastAsia="zh-CN"/>
        </w:rPr>
      </w:pP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lang w:val="en-US" w:eastAsia="zh-CN"/>
        </w:rPr>
        <w:t>2）观护班长：带头严格履行观护队员工作职责；以身作则，贯彻落实观护任务要求与观护队长的工作安排，组织实施管理方案；负责安排具体工作，参与观护执勤，增援重点岗位；督促检查在岗人员履行岗位职责情况，纠正人员违规违纪行为；工作不流于形式，形成良好的队风。处理各岗位的突发事件，重大情况及时报告；妥善保管好设备器材，严格交接班制度；组织做好重大活动的安全与秩序保障工作；及时将执勤情况汇总上报；完成领导交办的其他工作。</w:t>
      </w:r>
    </w:p>
    <w:p w14:paraId="7B24E3F4">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宋体" w:hAnsi="宋体"/>
          <w:color w:val="auto"/>
          <w:szCs w:val="21"/>
          <w:lang w:val="en-US" w:eastAsia="zh-CN"/>
        </w:rPr>
      </w:pP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lang w:val="en-US" w:eastAsia="zh-CN"/>
        </w:rPr>
        <w:t>3）观护队长：带头严格履行观护队员工作职责；全面负责观护队伍的日常管理事务，严格观护队伍纪律管理，奖优罚劣，报请服务公司处理违纪队员并将处罚情况通报给采购人；承担观护队员违规违纪的连带责任；参与观护执勤，增援重点岗位；实行人性化管理，关心队员疾苦，掌握队员的思想动态，充分调动队员积极性，努力保证队伍稳定；传达落实服务要求与管理规定，组织实施并不断完善管理方案；适时作出岗位调整，完善各岗位职责；有针对性地开展安全教育和提示；定期汇报工作开展情况及信息，重大情况及时报告；建立上报录用观护人员档案资料及采购人所属设备资产的领用维修台账；协助处理服务费结算工作；完成领导交办的其他工作。</w:t>
      </w:r>
    </w:p>
    <w:p w14:paraId="4A78A0F6">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cs="Times New Roman"/>
          <w:b/>
          <w:bCs/>
          <w:color w:val="auto"/>
          <w:kern w:val="2"/>
          <w:sz w:val="21"/>
          <w:szCs w:val="21"/>
          <w:highlight w:val="none"/>
          <w:lang w:val="en-US" w:eastAsia="zh-CN" w:bidi="ar-SA"/>
        </w:rPr>
        <w:t>(三）</w:t>
      </w:r>
      <w:r>
        <w:rPr>
          <w:rFonts w:hint="default" w:ascii="宋体" w:hAnsi="宋体" w:eastAsia="宋体" w:cs="Times New Roman"/>
          <w:b/>
          <w:bCs/>
          <w:color w:val="auto"/>
          <w:kern w:val="2"/>
          <w:sz w:val="21"/>
          <w:szCs w:val="21"/>
          <w:highlight w:val="none"/>
          <w:lang w:val="en-US" w:eastAsia="zh-CN" w:bidi="ar-SA"/>
        </w:rPr>
        <w:t>服务内容及要求</w:t>
      </w:r>
      <w:r>
        <w:rPr>
          <w:rFonts w:hint="eastAsia" w:ascii="宋体" w:hAnsi="宋体" w:eastAsia="宋体" w:cs="Times New Roman"/>
          <w:b/>
          <w:bCs/>
          <w:color w:val="auto"/>
          <w:kern w:val="2"/>
          <w:sz w:val="21"/>
          <w:szCs w:val="21"/>
          <w:highlight w:val="none"/>
          <w:lang w:val="en-US" w:eastAsia="zh-CN" w:bidi="ar-SA"/>
        </w:rPr>
        <w:t xml:space="preserve">  </w:t>
      </w:r>
    </w:p>
    <w:p w14:paraId="26DF93C0">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color w:val="auto"/>
          <w:kern w:val="2"/>
          <w:sz w:val="21"/>
          <w:szCs w:val="21"/>
          <w:lang w:val="en-US" w:eastAsia="zh-CN" w:bidi="ar-SA"/>
        </w:rPr>
      </w:pPr>
      <w:r>
        <w:rPr>
          <w:rFonts w:hint="eastAsia" w:ascii="宋体" w:hAnsi="宋体" w:cs="Times New Roman"/>
          <w:color w:val="auto"/>
          <w:kern w:val="2"/>
          <w:sz w:val="21"/>
          <w:szCs w:val="21"/>
          <w:lang w:val="en-US" w:eastAsia="zh-CN" w:bidi="ar-SA"/>
        </w:rPr>
        <w:t>观护服务要求:</w:t>
      </w:r>
    </w:p>
    <w:p w14:paraId="41270EA8">
      <w:pPr>
        <w:pStyle w:val="57"/>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420" w:firstLineChars="200"/>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1、</w:t>
      </w:r>
      <w:r>
        <w:rPr>
          <w:rFonts w:hint="eastAsia" w:ascii="宋体" w:hAnsi="宋体" w:eastAsia="宋体" w:cs="Times New Roman"/>
          <w:color w:val="auto"/>
          <w:kern w:val="2"/>
          <w:sz w:val="21"/>
          <w:szCs w:val="21"/>
          <w:lang w:val="en-US" w:eastAsia="zh-CN" w:bidi="ar-SA"/>
        </w:rPr>
        <w:t>制订观护服务方案：</w:t>
      </w:r>
      <w:r>
        <w:rPr>
          <w:rFonts w:hint="default" w:ascii="宋体" w:hAnsi="宋体" w:eastAsia="宋体" w:cs="Times New Roman"/>
          <w:color w:val="auto"/>
          <w:kern w:val="2"/>
          <w:sz w:val="21"/>
          <w:szCs w:val="21"/>
          <w:lang w:val="en-US" w:eastAsia="zh-CN" w:bidi="ar-SA"/>
        </w:rPr>
        <w:t>针对</w:t>
      </w:r>
      <w:r>
        <w:rPr>
          <w:rFonts w:hint="eastAsia" w:ascii="宋体" w:hAnsi="宋体" w:eastAsia="宋体" w:cs="Times New Roman"/>
          <w:color w:val="auto"/>
          <w:kern w:val="2"/>
          <w:sz w:val="21"/>
          <w:szCs w:val="21"/>
          <w:lang w:val="en-US" w:eastAsia="zh-CN" w:bidi="ar-SA"/>
        </w:rPr>
        <w:t>专门学校</w:t>
      </w:r>
      <w:r>
        <w:rPr>
          <w:rFonts w:hint="default" w:ascii="宋体" w:hAnsi="宋体" w:eastAsia="宋体" w:cs="Times New Roman"/>
          <w:color w:val="auto"/>
          <w:kern w:val="2"/>
          <w:sz w:val="21"/>
          <w:szCs w:val="21"/>
          <w:lang w:val="en-US" w:eastAsia="zh-CN" w:bidi="ar-SA"/>
        </w:rPr>
        <w:t>的</w:t>
      </w:r>
      <w:r>
        <w:rPr>
          <w:rFonts w:hint="eastAsia" w:ascii="宋体" w:hAnsi="宋体" w:eastAsia="宋体" w:cs="Times New Roman"/>
          <w:color w:val="auto"/>
          <w:kern w:val="2"/>
          <w:sz w:val="21"/>
          <w:szCs w:val="21"/>
          <w:lang w:val="en-US" w:eastAsia="zh-CN" w:bidi="ar-SA"/>
        </w:rPr>
        <w:t>工作范围、工作内容和性质制订具体详细的观护服务</w:t>
      </w:r>
      <w:r>
        <w:rPr>
          <w:rFonts w:hint="default" w:ascii="宋体" w:hAnsi="宋体" w:eastAsia="宋体" w:cs="Times New Roman"/>
          <w:color w:val="auto"/>
          <w:kern w:val="2"/>
          <w:sz w:val="21"/>
          <w:szCs w:val="21"/>
          <w:lang w:val="en-US" w:eastAsia="zh-CN" w:bidi="ar-SA"/>
        </w:rPr>
        <w:t>方案</w:t>
      </w:r>
      <w:r>
        <w:rPr>
          <w:rFonts w:hint="eastAsia" w:ascii="宋体" w:hAnsi="宋体" w:eastAsia="宋体" w:cs="Times New Roman"/>
          <w:color w:val="auto"/>
          <w:kern w:val="2"/>
          <w:sz w:val="21"/>
          <w:szCs w:val="21"/>
          <w:lang w:val="en-US" w:eastAsia="zh-CN" w:bidi="ar-SA"/>
        </w:rPr>
        <w:t>。</w:t>
      </w:r>
    </w:p>
    <w:p w14:paraId="1F9C1218">
      <w:pPr>
        <w:pStyle w:val="57"/>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420" w:firstLineChars="200"/>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2、</w:t>
      </w:r>
      <w:r>
        <w:rPr>
          <w:rFonts w:hint="eastAsia" w:ascii="宋体" w:hAnsi="宋体" w:eastAsia="宋体" w:cs="Times New Roman"/>
          <w:color w:val="auto"/>
          <w:kern w:val="2"/>
          <w:sz w:val="21"/>
          <w:szCs w:val="21"/>
          <w:lang w:val="en-US" w:eastAsia="zh-CN" w:bidi="ar-SA"/>
        </w:rPr>
        <w:t>对在校未成年人提供观护服务：对专门学校在校未成年人提供24小时观护服务，避免发生在校未成年人打架斗殴、自伤自残等事件，严禁殴打辱骂在校生、严禁与在校生及其家长发生经济往来，严禁发生在校未成年人脱逃、自杀等极端事件。</w:t>
      </w:r>
    </w:p>
    <w:p w14:paraId="6E59CBCE">
      <w:pPr>
        <w:pStyle w:val="57"/>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420" w:firstLineChars="200"/>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3、</w:t>
      </w:r>
      <w:r>
        <w:rPr>
          <w:rFonts w:hint="eastAsia" w:ascii="宋体" w:hAnsi="宋体" w:eastAsia="宋体" w:cs="Times New Roman"/>
          <w:color w:val="auto"/>
          <w:kern w:val="2"/>
          <w:sz w:val="21"/>
          <w:szCs w:val="21"/>
          <w:lang w:val="en-US" w:eastAsia="zh-CN" w:bidi="ar-SA"/>
        </w:rPr>
        <w:t>按规定和要求做好观护工作，加强对被观护人员的了解与沟通，尤其做好重点人员的观护。</w:t>
      </w:r>
      <w:r>
        <w:rPr>
          <w:rFonts w:hint="default" w:ascii="宋体" w:hAnsi="宋体" w:eastAsia="宋体" w:cs="Times New Roman"/>
          <w:color w:val="auto"/>
          <w:kern w:val="2"/>
          <w:sz w:val="21"/>
          <w:szCs w:val="21"/>
          <w:lang w:val="en-US" w:eastAsia="zh-CN" w:bidi="ar-SA"/>
        </w:rPr>
        <w:t>优化资源配置</w:t>
      </w:r>
      <w:r>
        <w:rPr>
          <w:rFonts w:hint="eastAsia" w:ascii="宋体" w:hAnsi="宋体" w:eastAsia="宋体" w:cs="Times New Roman"/>
          <w:color w:val="auto"/>
          <w:kern w:val="2"/>
          <w:sz w:val="21"/>
          <w:szCs w:val="21"/>
          <w:lang w:val="en-US" w:eastAsia="zh-CN" w:bidi="ar-SA"/>
        </w:rPr>
        <w:t>，维护管理区内安全和正常秩序</w:t>
      </w:r>
      <w:r>
        <w:rPr>
          <w:rFonts w:hint="default" w:ascii="宋体" w:hAnsi="宋体" w:eastAsia="宋体" w:cs="Times New Roman"/>
          <w:color w:val="auto"/>
          <w:kern w:val="2"/>
          <w:sz w:val="21"/>
          <w:szCs w:val="21"/>
          <w:lang w:val="en-US" w:eastAsia="zh-CN" w:bidi="ar-SA"/>
        </w:rPr>
        <w:t>。</w:t>
      </w:r>
    </w:p>
    <w:p w14:paraId="1A3604A0">
      <w:pPr>
        <w:pStyle w:val="57"/>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200"/>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●4、备勤值班：根据观护服务方案，安排部分观护队员组成应急备勤力量，确保能够及时处置各类突发事件。</w:t>
      </w:r>
    </w:p>
    <w:p w14:paraId="5C381442">
      <w:pPr>
        <w:pStyle w:val="57"/>
        <w:keepNext w:val="0"/>
        <w:keepLines w:val="0"/>
        <w:pageBreakBefore w:val="0"/>
        <w:widowControl w:val="0"/>
        <w:numPr>
          <w:ilvl w:val="0"/>
          <w:numId w:val="0"/>
        </w:numPr>
        <w:tabs>
          <w:tab w:val="left" w:pos="493"/>
        </w:tabs>
        <w:kinsoku/>
        <w:wordWrap/>
        <w:overflowPunct/>
        <w:topLinePunct w:val="0"/>
        <w:autoSpaceDE/>
        <w:autoSpaceDN/>
        <w:bidi w:val="0"/>
        <w:adjustRightInd/>
        <w:snapToGrid/>
        <w:spacing w:line="480" w:lineRule="auto"/>
        <w:ind w:leftChars="200"/>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●5、开展军事训练工作：根据学校、学生实际拟定军事训练工作计划，有效组织实施。</w:t>
      </w:r>
    </w:p>
    <w:p w14:paraId="41943315">
      <w:pPr>
        <w:pStyle w:val="58"/>
        <w:rPr>
          <w:rFonts w:hint="default"/>
          <w:lang w:val="en-US" w:eastAsia="zh-CN"/>
        </w:rPr>
      </w:pPr>
      <w:r>
        <w:rPr>
          <w:rFonts w:hint="eastAsia" w:ascii="宋体" w:hAnsi="宋体" w:cs="Times New Roman"/>
          <w:color w:val="auto"/>
          <w:kern w:val="2"/>
          <w:sz w:val="21"/>
          <w:szCs w:val="21"/>
          <w:lang w:val="en-US" w:eastAsia="zh-CN" w:bidi="ar-SA"/>
        </w:rPr>
        <w:t xml:space="preserve">    6、供应商</w:t>
      </w:r>
      <w:r>
        <w:rPr>
          <w:rFonts w:hint="eastAsia" w:ascii="宋体" w:hAnsi="宋体" w:eastAsia="宋体" w:cs="Times New Roman"/>
          <w:color w:val="auto"/>
          <w:szCs w:val="21"/>
          <w:highlight w:val="none"/>
        </w:rPr>
        <w:t>需为</w:t>
      </w:r>
      <w:r>
        <w:rPr>
          <w:rFonts w:hint="eastAsia" w:ascii="宋体" w:hAnsi="宋体" w:cs="Times New Roman"/>
          <w:color w:val="auto"/>
          <w:szCs w:val="21"/>
          <w:highlight w:val="none"/>
          <w:lang w:eastAsia="zh-CN"/>
        </w:rPr>
        <w:t>观护</w:t>
      </w:r>
      <w:r>
        <w:rPr>
          <w:rFonts w:hint="eastAsia" w:ascii="宋体" w:hAnsi="宋体" w:eastAsia="宋体" w:cs="Times New Roman"/>
          <w:color w:val="auto"/>
          <w:szCs w:val="21"/>
          <w:highlight w:val="none"/>
        </w:rPr>
        <w:t>人员缴纳社会保险</w:t>
      </w:r>
      <w:r>
        <w:rPr>
          <w:rFonts w:hint="eastAsia" w:ascii="宋体" w:hAnsi="宋体" w:cs="Times New Roman"/>
          <w:color w:val="auto"/>
          <w:szCs w:val="21"/>
          <w:highlight w:val="none"/>
          <w:lang w:eastAsia="zh-CN"/>
        </w:rPr>
        <w:t>及</w:t>
      </w:r>
      <w:r>
        <w:rPr>
          <w:rFonts w:hint="default" w:ascii="宋体" w:hAnsi="宋体" w:cs="Times New Roman"/>
          <w:color w:val="auto"/>
          <w:szCs w:val="21"/>
          <w:lang w:val="en-US" w:eastAsia="zh-CN"/>
        </w:rPr>
        <w:t>雇主责任险</w:t>
      </w:r>
      <w:r>
        <w:rPr>
          <w:rFonts w:hint="eastAsia" w:ascii="宋体" w:hAnsi="宋体" w:cs="Times New Roman"/>
          <w:color w:val="auto"/>
          <w:szCs w:val="21"/>
          <w:lang w:val="en-US" w:eastAsia="zh-CN"/>
        </w:rPr>
        <w:t>（</w:t>
      </w:r>
      <w:r>
        <w:rPr>
          <w:rFonts w:hint="default" w:ascii="宋体" w:hAnsi="宋体" w:cs="Times New Roman"/>
          <w:color w:val="auto"/>
          <w:szCs w:val="21"/>
          <w:lang w:val="en-US" w:eastAsia="zh-CN"/>
        </w:rPr>
        <w:t>每人保额不低于80万元</w:t>
      </w:r>
      <w:r>
        <w:rPr>
          <w:rFonts w:hint="eastAsia" w:ascii="宋体" w:hAnsi="宋体" w:cs="Times New Roman"/>
          <w:color w:val="auto"/>
          <w:szCs w:val="21"/>
          <w:lang w:val="en-US" w:eastAsia="zh-CN"/>
        </w:rPr>
        <w:t>）。</w:t>
      </w:r>
    </w:p>
    <w:p w14:paraId="191386C3">
      <w:pPr>
        <w:pStyle w:val="57"/>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200"/>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7、</w:t>
      </w:r>
      <w:r>
        <w:rPr>
          <w:rFonts w:hint="default" w:ascii="宋体" w:hAnsi="宋体" w:eastAsia="宋体" w:cs="Times New Roman"/>
          <w:color w:val="auto"/>
          <w:kern w:val="2"/>
          <w:sz w:val="21"/>
          <w:szCs w:val="21"/>
          <w:lang w:val="en-US" w:eastAsia="zh-CN" w:bidi="ar-SA"/>
        </w:rPr>
        <w:t>安防监控系统</w:t>
      </w:r>
      <w:r>
        <w:rPr>
          <w:rFonts w:hint="eastAsia" w:ascii="宋体" w:hAnsi="宋体" w:eastAsia="宋体" w:cs="Times New Roman"/>
          <w:color w:val="auto"/>
          <w:kern w:val="2"/>
          <w:sz w:val="21"/>
          <w:szCs w:val="21"/>
          <w:lang w:val="en-US" w:eastAsia="zh-CN" w:bidi="ar-SA"/>
        </w:rPr>
        <w:t>值守</w:t>
      </w:r>
      <w:r>
        <w:rPr>
          <w:rFonts w:hint="default" w:ascii="宋体" w:hAnsi="宋体" w:eastAsia="宋体" w:cs="Times New Roman"/>
          <w:color w:val="auto"/>
          <w:kern w:val="2"/>
          <w:sz w:val="21"/>
          <w:szCs w:val="21"/>
          <w:lang w:val="en-US" w:eastAsia="zh-CN" w:bidi="ar-SA"/>
        </w:rPr>
        <w:t>：</w:t>
      </w:r>
    </w:p>
    <w:p w14:paraId="70E83915">
      <w:pPr>
        <w:keepNext w:val="0"/>
        <w:keepLines w:val="0"/>
        <w:pageBreakBefore w:val="0"/>
        <w:numPr>
          <w:ilvl w:val="0"/>
          <w:numId w:val="0"/>
        </w:numPr>
        <w:kinsoku/>
        <w:wordWrap/>
        <w:overflowPunct/>
        <w:topLinePunct w:val="0"/>
        <w:autoSpaceDE/>
        <w:autoSpaceDN/>
        <w:bidi w:val="0"/>
        <w:adjustRightInd/>
        <w:snapToGrid/>
        <w:spacing w:line="480" w:lineRule="auto"/>
        <w:ind w:firstLine="630" w:firstLineChars="30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 xml:space="preserve">（1）监控室环境符合系统设备运行要求，定期进行检查和检测，确保系统功能正常。 </w:t>
      </w:r>
    </w:p>
    <w:p w14:paraId="18E2982E">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●（2）</w:t>
      </w:r>
      <w:r>
        <w:rPr>
          <w:rFonts w:hint="eastAsia" w:ascii="宋体" w:hAnsi="宋体" w:cs="Times New Roman"/>
          <w:color w:val="auto"/>
          <w:kern w:val="2"/>
          <w:sz w:val="21"/>
          <w:szCs w:val="21"/>
          <w:lang w:val="en-US" w:eastAsia="zh-CN" w:bidi="ar-SA"/>
        </w:rPr>
        <w:t>确保</w:t>
      </w:r>
      <w:r>
        <w:rPr>
          <w:rFonts w:hint="eastAsia" w:ascii="宋体" w:hAnsi="宋体" w:eastAsia="宋体" w:cs="Times New Roman"/>
          <w:color w:val="auto"/>
          <w:kern w:val="2"/>
          <w:sz w:val="21"/>
          <w:szCs w:val="21"/>
          <w:lang w:val="en-US" w:eastAsia="zh-CN" w:bidi="ar-SA"/>
        </w:rPr>
        <w:t xml:space="preserve">监控设备 </w:t>
      </w:r>
      <w:r>
        <w:rPr>
          <w:rFonts w:hint="default" w:ascii="宋体" w:hAnsi="宋体" w:eastAsia="宋体" w:cs="Times New Roman"/>
          <w:color w:val="auto"/>
          <w:kern w:val="2"/>
          <w:sz w:val="21"/>
          <w:szCs w:val="21"/>
          <w:lang w:val="en-US" w:eastAsia="zh-CN" w:bidi="ar-SA"/>
        </w:rPr>
        <w:t xml:space="preserve">24 </w:t>
      </w:r>
      <w:r>
        <w:rPr>
          <w:rFonts w:hint="eastAsia" w:ascii="宋体" w:hAnsi="宋体" w:eastAsia="宋体" w:cs="Times New Roman"/>
          <w:color w:val="auto"/>
          <w:kern w:val="2"/>
          <w:sz w:val="21"/>
          <w:szCs w:val="21"/>
          <w:lang w:val="en-US" w:eastAsia="zh-CN" w:bidi="ar-SA"/>
        </w:rPr>
        <w:t>小时正常运行，监控室实行专人</w:t>
      </w:r>
      <w:r>
        <w:rPr>
          <w:rFonts w:hint="default" w:ascii="宋体" w:hAnsi="宋体" w:eastAsia="宋体" w:cs="Times New Roman"/>
          <w:color w:val="auto"/>
          <w:kern w:val="2"/>
          <w:sz w:val="21"/>
          <w:szCs w:val="21"/>
          <w:lang w:val="en-US" w:eastAsia="zh-CN" w:bidi="ar-SA"/>
        </w:rPr>
        <w:t>24</w:t>
      </w:r>
      <w:r>
        <w:rPr>
          <w:rFonts w:hint="eastAsia" w:ascii="宋体" w:hAnsi="宋体" w:eastAsia="宋体" w:cs="Times New Roman"/>
          <w:color w:val="auto"/>
          <w:kern w:val="2"/>
          <w:sz w:val="21"/>
          <w:szCs w:val="21"/>
          <w:lang w:val="en-US" w:eastAsia="zh-CN" w:bidi="ar-SA"/>
        </w:rPr>
        <w:t xml:space="preserve">小时值班制度。 </w:t>
      </w:r>
    </w:p>
    <w:p w14:paraId="702F1D41">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3</w:t>
      </w:r>
      <w:r>
        <w:rPr>
          <w:rFonts w:hint="eastAsia" w:ascii="宋体" w:hAnsi="宋体" w:eastAsia="宋体" w:cs="Times New Roman"/>
          <w:color w:val="auto"/>
          <w:kern w:val="2"/>
          <w:sz w:val="21"/>
          <w:szCs w:val="21"/>
          <w:lang w:val="en-US" w:eastAsia="zh-CN" w:bidi="ar-SA"/>
        </w:rPr>
        <w:t xml:space="preserve">）监控记录画面清晰，视频监控无死角、无盲区。 </w:t>
      </w:r>
    </w:p>
    <w:p w14:paraId="7E9F9F91">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4</w:t>
      </w:r>
      <w:r>
        <w:rPr>
          <w:rFonts w:hint="eastAsia" w:ascii="宋体" w:hAnsi="宋体" w:eastAsia="宋体" w:cs="Times New Roman"/>
          <w:color w:val="auto"/>
          <w:kern w:val="2"/>
          <w:sz w:val="21"/>
          <w:szCs w:val="21"/>
          <w:lang w:val="en-US" w:eastAsia="zh-CN" w:bidi="ar-SA"/>
        </w:rPr>
        <w:t xml:space="preserve">）值班期间遵守操作规程和保密制度，做好监控记录的保存工作。 </w:t>
      </w:r>
    </w:p>
    <w:p w14:paraId="157A5A4F">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5</w:t>
      </w:r>
      <w:r>
        <w:rPr>
          <w:rFonts w:hint="eastAsia" w:ascii="宋体" w:hAnsi="宋体" w:eastAsia="宋体" w:cs="Times New Roman"/>
          <w:color w:val="auto"/>
          <w:kern w:val="2"/>
          <w:sz w:val="21"/>
          <w:szCs w:val="21"/>
          <w:lang w:val="en-US" w:eastAsia="zh-CN" w:bidi="ar-SA"/>
        </w:rPr>
        <w:t xml:space="preserve">）监控记录保持完整，保存时间不应少于 </w:t>
      </w:r>
      <w:r>
        <w:rPr>
          <w:rFonts w:hint="default" w:ascii="宋体" w:hAnsi="宋体" w:eastAsia="宋体" w:cs="Times New Roman"/>
          <w:color w:val="auto"/>
          <w:kern w:val="2"/>
          <w:sz w:val="21"/>
          <w:szCs w:val="21"/>
          <w:lang w:val="en-US" w:eastAsia="zh-CN" w:bidi="ar-SA"/>
        </w:rPr>
        <w:t xml:space="preserve">90 </w:t>
      </w:r>
      <w:r>
        <w:rPr>
          <w:rFonts w:hint="eastAsia" w:ascii="宋体" w:hAnsi="宋体" w:eastAsia="宋体" w:cs="Times New Roman"/>
          <w:color w:val="auto"/>
          <w:kern w:val="2"/>
          <w:sz w:val="21"/>
          <w:szCs w:val="21"/>
          <w:lang w:val="en-US" w:eastAsia="zh-CN" w:bidi="ar-SA"/>
        </w:rPr>
        <w:t xml:space="preserve">天。 </w:t>
      </w:r>
    </w:p>
    <w:p w14:paraId="163ABCE0">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6</w:t>
      </w:r>
      <w:r>
        <w:rPr>
          <w:rFonts w:hint="eastAsia" w:ascii="宋体" w:hAnsi="宋体" w:eastAsia="宋体" w:cs="Times New Roman"/>
          <w:color w:val="auto"/>
          <w:kern w:val="2"/>
          <w:sz w:val="21"/>
          <w:szCs w:val="21"/>
          <w:lang w:val="en-US" w:eastAsia="zh-CN" w:bidi="ar-SA"/>
        </w:rPr>
        <w:t xml:space="preserve">）无关人员进入监控室或查阅监控记录，经授权人批准并做好相关记录。 </w:t>
      </w:r>
    </w:p>
    <w:p w14:paraId="15AEC37B">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7</w:t>
      </w:r>
      <w:r>
        <w:rPr>
          <w:rFonts w:hint="eastAsia" w:ascii="宋体" w:hAnsi="宋体" w:eastAsia="宋体" w:cs="Times New Roman"/>
          <w:color w:val="auto"/>
          <w:kern w:val="2"/>
          <w:sz w:val="21"/>
          <w:szCs w:val="21"/>
          <w:lang w:val="en-US" w:eastAsia="zh-CN" w:bidi="ar-SA"/>
        </w:rPr>
        <w:t>）监控室收到火情等报警信号、其他异常情况信号后，及时报警并安排其他</w:t>
      </w:r>
      <w:r>
        <w:rPr>
          <w:rFonts w:hint="eastAsia" w:ascii="宋体" w:hAnsi="宋体" w:cs="Times New Roman"/>
          <w:color w:val="auto"/>
          <w:kern w:val="2"/>
          <w:sz w:val="21"/>
          <w:szCs w:val="21"/>
          <w:lang w:val="en-US" w:eastAsia="zh-CN" w:bidi="ar-SA"/>
        </w:rPr>
        <w:t>观护</w:t>
      </w:r>
      <w:r>
        <w:rPr>
          <w:rFonts w:hint="eastAsia" w:ascii="宋体" w:hAnsi="宋体" w:eastAsia="宋体" w:cs="Times New Roman"/>
          <w:color w:val="auto"/>
          <w:kern w:val="2"/>
          <w:sz w:val="21"/>
          <w:szCs w:val="21"/>
          <w:lang w:val="en-US" w:eastAsia="zh-CN" w:bidi="ar-SA"/>
        </w:rPr>
        <w:t>人员前往现场进行处理。</w:t>
      </w:r>
    </w:p>
    <w:p w14:paraId="0900FFEB">
      <w:pPr>
        <w:keepNext w:val="0"/>
        <w:keepLines w:val="0"/>
        <w:pageBreakBefore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（8）对易发、多发问题区域加强监控。</w:t>
      </w:r>
    </w:p>
    <w:p w14:paraId="036FE7A8">
      <w:pPr>
        <w:keepNext w:val="0"/>
        <w:keepLines w:val="0"/>
        <w:pageBreakBefore w:val="0"/>
        <w:widowControl/>
        <w:numPr>
          <w:ilvl w:val="-1"/>
          <w:numId w:val="0"/>
        </w:numPr>
        <w:suppressLineNumbers w:val="0"/>
        <w:kinsoku/>
        <w:wordWrap/>
        <w:overflowPunct/>
        <w:topLinePunct w:val="0"/>
        <w:autoSpaceDE/>
        <w:autoSpaceDN/>
        <w:bidi w:val="0"/>
        <w:adjustRightInd/>
        <w:snapToGrid/>
        <w:spacing w:line="480" w:lineRule="auto"/>
        <w:ind w:firstLine="640" w:firstLineChars="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（9）</w:t>
      </w:r>
      <w:r>
        <w:rPr>
          <w:rFonts w:hint="default" w:ascii="宋体" w:hAnsi="宋体" w:eastAsia="宋体" w:cs="Times New Roman"/>
          <w:color w:val="auto"/>
          <w:kern w:val="2"/>
          <w:sz w:val="21"/>
          <w:szCs w:val="21"/>
          <w:lang w:val="en-US" w:eastAsia="zh-CN" w:bidi="ar-SA"/>
        </w:rPr>
        <w:t>安防设备</w:t>
      </w:r>
      <w:r>
        <w:rPr>
          <w:rFonts w:hint="eastAsia" w:ascii="宋体" w:hAnsi="宋体" w:eastAsia="宋体" w:cs="Times New Roman"/>
          <w:color w:val="auto"/>
          <w:kern w:val="2"/>
          <w:sz w:val="21"/>
          <w:szCs w:val="21"/>
          <w:lang w:val="en-US" w:eastAsia="zh-CN" w:bidi="ar-SA"/>
        </w:rPr>
        <w:t>出现故障</w:t>
      </w:r>
      <w:r>
        <w:rPr>
          <w:rFonts w:hint="default" w:ascii="宋体" w:hAnsi="宋体" w:eastAsia="宋体" w:cs="Times New Roman"/>
          <w:color w:val="auto"/>
          <w:kern w:val="2"/>
          <w:sz w:val="21"/>
          <w:szCs w:val="21"/>
          <w:lang w:val="en-US" w:eastAsia="zh-CN" w:bidi="ar-SA"/>
        </w:rPr>
        <w:t>应</w:t>
      </w:r>
      <w:r>
        <w:rPr>
          <w:rFonts w:hint="eastAsia" w:ascii="宋体" w:hAnsi="宋体" w:eastAsia="宋体" w:cs="Times New Roman"/>
          <w:color w:val="auto"/>
          <w:kern w:val="2"/>
          <w:sz w:val="21"/>
          <w:szCs w:val="21"/>
          <w:lang w:val="en-US" w:eastAsia="zh-CN" w:bidi="ar-SA"/>
        </w:rPr>
        <w:t>立即</w:t>
      </w:r>
      <w:r>
        <w:rPr>
          <w:rFonts w:hint="default" w:ascii="宋体" w:hAnsi="宋体" w:eastAsia="宋体" w:cs="Times New Roman"/>
          <w:color w:val="auto"/>
          <w:kern w:val="2"/>
          <w:sz w:val="21"/>
          <w:szCs w:val="21"/>
          <w:lang w:val="en-US" w:eastAsia="zh-CN" w:bidi="ar-SA"/>
        </w:rPr>
        <w:t>报</w:t>
      </w:r>
      <w:r>
        <w:rPr>
          <w:rFonts w:hint="eastAsia" w:ascii="宋体" w:hAnsi="宋体" w:eastAsia="宋体" w:cs="Times New Roman"/>
          <w:color w:val="auto"/>
          <w:kern w:val="2"/>
          <w:sz w:val="21"/>
          <w:szCs w:val="21"/>
          <w:lang w:val="en-US" w:eastAsia="zh-CN" w:bidi="ar-SA"/>
        </w:rPr>
        <w:t>值班领导</w:t>
      </w:r>
      <w:r>
        <w:rPr>
          <w:rFonts w:hint="default" w:ascii="宋体" w:hAnsi="宋体" w:eastAsia="宋体" w:cs="Times New Roman"/>
          <w:color w:val="auto"/>
          <w:kern w:val="2"/>
          <w:sz w:val="21"/>
          <w:szCs w:val="21"/>
          <w:lang w:val="en-US" w:eastAsia="zh-CN" w:bidi="ar-SA"/>
        </w:rPr>
        <w:t>。</w:t>
      </w:r>
    </w:p>
    <w:p w14:paraId="183D14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s="Times New Roman"/>
          <w:color w:val="auto"/>
          <w:kern w:val="2"/>
          <w:sz w:val="21"/>
          <w:szCs w:val="21"/>
          <w:lang w:val="en-US" w:eastAsia="zh-CN" w:bidi="ar-SA"/>
        </w:rPr>
        <w:t>8</w:t>
      </w:r>
      <w:r>
        <w:rPr>
          <w:rFonts w:hint="eastAsia" w:ascii="宋体" w:hAnsi="宋体" w:eastAsia="宋体" w:cs="Times New Roman"/>
          <w:color w:val="auto"/>
          <w:kern w:val="2"/>
          <w:sz w:val="21"/>
          <w:szCs w:val="21"/>
          <w:lang w:val="en-US" w:eastAsia="zh-CN" w:bidi="ar-SA"/>
        </w:rPr>
        <w:t>、值班巡查</w:t>
      </w:r>
      <w:r>
        <w:rPr>
          <w:rFonts w:hint="eastAsia" w:ascii="宋体" w:hAnsi="宋体" w:cs="Times New Roman"/>
          <w:color w:val="auto"/>
          <w:kern w:val="2"/>
          <w:sz w:val="21"/>
          <w:szCs w:val="21"/>
          <w:lang w:val="en-US" w:eastAsia="zh-CN" w:bidi="ar-SA"/>
        </w:rPr>
        <w:t>：</w:t>
      </w:r>
    </w:p>
    <w:p w14:paraId="3DE97B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80" w:lineRule="auto"/>
        <w:ind w:leftChars="0" w:firstLine="630" w:firstLineChars="300"/>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●（1）建立</w:t>
      </w:r>
      <w:r>
        <w:rPr>
          <w:rFonts w:hint="eastAsia" w:ascii="宋体" w:hAnsi="宋体" w:cs="Times New Roman"/>
          <w:color w:val="auto"/>
          <w:kern w:val="2"/>
          <w:sz w:val="21"/>
          <w:szCs w:val="21"/>
          <w:lang w:val="en-US" w:eastAsia="zh-CN" w:bidi="ar-SA"/>
        </w:rPr>
        <w:t>并执行</w:t>
      </w:r>
      <w:r>
        <w:rPr>
          <w:rFonts w:hint="default" w:ascii="宋体" w:hAnsi="宋体" w:eastAsia="宋体" w:cs="Times New Roman"/>
          <w:color w:val="auto"/>
          <w:kern w:val="2"/>
          <w:sz w:val="21"/>
          <w:szCs w:val="21"/>
          <w:lang w:val="en-US" w:eastAsia="zh-CN" w:bidi="ar-SA"/>
        </w:rPr>
        <w:t>24</w:t>
      </w:r>
      <w:r>
        <w:rPr>
          <w:rFonts w:hint="eastAsia" w:ascii="宋体" w:hAnsi="宋体" w:eastAsia="宋体" w:cs="Times New Roman"/>
          <w:color w:val="auto"/>
          <w:kern w:val="2"/>
          <w:sz w:val="21"/>
          <w:szCs w:val="21"/>
          <w:lang w:val="en-US" w:eastAsia="zh-CN" w:bidi="ar-SA"/>
        </w:rPr>
        <w:t xml:space="preserve">小时值班巡查制度。 </w:t>
      </w:r>
    </w:p>
    <w:p w14:paraId="5542B1F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80" w:lineRule="auto"/>
        <w:ind w:firstLine="630" w:firstLineChars="300"/>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2</w:t>
      </w:r>
      <w:r>
        <w:rPr>
          <w:rFonts w:hint="eastAsia" w:ascii="宋体" w:hAnsi="宋体" w:eastAsia="宋体" w:cs="Times New Roman"/>
          <w:color w:val="auto"/>
          <w:kern w:val="2"/>
          <w:sz w:val="21"/>
          <w:szCs w:val="21"/>
          <w:lang w:val="en-US" w:eastAsia="zh-CN" w:bidi="ar-SA"/>
        </w:rPr>
        <w:t>）制定巡查路线，按照指定时间和路线执行，加强重点区域</w:t>
      </w:r>
      <w:r>
        <w:rPr>
          <w:rFonts w:hint="eastAsia" w:ascii="宋体" w:hAnsi="宋体" w:cs="Times New Roman"/>
          <w:color w:val="auto"/>
          <w:kern w:val="2"/>
          <w:sz w:val="21"/>
          <w:szCs w:val="21"/>
          <w:lang w:val="en-US" w:eastAsia="zh-CN" w:bidi="ar-SA"/>
        </w:rPr>
        <w:t>、重点时段</w:t>
      </w:r>
      <w:r>
        <w:rPr>
          <w:rFonts w:hint="eastAsia" w:ascii="宋体" w:hAnsi="宋体" w:eastAsia="宋体" w:cs="Times New Roman"/>
          <w:color w:val="auto"/>
          <w:kern w:val="2"/>
          <w:sz w:val="21"/>
          <w:szCs w:val="21"/>
          <w:lang w:val="en-US" w:eastAsia="zh-CN" w:bidi="ar-SA"/>
        </w:rPr>
        <w:t xml:space="preserve">的巡查。 </w:t>
      </w:r>
    </w:p>
    <w:p w14:paraId="4B840D1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80" w:lineRule="auto"/>
        <w:ind w:firstLine="630" w:firstLineChars="300"/>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3</w:t>
      </w:r>
      <w:r>
        <w:rPr>
          <w:rFonts w:hint="eastAsia" w:ascii="宋体" w:hAnsi="宋体" w:eastAsia="宋体" w:cs="Times New Roman"/>
          <w:color w:val="auto"/>
          <w:kern w:val="2"/>
          <w:sz w:val="21"/>
          <w:szCs w:val="21"/>
          <w:lang w:val="en-US" w:eastAsia="zh-CN" w:bidi="ar-SA"/>
        </w:rPr>
        <w:t xml:space="preserve">）巡查期间保持通信设施设备畅通，遇到异常情况立即上报并在现场采取相应措施。 </w:t>
      </w:r>
    </w:p>
    <w:p w14:paraId="20E88C9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480" w:lineRule="auto"/>
        <w:ind w:firstLine="630" w:firstLineChars="300"/>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4</w:t>
      </w:r>
      <w:r>
        <w:rPr>
          <w:rFonts w:hint="eastAsia" w:ascii="宋体" w:hAnsi="宋体" w:eastAsia="宋体" w:cs="Times New Roman"/>
          <w:color w:val="auto"/>
          <w:kern w:val="2"/>
          <w:sz w:val="21"/>
          <w:szCs w:val="21"/>
          <w:lang w:val="en-US" w:eastAsia="zh-CN" w:bidi="ar-SA"/>
        </w:rPr>
        <w:t>）收到监控室指令后，巡查人员及时到达指定地点并迅速采取相应措施。</w:t>
      </w:r>
    </w:p>
    <w:p w14:paraId="05691AB6">
      <w:pPr>
        <w:keepNext w:val="0"/>
        <w:keepLines w:val="0"/>
        <w:pageBreakBefore w:val="0"/>
        <w:widowControl w:val="0"/>
        <w:suppressLineNumbers w:val="0"/>
        <w:kinsoku/>
        <w:wordWrap/>
        <w:overflowPunct/>
        <w:topLinePunct w:val="0"/>
        <w:autoSpaceDE/>
        <w:autoSpaceDN/>
        <w:bidi w:val="0"/>
        <w:adjustRightInd/>
        <w:snapToGrid/>
        <w:spacing w:line="480" w:lineRule="auto"/>
        <w:ind w:firstLine="630" w:firstLineChars="300"/>
        <w:jc w:val="left"/>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（5）对巡查、值守及异常情况等做好相关记录，填写规范，保存完好。</w:t>
      </w:r>
    </w:p>
    <w:p w14:paraId="6FFF360C">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color w:val="auto"/>
          <w:kern w:val="2"/>
          <w:sz w:val="21"/>
          <w:szCs w:val="21"/>
          <w:lang w:val="en-US" w:eastAsia="zh-CN" w:bidi="ar-SA"/>
        </w:rPr>
      </w:pPr>
      <w:r>
        <w:rPr>
          <w:rFonts w:hint="eastAsia" w:ascii="宋体" w:hAnsi="宋体" w:cs="Times New Roman"/>
          <w:color w:val="auto"/>
          <w:kern w:val="2"/>
          <w:sz w:val="21"/>
          <w:szCs w:val="21"/>
          <w:lang w:val="en-US" w:eastAsia="zh-CN" w:bidi="ar-SA"/>
        </w:rPr>
        <w:t>9</w:t>
      </w:r>
      <w:r>
        <w:rPr>
          <w:rFonts w:hint="default" w:ascii="宋体" w:hAnsi="宋体" w:eastAsia="宋体" w:cs="Times New Roman"/>
          <w:color w:val="auto"/>
          <w:kern w:val="2"/>
          <w:sz w:val="21"/>
          <w:szCs w:val="21"/>
          <w:lang w:val="en-US" w:eastAsia="zh-CN" w:bidi="ar-SA"/>
        </w:rPr>
        <w:t>、消防</w:t>
      </w:r>
      <w:r>
        <w:rPr>
          <w:rFonts w:hint="eastAsia" w:ascii="宋体" w:hAnsi="宋体" w:eastAsia="宋体" w:cs="Times New Roman"/>
          <w:color w:val="auto"/>
          <w:kern w:val="2"/>
          <w:sz w:val="21"/>
          <w:szCs w:val="21"/>
          <w:lang w:val="en-US" w:eastAsia="zh-CN" w:bidi="ar-SA"/>
        </w:rPr>
        <w:t>安全管理</w:t>
      </w:r>
      <w:r>
        <w:rPr>
          <w:rFonts w:hint="default" w:ascii="宋体" w:hAnsi="宋体" w:eastAsia="宋体" w:cs="Times New Roman"/>
          <w:color w:val="auto"/>
          <w:kern w:val="2"/>
          <w:sz w:val="21"/>
          <w:szCs w:val="21"/>
          <w:lang w:val="en-US" w:eastAsia="zh-CN" w:bidi="ar-SA"/>
        </w:rPr>
        <w:t>：</w:t>
      </w:r>
    </w:p>
    <w:p w14:paraId="76CEFB2C">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 xml:space="preserve">（1）建立消防安全责任制，确定各级消防安全责任人及其职责。 </w:t>
      </w:r>
    </w:p>
    <w:p w14:paraId="68B46FAA">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2</w:t>
      </w:r>
      <w:r>
        <w:rPr>
          <w:rFonts w:hint="eastAsia" w:ascii="宋体" w:hAnsi="宋体" w:eastAsia="宋体" w:cs="Times New Roman"/>
          <w:color w:val="auto"/>
          <w:kern w:val="2"/>
          <w:sz w:val="21"/>
          <w:szCs w:val="21"/>
          <w:lang w:val="en-US" w:eastAsia="zh-CN" w:bidi="ar-SA"/>
        </w:rPr>
        <w:t>）值班室实行</w:t>
      </w:r>
      <w:r>
        <w:rPr>
          <w:rFonts w:hint="default" w:ascii="宋体" w:hAnsi="宋体" w:eastAsia="宋体" w:cs="Times New Roman"/>
          <w:color w:val="auto"/>
          <w:kern w:val="2"/>
          <w:sz w:val="21"/>
          <w:szCs w:val="21"/>
          <w:lang w:val="en-US" w:eastAsia="zh-CN" w:bidi="ar-SA"/>
        </w:rPr>
        <w:t>24</w:t>
      </w:r>
      <w:r>
        <w:rPr>
          <w:rFonts w:hint="eastAsia" w:ascii="宋体" w:hAnsi="宋体" w:eastAsia="宋体" w:cs="Times New Roman"/>
          <w:color w:val="auto"/>
          <w:kern w:val="2"/>
          <w:sz w:val="21"/>
          <w:szCs w:val="21"/>
          <w:lang w:val="en-US" w:eastAsia="zh-CN" w:bidi="ar-SA"/>
        </w:rPr>
        <w:t>小时值班制度，每班不少于</w:t>
      </w:r>
      <w:r>
        <w:rPr>
          <w:rFonts w:hint="default" w:ascii="宋体" w:hAnsi="宋体" w:eastAsia="宋体" w:cs="Times New Roman"/>
          <w:color w:val="auto"/>
          <w:kern w:val="2"/>
          <w:sz w:val="21"/>
          <w:szCs w:val="21"/>
          <w:lang w:val="en-US" w:eastAsia="zh-CN" w:bidi="ar-SA"/>
        </w:rPr>
        <w:t>2</w:t>
      </w:r>
      <w:r>
        <w:rPr>
          <w:rFonts w:hint="eastAsia" w:ascii="宋体" w:hAnsi="宋体" w:eastAsia="宋体" w:cs="Times New Roman"/>
          <w:color w:val="auto"/>
          <w:kern w:val="2"/>
          <w:sz w:val="21"/>
          <w:szCs w:val="21"/>
          <w:lang w:val="en-US" w:eastAsia="zh-CN" w:bidi="ar-SA"/>
        </w:rPr>
        <w:t xml:space="preserve">人。 </w:t>
      </w:r>
    </w:p>
    <w:p w14:paraId="67B079BD">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3</w:t>
      </w:r>
      <w:r>
        <w:rPr>
          <w:rFonts w:hint="eastAsia" w:ascii="宋体" w:hAnsi="宋体" w:eastAsia="宋体" w:cs="Times New Roman"/>
          <w:color w:val="auto"/>
          <w:kern w:val="2"/>
          <w:sz w:val="21"/>
          <w:szCs w:val="21"/>
          <w:lang w:val="en-US" w:eastAsia="zh-CN" w:bidi="ar-SA"/>
        </w:rPr>
        <w:t xml:space="preserve">）消火栓、应急照明、应急物资、消防及人员逃生通道、消防车通道可随时正常使用。 </w:t>
      </w:r>
    </w:p>
    <w:p w14:paraId="32A79DE2">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color w:val="FF0000"/>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4</w:t>
      </w:r>
      <w:r>
        <w:rPr>
          <w:rFonts w:hint="eastAsia" w:ascii="宋体" w:hAnsi="宋体" w:eastAsia="宋体" w:cs="Times New Roman"/>
          <w:color w:val="auto"/>
          <w:kern w:val="2"/>
          <w:sz w:val="21"/>
          <w:szCs w:val="21"/>
          <w:lang w:val="en-US" w:eastAsia="zh-CN" w:bidi="ar-SA"/>
        </w:rPr>
        <w:t>）定期组织消防安全宣传，每半年至少开展</w:t>
      </w:r>
      <w:r>
        <w:rPr>
          <w:rFonts w:hint="default" w:ascii="宋体" w:hAnsi="宋体" w:eastAsia="宋体" w:cs="Times New Roman"/>
          <w:color w:val="auto"/>
          <w:kern w:val="2"/>
          <w:sz w:val="21"/>
          <w:szCs w:val="21"/>
          <w:lang w:val="en-US" w:eastAsia="zh-CN" w:bidi="ar-SA"/>
        </w:rPr>
        <w:t>1</w:t>
      </w:r>
      <w:r>
        <w:rPr>
          <w:rFonts w:hint="eastAsia" w:ascii="宋体" w:hAnsi="宋体" w:eastAsia="宋体" w:cs="Times New Roman"/>
          <w:color w:val="auto"/>
          <w:kern w:val="2"/>
          <w:sz w:val="21"/>
          <w:szCs w:val="21"/>
          <w:lang w:val="en-US" w:eastAsia="zh-CN" w:bidi="ar-SA"/>
        </w:rPr>
        <w:t>次消防演练。</w:t>
      </w:r>
    </w:p>
    <w:p w14:paraId="170AACEC">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5</w:t>
      </w:r>
      <w:r>
        <w:rPr>
          <w:rFonts w:hint="eastAsia" w:ascii="宋体" w:hAnsi="宋体" w:eastAsia="宋体" w:cs="Times New Roman"/>
          <w:color w:val="auto"/>
          <w:kern w:val="2"/>
          <w:sz w:val="21"/>
          <w:szCs w:val="21"/>
          <w:lang w:val="en-US" w:eastAsia="zh-CN" w:bidi="ar-SA"/>
        </w:rPr>
        <w:t>）熟悉区域内的消防设施，</w:t>
      </w:r>
      <w:r>
        <w:rPr>
          <w:rFonts w:hint="default" w:ascii="宋体" w:hAnsi="宋体" w:eastAsia="宋体" w:cs="Times New Roman"/>
          <w:color w:val="auto"/>
          <w:kern w:val="2"/>
          <w:sz w:val="21"/>
          <w:szCs w:val="21"/>
          <w:lang w:val="en-US" w:eastAsia="zh-CN" w:bidi="ar-SA"/>
        </w:rPr>
        <w:t>定期对消防设施设备进行巡视、检查和维护，保持其完整、完好，能正常使用，检查记录详细；</w:t>
      </w:r>
    </w:p>
    <w:p w14:paraId="31FB1240">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6</w:t>
      </w: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发现消防</w:t>
      </w:r>
      <w:r>
        <w:rPr>
          <w:rFonts w:hint="eastAsia" w:ascii="宋体" w:hAnsi="宋体" w:eastAsia="宋体" w:cs="Times New Roman"/>
          <w:color w:val="auto"/>
          <w:kern w:val="2"/>
          <w:sz w:val="21"/>
          <w:szCs w:val="21"/>
          <w:lang w:val="en-US" w:eastAsia="zh-CN" w:bidi="ar-SA"/>
        </w:rPr>
        <w:t>设施和</w:t>
      </w:r>
      <w:r>
        <w:rPr>
          <w:rFonts w:hint="default" w:ascii="宋体" w:hAnsi="宋体" w:eastAsia="宋体" w:cs="Times New Roman"/>
          <w:color w:val="auto"/>
          <w:kern w:val="2"/>
          <w:sz w:val="21"/>
          <w:szCs w:val="21"/>
          <w:lang w:val="en-US" w:eastAsia="zh-CN" w:bidi="ar-SA"/>
        </w:rPr>
        <w:t>器材有异常情况及</w:t>
      </w:r>
      <w:r>
        <w:rPr>
          <w:rFonts w:hint="eastAsia" w:ascii="宋体" w:hAnsi="宋体" w:eastAsia="宋体" w:cs="Times New Roman"/>
          <w:color w:val="auto"/>
          <w:kern w:val="2"/>
          <w:sz w:val="21"/>
          <w:szCs w:val="21"/>
          <w:lang w:val="en-US" w:eastAsia="zh-CN" w:bidi="ar-SA"/>
        </w:rPr>
        <w:t>时处理并报告；发生火警险情能快速冷静处置并及时上报。</w:t>
      </w:r>
    </w:p>
    <w:p w14:paraId="4AAB3E2D">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7</w:t>
      </w:r>
      <w:r>
        <w:rPr>
          <w:rFonts w:hint="eastAsia" w:ascii="宋体" w:hAnsi="宋体" w:eastAsia="宋体" w:cs="Times New Roman"/>
          <w:color w:val="auto"/>
          <w:kern w:val="2"/>
          <w:sz w:val="21"/>
          <w:szCs w:val="21"/>
          <w:lang w:val="en-US" w:eastAsia="zh-CN" w:bidi="ar-SA"/>
        </w:rPr>
        <w:t>）</w:t>
      </w:r>
      <w:r>
        <w:rPr>
          <w:rFonts w:hint="default" w:ascii="宋体" w:hAnsi="宋体" w:eastAsia="宋体" w:cs="Times New Roman"/>
          <w:color w:val="auto"/>
          <w:kern w:val="2"/>
          <w:sz w:val="21"/>
          <w:szCs w:val="21"/>
          <w:lang w:val="en-US" w:eastAsia="zh-CN" w:bidi="ar-SA"/>
        </w:rPr>
        <w:t>严格遵守</w:t>
      </w:r>
      <w:r>
        <w:rPr>
          <w:rFonts w:hint="eastAsia" w:ascii="宋体" w:hAnsi="宋体" w:eastAsia="宋体" w:cs="Times New Roman"/>
          <w:color w:val="auto"/>
          <w:kern w:val="2"/>
          <w:sz w:val="21"/>
          <w:szCs w:val="21"/>
          <w:lang w:val="en-US" w:eastAsia="zh-CN" w:bidi="ar-SA"/>
        </w:rPr>
        <w:t>消防管理部门的相关规定</w:t>
      </w:r>
      <w:r>
        <w:rPr>
          <w:rFonts w:hint="default" w:ascii="宋体" w:hAnsi="宋体" w:eastAsia="宋体" w:cs="Times New Roman"/>
          <w:color w:val="auto"/>
          <w:kern w:val="2"/>
          <w:sz w:val="21"/>
          <w:szCs w:val="21"/>
          <w:lang w:val="en-US" w:eastAsia="zh-CN" w:bidi="ar-SA"/>
        </w:rPr>
        <w:t>及专项检查要求。</w:t>
      </w:r>
    </w:p>
    <w:p w14:paraId="4389E3F3">
      <w:pPr>
        <w:keepNext w:val="0"/>
        <w:keepLines w:val="0"/>
        <w:pageBreakBefore w:val="0"/>
        <w:widowControl w:val="0"/>
        <w:kinsoku/>
        <w:wordWrap/>
        <w:overflowPunct/>
        <w:topLinePunct w:val="0"/>
        <w:autoSpaceDE/>
        <w:autoSpaceDN/>
        <w:bidi w:val="0"/>
        <w:adjustRightInd/>
        <w:snapToGrid/>
        <w:spacing w:line="480" w:lineRule="auto"/>
        <w:ind w:firstLine="630" w:firstLineChars="300"/>
        <w:jc w:val="both"/>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10</w:t>
      </w:r>
      <w:r>
        <w:rPr>
          <w:rFonts w:hint="eastAsia" w:ascii="宋体" w:hAnsi="宋体" w:eastAsia="宋体" w:cs="Times New Roman"/>
          <w:color w:val="auto"/>
          <w:kern w:val="2"/>
          <w:sz w:val="21"/>
          <w:szCs w:val="21"/>
          <w:lang w:val="en-US" w:eastAsia="zh-CN" w:bidi="ar-SA"/>
        </w:rPr>
        <w:t>、保持人员队伍稳定。严格控制换岗比例，合同期限内轮换岗人数不得超过人员总数的10%，并在响应文件中作出承诺；观护队伍主要管理人员更换，应提前一个月以书面形式通知采购人，其他队员更换要提前三天告知采购人，经采购人同意后方可更换，确保服务质量不因人员变动而受影响。</w:t>
      </w:r>
    </w:p>
    <w:p w14:paraId="3705D93A">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11</w:t>
      </w:r>
      <w:r>
        <w:rPr>
          <w:rFonts w:hint="eastAsia" w:ascii="宋体" w:hAnsi="宋体" w:eastAsia="宋体" w:cs="Times New Roman"/>
          <w:color w:val="auto"/>
          <w:kern w:val="2"/>
          <w:sz w:val="21"/>
          <w:szCs w:val="21"/>
          <w:lang w:val="en-US" w:eastAsia="zh-CN" w:bidi="ar-SA"/>
        </w:rPr>
        <w:t>、加强人员培训。</w:t>
      </w:r>
      <w:r>
        <w:rPr>
          <w:rFonts w:hint="eastAsia" w:ascii="宋体" w:hAnsi="宋体" w:cs="Times New Roman"/>
          <w:color w:val="auto"/>
          <w:kern w:val="2"/>
          <w:sz w:val="21"/>
          <w:szCs w:val="21"/>
          <w:lang w:val="en-US" w:eastAsia="zh-CN" w:bidi="ar-SA"/>
        </w:rPr>
        <w:t>每月开展不少于两次的人员培训，</w:t>
      </w:r>
      <w:r>
        <w:rPr>
          <w:rFonts w:hint="eastAsia" w:ascii="宋体" w:hAnsi="宋体" w:eastAsia="宋体" w:cs="Times New Roman"/>
          <w:color w:val="auto"/>
          <w:kern w:val="2"/>
          <w:sz w:val="21"/>
          <w:szCs w:val="21"/>
          <w:lang w:val="en-US" w:eastAsia="zh-CN" w:bidi="ar-SA"/>
        </w:rPr>
        <w:t>确保队员具备相关业务知识和专业技能，能正确使用各类物防、消防、技防器械和设备</w:t>
      </w:r>
      <w:r>
        <w:rPr>
          <w:rFonts w:hint="eastAsia" w:ascii="宋体" w:hAnsi="宋体" w:cs="Times New Roman"/>
          <w:color w:val="auto"/>
          <w:kern w:val="2"/>
          <w:sz w:val="21"/>
          <w:szCs w:val="21"/>
          <w:lang w:val="en-US" w:eastAsia="zh-CN" w:bidi="ar-SA"/>
        </w:rPr>
        <w:t>，及时处置各类突发事件</w:t>
      </w:r>
      <w:r>
        <w:rPr>
          <w:rFonts w:hint="eastAsia" w:ascii="宋体" w:hAnsi="宋体" w:eastAsia="宋体" w:cs="Times New Roman"/>
          <w:color w:val="auto"/>
          <w:kern w:val="2"/>
          <w:sz w:val="21"/>
          <w:szCs w:val="21"/>
          <w:lang w:val="en-US" w:eastAsia="zh-CN" w:bidi="ar-SA"/>
        </w:rPr>
        <w:t>。</w:t>
      </w:r>
    </w:p>
    <w:p w14:paraId="12FBE465">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r>
        <w:rPr>
          <w:rFonts w:hint="eastAsia" w:ascii="宋体" w:hAnsi="宋体" w:cs="Times New Roman"/>
          <w:color w:val="auto"/>
          <w:kern w:val="2"/>
          <w:sz w:val="21"/>
          <w:szCs w:val="21"/>
          <w:lang w:val="en-US" w:eastAsia="zh-CN" w:bidi="ar-SA"/>
        </w:rPr>
        <w:t>12</w:t>
      </w:r>
      <w:r>
        <w:rPr>
          <w:rFonts w:hint="eastAsia" w:ascii="宋体" w:hAnsi="宋体" w:eastAsia="宋体" w:cs="Times New Roman"/>
          <w:color w:val="auto"/>
          <w:kern w:val="2"/>
          <w:sz w:val="21"/>
          <w:szCs w:val="21"/>
          <w:lang w:val="en-US" w:eastAsia="zh-CN" w:bidi="ar-SA"/>
        </w:rPr>
        <w:t>、建立事项记录制度。做好观护记录，做好巡查、值班情况记录，做好异常情况、重大事项、突发情况等记录，做好交接班记录。</w:t>
      </w:r>
      <w:r>
        <w:rPr>
          <w:rFonts w:hint="eastAsia" w:ascii="宋体" w:hAnsi="宋体" w:cs="Times New Roman"/>
          <w:color w:val="auto"/>
          <w:kern w:val="2"/>
          <w:sz w:val="21"/>
          <w:szCs w:val="21"/>
          <w:lang w:val="en-US" w:eastAsia="zh-CN" w:bidi="ar-SA"/>
        </w:rPr>
        <w:t>资料台账</w:t>
      </w:r>
      <w:r>
        <w:rPr>
          <w:rFonts w:hint="eastAsia" w:ascii="宋体" w:hAnsi="宋体" w:eastAsia="宋体" w:cs="Times New Roman"/>
          <w:color w:val="auto"/>
          <w:kern w:val="2"/>
          <w:sz w:val="21"/>
          <w:szCs w:val="21"/>
          <w:lang w:val="en-US" w:eastAsia="zh-CN" w:bidi="ar-SA"/>
        </w:rPr>
        <w:t>内容完善，保存完整。</w:t>
      </w:r>
    </w:p>
    <w:p w14:paraId="4FCF9CCA">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default" w:ascii="宋体" w:hAnsi="宋体" w:eastAsia="宋体" w:cs="Times New Roman"/>
          <w:color w:val="auto"/>
          <w:kern w:val="2"/>
          <w:sz w:val="21"/>
          <w:szCs w:val="21"/>
          <w:lang w:val="en-US" w:eastAsia="zh-CN" w:bidi="ar-SA"/>
        </w:rPr>
      </w:pPr>
      <w:r>
        <w:rPr>
          <w:rFonts w:hint="eastAsia" w:ascii="宋体" w:hAnsi="宋体" w:cs="Times New Roman"/>
          <w:color w:val="auto"/>
          <w:kern w:val="2"/>
          <w:sz w:val="21"/>
          <w:szCs w:val="21"/>
          <w:lang w:val="en-US" w:eastAsia="zh-CN" w:bidi="ar-SA"/>
        </w:rPr>
        <w:t>13</w:t>
      </w:r>
      <w:r>
        <w:rPr>
          <w:rFonts w:hint="eastAsia" w:ascii="宋体" w:hAnsi="宋体" w:eastAsia="宋体" w:cs="Times New Roman"/>
          <w:color w:val="auto"/>
          <w:kern w:val="2"/>
          <w:sz w:val="21"/>
          <w:szCs w:val="21"/>
          <w:lang w:val="en-US" w:eastAsia="zh-CN" w:bidi="ar-SA"/>
        </w:rPr>
        <w:t>、制订问题整改措施。</w:t>
      </w:r>
      <w:r>
        <w:rPr>
          <w:rFonts w:hint="default" w:ascii="宋体" w:hAnsi="宋体" w:eastAsia="宋体" w:cs="Times New Roman"/>
          <w:color w:val="auto"/>
          <w:kern w:val="2"/>
          <w:sz w:val="21"/>
          <w:szCs w:val="21"/>
          <w:lang w:val="en-US" w:eastAsia="zh-CN" w:bidi="ar-SA"/>
        </w:rPr>
        <w:t>对发现和反馈</w:t>
      </w:r>
      <w:r>
        <w:rPr>
          <w:rFonts w:hint="eastAsia" w:ascii="宋体" w:hAnsi="宋体" w:eastAsia="宋体" w:cs="Times New Roman"/>
          <w:color w:val="auto"/>
          <w:kern w:val="2"/>
          <w:sz w:val="21"/>
          <w:szCs w:val="21"/>
          <w:lang w:val="en-US" w:eastAsia="zh-CN" w:bidi="ar-SA"/>
        </w:rPr>
        <w:t>的</w:t>
      </w:r>
      <w:r>
        <w:rPr>
          <w:rFonts w:hint="default" w:ascii="宋体" w:hAnsi="宋体" w:eastAsia="宋体" w:cs="Times New Roman"/>
          <w:color w:val="auto"/>
          <w:kern w:val="2"/>
          <w:sz w:val="21"/>
          <w:szCs w:val="21"/>
          <w:lang w:val="en-US" w:eastAsia="zh-CN" w:bidi="ar-SA"/>
        </w:rPr>
        <w:t>问题及时</w:t>
      </w:r>
      <w:r>
        <w:rPr>
          <w:rFonts w:hint="eastAsia" w:ascii="宋体" w:hAnsi="宋体" w:eastAsia="宋体" w:cs="Times New Roman"/>
          <w:color w:val="auto"/>
          <w:kern w:val="2"/>
          <w:sz w:val="21"/>
          <w:szCs w:val="21"/>
          <w:lang w:val="en-US" w:eastAsia="zh-CN" w:bidi="ar-SA"/>
        </w:rPr>
        <w:t>有效</w:t>
      </w:r>
      <w:r>
        <w:rPr>
          <w:rFonts w:hint="default" w:ascii="宋体" w:hAnsi="宋体" w:eastAsia="宋体" w:cs="Times New Roman"/>
          <w:color w:val="auto"/>
          <w:kern w:val="2"/>
          <w:sz w:val="21"/>
          <w:szCs w:val="21"/>
          <w:lang w:val="en-US" w:eastAsia="zh-CN" w:bidi="ar-SA"/>
        </w:rPr>
        <w:t>整改，确保项目服务质量。</w:t>
      </w:r>
    </w:p>
    <w:p w14:paraId="5D9C8408">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cs="Times New Roman"/>
          <w:color w:val="auto"/>
          <w:kern w:val="2"/>
          <w:sz w:val="21"/>
          <w:szCs w:val="21"/>
          <w:lang w:val="en-US" w:eastAsia="zh-CN" w:bidi="ar-SA"/>
        </w:rPr>
        <w:t>14</w:t>
      </w:r>
      <w:r>
        <w:rPr>
          <w:rFonts w:hint="eastAsia" w:ascii="宋体" w:hAnsi="宋体" w:eastAsia="宋体" w:cs="Times New Roman"/>
          <w:color w:val="auto"/>
          <w:kern w:val="2"/>
          <w:sz w:val="21"/>
          <w:szCs w:val="21"/>
          <w:lang w:val="en-US" w:eastAsia="zh-CN" w:bidi="ar-SA"/>
        </w:rPr>
        <w:t>、制订工作检查制度。明确</w:t>
      </w:r>
      <w:r>
        <w:rPr>
          <w:rFonts w:hint="default" w:ascii="宋体" w:hAnsi="宋体" w:eastAsia="宋体" w:cs="Times New Roman"/>
          <w:color w:val="auto"/>
          <w:kern w:val="2"/>
          <w:sz w:val="21"/>
          <w:szCs w:val="21"/>
          <w:lang w:val="en-US" w:eastAsia="zh-CN" w:bidi="ar-SA"/>
        </w:rPr>
        <w:t>日常检查和定期抽查</w:t>
      </w:r>
      <w:r>
        <w:rPr>
          <w:rFonts w:hint="eastAsia" w:ascii="宋体" w:hAnsi="宋体" w:eastAsia="宋体" w:cs="Times New Roman"/>
          <w:color w:val="auto"/>
          <w:kern w:val="2"/>
          <w:sz w:val="21"/>
          <w:szCs w:val="21"/>
          <w:lang w:val="en-US" w:eastAsia="zh-CN" w:bidi="ar-SA"/>
        </w:rPr>
        <w:t>的</w:t>
      </w:r>
      <w:r>
        <w:rPr>
          <w:rFonts w:hint="default" w:ascii="宋体" w:hAnsi="宋体" w:eastAsia="宋体" w:cs="Times New Roman"/>
          <w:color w:val="auto"/>
          <w:kern w:val="2"/>
          <w:sz w:val="21"/>
          <w:szCs w:val="21"/>
          <w:lang w:val="en-US" w:eastAsia="zh-CN" w:bidi="ar-SA"/>
        </w:rPr>
        <w:t>内容及标准</w:t>
      </w:r>
      <w:r>
        <w:rPr>
          <w:rFonts w:hint="eastAsia" w:ascii="宋体" w:hAnsi="宋体" w:eastAsia="宋体" w:cs="Times New Roman"/>
          <w:color w:val="auto"/>
          <w:kern w:val="2"/>
          <w:sz w:val="21"/>
          <w:szCs w:val="21"/>
          <w:lang w:val="en-US" w:eastAsia="zh-CN" w:bidi="ar-SA"/>
        </w:rPr>
        <w:t>。</w:t>
      </w:r>
    </w:p>
    <w:p w14:paraId="6699DF7A">
      <w:pPr>
        <w:keepNext w:val="0"/>
        <w:keepLines w:val="0"/>
        <w:pageBreakBefore w:val="0"/>
        <w:widowControl w:val="0"/>
        <w:kinsoku/>
        <w:wordWrap/>
        <w:overflowPunct/>
        <w:topLinePunct w:val="0"/>
        <w:autoSpaceDE/>
        <w:autoSpaceDN/>
        <w:bidi w:val="0"/>
        <w:adjustRightInd/>
        <w:snapToGrid/>
        <w:spacing w:line="480" w:lineRule="auto"/>
        <w:ind w:firstLine="630" w:firstLineChars="300"/>
        <w:jc w:val="both"/>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1</w:t>
      </w:r>
      <w:r>
        <w:rPr>
          <w:rFonts w:hint="eastAsia" w:ascii="宋体" w:hAnsi="宋体" w:cs="Times New Roman"/>
          <w:color w:val="auto"/>
          <w:kern w:val="2"/>
          <w:sz w:val="21"/>
          <w:szCs w:val="21"/>
          <w:lang w:val="en-US" w:eastAsia="zh-CN" w:bidi="ar-SA"/>
        </w:rPr>
        <w:t>5</w:t>
      </w:r>
      <w:r>
        <w:rPr>
          <w:rFonts w:hint="eastAsia" w:ascii="宋体" w:hAnsi="宋体" w:eastAsia="宋体" w:cs="Times New Roman"/>
          <w:color w:val="auto"/>
          <w:kern w:val="2"/>
          <w:sz w:val="21"/>
          <w:szCs w:val="21"/>
          <w:lang w:val="en-US" w:eastAsia="zh-CN" w:bidi="ar-SA"/>
        </w:rPr>
        <w:t>、配备服务管理必要的管理和安全设备、器材（如安保设备、巡逻设备、通讯设备、防爆器材等）</w:t>
      </w:r>
      <w:r>
        <w:rPr>
          <w:rFonts w:hint="eastAsia" w:ascii="宋体" w:hAnsi="宋体" w:cs="Times New Roman"/>
          <w:color w:val="auto"/>
          <w:kern w:val="2"/>
          <w:sz w:val="21"/>
          <w:szCs w:val="21"/>
          <w:lang w:val="en-US" w:eastAsia="zh-CN" w:bidi="ar-SA"/>
        </w:rPr>
        <w:t>及明确相应管理人员</w:t>
      </w:r>
      <w:r>
        <w:rPr>
          <w:rFonts w:hint="eastAsia" w:ascii="宋体" w:hAnsi="宋体" w:eastAsia="宋体" w:cs="Times New Roman"/>
          <w:color w:val="auto"/>
          <w:kern w:val="2"/>
          <w:sz w:val="21"/>
          <w:szCs w:val="21"/>
          <w:lang w:val="en-US" w:eastAsia="zh-CN" w:bidi="ar-SA"/>
        </w:rPr>
        <w:t>。</w:t>
      </w:r>
    </w:p>
    <w:p w14:paraId="12D8C8F7">
      <w:pPr>
        <w:keepNext w:val="0"/>
        <w:keepLines w:val="0"/>
        <w:pageBreakBefore w:val="0"/>
        <w:widowControl w:val="0"/>
        <w:kinsoku/>
        <w:wordWrap/>
        <w:overflowPunct/>
        <w:topLinePunct w:val="0"/>
        <w:autoSpaceDE/>
        <w:autoSpaceDN/>
        <w:bidi w:val="0"/>
        <w:adjustRightInd/>
        <w:snapToGrid/>
        <w:spacing w:line="480" w:lineRule="auto"/>
        <w:ind w:firstLine="422" w:firstLineChars="200"/>
        <w:jc w:val="both"/>
        <w:textAlignment w:val="auto"/>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t>（四）突发紧急事件处理应急预案（包含但不限于以下内容）</w:t>
      </w:r>
    </w:p>
    <w:p w14:paraId="06FDCB4B">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1、</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制定突发事件安全责任书，明确突发事件责任人及应承担的安全责任</w:t>
      </w:r>
      <w:r>
        <w:rPr>
          <w:rFonts w:hint="eastAsia" w:ascii="宋体" w:hAnsi="宋体" w:cs="Times New Roman"/>
          <w:color w:val="000000" w:themeColor="text1"/>
          <w:kern w:val="2"/>
          <w:sz w:val="21"/>
          <w:szCs w:val="21"/>
          <w:lang w:val="en-US" w:eastAsia="zh-CN" w:bidi="ar-SA"/>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同时明确具体责任岗位（如</w:t>
      </w:r>
      <w:r>
        <w:rPr>
          <w:rFonts w:hint="eastAsia" w:ascii="宋体" w:hAnsi="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观护班长负责现场控制、观护队长负责上报采购人</w:t>
      </w:r>
      <w:r>
        <w:rPr>
          <w:rFonts w:hint="eastAsia" w:ascii="宋体" w:hAnsi="宋体" w:cs="宋体"/>
          <w:color w:val="000000" w:themeColor="text1"/>
          <w:lang w:val="en-US" w:eastAsia="zh-CN"/>
          <w14:textFill>
            <w14:solidFill>
              <w14:schemeClr w14:val="tx1"/>
            </w14:solidFill>
          </w14:textFill>
        </w:rPr>
        <w:t>”</w:t>
      </w:r>
      <w:r>
        <w:rPr>
          <w:rFonts w:hint="eastAsia" w:ascii="宋体" w:hAnsi="宋体" w:cs="Times New Roman"/>
          <w:color w:val="000000" w:themeColor="text1"/>
          <w:kern w:val="2"/>
          <w:sz w:val="21"/>
          <w:szCs w:val="21"/>
          <w:lang w:val="en-US" w:eastAsia="zh-CN" w:bidi="ar-SA"/>
          <w14:textFill>
            <w14:solidFill>
              <w14:schemeClr w14:val="tx1"/>
            </w14:solidFill>
          </w14:textFill>
        </w:rPr>
        <w:t>等）。</w:t>
      </w:r>
    </w:p>
    <w:p w14:paraId="0CDACB94">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2、</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建立应急突发事件处置队伍，明确各自的职责</w:t>
      </w:r>
      <w:r>
        <w:rPr>
          <w:rFonts w:hint="eastAsia" w:ascii="宋体" w:hAnsi="宋体" w:cs="Times New Roman"/>
          <w:color w:val="000000" w:themeColor="text1"/>
          <w:kern w:val="2"/>
          <w:sz w:val="21"/>
          <w:szCs w:val="21"/>
          <w:lang w:val="en-US" w:eastAsia="zh-CN" w:bidi="ar-SA"/>
          <w14:textFill>
            <w14:solidFill>
              <w14:schemeClr w14:val="tx1"/>
            </w14:solidFill>
          </w14:textFill>
        </w:rPr>
        <w:t>及</w:t>
      </w:r>
      <w:r>
        <w:rPr>
          <w:rFonts w:hint="eastAsia" w:ascii="宋体" w:hAnsi="宋体" w:eastAsia="宋体" w:cs="宋体"/>
          <w:color w:val="000000" w:themeColor="text1"/>
          <w:lang w:val="en-US" w:eastAsia="zh-CN"/>
          <w14:textFill>
            <w14:solidFill>
              <w14:schemeClr w14:val="tx1"/>
            </w14:solidFill>
          </w14:textFill>
        </w:rPr>
        <w:t>全链条处置步骤（写清从事件发现、现场管控、上报流程到后续配合处置的完整操作要求</w:t>
      </w:r>
      <w:r>
        <w:rPr>
          <w:rFonts w:hint="eastAsia" w:ascii="宋体" w:hAnsi="宋体" w:cs="宋体"/>
          <w:color w:val="000000" w:themeColor="text1"/>
          <w:lang w:val="en-US" w:eastAsia="zh-CN"/>
          <w14:textFill>
            <w14:solidFill>
              <w14:schemeClr w14:val="tx1"/>
            </w14:solidFill>
          </w14:textFill>
        </w:rPr>
        <w:t>）。</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 </w:t>
      </w:r>
    </w:p>
    <w:p w14:paraId="4DE0A42A">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3、</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识别、分析</w:t>
      </w:r>
      <w:r>
        <w:rPr>
          <w:rFonts w:hint="eastAsia" w:ascii="宋体" w:hAnsi="宋体" w:cs="Times New Roman"/>
          <w:color w:val="000000" w:themeColor="text1"/>
          <w:kern w:val="2"/>
          <w:sz w:val="21"/>
          <w:szCs w:val="21"/>
          <w:lang w:val="en-US" w:eastAsia="zh-CN" w:bidi="ar-SA"/>
          <w14:textFill>
            <w14:solidFill>
              <w14:schemeClr w14:val="tx1"/>
            </w14:solidFill>
          </w14:textFill>
        </w:rPr>
        <w:t>服务区域内</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各种潜在风险，针对不同风险类型制定相应解决方案，并配备应急物资。 </w:t>
      </w:r>
    </w:p>
    <w:p w14:paraId="2A5D4A11">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4、</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每</w:t>
      </w:r>
      <w:r>
        <w:rPr>
          <w:rFonts w:hint="eastAsia" w:ascii="宋体" w:hAnsi="宋体" w:cs="Times New Roman"/>
          <w:color w:val="000000" w:themeColor="text1"/>
          <w:kern w:val="2"/>
          <w:sz w:val="21"/>
          <w:szCs w:val="21"/>
          <w:lang w:val="en-US" w:eastAsia="zh-CN" w:bidi="ar-SA"/>
          <w14:textFill>
            <w14:solidFill>
              <w14:schemeClr w14:val="tx1"/>
            </w14:solidFill>
          </w14:textFill>
        </w:rPr>
        <w:t>季度</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至少开展</w:t>
      </w:r>
      <w:r>
        <w:rPr>
          <w:rFonts w:hint="eastAsia" w:ascii="宋体" w:hAnsi="宋体" w:cs="Times New Roman"/>
          <w:color w:val="000000" w:themeColor="text1"/>
          <w:kern w:val="2"/>
          <w:sz w:val="21"/>
          <w:szCs w:val="21"/>
          <w:lang w:val="en-US" w:eastAsia="zh-CN" w:bidi="ar-SA"/>
          <w14:textFill>
            <w14:solidFill>
              <w14:schemeClr w14:val="tx1"/>
            </w14:solidFill>
          </w14:textFill>
        </w:rPr>
        <w:t>1</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次突发事件应急演练，并有相应记录。 </w:t>
      </w:r>
    </w:p>
    <w:p w14:paraId="604105B7">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5、</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发生</w:t>
      </w:r>
      <w:r>
        <w:rPr>
          <w:rFonts w:hint="eastAsia" w:ascii="宋体" w:hAnsi="宋体" w:cs="Times New Roman"/>
          <w:color w:val="000000" w:themeColor="text1"/>
          <w:kern w:val="2"/>
          <w:sz w:val="21"/>
          <w:szCs w:val="21"/>
          <w:lang w:val="en-US" w:eastAsia="zh-CN" w:bidi="ar-SA"/>
          <w14:textFill>
            <w14:solidFill>
              <w14:schemeClr w14:val="tx1"/>
            </w14:solidFill>
          </w14:textFill>
        </w:rPr>
        <w:t>突发</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事件时，及时采取应急措施，维护区域正常秩序，保护人身财产安全。 </w:t>
      </w:r>
    </w:p>
    <w:p w14:paraId="32106DBE">
      <w:pPr>
        <w:keepNext w:val="0"/>
        <w:keepLines w:val="0"/>
        <w:pageBreakBefore w:val="0"/>
        <w:widowControl w:val="0"/>
        <w:kinsoku/>
        <w:wordWrap/>
        <w:overflowPunct/>
        <w:topLinePunct w:val="0"/>
        <w:autoSpaceDE/>
        <w:autoSpaceDN/>
        <w:bidi w:val="0"/>
        <w:adjustRightInd/>
        <w:snapToGrid/>
        <w:spacing w:line="480" w:lineRule="auto"/>
        <w:ind w:firstLine="64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6、</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应急预案终止实施后，积极采取措施，在尽可能短的时间内，消除事故带来的不良影响，妥善安置和慰问受害及受影响的人员和部门。 </w:t>
      </w:r>
    </w:p>
    <w:p w14:paraId="59CA43B0">
      <w:pPr>
        <w:keepNext w:val="0"/>
        <w:keepLines w:val="0"/>
        <w:pageBreakBefore w:val="0"/>
        <w:widowControl w:val="0"/>
        <w:kinsoku/>
        <w:wordWrap/>
        <w:overflowPunct/>
        <w:topLinePunct w:val="0"/>
        <w:autoSpaceDE/>
        <w:autoSpaceDN/>
        <w:bidi w:val="0"/>
        <w:adjustRightInd/>
        <w:snapToGrid/>
        <w:spacing w:line="480" w:lineRule="auto"/>
        <w:ind w:firstLine="630" w:firstLineChars="300"/>
        <w:jc w:val="both"/>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7、</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事故处理后，及时形成事故应急总结报告，完善应急救援工作方案。</w:t>
      </w:r>
    </w:p>
    <w:p w14:paraId="71331C15">
      <w:pPr>
        <w:keepNext w:val="0"/>
        <w:keepLines w:val="0"/>
        <w:pageBreakBefore w:val="0"/>
        <w:widowControl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s="Times New Roman"/>
          <w:color w:val="000000" w:themeColor="text1"/>
          <w:kern w:val="2"/>
          <w:sz w:val="21"/>
          <w:szCs w:val="21"/>
          <w:lang w:val="en-US" w:eastAsia="zh-CN" w:bidi="ar-SA"/>
          <w14:textFill>
            <w14:solidFill>
              <w14:schemeClr w14:val="tx1"/>
            </w14:solidFill>
          </w14:textFill>
        </w:rPr>
        <w:t>8、</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定期进行应急知识培训，所属人员必须熟练掌握对突发事件的有关知识，具备应急处置能力。</w:t>
      </w:r>
    </w:p>
    <w:p w14:paraId="5CB948C2">
      <w:pPr>
        <w:keepNext w:val="0"/>
        <w:keepLines w:val="0"/>
        <w:pageBreakBefore w:val="0"/>
        <w:widowControl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Times New Roman"/>
          <w:color w:val="FF0000"/>
          <w:kern w:val="2"/>
          <w:sz w:val="21"/>
          <w:szCs w:val="21"/>
          <w:lang w:val="en-US" w:eastAsia="zh-CN" w:bidi="ar-SA"/>
        </w:rPr>
      </w:pPr>
      <w:r>
        <w:rPr>
          <w:rFonts w:hint="eastAsia" w:ascii="宋体" w:hAnsi="宋体" w:cs="Times New Roman"/>
          <w:color w:val="000000" w:themeColor="text1"/>
          <w:kern w:val="2"/>
          <w:sz w:val="21"/>
          <w:szCs w:val="21"/>
          <w:lang w:val="en-US" w:eastAsia="zh-CN" w:bidi="ar-SA"/>
          <w14:textFill>
            <w14:solidFill>
              <w14:schemeClr w14:val="tx1"/>
            </w14:solidFill>
          </w14:textFill>
        </w:rPr>
        <w:t>9、</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发</w:t>
      </w:r>
      <w:r>
        <w:rPr>
          <w:rFonts w:hint="eastAsia" w:ascii="宋体" w:hAnsi="宋体" w:eastAsia="宋体" w:cs="Times New Roman"/>
          <w:color w:val="auto"/>
          <w:kern w:val="2"/>
          <w:sz w:val="21"/>
          <w:szCs w:val="21"/>
          <w:lang w:val="en-US" w:eastAsia="zh-CN" w:bidi="ar-SA"/>
        </w:rPr>
        <w:t>现异常情况和事故隐患应立即查明并及时上报采购人。注意异常现象、声响、气味，落实防盗、防破坏等安全防范措施，对可疑人员进行询问和劝离。</w:t>
      </w:r>
    </w:p>
    <w:p w14:paraId="7603B779">
      <w:pPr>
        <w:autoSpaceDE w:val="0"/>
        <w:autoSpaceDN w:val="0"/>
        <w:adjustRightInd w:val="0"/>
        <w:jc w:val="left"/>
        <w:rPr>
          <w:rFonts w:ascii="宋体" w:hAnsi="宋体" w:cs="宋体"/>
          <w:kern w:val="0"/>
          <w:szCs w:val="21"/>
          <w:highlight w:val="none"/>
        </w:rPr>
      </w:pPr>
    </w:p>
    <w:p w14:paraId="023D0DAC">
      <w:pPr>
        <w:spacing w:line="440" w:lineRule="exact"/>
        <w:jc w:val="center"/>
        <w:outlineLvl w:val="0"/>
        <w:rPr>
          <w:rFonts w:hint="eastAsia" w:ascii="宋体" w:hAnsi="宋体"/>
          <w:b/>
          <w:sz w:val="44"/>
          <w:szCs w:val="44"/>
          <w:highlight w:val="none"/>
        </w:rPr>
      </w:pPr>
      <w:bookmarkStart w:id="748" w:name="_Toc346523421"/>
      <w:bookmarkStart w:id="749" w:name="_Toc17490"/>
      <w:bookmarkStart w:id="750" w:name="_Toc346523484"/>
      <w:bookmarkStart w:id="751" w:name="_Toc24901"/>
      <w:bookmarkStart w:id="752" w:name="_Toc23606"/>
      <w:bookmarkStart w:id="753" w:name="_Toc338840461"/>
      <w:bookmarkStart w:id="754" w:name="_Toc5704"/>
      <w:bookmarkStart w:id="755" w:name="_Toc338840252"/>
      <w:bookmarkStart w:id="756" w:name="_Toc23721"/>
      <w:bookmarkStart w:id="757" w:name="_Toc32761"/>
      <w:bookmarkStart w:id="758" w:name="_Toc338840500"/>
      <w:bookmarkStart w:id="759" w:name="_Toc494526418"/>
      <w:bookmarkStart w:id="760" w:name="_Toc494093446"/>
    </w:p>
    <w:p w14:paraId="3819129D">
      <w:pPr>
        <w:spacing w:line="440" w:lineRule="exact"/>
        <w:jc w:val="center"/>
        <w:outlineLvl w:val="0"/>
        <w:rPr>
          <w:rFonts w:hint="eastAsia" w:ascii="宋体" w:hAnsi="宋体"/>
          <w:b/>
          <w:sz w:val="44"/>
          <w:szCs w:val="44"/>
          <w:highlight w:val="none"/>
        </w:rPr>
      </w:pPr>
    </w:p>
    <w:p w14:paraId="60D4F1D7">
      <w:pPr>
        <w:spacing w:line="440" w:lineRule="exact"/>
        <w:jc w:val="center"/>
        <w:outlineLvl w:val="0"/>
        <w:rPr>
          <w:rFonts w:hint="eastAsia" w:ascii="宋体" w:hAnsi="宋体"/>
          <w:b/>
          <w:sz w:val="44"/>
          <w:szCs w:val="44"/>
          <w:highlight w:val="none"/>
        </w:rPr>
      </w:pPr>
    </w:p>
    <w:p w14:paraId="43944040">
      <w:pPr>
        <w:spacing w:line="440" w:lineRule="exact"/>
        <w:jc w:val="center"/>
        <w:outlineLvl w:val="0"/>
        <w:rPr>
          <w:rFonts w:hint="eastAsia" w:ascii="宋体" w:hAnsi="宋体"/>
          <w:b/>
          <w:sz w:val="44"/>
          <w:szCs w:val="44"/>
          <w:highlight w:val="none"/>
        </w:rPr>
      </w:pPr>
    </w:p>
    <w:p w14:paraId="40C2D4CF">
      <w:pPr>
        <w:spacing w:line="440" w:lineRule="exact"/>
        <w:jc w:val="center"/>
        <w:outlineLvl w:val="0"/>
        <w:rPr>
          <w:rFonts w:ascii="宋体" w:hAnsi="宋体"/>
          <w:b/>
          <w:sz w:val="44"/>
          <w:szCs w:val="44"/>
          <w:highlight w:val="none"/>
        </w:rPr>
      </w:pPr>
      <w:r>
        <w:rPr>
          <w:rFonts w:hint="eastAsia" w:ascii="宋体" w:hAnsi="宋体"/>
          <w:b/>
          <w:sz w:val="44"/>
          <w:szCs w:val="44"/>
          <w:highlight w:val="none"/>
        </w:rPr>
        <w:t xml:space="preserve">第六章  </w:t>
      </w:r>
      <w:bookmarkEnd w:id="740"/>
      <w:bookmarkEnd w:id="741"/>
      <w:bookmarkEnd w:id="742"/>
      <w:bookmarkEnd w:id="743"/>
      <w:bookmarkEnd w:id="744"/>
      <w:bookmarkEnd w:id="745"/>
      <w:bookmarkEnd w:id="746"/>
      <w:bookmarkEnd w:id="747"/>
      <w:r>
        <w:rPr>
          <w:rFonts w:hint="eastAsia" w:ascii="宋体" w:hAnsi="宋体"/>
          <w:b/>
          <w:sz w:val="44"/>
          <w:szCs w:val="44"/>
          <w:highlight w:val="none"/>
        </w:rPr>
        <w:t>投标文件格式</w:t>
      </w:r>
      <w:bookmarkEnd w:id="748"/>
      <w:bookmarkEnd w:id="749"/>
      <w:bookmarkEnd w:id="750"/>
      <w:bookmarkEnd w:id="751"/>
      <w:bookmarkEnd w:id="752"/>
      <w:bookmarkEnd w:id="753"/>
      <w:bookmarkEnd w:id="754"/>
      <w:bookmarkEnd w:id="755"/>
      <w:bookmarkEnd w:id="756"/>
      <w:bookmarkEnd w:id="757"/>
      <w:bookmarkEnd w:id="758"/>
      <w:bookmarkEnd w:id="759"/>
      <w:bookmarkEnd w:id="760"/>
    </w:p>
    <w:p w14:paraId="5D1B24B8">
      <w:pPr>
        <w:spacing w:line="600" w:lineRule="exact"/>
        <w:rPr>
          <w:rFonts w:ascii="宋体" w:hAnsi="宋体"/>
          <w:b/>
          <w:bCs/>
          <w:sz w:val="32"/>
          <w:szCs w:val="32"/>
          <w:highlight w:val="none"/>
        </w:rPr>
      </w:pPr>
      <w:r>
        <w:rPr>
          <w:rFonts w:hint="eastAsia" w:ascii="宋体" w:hAnsi="宋体"/>
          <w:highlight w:val="none"/>
        </w:rPr>
        <w:br w:type="page"/>
      </w:r>
    </w:p>
    <w:p w14:paraId="0EE431AD">
      <w:pPr>
        <w:spacing w:line="600" w:lineRule="exact"/>
        <w:ind w:firstLine="1430" w:firstLineChars="445"/>
        <w:rPr>
          <w:rFonts w:ascii="宋体" w:hAnsi="宋体"/>
          <w:b/>
          <w:bCs/>
          <w:sz w:val="32"/>
          <w:szCs w:val="32"/>
          <w:highlight w:val="none"/>
        </w:rPr>
      </w:pPr>
      <w:r>
        <w:rPr>
          <w:rFonts w:hint="eastAsia" w:ascii="宋体" w:hAnsi="宋体"/>
          <w:b/>
          <w:bCs/>
          <w:sz w:val="32"/>
          <w:szCs w:val="32"/>
          <w:highlight w:val="none"/>
          <w:u w:val="single"/>
        </w:rPr>
        <w:t xml:space="preserve">           　         </w:t>
      </w:r>
      <w:r>
        <w:rPr>
          <w:rFonts w:hint="eastAsia" w:ascii="宋体" w:hAnsi="宋体"/>
          <w:b/>
          <w:bCs/>
          <w:sz w:val="32"/>
          <w:szCs w:val="32"/>
          <w:highlight w:val="none"/>
        </w:rPr>
        <w:t>项目</w:t>
      </w:r>
    </w:p>
    <w:p w14:paraId="0A47F5D7">
      <w:pPr>
        <w:spacing w:line="800" w:lineRule="exact"/>
        <w:ind w:firstLine="2570" w:firstLineChars="800"/>
        <w:rPr>
          <w:rFonts w:ascii="宋体" w:hAnsi="宋体"/>
          <w:b/>
          <w:bCs/>
          <w:sz w:val="72"/>
          <w:szCs w:val="72"/>
          <w:highlight w:val="none"/>
        </w:rPr>
      </w:pPr>
      <w:r>
        <w:rPr>
          <w:rFonts w:hint="eastAsia" w:ascii="宋体" w:hAnsi="宋体"/>
          <w:b/>
          <w:bCs/>
          <w:sz w:val="32"/>
          <w:szCs w:val="32"/>
          <w:highlight w:val="none"/>
        </w:rPr>
        <w:t>项目编号：</w:t>
      </w:r>
      <w:r>
        <w:rPr>
          <w:rFonts w:hint="eastAsia" w:ascii="宋体" w:hAnsi="宋体"/>
          <w:b/>
          <w:bCs/>
          <w:sz w:val="32"/>
          <w:szCs w:val="32"/>
          <w:highlight w:val="none"/>
          <w:u w:val="single"/>
        </w:rPr>
        <w:t>　　　　</w:t>
      </w:r>
    </w:p>
    <w:p w14:paraId="2EB9102C">
      <w:pPr>
        <w:spacing w:line="800" w:lineRule="exact"/>
        <w:rPr>
          <w:rFonts w:ascii="宋体" w:hAnsi="宋体"/>
          <w:b/>
          <w:bCs/>
          <w:sz w:val="72"/>
          <w:szCs w:val="72"/>
          <w:highlight w:val="none"/>
        </w:rPr>
      </w:pPr>
    </w:p>
    <w:p w14:paraId="5092A7FB">
      <w:pPr>
        <w:spacing w:line="800" w:lineRule="exact"/>
        <w:rPr>
          <w:rFonts w:ascii="宋体" w:hAnsi="宋体"/>
          <w:b/>
          <w:bCs/>
          <w:sz w:val="72"/>
          <w:szCs w:val="72"/>
          <w:highlight w:val="none"/>
        </w:rPr>
      </w:pPr>
    </w:p>
    <w:p w14:paraId="7267EF11">
      <w:pPr>
        <w:spacing w:line="800" w:lineRule="exact"/>
        <w:rPr>
          <w:rFonts w:ascii="宋体" w:hAnsi="宋体"/>
          <w:b/>
          <w:bCs/>
          <w:sz w:val="72"/>
          <w:szCs w:val="72"/>
          <w:highlight w:val="none"/>
        </w:rPr>
      </w:pPr>
    </w:p>
    <w:p w14:paraId="2EB83EDC">
      <w:pPr>
        <w:spacing w:line="800" w:lineRule="exact"/>
        <w:rPr>
          <w:rFonts w:ascii="宋体" w:hAnsi="宋体"/>
          <w:b/>
          <w:bCs/>
          <w:sz w:val="72"/>
          <w:szCs w:val="72"/>
          <w:highlight w:val="none"/>
        </w:rPr>
      </w:pPr>
    </w:p>
    <w:p w14:paraId="74397A5A">
      <w:pPr>
        <w:jc w:val="center"/>
        <w:rPr>
          <w:rFonts w:ascii="宋体" w:hAnsi="宋体"/>
          <w:b/>
          <w:bCs/>
          <w:sz w:val="84"/>
          <w:szCs w:val="84"/>
          <w:highlight w:val="none"/>
        </w:rPr>
      </w:pPr>
      <w:r>
        <w:rPr>
          <w:rFonts w:hint="eastAsia" w:ascii="宋体" w:hAnsi="宋体"/>
          <w:b/>
          <w:bCs/>
          <w:sz w:val="84"/>
          <w:szCs w:val="84"/>
          <w:highlight w:val="none"/>
        </w:rPr>
        <w:t>投 标 文 件</w:t>
      </w:r>
    </w:p>
    <w:p w14:paraId="7B19C4D9">
      <w:pPr>
        <w:spacing w:line="800" w:lineRule="exact"/>
        <w:ind w:firstLine="2249" w:firstLineChars="700"/>
        <w:rPr>
          <w:rFonts w:ascii="宋体" w:hAnsi="宋体"/>
          <w:b/>
          <w:bCs/>
          <w:sz w:val="32"/>
          <w:szCs w:val="32"/>
          <w:highlight w:val="none"/>
          <w:u w:val="single"/>
        </w:rPr>
      </w:pPr>
    </w:p>
    <w:p w14:paraId="7060818B">
      <w:pPr>
        <w:spacing w:line="800" w:lineRule="exact"/>
        <w:rPr>
          <w:rFonts w:ascii="宋体" w:hAnsi="宋体"/>
          <w:b/>
          <w:bCs/>
          <w:sz w:val="72"/>
          <w:szCs w:val="72"/>
          <w:highlight w:val="none"/>
        </w:rPr>
      </w:pPr>
    </w:p>
    <w:p w14:paraId="20129746">
      <w:pPr>
        <w:spacing w:line="600" w:lineRule="exact"/>
        <w:jc w:val="left"/>
        <w:rPr>
          <w:rFonts w:ascii="宋体" w:hAnsi="宋体"/>
          <w:b/>
          <w:bCs/>
          <w:sz w:val="72"/>
          <w:szCs w:val="72"/>
          <w:highlight w:val="none"/>
        </w:rPr>
      </w:pPr>
    </w:p>
    <w:p w14:paraId="4300294E">
      <w:pPr>
        <w:spacing w:line="600" w:lineRule="exact"/>
        <w:jc w:val="left"/>
        <w:rPr>
          <w:rFonts w:ascii="宋体" w:hAnsi="宋体"/>
          <w:b/>
          <w:bCs/>
          <w:sz w:val="72"/>
          <w:szCs w:val="72"/>
          <w:highlight w:val="none"/>
        </w:rPr>
      </w:pPr>
    </w:p>
    <w:p w14:paraId="16C21B1C">
      <w:pPr>
        <w:spacing w:line="600" w:lineRule="exact"/>
        <w:jc w:val="left"/>
        <w:rPr>
          <w:rFonts w:ascii="宋体" w:hAnsi="宋体"/>
          <w:b/>
          <w:bCs/>
          <w:sz w:val="72"/>
          <w:szCs w:val="72"/>
          <w:highlight w:val="none"/>
        </w:rPr>
      </w:pPr>
    </w:p>
    <w:p w14:paraId="6C24D327">
      <w:pPr>
        <w:spacing w:line="600" w:lineRule="exact"/>
        <w:jc w:val="left"/>
        <w:rPr>
          <w:rFonts w:ascii="宋体" w:hAnsi="宋体"/>
          <w:b/>
          <w:bCs/>
          <w:sz w:val="72"/>
          <w:szCs w:val="72"/>
          <w:highlight w:val="none"/>
        </w:rPr>
      </w:pPr>
    </w:p>
    <w:p w14:paraId="04D6425B">
      <w:pPr>
        <w:spacing w:line="600" w:lineRule="exact"/>
        <w:jc w:val="left"/>
        <w:rPr>
          <w:rFonts w:ascii="宋体" w:hAnsi="宋体"/>
          <w:b/>
          <w:bCs/>
          <w:sz w:val="72"/>
          <w:szCs w:val="72"/>
          <w:highlight w:val="none"/>
        </w:rPr>
      </w:pPr>
    </w:p>
    <w:p w14:paraId="21799007">
      <w:pPr>
        <w:spacing w:line="600" w:lineRule="exact"/>
        <w:ind w:firstLine="643" w:firstLineChars="200"/>
        <w:rPr>
          <w:rFonts w:ascii="宋体" w:hAnsi="宋体"/>
          <w:b/>
          <w:sz w:val="32"/>
          <w:szCs w:val="32"/>
          <w:highlight w:val="none"/>
        </w:rPr>
      </w:pPr>
      <w:r>
        <w:rPr>
          <w:rFonts w:hint="eastAsia" w:ascii="宋体" w:hAnsi="宋体"/>
          <w:b/>
          <w:sz w:val="32"/>
          <w:szCs w:val="32"/>
          <w:highlight w:val="none"/>
        </w:rPr>
        <w:t>收件人：</w:t>
      </w:r>
      <w:r>
        <w:rPr>
          <w:rFonts w:hint="eastAsia" w:ascii="宋体" w:hAnsi="宋体" w:cs="宋体"/>
          <w:b/>
          <w:sz w:val="32"/>
          <w:szCs w:val="32"/>
          <w:highlight w:val="none"/>
        </w:rPr>
        <w:t>开封市政府采购中心</w:t>
      </w:r>
    </w:p>
    <w:p w14:paraId="5C33646F">
      <w:pPr>
        <w:spacing w:line="600" w:lineRule="exact"/>
        <w:ind w:firstLine="643" w:firstLineChars="200"/>
        <w:rPr>
          <w:rFonts w:ascii="宋体" w:hAnsi="宋体"/>
          <w:b/>
          <w:sz w:val="32"/>
          <w:szCs w:val="32"/>
          <w:highlight w:val="none"/>
          <w:u w:val="single"/>
        </w:rPr>
      </w:pPr>
      <w:r>
        <w:rPr>
          <w:rFonts w:hint="eastAsia" w:ascii="宋体" w:hAnsi="宋体"/>
          <w:b/>
          <w:sz w:val="32"/>
          <w:szCs w:val="32"/>
          <w:highlight w:val="none"/>
        </w:rPr>
        <w:t>供应商：</w:t>
      </w:r>
      <w:r>
        <w:rPr>
          <w:rFonts w:hint="eastAsia" w:ascii="宋体" w:hAnsi="宋体"/>
          <w:b/>
          <w:sz w:val="32"/>
          <w:szCs w:val="32"/>
          <w:highlight w:val="none"/>
          <w:u w:val="single"/>
        </w:rPr>
        <w:t>　　　　　　　　　　　　　　　　　</w:t>
      </w:r>
    </w:p>
    <w:p w14:paraId="4ECC6B30">
      <w:pPr>
        <w:ind w:firstLine="643" w:firstLineChars="200"/>
        <w:rPr>
          <w:rFonts w:ascii="宋体" w:hAnsi="宋体"/>
          <w:b/>
          <w:sz w:val="32"/>
          <w:szCs w:val="32"/>
          <w:highlight w:val="none"/>
          <w:u w:val="single"/>
        </w:rPr>
      </w:pPr>
      <w:r>
        <w:rPr>
          <w:rFonts w:hint="eastAsia" w:ascii="宋体" w:hAnsi="宋体"/>
          <w:b/>
          <w:sz w:val="32"/>
          <w:szCs w:val="32"/>
          <w:highlight w:val="none"/>
        </w:rPr>
        <w:t>供应商地址：</w:t>
      </w:r>
      <w:r>
        <w:rPr>
          <w:rFonts w:hint="eastAsia" w:ascii="宋体" w:hAnsi="宋体"/>
          <w:b/>
          <w:sz w:val="32"/>
          <w:szCs w:val="32"/>
          <w:highlight w:val="none"/>
          <w:u w:val="single"/>
        </w:rPr>
        <w:t>　　　　　　　　　　　　　　　</w:t>
      </w:r>
    </w:p>
    <w:p w14:paraId="7BDD2536">
      <w:pPr>
        <w:ind w:firstLine="3518" w:firstLineChars="1095"/>
        <w:rPr>
          <w:rFonts w:ascii="宋体" w:hAnsi="宋体"/>
          <w:b/>
          <w:sz w:val="32"/>
          <w:szCs w:val="32"/>
          <w:highlight w:val="none"/>
        </w:rPr>
      </w:pPr>
      <w:r>
        <w:rPr>
          <w:rFonts w:hint="eastAsia" w:ascii="宋体" w:hAnsi="宋体"/>
          <w:b/>
          <w:sz w:val="32"/>
          <w:szCs w:val="32"/>
          <w:highlight w:val="none"/>
        </w:rPr>
        <w:t>编制时间</w:t>
      </w: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p w14:paraId="69ED5B62">
      <w:pPr>
        <w:rPr>
          <w:rFonts w:ascii="宋体" w:hAnsi="宋体"/>
          <w:highlight w:val="none"/>
        </w:rPr>
      </w:pPr>
    </w:p>
    <w:p w14:paraId="77AA895D">
      <w:pPr>
        <w:jc w:val="center"/>
        <w:rPr>
          <w:rFonts w:ascii="宋体" w:hAnsi="宋体"/>
          <w:sz w:val="44"/>
          <w:szCs w:val="44"/>
          <w:highlight w:val="none"/>
        </w:rPr>
      </w:pPr>
      <w:bookmarkStart w:id="761" w:name="_Toc338840462"/>
      <w:bookmarkStart w:id="762" w:name="_Toc338840253"/>
      <w:bookmarkStart w:id="763" w:name="_Toc346523422"/>
      <w:bookmarkStart w:id="764" w:name="_Toc338840501"/>
      <w:r>
        <w:rPr>
          <w:rFonts w:hint="eastAsia" w:ascii="宋体" w:hAnsi="宋体"/>
          <w:sz w:val="44"/>
          <w:szCs w:val="44"/>
          <w:highlight w:val="none"/>
        </w:rPr>
        <w:br w:type="page"/>
      </w:r>
      <w:r>
        <w:rPr>
          <w:rFonts w:hint="eastAsia" w:ascii="宋体" w:hAnsi="宋体"/>
          <w:sz w:val="44"/>
          <w:szCs w:val="44"/>
          <w:highlight w:val="none"/>
        </w:rPr>
        <w:t>目　　录</w:t>
      </w:r>
      <w:bookmarkEnd w:id="761"/>
      <w:bookmarkEnd w:id="762"/>
      <w:bookmarkEnd w:id="763"/>
      <w:bookmarkEnd w:id="764"/>
    </w:p>
    <w:p w14:paraId="31058E24">
      <w:pPr>
        <w:rPr>
          <w:rFonts w:ascii="宋体" w:hAnsi="宋体"/>
          <w:highlight w:val="none"/>
        </w:rPr>
      </w:pPr>
    </w:p>
    <w:p w14:paraId="299519C2">
      <w:pPr>
        <w:numPr>
          <w:ilvl w:val="0"/>
          <w:numId w:val="6"/>
        </w:numPr>
        <w:rPr>
          <w:rFonts w:ascii="宋体" w:hAnsi="宋体" w:cs="宋体"/>
          <w:sz w:val="32"/>
          <w:szCs w:val="32"/>
          <w:highlight w:val="none"/>
        </w:rPr>
      </w:pPr>
      <w:r>
        <w:rPr>
          <w:rFonts w:hint="eastAsia" w:ascii="宋体" w:hAnsi="宋体" w:cs="宋体"/>
          <w:sz w:val="32"/>
          <w:szCs w:val="32"/>
          <w:highlight w:val="none"/>
        </w:rPr>
        <w:t>投标函</w:t>
      </w:r>
    </w:p>
    <w:p w14:paraId="7C47406B">
      <w:pPr>
        <w:numPr>
          <w:ilvl w:val="0"/>
          <w:numId w:val="6"/>
        </w:numPr>
        <w:rPr>
          <w:rFonts w:ascii="宋体" w:hAnsi="宋体" w:cs="宋体"/>
          <w:sz w:val="32"/>
          <w:szCs w:val="32"/>
          <w:highlight w:val="none"/>
        </w:rPr>
      </w:pPr>
      <w:r>
        <w:rPr>
          <w:rFonts w:hint="eastAsia" w:ascii="宋体" w:hAnsi="宋体" w:cs="宋体"/>
          <w:sz w:val="32"/>
          <w:szCs w:val="32"/>
          <w:highlight w:val="none"/>
        </w:rPr>
        <w:t>法定代表人资格证明或授权委托书</w:t>
      </w:r>
    </w:p>
    <w:p w14:paraId="19AE2A54">
      <w:pPr>
        <w:numPr>
          <w:ilvl w:val="0"/>
          <w:numId w:val="6"/>
        </w:numPr>
        <w:rPr>
          <w:rFonts w:ascii="宋体" w:hAnsi="宋体" w:cs="宋体"/>
          <w:sz w:val="32"/>
          <w:szCs w:val="32"/>
          <w:highlight w:val="none"/>
        </w:rPr>
      </w:pPr>
      <w:r>
        <w:rPr>
          <w:rFonts w:hint="eastAsia" w:ascii="宋体" w:hAnsi="宋体" w:cs="宋体"/>
          <w:sz w:val="32"/>
          <w:szCs w:val="32"/>
          <w:highlight w:val="none"/>
        </w:rPr>
        <w:t>供应商基本情况和资格证明材料</w:t>
      </w:r>
    </w:p>
    <w:p w14:paraId="4FECE793">
      <w:pPr>
        <w:numPr>
          <w:ilvl w:val="0"/>
          <w:numId w:val="6"/>
        </w:numPr>
        <w:rPr>
          <w:rFonts w:ascii="宋体" w:hAnsi="宋体" w:cs="宋体"/>
          <w:sz w:val="32"/>
          <w:szCs w:val="32"/>
          <w:highlight w:val="none"/>
        </w:rPr>
      </w:pPr>
      <w:r>
        <w:rPr>
          <w:rFonts w:hint="eastAsia" w:ascii="宋体" w:hAnsi="宋体" w:cs="宋体"/>
          <w:sz w:val="32"/>
          <w:szCs w:val="32"/>
          <w:highlight w:val="none"/>
        </w:rPr>
        <w:t>投标内容及报价明细表</w:t>
      </w:r>
    </w:p>
    <w:p w14:paraId="2D3E062A">
      <w:pPr>
        <w:numPr>
          <w:ilvl w:val="0"/>
          <w:numId w:val="6"/>
        </w:numPr>
        <w:rPr>
          <w:rFonts w:hint="eastAsia" w:ascii="宋体" w:hAnsi="宋体" w:cs="宋体"/>
          <w:sz w:val="32"/>
          <w:szCs w:val="32"/>
          <w:highlight w:val="none"/>
        </w:rPr>
      </w:pPr>
      <w:r>
        <w:rPr>
          <w:rFonts w:hint="eastAsia" w:ascii="宋体" w:hAnsi="宋体" w:cs="宋体"/>
          <w:sz w:val="32"/>
          <w:szCs w:val="32"/>
          <w:highlight w:val="none"/>
        </w:rPr>
        <w:t>技术及商务偏差表</w:t>
      </w:r>
    </w:p>
    <w:p w14:paraId="1FA39BEC">
      <w:pPr>
        <w:numPr>
          <w:ilvl w:val="0"/>
          <w:numId w:val="6"/>
        </w:numPr>
        <w:rPr>
          <w:rFonts w:hint="eastAsia" w:ascii="宋体" w:hAnsi="宋体" w:cs="宋体"/>
          <w:sz w:val="32"/>
          <w:szCs w:val="32"/>
          <w:highlight w:val="none"/>
        </w:rPr>
      </w:pPr>
      <w:r>
        <w:rPr>
          <w:rFonts w:hint="eastAsia" w:ascii="宋体" w:hAnsi="宋体" w:cs="宋体"/>
          <w:sz w:val="32"/>
          <w:szCs w:val="32"/>
          <w:highlight w:val="none"/>
        </w:rPr>
        <w:t>业绩合同</w:t>
      </w:r>
    </w:p>
    <w:p w14:paraId="0A2C1B18">
      <w:pPr>
        <w:numPr>
          <w:ilvl w:val="0"/>
          <w:numId w:val="6"/>
        </w:numPr>
        <w:rPr>
          <w:rFonts w:hint="eastAsia" w:ascii="宋体" w:hAnsi="宋体" w:cs="宋体"/>
          <w:sz w:val="32"/>
          <w:szCs w:val="32"/>
          <w:highlight w:val="none"/>
        </w:rPr>
      </w:pPr>
      <w:r>
        <w:rPr>
          <w:rFonts w:hint="eastAsia" w:ascii="宋体" w:hAnsi="宋体" w:cs="宋体"/>
          <w:sz w:val="32"/>
          <w:szCs w:val="32"/>
          <w:highlight w:val="none"/>
        </w:rPr>
        <w:t>企业</w:t>
      </w:r>
      <w:r>
        <w:rPr>
          <w:rFonts w:hint="eastAsia" w:ascii="宋体" w:hAnsi="宋体" w:cs="宋体"/>
          <w:sz w:val="32"/>
          <w:szCs w:val="32"/>
          <w:highlight w:val="none"/>
          <w:lang w:val="en-US" w:eastAsia="zh-CN"/>
        </w:rPr>
        <w:t>规范性</w:t>
      </w:r>
    </w:p>
    <w:p w14:paraId="7E1DF38F">
      <w:pPr>
        <w:numPr>
          <w:ilvl w:val="0"/>
          <w:numId w:val="6"/>
        </w:numPr>
        <w:rPr>
          <w:rFonts w:hint="eastAsia" w:ascii="宋体" w:hAnsi="宋体" w:cs="宋体"/>
          <w:sz w:val="32"/>
          <w:szCs w:val="32"/>
          <w:highlight w:val="none"/>
        </w:rPr>
      </w:pPr>
      <w:r>
        <w:rPr>
          <w:rFonts w:hint="eastAsia" w:ascii="宋体" w:hAnsi="宋体" w:cs="宋体"/>
          <w:sz w:val="32"/>
          <w:szCs w:val="32"/>
          <w:highlight w:val="none"/>
          <w:lang w:eastAsia="zh-CN"/>
        </w:rPr>
        <w:t>服务承诺</w:t>
      </w:r>
    </w:p>
    <w:p w14:paraId="1D6E4E50">
      <w:pPr>
        <w:numPr>
          <w:ilvl w:val="0"/>
          <w:numId w:val="6"/>
        </w:numPr>
        <w:rPr>
          <w:rFonts w:hint="eastAsia" w:ascii="宋体" w:hAnsi="宋体" w:cs="宋体"/>
          <w:sz w:val="32"/>
          <w:szCs w:val="32"/>
          <w:highlight w:val="none"/>
        </w:rPr>
      </w:pPr>
      <w:r>
        <w:rPr>
          <w:rFonts w:hint="eastAsia" w:ascii="宋体" w:hAnsi="宋体" w:cs="宋体"/>
          <w:sz w:val="32"/>
          <w:szCs w:val="32"/>
          <w:highlight w:val="none"/>
          <w:lang w:eastAsia="zh-CN"/>
        </w:rPr>
        <w:t>服务方案</w:t>
      </w:r>
    </w:p>
    <w:p w14:paraId="3E21D88D">
      <w:pPr>
        <w:numPr>
          <w:ilvl w:val="0"/>
          <w:numId w:val="6"/>
        </w:numPr>
        <w:rPr>
          <w:rFonts w:hint="eastAsia" w:ascii="宋体" w:hAnsi="宋体" w:cs="宋体"/>
          <w:sz w:val="32"/>
          <w:szCs w:val="32"/>
          <w:highlight w:val="none"/>
        </w:rPr>
      </w:pPr>
      <w:r>
        <w:rPr>
          <w:rFonts w:hint="eastAsia" w:ascii="宋体" w:hAnsi="宋体" w:cs="宋体"/>
          <w:sz w:val="32"/>
          <w:szCs w:val="32"/>
          <w:highlight w:val="none"/>
        </w:rPr>
        <w:t>相关证明材料</w:t>
      </w:r>
    </w:p>
    <w:p w14:paraId="26F00749">
      <w:pPr>
        <w:rPr>
          <w:rFonts w:ascii="宋体" w:hAnsi="宋体"/>
          <w:sz w:val="32"/>
          <w:szCs w:val="32"/>
          <w:highlight w:val="none"/>
        </w:rPr>
      </w:pPr>
    </w:p>
    <w:p w14:paraId="4964E918">
      <w:pPr>
        <w:topLinePunct/>
        <w:rPr>
          <w:rFonts w:hint="eastAsia" w:ascii="宋体" w:hAnsi="宋体" w:cs="宋体"/>
          <w:sz w:val="28"/>
          <w:szCs w:val="28"/>
          <w:highlight w:val="none"/>
          <w:lang w:val="en-US" w:eastAsia="zh-CN"/>
        </w:rPr>
      </w:pPr>
      <w:r>
        <w:rPr>
          <w:rFonts w:ascii="宋体" w:hAnsi="宋体"/>
          <w:kern w:val="44"/>
          <w:sz w:val="44"/>
          <w:szCs w:val="44"/>
          <w:highlight w:val="none"/>
        </w:rPr>
        <w:br w:type="page"/>
      </w:r>
      <w:bookmarkStart w:id="765" w:name="_Toc288115087"/>
      <w:bookmarkStart w:id="766" w:name="_Toc288115062"/>
      <w:r>
        <w:rPr>
          <w:rFonts w:hint="eastAsia" w:ascii="宋体" w:hAnsi="宋体" w:cs="宋体"/>
          <w:sz w:val="28"/>
          <w:szCs w:val="28"/>
          <w:highlight w:val="none"/>
          <w:lang w:val="en-US" w:eastAsia="zh-CN"/>
        </w:rPr>
        <w:t>投标函（实质性要求）</w:t>
      </w:r>
    </w:p>
    <w:p w14:paraId="0724915A">
      <w:pPr>
        <w:topLinePunct/>
        <w:spacing w:line="440" w:lineRule="exact"/>
        <w:jc w:val="center"/>
        <w:rPr>
          <w:rFonts w:hint="eastAsia" w:ascii="宋体" w:hAnsi="宋体" w:eastAsia="宋体" w:cs="仿宋_GB2312"/>
          <w:b/>
          <w:bCs/>
          <w:sz w:val="21"/>
          <w:szCs w:val="21"/>
          <w:highlight w:val="none"/>
          <w:lang w:eastAsia="zh-CN"/>
        </w:rPr>
      </w:pPr>
      <w:r>
        <w:rPr>
          <w:rFonts w:hint="eastAsia" w:ascii="宋体" w:hAnsi="宋体" w:cs="仿宋_GB2312"/>
          <w:b/>
          <w:bCs/>
          <w:sz w:val="44"/>
          <w:szCs w:val="44"/>
          <w:highlight w:val="none"/>
        </w:rPr>
        <w:t>一　　投 标 函</w:t>
      </w:r>
    </w:p>
    <w:p w14:paraId="25958542">
      <w:pPr>
        <w:topLinePunct/>
        <w:spacing w:line="440" w:lineRule="exact"/>
        <w:rPr>
          <w:rFonts w:ascii="宋体" w:hAnsi="宋体" w:cs="仿宋_GB2312"/>
          <w:sz w:val="32"/>
          <w:szCs w:val="32"/>
          <w:highlight w:val="none"/>
        </w:rPr>
      </w:pPr>
    </w:p>
    <w:p w14:paraId="2B5AAEA7">
      <w:pPr>
        <w:topLinePunct/>
        <w:rPr>
          <w:rFonts w:hint="default" w:ascii="宋体" w:hAnsi="宋体" w:eastAsia="宋体" w:cs="宋体"/>
          <w:sz w:val="32"/>
          <w:szCs w:val="32"/>
          <w:highlight w:val="none"/>
          <w:u w:val="single"/>
          <w:lang w:val="en-US" w:eastAsia="zh-CN"/>
        </w:rPr>
      </w:pPr>
      <w:r>
        <w:rPr>
          <w:rFonts w:hint="eastAsia" w:ascii="宋体" w:hAnsi="宋体" w:cs="宋体"/>
          <w:sz w:val="32"/>
          <w:szCs w:val="32"/>
          <w:highlight w:val="none"/>
        </w:rPr>
        <w:t>致</w:t>
      </w:r>
      <w:r>
        <w:rPr>
          <w:rFonts w:hint="eastAsia" w:ascii="宋体" w:hAnsi="宋体" w:cs="宋体"/>
          <w:sz w:val="32"/>
          <w:szCs w:val="32"/>
          <w:highlight w:val="none"/>
          <w:lang w:val="en-US" w:eastAsia="zh-CN"/>
        </w:rPr>
        <w:t>(采购人)</w:t>
      </w:r>
      <w:r>
        <w:rPr>
          <w:rFonts w:hint="eastAsia" w:ascii="宋体" w:hAnsi="宋体" w:cs="宋体"/>
          <w:sz w:val="32"/>
          <w:szCs w:val="32"/>
          <w:highlight w:val="none"/>
        </w:rPr>
        <w:t>：</w:t>
      </w:r>
      <w:r>
        <w:rPr>
          <w:rFonts w:hint="eastAsia" w:ascii="宋体" w:hAnsi="宋体" w:cs="宋体"/>
          <w:sz w:val="32"/>
          <w:szCs w:val="32"/>
          <w:highlight w:val="none"/>
          <w:u w:val="single"/>
          <w:lang w:val="en-US" w:eastAsia="zh-CN"/>
        </w:rPr>
        <w:t xml:space="preserve">                  </w:t>
      </w:r>
    </w:p>
    <w:p w14:paraId="070A4AAD">
      <w:pPr>
        <w:topLinePunct/>
        <w:ind w:firstLine="640" w:firstLineChars="200"/>
        <w:rPr>
          <w:rFonts w:ascii="宋体" w:hAnsi="宋体" w:cs="仿宋_GB2312"/>
          <w:sz w:val="32"/>
          <w:szCs w:val="32"/>
          <w:highlight w:val="none"/>
        </w:rPr>
      </w:pPr>
      <w:r>
        <w:rPr>
          <w:rFonts w:hint="eastAsia" w:ascii="宋体" w:hAnsi="宋体" w:cs="仿宋_GB2312"/>
          <w:sz w:val="32"/>
          <w:szCs w:val="32"/>
          <w:highlight w:val="none"/>
        </w:rPr>
        <w:t>我方</w:t>
      </w:r>
      <w:r>
        <w:rPr>
          <w:rFonts w:hint="eastAsia" w:ascii="宋体" w:hAnsi="宋体" w:cs="仿宋_GB2312"/>
          <w:sz w:val="32"/>
          <w:szCs w:val="32"/>
          <w:highlight w:val="none"/>
          <w:lang w:val="en-US" w:eastAsia="zh-CN"/>
        </w:rPr>
        <w:t>已详细审查</w:t>
      </w:r>
      <w:r>
        <w:rPr>
          <w:rFonts w:hint="eastAsia" w:ascii="宋体" w:hAnsi="宋体" w:cs="仿宋_GB2312"/>
          <w:sz w:val="32"/>
          <w:szCs w:val="32"/>
          <w:highlight w:val="none"/>
          <w:u w:val="single"/>
        </w:rPr>
        <w:t xml:space="preserve">                 </w:t>
      </w:r>
      <w:r>
        <w:rPr>
          <w:rFonts w:hint="eastAsia" w:ascii="宋体" w:hAnsi="宋体" w:cs="仿宋_GB2312"/>
          <w:sz w:val="32"/>
          <w:szCs w:val="32"/>
          <w:highlight w:val="none"/>
        </w:rPr>
        <w:t>项目（项目编号：</w:t>
      </w:r>
      <w:r>
        <w:rPr>
          <w:rFonts w:hint="eastAsia" w:ascii="宋体" w:hAnsi="宋体" w:cs="仿宋_GB2312"/>
          <w:sz w:val="32"/>
          <w:szCs w:val="32"/>
          <w:highlight w:val="none"/>
          <w:u w:val="single"/>
        </w:rPr>
        <w:t xml:space="preserve">        </w:t>
      </w:r>
      <w:r>
        <w:rPr>
          <w:rFonts w:hint="eastAsia" w:ascii="宋体" w:hAnsi="宋体" w:cs="仿宋_GB2312"/>
          <w:sz w:val="32"/>
          <w:szCs w:val="32"/>
          <w:highlight w:val="none"/>
        </w:rPr>
        <w:t>）招标文件全部内容，</w:t>
      </w:r>
      <w:r>
        <w:rPr>
          <w:rFonts w:hint="eastAsia" w:ascii="宋体" w:hAnsi="宋体" w:cs="仿宋_GB2312"/>
          <w:sz w:val="32"/>
          <w:szCs w:val="32"/>
          <w:highlight w:val="none"/>
          <w:lang w:val="en-US" w:eastAsia="zh-CN"/>
        </w:rPr>
        <w:t>自愿参加投标</w:t>
      </w:r>
      <w:r>
        <w:rPr>
          <w:rFonts w:hint="eastAsia" w:ascii="宋体" w:hAnsi="宋体" w:cs="仿宋_GB2312"/>
          <w:sz w:val="32"/>
          <w:szCs w:val="32"/>
          <w:highlight w:val="none"/>
        </w:rPr>
        <w:t>并承诺</w:t>
      </w:r>
      <w:r>
        <w:rPr>
          <w:rFonts w:hint="eastAsia" w:ascii="宋体" w:hAnsi="宋体" w:cs="仿宋_GB2312"/>
          <w:sz w:val="32"/>
          <w:szCs w:val="32"/>
          <w:highlight w:val="none"/>
          <w:lang w:val="en-US" w:eastAsia="zh-CN"/>
        </w:rPr>
        <w:t>如下</w:t>
      </w:r>
      <w:r>
        <w:rPr>
          <w:rFonts w:hint="eastAsia" w:ascii="宋体" w:hAnsi="宋体" w:cs="仿宋_GB2312"/>
          <w:sz w:val="32"/>
          <w:szCs w:val="32"/>
          <w:highlight w:val="none"/>
        </w:rPr>
        <w:t>：</w:t>
      </w:r>
    </w:p>
    <w:p w14:paraId="680582FC">
      <w:pPr>
        <w:numPr>
          <w:ilvl w:val="0"/>
          <w:numId w:val="7"/>
        </w:numPr>
        <w:topLinePunct/>
        <w:ind w:left="1" w:leftChars="0" w:firstLine="419" w:firstLineChars="0"/>
        <w:rPr>
          <w:rFonts w:ascii="宋体" w:hAnsi="宋体" w:cs="宋体"/>
          <w:sz w:val="32"/>
          <w:szCs w:val="32"/>
          <w:highlight w:val="none"/>
        </w:rPr>
      </w:pPr>
      <w:r>
        <w:rPr>
          <w:rFonts w:hint="eastAsia" w:ascii="宋体" w:hAnsi="宋体" w:cs="宋体"/>
          <w:sz w:val="32"/>
          <w:szCs w:val="32"/>
          <w:highlight w:val="none"/>
        </w:rPr>
        <w:t>投标报价（人民币）大写：</w:t>
      </w:r>
      <w:r>
        <w:rPr>
          <w:rFonts w:hint="eastAsia" w:ascii="宋体" w:hAnsi="宋体" w:cs="宋体"/>
          <w:sz w:val="32"/>
          <w:szCs w:val="32"/>
          <w:highlight w:val="none"/>
          <w:u w:val="single"/>
        </w:rPr>
        <w:t xml:space="preserve">           </w:t>
      </w:r>
      <w:r>
        <w:rPr>
          <w:rFonts w:hint="eastAsia" w:ascii="宋体" w:hAnsi="宋体" w:cs="宋体"/>
          <w:sz w:val="32"/>
          <w:szCs w:val="32"/>
          <w:highlight w:val="none"/>
        </w:rPr>
        <w:t>小写：</w:t>
      </w:r>
      <w:r>
        <w:rPr>
          <w:rFonts w:hint="eastAsia" w:ascii="宋体" w:hAnsi="宋体" w:cs="宋体"/>
          <w:sz w:val="32"/>
          <w:szCs w:val="32"/>
          <w:highlight w:val="none"/>
          <w:u w:val="single"/>
        </w:rPr>
        <w:t xml:space="preserve">      </w:t>
      </w:r>
      <w:r>
        <w:rPr>
          <w:rFonts w:hint="eastAsia" w:ascii="宋体" w:hAnsi="宋体" w:cs="宋体"/>
          <w:sz w:val="32"/>
          <w:szCs w:val="32"/>
          <w:highlight w:val="none"/>
          <w:u w:val="none"/>
          <w:lang w:val="en-US" w:eastAsia="zh-CN"/>
        </w:rPr>
        <w:t>元</w:t>
      </w:r>
      <w:r>
        <w:rPr>
          <w:rFonts w:hint="eastAsia" w:ascii="宋体" w:hAnsi="宋体" w:cs="宋体"/>
          <w:sz w:val="32"/>
          <w:szCs w:val="32"/>
          <w:highlight w:val="none"/>
        </w:rPr>
        <w:t>。</w:t>
      </w:r>
      <w:r>
        <w:rPr>
          <w:rFonts w:hint="eastAsia" w:ascii="华文楷体" w:hAnsi="华文楷体" w:eastAsia="华文楷体" w:cs="华文楷体"/>
          <w:sz w:val="32"/>
          <w:szCs w:val="32"/>
          <w:highlight w:val="none"/>
          <w:lang w:eastAsia="zh-CN"/>
        </w:rPr>
        <w:t>（</w:t>
      </w:r>
      <w:r>
        <w:rPr>
          <w:rFonts w:hint="eastAsia" w:ascii="华文楷体" w:hAnsi="华文楷体" w:eastAsia="华文楷体" w:cs="华文楷体"/>
          <w:sz w:val="32"/>
          <w:szCs w:val="32"/>
          <w:highlight w:val="none"/>
          <w:lang w:val="en-US" w:eastAsia="zh-CN"/>
        </w:rPr>
        <w:t>与</w:t>
      </w:r>
      <w:r>
        <w:rPr>
          <w:rFonts w:hint="eastAsia" w:ascii="华文楷体" w:hAnsi="华文楷体" w:eastAsia="华文楷体" w:cs="华文楷体"/>
          <w:sz w:val="32"/>
          <w:szCs w:val="32"/>
          <w:highlight w:val="none"/>
        </w:rPr>
        <w:t>投标内容及报价明细表</w:t>
      </w:r>
      <w:r>
        <w:rPr>
          <w:rFonts w:hint="eastAsia" w:ascii="华文楷体" w:hAnsi="华文楷体" w:eastAsia="华文楷体" w:cs="华文楷体"/>
          <w:sz w:val="32"/>
          <w:szCs w:val="32"/>
          <w:highlight w:val="none"/>
          <w:lang w:val="en-US" w:eastAsia="zh-CN"/>
        </w:rPr>
        <w:t>中“价格总合计”相同</w:t>
      </w:r>
      <w:r>
        <w:rPr>
          <w:rFonts w:hint="eastAsia" w:ascii="华文楷体" w:hAnsi="华文楷体" w:eastAsia="华文楷体" w:cs="华文楷体"/>
          <w:sz w:val="32"/>
          <w:szCs w:val="32"/>
          <w:highlight w:val="none"/>
          <w:lang w:eastAsia="zh-CN"/>
        </w:rPr>
        <w:t>）</w:t>
      </w:r>
    </w:p>
    <w:p w14:paraId="2BE0964D">
      <w:pPr>
        <w:numPr>
          <w:ilvl w:val="0"/>
          <w:numId w:val="7"/>
        </w:numPr>
        <w:topLinePunct/>
        <w:ind w:left="1" w:leftChars="0" w:firstLine="419" w:firstLineChars="0"/>
        <w:rPr>
          <w:rFonts w:ascii="宋体" w:hAnsi="宋体" w:cs="宋体"/>
          <w:sz w:val="32"/>
          <w:szCs w:val="32"/>
          <w:highlight w:val="none"/>
        </w:rPr>
      </w:pPr>
      <w:r>
        <w:rPr>
          <w:rFonts w:hint="eastAsia" w:ascii="宋体" w:hAnsi="宋体" w:cs="宋体"/>
          <w:sz w:val="32"/>
          <w:szCs w:val="32"/>
          <w:highlight w:val="none"/>
        </w:rPr>
        <w:t>合同履行期限：合同签订生效后</w:t>
      </w:r>
      <w:r>
        <w:rPr>
          <w:rFonts w:hint="eastAsia" w:ascii="宋体" w:hAnsi="宋体" w:cs="宋体"/>
          <w:sz w:val="32"/>
          <w:szCs w:val="32"/>
          <w:highlight w:val="none"/>
          <w:u w:val="single"/>
        </w:rPr>
        <w:t xml:space="preserve">       </w:t>
      </w:r>
      <w:r>
        <w:rPr>
          <w:rFonts w:hint="eastAsia" w:ascii="宋体" w:hAnsi="宋体" w:cs="宋体"/>
          <w:sz w:val="32"/>
          <w:szCs w:val="32"/>
          <w:highlight w:val="none"/>
          <w:u w:val="none"/>
          <w:lang w:val="en-US" w:eastAsia="zh-CN"/>
        </w:rPr>
        <w:t>时间内</w:t>
      </w:r>
      <w:r>
        <w:rPr>
          <w:rFonts w:hint="eastAsia" w:ascii="宋体" w:hAnsi="宋体" w:cs="宋体"/>
          <w:sz w:val="32"/>
          <w:szCs w:val="32"/>
          <w:highlight w:val="none"/>
        </w:rPr>
        <w:t>完成项目全部工作。</w:t>
      </w:r>
    </w:p>
    <w:p w14:paraId="67558FEE">
      <w:pPr>
        <w:numPr>
          <w:ilvl w:val="0"/>
          <w:numId w:val="7"/>
        </w:numPr>
        <w:topLinePunct/>
        <w:ind w:left="1" w:leftChars="0" w:firstLine="419" w:firstLineChars="0"/>
        <w:rPr>
          <w:rFonts w:ascii="宋体" w:hAnsi="宋体" w:cs="宋体"/>
          <w:sz w:val="32"/>
          <w:szCs w:val="32"/>
          <w:highlight w:val="none"/>
        </w:rPr>
      </w:pPr>
      <w:r>
        <w:rPr>
          <w:rFonts w:hint="eastAsia" w:ascii="宋体" w:hAnsi="宋体" w:cs="宋体"/>
          <w:sz w:val="32"/>
          <w:szCs w:val="32"/>
          <w:highlight w:val="none"/>
        </w:rPr>
        <w:t>投标有效期：自投标截止之日起</w:t>
      </w:r>
      <w:r>
        <w:rPr>
          <w:rFonts w:hint="eastAsia" w:ascii="宋体" w:hAnsi="宋体" w:cs="宋体"/>
          <w:sz w:val="32"/>
          <w:szCs w:val="32"/>
          <w:highlight w:val="none"/>
          <w:u w:val="single"/>
        </w:rPr>
        <w:t xml:space="preserve"> 60  </w:t>
      </w:r>
      <w:r>
        <w:rPr>
          <w:rFonts w:hint="eastAsia" w:ascii="宋体" w:hAnsi="宋体" w:cs="宋体"/>
          <w:sz w:val="32"/>
          <w:szCs w:val="32"/>
          <w:highlight w:val="none"/>
        </w:rPr>
        <w:t>日历天（不少于要求的时间）。</w:t>
      </w:r>
    </w:p>
    <w:p w14:paraId="4C657233">
      <w:pPr>
        <w:numPr>
          <w:ilvl w:val="0"/>
          <w:numId w:val="7"/>
        </w:numPr>
        <w:topLinePunct/>
        <w:ind w:left="1" w:leftChars="0" w:firstLine="419" w:firstLineChars="0"/>
        <w:rPr>
          <w:rFonts w:ascii="宋体" w:hAnsi="宋体" w:cs="宋体"/>
          <w:sz w:val="32"/>
          <w:szCs w:val="32"/>
          <w:highlight w:val="none"/>
        </w:rPr>
      </w:pPr>
      <w:r>
        <w:rPr>
          <w:rFonts w:hint="eastAsia" w:ascii="宋体" w:hAnsi="宋体" w:cs="宋体"/>
          <w:sz w:val="32"/>
          <w:szCs w:val="32"/>
          <w:highlight w:val="none"/>
        </w:rPr>
        <w:t>付款方式：</w:t>
      </w:r>
      <w:r>
        <w:rPr>
          <w:rFonts w:hint="eastAsia" w:ascii="宋体" w:hAnsi="宋体" w:cs="宋体"/>
          <w:sz w:val="32"/>
          <w:szCs w:val="32"/>
          <w:highlight w:val="none"/>
          <w:u w:val="single"/>
        </w:rPr>
        <w:t xml:space="preserve">   响应   </w:t>
      </w:r>
      <w:r>
        <w:rPr>
          <w:rFonts w:hint="eastAsia" w:ascii="宋体" w:hAnsi="宋体" w:cs="宋体"/>
          <w:sz w:val="32"/>
          <w:szCs w:val="32"/>
          <w:highlight w:val="none"/>
        </w:rPr>
        <w:t>招标文件要求。</w:t>
      </w:r>
    </w:p>
    <w:p w14:paraId="6376085C">
      <w:pPr>
        <w:numPr>
          <w:ilvl w:val="0"/>
          <w:numId w:val="7"/>
        </w:numPr>
        <w:topLinePunct/>
        <w:ind w:left="1" w:leftChars="0" w:firstLine="419" w:firstLineChars="0"/>
        <w:rPr>
          <w:rFonts w:ascii="宋体" w:hAnsi="宋体" w:cs="宋体"/>
          <w:sz w:val="32"/>
          <w:szCs w:val="32"/>
          <w:highlight w:val="none"/>
        </w:rPr>
      </w:pPr>
      <w:r>
        <w:rPr>
          <w:rFonts w:hint="eastAsia" w:ascii="宋体" w:hAnsi="宋体" w:cs="宋体"/>
          <w:sz w:val="32"/>
          <w:szCs w:val="32"/>
          <w:highlight w:val="none"/>
        </w:rPr>
        <w:t>质量要求：质量符合</w:t>
      </w:r>
      <w:r>
        <w:rPr>
          <w:rFonts w:hint="eastAsia" w:ascii="宋体" w:hAnsi="宋体" w:cs="宋体"/>
          <w:sz w:val="32"/>
          <w:szCs w:val="32"/>
          <w:highlight w:val="none"/>
          <w:u w:val="single"/>
        </w:rPr>
        <w:t>　国家标准　</w:t>
      </w:r>
      <w:r>
        <w:rPr>
          <w:rFonts w:hint="eastAsia" w:ascii="宋体" w:hAnsi="宋体" w:cs="宋体"/>
          <w:sz w:val="32"/>
          <w:szCs w:val="32"/>
          <w:highlight w:val="none"/>
        </w:rPr>
        <w:t>。</w:t>
      </w:r>
    </w:p>
    <w:p w14:paraId="3C3B0F8C">
      <w:pPr>
        <w:numPr>
          <w:ilvl w:val="0"/>
          <w:numId w:val="7"/>
        </w:numPr>
        <w:topLinePunct/>
        <w:ind w:left="1" w:leftChars="0" w:firstLine="419" w:firstLineChars="0"/>
        <w:rPr>
          <w:rFonts w:hint="eastAsia" w:ascii="宋体" w:hAnsi="宋体" w:cs="宋体"/>
          <w:color w:val="000000" w:themeColor="text1"/>
          <w:sz w:val="32"/>
          <w:szCs w:val="32"/>
          <w:highlight w:val="none"/>
          <w:lang w:val="en-US" w:eastAsia="zh-CN"/>
          <w14:textFill>
            <w14:solidFill>
              <w14:schemeClr w14:val="tx1"/>
            </w14:solidFill>
          </w14:textFill>
        </w:rPr>
      </w:pPr>
      <w:r>
        <w:rPr>
          <w:rFonts w:hint="eastAsia" w:ascii="宋体" w:hAnsi="宋体" w:cs="宋体"/>
          <w:color w:val="000000" w:themeColor="text1"/>
          <w:sz w:val="32"/>
          <w:szCs w:val="32"/>
          <w:highlight w:val="none"/>
          <w:lang w:val="en-US" w:eastAsia="zh-CN"/>
          <w14:textFill>
            <w14:solidFill>
              <w14:schemeClr w14:val="tx1"/>
            </w14:solidFill>
          </w14:textFill>
        </w:rPr>
        <w:t>投标是否包含进口产品：</w:t>
      </w:r>
      <w:r>
        <w:rPr>
          <w:rFonts w:hint="eastAsia" w:ascii="宋体" w:hAnsi="宋体" w:cs="宋体"/>
          <w:color w:val="000000" w:themeColor="text1"/>
          <w:sz w:val="32"/>
          <w:szCs w:val="32"/>
          <w:highlight w:val="none"/>
          <w:u w:val="single"/>
          <w:lang w:val="en-US" w:eastAsia="zh-CN"/>
          <w14:textFill>
            <w14:solidFill>
              <w14:schemeClr w14:val="tx1"/>
            </w14:solidFill>
          </w14:textFill>
        </w:rPr>
        <w:t xml:space="preserve">  否  </w:t>
      </w:r>
      <w:r>
        <w:rPr>
          <w:rFonts w:hint="eastAsia" w:ascii="宋体" w:hAnsi="宋体" w:cs="宋体"/>
          <w:color w:val="000000" w:themeColor="text1"/>
          <w:sz w:val="32"/>
          <w:szCs w:val="32"/>
          <w:highlight w:val="none"/>
          <w:u w:val="none"/>
          <w:lang w:val="en-US" w:eastAsia="zh-CN"/>
          <w14:textFill>
            <w14:solidFill>
              <w14:schemeClr w14:val="tx1"/>
            </w14:solidFill>
          </w14:textFill>
        </w:rPr>
        <w:t>。</w:t>
      </w:r>
    </w:p>
    <w:p w14:paraId="25735FD9">
      <w:pPr>
        <w:numPr>
          <w:ilvl w:val="0"/>
          <w:numId w:val="7"/>
        </w:numPr>
        <w:topLinePunct/>
        <w:ind w:left="1" w:leftChars="0" w:firstLine="419" w:firstLineChars="0"/>
        <w:rPr>
          <w:rFonts w:hint="eastAsia" w:ascii="宋体" w:hAnsi="宋体" w:cs="宋体"/>
          <w:color w:val="000000" w:themeColor="text1"/>
          <w:sz w:val="32"/>
          <w:szCs w:val="32"/>
          <w:highlight w:val="none"/>
          <w:lang w:val="en-US" w:eastAsia="zh-CN"/>
          <w14:textFill>
            <w14:solidFill>
              <w14:schemeClr w14:val="tx1"/>
            </w14:solidFill>
          </w14:textFill>
        </w:rPr>
      </w:pPr>
      <w:r>
        <w:rPr>
          <w:rFonts w:hint="eastAsia" w:ascii="宋体" w:hAnsi="宋体" w:cs="宋体"/>
          <w:color w:val="000000" w:themeColor="text1"/>
          <w:sz w:val="32"/>
          <w:szCs w:val="32"/>
          <w:highlight w:val="none"/>
          <w:u w:val="none"/>
          <w:lang w:val="en-US" w:eastAsia="zh-CN"/>
          <w14:textFill>
            <w14:solidFill>
              <w14:schemeClr w14:val="tx1"/>
            </w14:solidFill>
          </w14:textFill>
        </w:rPr>
        <w:t>是否为联合体投标：</w:t>
      </w:r>
      <w:r>
        <w:rPr>
          <w:rFonts w:hint="eastAsia" w:ascii="宋体" w:hAnsi="宋体" w:cs="宋体"/>
          <w:color w:val="000000" w:themeColor="text1"/>
          <w:sz w:val="32"/>
          <w:szCs w:val="32"/>
          <w:highlight w:val="none"/>
          <w:u w:val="single"/>
          <w:lang w:val="en-US" w:eastAsia="zh-CN"/>
          <w14:textFill>
            <w14:solidFill>
              <w14:schemeClr w14:val="tx1"/>
            </w14:solidFill>
          </w14:textFill>
        </w:rPr>
        <w:t xml:space="preserve">  否  </w:t>
      </w:r>
      <w:r>
        <w:rPr>
          <w:rFonts w:hint="eastAsia" w:ascii="宋体" w:hAnsi="宋体" w:cs="宋体"/>
          <w:color w:val="000000" w:themeColor="text1"/>
          <w:sz w:val="32"/>
          <w:szCs w:val="32"/>
          <w:highlight w:val="none"/>
          <w:u w:val="none"/>
          <w:lang w:val="en-US" w:eastAsia="zh-CN"/>
          <w14:textFill>
            <w14:solidFill>
              <w14:schemeClr w14:val="tx1"/>
            </w14:solidFill>
          </w14:textFill>
        </w:rPr>
        <w:t>。</w:t>
      </w:r>
    </w:p>
    <w:p w14:paraId="6D76F87F">
      <w:pPr>
        <w:numPr>
          <w:ilvl w:val="0"/>
          <w:numId w:val="7"/>
        </w:numPr>
        <w:topLinePunct/>
        <w:ind w:left="1" w:leftChars="0" w:firstLine="419" w:firstLineChars="0"/>
        <w:rPr>
          <w:rFonts w:hint="eastAsia" w:ascii="宋体" w:hAnsi="宋体" w:cs="宋体"/>
          <w:color w:val="000000" w:themeColor="text1"/>
          <w:sz w:val="32"/>
          <w:szCs w:val="32"/>
          <w:highlight w:val="none"/>
          <w:u w:val="none"/>
          <w:lang w:val="en-US" w:eastAsia="zh-CN"/>
          <w14:textFill>
            <w14:solidFill>
              <w14:schemeClr w14:val="tx1"/>
            </w14:solidFill>
          </w14:textFill>
        </w:rPr>
      </w:pPr>
      <w:r>
        <w:rPr>
          <w:rFonts w:hint="eastAsia" w:ascii="宋体" w:hAnsi="宋体" w:cs="宋体"/>
          <w:color w:val="000000" w:themeColor="text1"/>
          <w:sz w:val="32"/>
          <w:szCs w:val="32"/>
          <w:highlight w:val="none"/>
          <w:u w:val="none"/>
          <w:lang w:val="en-US" w:eastAsia="zh-CN"/>
          <w14:textFill>
            <w14:solidFill>
              <w14:schemeClr w14:val="tx1"/>
            </w14:solidFill>
          </w14:textFill>
        </w:rPr>
        <w:t>是否将项目分包给他人履行：</w:t>
      </w:r>
      <w:r>
        <w:rPr>
          <w:rFonts w:hint="eastAsia" w:ascii="宋体" w:hAnsi="宋体" w:cs="宋体"/>
          <w:color w:val="000000" w:themeColor="text1"/>
          <w:sz w:val="32"/>
          <w:szCs w:val="32"/>
          <w:highlight w:val="none"/>
          <w:u w:val="single"/>
          <w:lang w:val="en-US" w:eastAsia="zh-CN"/>
          <w14:textFill>
            <w14:solidFill>
              <w14:schemeClr w14:val="tx1"/>
            </w14:solidFill>
          </w14:textFill>
        </w:rPr>
        <w:t xml:space="preserve"> 否  </w:t>
      </w:r>
      <w:r>
        <w:rPr>
          <w:rFonts w:hint="eastAsia" w:ascii="宋体" w:hAnsi="宋体" w:cs="宋体"/>
          <w:color w:val="000000" w:themeColor="text1"/>
          <w:sz w:val="32"/>
          <w:szCs w:val="32"/>
          <w:highlight w:val="none"/>
          <w:u w:val="none"/>
          <w:lang w:val="en-US" w:eastAsia="zh-CN"/>
          <w14:textFill>
            <w14:solidFill>
              <w14:schemeClr w14:val="tx1"/>
            </w14:solidFill>
          </w14:textFill>
        </w:rPr>
        <w:t>。</w:t>
      </w:r>
    </w:p>
    <w:p w14:paraId="6CBDE9CE">
      <w:pPr>
        <w:numPr>
          <w:ilvl w:val="0"/>
          <w:numId w:val="7"/>
        </w:numPr>
        <w:topLinePunct/>
        <w:ind w:left="1" w:leftChars="0" w:firstLine="419" w:firstLineChars="0"/>
        <w:rPr>
          <w:rFonts w:ascii="宋体" w:hAnsi="宋体" w:cs="宋体"/>
          <w:sz w:val="32"/>
          <w:szCs w:val="32"/>
          <w:highlight w:val="none"/>
        </w:rPr>
      </w:pPr>
      <w:r>
        <w:rPr>
          <w:rFonts w:hint="eastAsia" w:ascii="宋体" w:hAnsi="宋体" w:cs="宋体"/>
          <w:sz w:val="32"/>
          <w:szCs w:val="32"/>
          <w:highlight w:val="none"/>
          <w:u w:val="none"/>
          <w:lang w:val="en-US" w:eastAsia="zh-CN"/>
        </w:rPr>
        <w:t>除在技术及商务偏差表中列出的偏差外，我方响应招标采购文件的全部要求。</w:t>
      </w:r>
    </w:p>
    <w:p w14:paraId="41F42989">
      <w:pPr>
        <w:numPr>
          <w:ilvl w:val="0"/>
          <w:numId w:val="7"/>
        </w:numPr>
        <w:topLinePunct/>
        <w:ind w:left="1" w:leftChars="0" w:firstLine="419" w:firstLineChars="0"/>
        <w:rPr>
          <w:rFonts w:ascii="宋体" w:hAnsi="宋体" w:cs="仿宋_GB2312"/>
          <w:sz w:val="32"/>
          <w:szCs w:val="32"/>
          <w:highlight w:val="none"/>
        </w:rPr>
      </w:pPr>
      <w:r>
        <w:rPr>
          <w:rFonts w:hint="eastAsia" w:ascii="宋体" w:hAnsi="宋体" w:cs="仿宋_GB2312"/>
          <w:sz w:val="32"/>
          <w:szCs w:val="32"/>
          <w:highlight w:val="none"/>
        </w:rPr>
        <w:t>我方</w:t>
      </w:r>
      <w:r>
        <w:rPr>
          <w:rFonts w:hint="eastAsia" w:ascii="宋体" w:hAnsi="宋体" w:cs="仿宋_GB2312"/>
          <w:strike w:val="0"/>
          <w:dstrike w:val="0"/>
          <w:sz w:val="32"/>
          <w:szCs w:val="32"/>
          <w:highlight w:val="none"/>
          <w:lang w:val="en-US" w:eastAsia="zh-CN"/>
        </w:rPr>
        <w:t>提供</w:t>
      </w:r>
      <w:r>
        <w:rPr>
          <w:rFonts w:hint="eastAsia" w:ascii="宋体" w:hAnsi="宋体" w:cs="仿宋_GB2312"/>
          <w:sz w:val="32"/>
          <w:szCs w:val="32"/>
          <w:highlight w:val="none"/>
        </w:rPr>
        <w:t>的</w:t>
      </w:r>
      <w:r>
        <w:rPr>
          <w:rFonts w:hint="eastAsia" w:ascii="宋体" w:hAnsi="宋体" w:cs="仿宋_GB2312"/>
          <w:sz w:val="32"/>
          <w:szCs w:val="32"/>
          <w:highlight w:val="none"/>
          <w:lang w:val="en-US" w:eastAsia="zh-CN"/>
        </w:rPr>
        <w:t>全部文件资料真实准确，并对此承担一切法律后果。</w:t>
      </w:r>
    </w:p>
    <w:p w14:paraId="3EA101E3">
      <w:pPr>
        <w:numPr>
          <w:ilvl w:val="0"/>
          <w:numId w:val="7"/>
        </w:numPr>
        <w:topLinePunct/>
        <w:ind w:left="1" w:leftChars="0" w:firstLine="419" w:firstLineChars="0"/>
        <w:rPr>
          <w:rFonts w:hint="eastAsia" w:ascii="宋体" w:hAnsi="宋体" w:cs="仿宋_GB2312"/>
          <w:sz w:val="32"/>
          <w:szCs w:val="32"/>
          <w:highlight w:val="none"/>
          <w:lang w:val="en-US" w:eastAsia="zh-CN"/>
        </w:rPr>
      </w:pPr>
      <w:r>
        <w:rPr>
          <w:rFonts w:hint="eastAsia" w:ascii="宋体" w:hAnsi="宋体" w:cs="仿宋_GB2312"/>
          <w:sz w:val="32"/>
          <w:szCs w:val="32"/>
          <w:highlight w:val="none"/>
        </w:rPr>
        <w:t>如我方中标，将在规定的期限内与你方签订合同，并完成合同规定的全部义务。</w:t>
      </w:r>
    </w:p>
    <w:p w14:paraId="1E4DA327">
      <w:pPr>
        <w:numPr>
          <w:ilvl w:val="0"/>
          <w:numId w:val="7"/>
        </w:numPr>
        <w:topLinePunct/>
        <w:ind w:left="1" w:leftChars="0" w:firstLine="419" w:firstLineChars="0"/>
        <w:rPr>
          <w:rFonts w:ascii="宋体" w:hAnsi="宋体" w:cs="宋体"/>
          <w:sz w:val="32"/>
          <w:szCs w:val="32"/>
          <w:highlight w:val="none"/>
        </w:rPr>
      </w:pPr>
      <w:r>
        <w:rPr>
          <w:rFonts w:ascii="宋体" w:hAnsi="宋体" w:cs="宋体"/>
          <w:sz w:val="32"/>
          <w:szCs w:val="32"/>
          <w:highlight w:val="none"/>
        </w:rPr>
        <w:t>……</w:t>
      </w:r>
    </w:p>
    <w:p w14:paraId="35C82DCD">
      <w:pPr>
        <w:topLinePunct/>
        <w:ind w:firstLine="640" w:firstLineChars="200"/>
        <w:rPr>
          <w:rFonts w:ascii="宋体" w:hAnsi="宋体" w:cs="宋体"/>
          <w:sz w:val="32"/>
          <w:szCs w:val="32"/>
          <w:highlight w:val="none"/>
        </w:rPr>
      </w:pPr>
    </w:p>
    <w:p w14:paraId="22ACBDAA">
      <w:pPr>
        <w:topLinePunct/>
        <w:rPr>
          <w:rFonts w:ascii="宋体" w:hAnsi="宋体" w:cs="宋体"/>
          <w:sz w:val="32"/>
          <w:szCs w:val="32"/>
          <w:highlight w:val="none"/>
        </w:rPr>
      </w:pPr>
    </w:p>
    <w:p w14:paraId="13B4D55E">
      <w:pPr>
        <w:topLinePunct/>
        <w:ind w:firstLine="640" w:firstLineChars="200"/>
        <w:rPr>
          <w:rFonts w:ascii="宋体" w:hAnsi="宋体" w:cs="宋体"/>
          <w:sz w:val="32"/>
          <w:szCs w:val="32"/>
          <w:highlight w:val="none"/>
        </w:rPr>
      </w:pPr>
      <w:r>
        <w:rPr>
          <w:rFonts w:hint="eastAsia" w:ascii="宋体" w:hAnsi="宋体" w:cs="宋体"/>
          <w:sz w:val="32"/>
          <w:szCs w:val="32"/>
          <w:highlight w:val="none"/>
        </w:rPr>
        <w:t>投标单位（盖单位章）：</w:t>
      </w:r>
      <w:r>
        <w:rPr>
          <w:rFonts w:hint="eastAsia" w:ascii="宋体" w:hAnsi="宋体" w:cs="宋体"/>
          <w:sz w:val="32"/>
          <w:szCs w:val="32"/>
          <w:highlight w:val="none"/>
          <w:u w:val="single"/>
        </w:rPr>
        <w:t xml:space="preserve">                          </w:t>
      </w:r>
    </w:p>
    <w:p w14:paraId="0A5840C5">
      <w:pPr>
        <w:topLinePunct/>
        <w:ind w:firstLine="560" w:firstLineChars="200"/>
        <w:rPr>
          <w:rFonts w:ascii="宋体" w:hAnsi="宋体" w:cs="宋体"/>
          <w:sz w:val="32"/>
          <w:szCs w:val="32"/>
          <w:highlight w:val="none"/>
          <w:u w:val="single"/>
        </w:rPr>
      </w:pPr>
      <w:r>
        <w:rPr>
          <w:rFonts w:hint="eastAsia" w:ascii="宋体" w:hAnsi="宋体" w:cs="宋体"/>
          <w:sz w:val="28"/>
          <w:szCs w:val="28"/>
          <w:highlight w:val="none"/>
        </w:rPr>
        <w:t>法定代表人（负责人）或委托代理人（签名或盖章）：</w:t>
      </w:r>
      <w:r>
        <w:rPr>
          <w:rFonts w:hint="eastAsia" w:ascii="宋体" w:hAnsi="宋体" w:cs="宋体"/>
          <w:sz w:val="28"/>
          <w:szCs w:val="28"/>
          <w:highlight w:val="none"/>
          <w:u w:val="single"/>
        </w:rPr>
        <w:t xml:space="preserve">       </w:t>
      </w:r>
      <w:r>
        <w:rPr>
          <w:rFonts w:hint="eastAsia" w:ascii="宋体" w:hAnsi="宋体" w:cs="宋体"/>
          <w:sz w:val="32"/>
          <w:szCs w:val="32"/>
          <w:highlight w:val="none"/>
          <w:u w:val="single"/>
        </w:rPr>
        <w:t xml:space="preserve"> </w:t>
      </w:r>
    </w:p>
    <w:p w14:paraId="6361699F">
      <w:pPr>
        <w:topLinePunct/>
        <w:ind w:firstLine="640" w:firstLineChars="200"/>
        <w:rPr>
          <w:rFonts w:ascii="宋体" w:hAnsi="宋体" w:cs="宋体"/>
          <w:sz w:val="32"/>
          <w:szCs w:val="32"/>
          <w:highlight w:val="none"/>
          <w:u w:val="single"/>
        </w:rPr>
      </w:pPr>
      <w:r>
        <w:rPr>
          <w:rFonts w:hint="eastAsia" w:ascii="宋体" w:hAnsi="宋体" w:cs="宋体"/>
          <w:sz w:val="32"/>
          <w:szCs w:val="32"/>
          <w:highlight w:val="none"/>
        </w:rPr>
        <w:t>电话：</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电子邮箱：</w:t>
      </w:r>
      <w:r>
        <w:rPr>
          <w:rFonts w:hint="eastAsia" w:ascii="宋体" w:hAnsi="宋体" w:cs="宋体"/>
          <w:sz w:val="32"/>
          <w:szCs w:val="32"/>
          <w:highlight w:val="none"/>
          <w:u w:val="single"/>
        </w:rPr>
        <w:t xml:space="preserve">                  </w:t>
      </w:r>
    </w:p>
    <w:p w14:paraId="1EABE340">
      <w:pPr>
        <w:topLinePunct/>
        <w:ind w:firstLine="640" w:firstLineChars="200"/>
        <w:rPr>
          <w:rFonts w:ascii="宋体" w:hAnsi="宋体" w:cs="宋体"/>
          <w:sz w:val="32"/>
          <w:szCs w:val="32"/>
          <w:highlight w:val="none"/>
          <w:u w:val="single"/>
        </w:rPr>
      </w:pPr>
      <w:r>
        <w:rPr>
          <w:rFonts w:hint="eastAsia" w:ascii="宋体" w:hAnsi="宋体" w:cs="宋体"/>
          <w:sz w:val="32"/>
          <w:szCs w:val="32"/>
          <w:highlight w:val="none"/>
        </w:rPr>
        <w:t>地址：</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邮编： </w:t>
      </w:r>
      <w:r>
        <w:rPr>
          <w:rFonts w:hint="eastAsia" w:ascii="宋体" w:hAnsi="宋体" w:cs="宋体"/>
          <w:sz w:val="32"/>
          <w:szCs w:val="32"/>
          <w:highlight w:val="none"/>
          <w:u w:val="single"/>
        </w:rPr>
        <w:t xml:space="preserve">                     </w:t>
      </w:r>
    </w:p>
    <w:p w14:paraId="4797A7A0">
      <w:pPr>
        <w:jc w:val="left"/>
        <w:rPr>
          <w:rFonts w:ascii="宋体" w:hAnsi="宋体"/>
          <w:sz w:val="28"/>
          <w:szCs w:val="28"/>
          <w:highlight w:val="none"/>
        </w:rPr>
      </w:pPr>
      <w:r>
        <w:rPr>
          <w:rFonts w:hint="eastAsia" w:ascii="宋体" w:hAnsi="宋体" w:cs="宋体"/>
          <w:sz w:val="32"/>
          <w:szCs w:val="32"/>
          <w:highlight w:val="none"/>
        </w:rPr>
        <w:t xml:space="preserve">                               </w:t>
      </w:r>
      <w:r>
        <w:rPr>
          <w:rFonts w:hint="eastAsia" w:ascii="宋体" w:hAnsi="宋体" w:cs="宋体"/>
          <w:sz w:val="32"/>
          <w:szCs w:val="32"/>
          <w:highlight w:val="none"/>
          <w:u w:val="single"/>
        </w:rPr>
        <w:t xml:space="preserve">       </w:t>
      </w:r>
      <w:r>
        <w:rPr>
          <w:rFonts w:hint="eastAsia" w:ascii="宋体" w:hAnsi="宋体" w:cs="宋体"/>
          <w:sz w:val="32"/>
          <w:szCs w:val="32"/>
          <w:highlight w:val="none"/>
        </w:rPr>
        <w:t>年</w:t>
      </w:r>
      <w:r>
        <w:rPr>
          <w:rFonts w:hint="eastAsia" w:ascii="宋体" w:hAnsi="宋体" w:cs="宋体"/>
          <w:sz w:val="32"/>
          <w:szCs w:val="32"/>
          <w:highlight w:val="none"/>
          <w:u w:val="single"/>
        </w:rPr>
        <w:t xml:space="preserve">  </w:t>
      </w:r>
      <w:r>
        <w:rPr>
          <w:rFonts w:hint="eastAsia" w:ascii="宋体" w:hAnsi="宋体" w:cs="宋体"/>
          <w:sz w:val="32"/>
          <w:szCs w:val="32"/>
          <w:highlight w:val="none"/>
        </w:rPr>
        <w:t>月</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日 </w:t>
      </w:r>
      <w:r>
        <w:rPr>
          <w:rFonts w:hint="eastAsia" w:ascii="宋体" w:hAnsi="宋体" w:cs="仿宋_GB2312"/>
          <w:sz w:val="32"/>
          <w:szCs w:val="32"/>
          <w:highlight w:val="none"/>
        </w:rPr>
        <w:t xml:space="preserve">    </w:t>
      </w:r>
      <w:r>
        <w:rPr>
          <w:rFonts w:ascii="宋体" w:hAnsi="宋体"/>
          <w:sz w:val="44"/>
          <w:szCs w:val="44"/>
          <w:highlight w:val="none"/>
        </w:rPr>
        <w:br w:type="page"/>
      </w:r>
      <w:r>
        <w:rPr>
          <w:rFonts w:hint="eastAsia" w:ascii="宋体" w:hAnsi="宋体" w:cs="宋体"/>
          <w:sz w:val="28"/>
          <w:szCs w:val="28"/>
          <w:highlight w:val="none"/>
          <w:lang w:val="en-US" w:eastAsia="zh-CN"/>
        </w:rPr>
        <w:t>法定代表人资格证明或授权委托书（实质性要求）</w:t>
      </w:r>
    </w:p>
    <w:p w14:paraId="575BF43B">
      <w:pPr>
        <w:jc w:val="center"/>
        <w:outlineLvl w:val="1"/>
        <w:rPr>
          <w:rFonts w:ascii="宋体" w:hAnsi="宋体"/>
          <w:sz w:val="32"/>
          <w:szCs w:val="32"/>
          <w:highlight w:val="none"/>
        </w:rPr>
      </w:pPr>
      <w:bookmarkStart w:id="767" w:name="_Toc17423"/>
      <w:r>
        <w:rPr>
          <w:rFonts w:hint="eastAsia" w:ascii="宋体" w:hAnsi="宋体"/>
          <w:b/>
          <w:kern w:val="44"/>
          <w:sz w:val="44"/>
          <w:szCs w:val="44"/>
          <w:highlight w:val="none"/>
        </w:rPr>
        <w:t>二　法定代表人资格证明</w:t>
      </w:r>
      <w:bookmarkEnd w:id="767"/>
    </w:p>
    <w:p w14:paraId="6526FCBB">
      <w:pPr>
        <w:ind w:firstLine="640" w:firstLineChars="200"/>
        <w:rPr>
          <w:rFonts w:hint="eastAsia" w:ascii="宋体" w:hAnsi="宋体"/>
          <w:sz w:val="32"/>
          <w:szCs w:val="32"/>
          <w:highlight w:val="none"/>
        </w:rPr>
      </w:pPr>
      <w:bookmarkStart w:id="768" w:name="_Toc288114460"/>
    </w:p>
    <w:p w14:paraId="09B57A6B">
      <w:pPr>
        <w:ind w:firstLine="640" w:firstLineChars="200"/>
        <w:rPr>
          <w:rFonts w:hint="eastAsia" w:ascii="宋体" w:hAnsi="宋体"/>
          <w:sz w:val="32"/>
          <w:szCs w:val="32"/>
          <w:highlight w:val="none"/>
        </w:rPr>
      </w:pPr>
    </w:p>
    <w:bookmarkEnd w:id="768"/>
    <w:p w14:paraId="0DF90F86">
      <w:pPr>
        <w:rPr>
          <w:rFonts w:hint="default" w:ascii="Times New Roman" w:hAnsi="Times New Roman" w:eastAsia="宋体"/>
          <w:sz w:val="32"/>
          <w:szCs w:val="32"/>
          <w:highlight w:val="none"/>
          <w:u w:val="single"/>
          <w:lang w:val="en-US" w:eastAsia="zh-CN"/>
        </w:rPr>
      </w:pPr>
      <w:bookmarkStart w:id="769" w:name="_Toc288114465"/>
      <w:r>
        <w:rPr>
          <w:rFonts w:ascii="Times New Roman" w:hAnsi="Times New Roman"/>
          <w:sz w:val="32"/>
          <w:szCs w:val="32"/>
          <w:highlight w:val="none"/>
        </w:rPr>
        <w:t>致：</w:t>
      </w:r>
      <w:r>
        <w:rPr>
          <w:rFonts w:hint="eastAsia"/>
          <w:sz w:val="32"/>
          <w:szCs w:val="32"/>
          <w:highlight w:val="none"/>
          <w:u w:val="single"/>
          <w:lang w:val="en-US" w:eastAsia="zh-CN"/>
        </w:rPr>
        <w:t xml:space="preserve">  </w:t>
      </w:r>
      <w:r>
        <w:rPr>
          <w:rFonts w:ascii="Times New Roman" w:hAnsi="Times New Roman"/>
          <w:i/>
          <w:iCs/>
          <w:sz w:val="28"/>
          <w:szCs w:val="28"/>
          <w:highlight w:val="none"/>
          <w:u w:val="single"/>
        </w:rPr>
        <w:t>（采购人）</w:t>
      </w:r>
      <w:r>
        <w:rPr>
          <w:rFonts w:hint="eastAsia"/>
          <w:i/>
          <w:iCs/>
          <w:sz w:val="32"/>
          <w:szCs w:val="32"/>
          <w:highlight w:val="none"/>
          <w:u w:val="single"/>
          <w:lang w:val="en-US" w:eastAsia="zh-CN"/>
        </w:rPr>
        <w:t xml:space="preserve">     </w:t>
      </w:r>
    </w:p>
    <w:p w14:paraId="4857F99F">
      <w:pPr>
        <w:ind w:firstLine="640" w:firstLineChars="200"/>
        <w:rPr>
          <w:rFonts w:ascii="Times New Roman" w:hAnsi="Times New Roman"/>
          <w:sz w:val="32"/>
          <w:szCs w:val="32"/>
          <w:highlight w:val="none"/>
        </w:rPr>
      </w:pPr>
      <w:r>
        <w:rPr>
          <w:rFonts w:ascii="Times New Roman" w:hAnsi="Times New Roman"/>
          <w:sz w:val="32"/>
          <w:szCs w:val="32"/>
          <w:highlight w:val="none"/>
        </w:rPr>
        <w:t>兹证明</w:t>
      </w:r>
      <w:r>
        <w:rPr>
          <w:rFonts w:hint="eastAsia"/>
          <w:sz w:val="32"/>
          <w:szCs w:val="32"/>
          <w:highlight w:val="none"/>
          <w:lang w:eastAsia="zh-CN"/>
        </w:rPr>
        <w:t>，</w:t>
      </w:r>
      <w:r>
        <w:rPr>
          <w:rFonts w:hint="eastAsia"/>
          <w:sz w:val="32"/>
          <w:szCs w:val="32"/>
          <w:highlight w:val="none"/>
          <w:lang w:val="en-US" w:eastAsia="zh-CN"/>
        </w:rPr>
        <w:t xml:space="preserve"> </w:t>
      </w:r>
      <w:r>
        <w:rPr>
          <w:rFonts w:ascii="Times New Roman" w:hAnsi="Times New Roman"/>
          <w:sz w:val="32"/>
          <w:szCs w:val="32"/>
          <w:highlight w:val="none"/>
        </w:rPr>
        <w:t>姓名：</w:t>
      </w:r>
      <w:r>
        <w:rPr>
          <w:rFonts w:hint="eastAsia"/>
          <w:sz w:val="32"/>
          <w:szCs w:val="32"/>
          <w:highlight w:val="none"/>
          <w:u w:val="single"/>
          <w:lang w:val="en-US" w:eastAsia="zh-CN"/>
        </w:rPr>
        <w:t xml:space="preserve">           </w:t>
      </w:r>
      <w:r>
        <w:rPr>
          <w:rFonts w:ascii="Times New Roman" w:hAnsi="Times New Roman"/>
          <w:sz w:val="32"/>
          <w:szCs w:val="32"/>
          <w:highlight w:val="none"/>
        </w:rPr>
        <w:t>性别：</w:t>
      </w:r>
      <w:r>
        <w:rPr>
          <w:rFonts w:hint="eastAsia"/>
          <w:sz w:val="32"/>
          <w:szCs w:val="32"/>
          <w:highlight w:val="none"/>
          <w:u w:val="single"/>
          <w:lang w:val="en-US" w:eastAsia="zh-CN"/>
        </w:rPr>
        <w:t xml:space="preserve">     </w:t>
      </w:r>
      <w:r>
        <w:rPr>
          <w:rFonts w:ascii="Times New Roman" w:hAnsi="Times New Roman"/>
          <w:sz w:val="32"/>
          <w:szCs w:val="32"/>
          <w:highlight w:val="none"/>
        </w:rPr>
        <w:t>年龄：</w:t>
      </w:r>
      <w:r>
        <w:rPr>
          <w:rFonts w:hint="eastAsia"/>
          <w:sz w:val="32"/>
          <w:szCs w:val="32"/>
          <w:highlight w:val="none"/>
          <w:u w:val="single"/>
          <w:lang w:val="en-US" w:eastAsia="zh-CN"/>
        </w:rPr>
        <w:t xml:space="preserve">     </w:t>
      </w:r>
      <w:r>
        <w:rPr>
          <w:rFonts w:ascii="Times New Roman" w:hAnsi="Times New Roman"/>
          <w:sz w:val="32"/>
          <w:szCs w:val="32"/>
          <w:highlight w:val="none"/>
        </w:rPr>
        <w:t>职务：</w:t>
      </w:r>
      <w:r>
        <w:rPr>
          <w:rFonts w:hint="eastAsia"/>
          <w:sz w:val="32"/>
          <w:szCs w:val="32"/>
          <w:highlight w:val="none"/>
          <w:u w:val="single"/>
          <w:lang w:val="en-US" w:eastAsia="zh-CN"/>
        </w:rPr>
        <w:t xml:space="preserve">                </w:t>
      </w:r>
      <w:r>
        <w:rPr>
          <w:rFonts w:hint="eastAsia" w:ascii="Times New Roman" w:hAnsi="Times New Roman"/>
          <w:sz w:val="32"/>
          <w:szCs w:val="32"/>
          <w:highlight w:val="none"/>
        </w:rPr>
        <w:t>（身份证号：</w:t>
      </w:r>
      <w:r>
        <w:rPr>
          <w:rFonts w:hint="eastAsia"/>
          <w:sz w:val="32"/>
          <w:szCs w:val="32"/>
          <w:highlight w:val="none"/>
          <w:u w:val="single"/>
          <w:lang w:val="en-US" w:eastAsia="zh-CN"/>
        </w:rPr>
        <w:t xml:space="preserve">                </w:t>
      </w:r>
      <w:r>
        <w:rPr>
          <w:rFonts w:hint="eastAsia" w:ascii="Times New Roman" w:hAnsi="Times New Roman"/>
          <w:sz w:val="32"/>
          <w:szCs w:val="32"/>
          <w:highlight w:val="none"/>
        </w:rPr>
        <w:t xml:space="preserve"> ）</w:t>
      </w:r>
      <w:r>
        <w:rPr>
          <w:rFonts w:ascii="Times New Roman" w:hAnsi="Times New Roman"/>
          <w:sz w:val="32"/>
          <w:szCs w:val="32"/>
          <w:highlight w:val="none"/>
        </w:rPr>
        <w:t>系</w:t>
      </w:r>
      <w:r>
        <w:rPr>
          <w:rFonts w:ascii="Times New Roman" w:hAnsi="Times New Roman"/>
          <w:sz w:val="32"/>
          <w:szCs w:val="32"/>
          <w:highlight w:val="none"/>
          <w:u w:val="single"/>
        </w:rPr>
        <w:tab/>
      </w:r>
      <w:r>
        <w:rPr>
          <w:rFonts w:hint="eastAsia"/>
          <w:sz w:val="32"/>
          <w:szCs w:val="32"/>
          <w:highlight w:val="none"/>
          <w:u w:val="single"/>
          <w:lang w:val="en-US" w:eastAsia="zh-CN"/>
        </w:rPr>
        <w:t xml:space="preserve">   </w:t>
      </w:r>
      <w:r>
        <w:rPr>
          <w:rFonts w:ascii="Times New Roman" w:hAnsi="Times New Roman"/>
          <w:i/>
          <w:iCs/>
          <w:sz w:val="28"/>
          <w:szCs w:val="28"/>
          <w:highlight w:val="none"/>
          <w:u w:val="single"/>
        </w:rPr>
        <w:t>（投标人名称）</w:t>
      </w:r>
      <w:r>
        <w:rPr>
          <w:rFonts w:hint="eastAsia"/>
          <w:sz w:val="32"/>
          <w:szCs w:val="32"/>
          <w:highlight w:val="none"/>
          <w:u w:val="single"/>
          <w:lang w:val="en-US" w:eastAsia="zh-CN"/>
        </w:rPr>
        <w:t xml:space="preserve">     </w:t>
      </w:r>
      <w:r>
        <w:rPr>
          <w:rFonts w:ascii="Times New Roman" w:hAnsi="Times New Roman"/>
          <w:sz w:val="32"/>
          <w:szCs w:val="32"/>
          <w:highlight w:val="none"/>
        </w:rPr>
        <w:t>的法定代表人（单位负责人）。</w:t>
      </w:r>
      <w:bookmarkEnd w:id="769"/>
    </w:p>
    <w:p w14:paraId="7AC3EF56">
      <w:pPr>
        <w:ind w:firstLine="640" w:firstLineChars="200"/>
        <w:rPr>
          <w:rFonts w:ascii="Times New Roman" w:hAnsi="Times New Roman"/>
          <w:sz w:val="32"/>
          <w:szCs w:val="32"/>
          <w:highlight w:val="none"/>
        </w:rPr>
      </w:pPr>
      <w:r>
        <w:rPr>
          <w:rFonts w:hint="eastAsia" w:ascii="Times New Roman" w:hAnsi="Times New Roman"/>
          <w:sz w:val="32"/>
          <w:szCs w:val="32"/>
          <w:highlight w:val="none"/>
        </w:rPr>
        <w:t xml:space="preserve">    </w:t>
      </w:r>
      <w:bookmarkStart w:id="770" w:name="_Toc288114467"/>
      <w:r>
        <w:rPr>
          <w:rFonts w:hint="eastAsia" w:ascii="Times New Roman" w:hAnsi="Times New Roman"/>
          <w:sz w:val="32"/>
          <w:szCs w:val="32"/>
          <w:highlight w:val="none"/>
        </w:rPr>
        <w:t>特此证明。</w:t>
      </w:r>
      <w:bookmarkEnd w:id="770"/>
    </w:p>
    <w:p w14:paraId="63F17BD9">
      <w:pPr>
        <w:rPr>
          <w:rFonts w:ascii="宋体" w:hAnsi="宋体"/>
          <w:sz w:val="32"/>
          <w:szCs w:val="32"/>
          <w:highlight w:val="none"/>
        </w:rPr>
      </w:pPr>
      <w:r>
        <w:rPr>
          <w:rFonts w:ascii="宋体" w:hAnsi="宋体"/>
          <w:b/>
          <w:color w:val="000000"/>
          <w:kern w:val="0"/>
          <w:sz w:val="32"/>
          <w:szCs w:val="32"/>
          <w:highlight w:val="none"/>
        </w:rPr>
        <w:t>此处附：法定代表人</w:t>
      </w:r>
      <w:r>
        <w:rPr>
          <w:rFonts w:hint="eastAsia" w:ascii="宋体" w:hAnsi="宋体"/>
          <w:b/>
          <w:color w:val="000000"/>
          <w:kern w:val="0"/>
          <w:sz w:val="32"/>
          <w:szCs w:val="32"/>
          <w:highlight w:val="none"/>
        </w:rPr>
        <w:t>（负责人）</w:t>
      </w:r>
      <w:r>
        <w:rPr>
          <w:rFonts w:ascii="宋体" w:hAnsi="宋体"/>
          <w:b/>
          <w:color w:val="000000"/>
          <w:kern w:val="0"/>
          <w:sz w:val="32"/>
          <w:szCs w:val="32"/>
          <w:highlight w:val="none"/>
        </w:rPr>
        <w:t>身份证</w:t>
      </w:r>
      <w:r>
        <w:rPr>
          <w:rFonts w:hint="eastAsia" w:ascii="宋体" w:hAnsi="宋体"/>
          <w:b/>
          <w:sz w:val="32"/>
          <w:szCs w:val="32"/>
          <w:highlight w:val="none"/>
        </w:rPr>
        <w:t>复印件</w:t>
      </w:r>
    </w:p>
    <w:p w14:paraId="57586509">
      <w:pPr>
        <w:rPr>
          <w:rFonts w:ascii="宋体" w:hAnsi="宋体"/>
          <w:sz w:val="32"/>
          <w:szCs w:val="32"/>
          <w:highlight w:val="none"/>
        </w:rPr>
      </w:pPr>
    </w:p>
    <w:p w14:paraId="1E056A79">
      <w:pPr>
        <w:rPr>
          <w:rFonts w:ascii="宋体" w:hAnsi="宋体"/>
          <w:sz w:val="32"/>
          <w:szCs w:val="32"/>
          <w:highlight w:val="none"/>
        </w:rPr>
      </w:pPr>
    </w:p>
    <w:p w14:paraId="79195BE2">
      <w:pPr>
        <w:rPr>
          <w:rFonts w:ascii="宋体" w:hAnsi="宋体"/>
          <w:sz w:val="32"/>
          <w:szCs w:val="32"/>
          <w:highlight w:val="none"/>
        </w:rPr>
      </w:pPr>
    </w:p>
    <w:p w14:paraId="3F24CB8E">
      <w:pPr>
        <w:rPr>
          <w:rFonts w:ascii="宋体" w:hAnsi="宋体"/>
          <w:sz w:val="32"/>
          <w:szCs w:val="32"/>
          <w:highlight w:val="none"/>
        </w:rPr>
      </w:pPr>
    </w:p>
    <w:p w14:paraId="2FDA2E45">
      <w:pPr>
        <w:autoSpaceDE w:val="0"/>
        <w:autoSpaceDN w:val="0"/>
        <w:adjustRightInd w:val="0"/>
        <w:jc w:val="left"/>
        <w:rPr>
          <w:rFonts w:ascii="宋体" w:hAnsi="宋体" w:cs="宋体"/>
          <w:color w:val="000000"/>
          <w:kern w:val="0"/>
          <w:sz w:val="24"/>
          <w:highlight w:val="none"/>
        </w:rPr>
      </w:pPr>
    </w:p>
    <w:p w14:paraId="002055C6">
      <w:pPr>
        <w:rPr>
          <w:rFonts w:hint="eastAsia" w:ascii="宋体" w:hAnsi="宋体" w:eastAsia="宋体"/>
          <w:sz w:val="32"/>
          <w:szCs w:val="32"/>
          <w:highlight w:val="none"/>
          <w:u w:val="single"/>
          <w:lang w:val="en-US" w:eastAsia="zh-CN"/>
        </w:rPr>
      </w:pPr>
      <w:bookmarkStart w:id="771" w:name="_Toc289241364"/>
      <w:bookmarkStart w:id="772" w:name="_Toc338840257"/>
      <w:bookmarkStart w:id="773" w:name="_Toc289182822"/>
      <w:bookmarkStart w:id="774" w:name="_Toc338840466"/>
      <w:bookmarkStart w:id="775" w:name="_Toc289241541"/>
      <w:bookmarkStart w:id="776" w:name="_Toc338840505"/>
      <w:bookmarkStart w:id="777" w:name="_Toc289182444"/>
      <w:bookmarkStart w:id="778" w:name="_Toc289096748"/>
      <w:bookmarkStart w:id="779" w:name="_Toc289238793"/>
      <w:bookmarkStart w:id="780" w:name="_Toc288748133"/>
      <w:r>
        <w:rPr>
          <w:rFonts w:hint="eastAsia" w:ascii="宋体" w:hAnsi="宋体"/>
          <w:sz w:val="32"/>
          <w:szCs w:val="32"/>
          <w:highlight w:val="none"/>
        </w:rPr>
        <w:t xml:space="preserve">    </w:t>
      </w:r>
      <w:bookmarkStart w:id="781" w:name="_Toc288114468"/>
      <w:r>
        <w:rPr>
          <w:rFonts w:hint="eastAsia" w:ascii="宋体" w:hAnsi="宋体"/>
          <w:sz w:val="32"/>
          <w:szCs w:val="32"/>
          <w:highlight w:val="none"/>
        </w:rPr>
        <w:t xml:space="preserve">     </w:t>
      </w:r>
      <w:r>
        <w:rPr>
          <w:rFonts w:hint="eastAsia" w:ascii="宋体" w:hAnsi="宋体"/>
          <w:sz w:val="32"/>
          <w:szCs w:val="32"/>
          <w:highlight w:val="none"/>
          <w:lang w:val="en-US" w:eastAsia="zh-CN"/>
        </w:rPr>
        <w:t>供应商</w:t>
      </w:r>
      <w:r>
        <w:rPr>
          <w:rFonts w:hint="eastAsia" w:ascii="宋体" w:hAnsi="宋体"/>
          <w:sz w:val="32"/>
          <w:szCs w:val="32"/>
          <w:highlight w:val="none"/>
        </w:rPr>
        <w:t>（</w:t>
      </w:r>
      <w:r>
        <w:rPr>
          <w:rFonts w:hint="eastAsia" w:ascii="宋体" w:hAnsi="宋体"/>
          <w:sz w:val="32"/>
          <w:szCs w:val="32"/>
          <w:highlight w:val="none"/>
          <w:lang w:val="en-US" w:eastAsia="zh-CN"/>
        </w:rPr>
        <w:t>加</w:t>
      </w:r>
      <w:r>
        <w:rPr>
          <w:rFonts w:hint="eastAsia" w:ascii="宋体" w:hAnsi="宋体"/>
          <w:sz w:val="32"/>
          <w:szCs w:val="32"/>
          <w:highlight w:val="none"/>
        </w:rPr>
        <w:t>盖</w:t>
      </w:r>
      <w:r>
        <w:rPr>
          <w:rFonts w:hint="eastAsia" w:ascii="宋体" w:hAnsi="宋体"/>
          <w:sz w:val="32"/>
          <w:szCs w:val="32"/>
          <w:highlight w:val="none"/>
          <w:lang w:val="en-US" w:eastAsia="zh-CN"/>
        </w:rPr>
        <w:t>公</w:t>
      </w:r>
      <w:r>
        <w:rPr>
          <w:rFonts w:hint="eastAsia" w:ascii="宋体" w:hAnsi="宋体"/>
          <w:sz w:val="32"/>
          <w:szCs w:val="32"/>
          <w:highlight w:val="none"/>
        </w:rPr>
        <w:t>章）：</w:t>
      </w:r>
      <w:r>
        <w:rPr>
          <w:rFonts w:hint="eastAsia"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r>
        <w:rPr>
          <w:rFonts w:hint="eastAsia" w:ascii="宋体" w:hAnsi="宋体"/>
          <w:sz w:val="32"/>
          <w:szCs w:val="32"/>
          <w:highlight w:val="none"/>
          <w:u w:val="single"/>
        </w:rPr>
        <w:t xml:space="preserve">      </w:t>
      </w:r>
      <w:bookmarkEnd w:id="781"/>
      <w:r>
        <w:rPr>
          <w:rFonts w:hint="eastAsia" w:ascii="宋体" w:hAnsi="宋体"/>
          <w:sz w:val="32"/>
          <w:szCs w:val="32"/>
          <w:highlight w:val="none"/>
          <w:u w:val="single"/>
          <w:lang w:val="en-US" w:eastAsia="zh-CN"/>
        </w:rPr>
        <w:t xml:space="preserve"> </w:t>
      </w:r>
    </w:p>
    <w:p w14:paraId="3062F513">
      <w:pPr>
        <w:rPr>
          <w:rFonts w:ascii="宋体" w:hAnsi="宋体"/>
          <w:sz w:val="32"/>
          <w:szCs w:val="32"/>
          <w:highlight w:val="none"/>
        </w:rPr>
      </w:pPr>
      <w:r>
        <w:rPr>
          <w:rFonts w:hint="eastAsia" w:ascii="宋体" w:hAnsi="宋体"/>
          <w:sz w:val="32"/>
          <w:szCs w:val="32"/>
          <w:highlight w:val="none"/>
        </w:rPr>
        <w:t xml:space="preserve">    </w:t>
      </w:r>
      <w:r>
        <w:rPr>
          <w:rFonts w:hint="eastAsia" w:ascii="宋体" w:hAnsi="宋体"/>
          <w:sz w:val="32"/>
          <w:szCs w:val="32"/>
          <w:highlight w:val="none"/>
          <w:lang w:val="en-US" w:eastAsia="zh-CN"/>
        </w:rPr>
        <w:t xml:space="preserve">     </w:t>
      </w:r>
      <w:r>
        <w:rPr>
          <w:rFonts w:hint="eastAsia" w:ascii="宋体" w:hAnsi="宋体"/>
          <w:sz w:val="32"/>
          <w:szCs w:val="32"/>
          <w:highlight w:val="none"/>
        </w:rPr>
        <w:t>法定代表人或负责人（签名或盖章）：</w:t>
      </w:r>
      <w:r>
        <w:rPr>
          <w:rFonts w:hint="eastAsia" w:ascii="宋体" w:hAnsi="宋体"/>
          <w:sz w:val="32"/>
          <w:szCs w:val="32"/>
          <w:highlight w:val="none"/>
          <w:u w:val="single"/>
        </w:rPr>
        <w:t xml:space="preserve"> 　　　　</w:t>
      </w:r>
    </w:p>
    <w:p w14:paraId="0A571EC2">
      <w:pPr>
        <w:rPr>
          <w:rFonts w:ascii="宋体" w:hAnsi="宋体"/>
          <w:sz w:val="32"/>
          <w:szCs w:val="32"/>
          <w:highlight w:val="none"/>
        </w:rPr>
      </w:pPr>
      <w:r>
        <w:rPr>
          <w:rFonts w:hint="eastAsia" w:ascii="宋体" w:hAnsi="宋体"/>
          <w:sz w:val="32"/>
          <w:szCs w:val="32"/>
          <w:highlight w:val="none"/>
        </w:rPr>
        <w:t xml:space="preserve">                          　 </w:t>
      </w:r>
      <w:r>
        <w:rPr>
          <w:rFonts w:hint="eastAsia" w:ascii="宋体" w:hAnsi="宋体"/>
          <w:sz w:val="32"/>
          <w:szCs w:val="32"/>
          <w:highlight w:val="none"/>
          <w:u w:val="single"/>
        </w:rPr>
        <w:t xml:space="preserve">     </w:t>
      </w:r>
      <w:bookmarkStart w:id="782" w:name="_Toc288114469"/>
      <w:r>
        <w:rPr>
          <w:rFonts w:hint="eastAsia" w:ascii="宋体" w:hAnsi="宋体"/>
          <w:sz w:val="32"/>
          <w:szCs w:val="32"/>
          <w:highlight w:val="none"/>
        </w:rPr>
        <w:t>年</w:t>
      </w:r>
      <w:r>
        <w:rPr>
          <w:rFonts w:hint="eastAsia" w:ascii="宋体" w:hAnsi="宋体"/>
          <w:sz w:val="32"/>
          <w:szCs w:val="32"/>
          <w:highlight w:val="none"/>
          <w:u w:val="single"/>
        </w:rPr>
        <w:t xml:space="preserve">    </w:t>
      </w:r>
      <w:r>
        <w:rPr>
          <w:rFonts w:hint="eastAsia" w:ascii="宋体" w:hAnsi="宋体"/>
          <w:sz w:val="32"/>
          <w:szCs w:val="32"/>
          <w:highlight w:val="none"/>
        </w:rPr>
        <w:t>月</w:t>
      </w:r>
      <w:r>
        <w:rPr>
          <w:rFonts w:hint="eastAsia" w:ascii="宋体" w:hAnsi="宋体"/>
          <w:sz w:val="32"/>
          <w:szCs w:val="32"/>
          <w:highlight w:val="none"/>
          <w:u w:val="single"/>
        </w:rPr>
        <w:t xml:space="preserve">   </w:t>
      </w:r>
      <w:r>
        <w:rPr>
          <w:rFonts w:hint="eastAsia" w:ascii="宋体" w:hAnsi="宋体"/>
          <w:sz w:val="32"/>
          <w:szCs w:val="32"/>
          <w:highlight w:val="none"/>
        </w:rPr>
        <w:t>日</w:t>
      </w:r>
      <w:bookmarkEnd w:id="782"/>
    </w:p>
    <w:p w14:paraId="6749543B">
      <w:pPr>
        <w:jc w:val="center"/>
        <w:rPr>
          <w:rFonts w:ascii="宋体" w:hAnsi="宋体"/>
          <w:sz w:val="32"/>
          <w:szCs w:val="32"/>
          <w:highlight w:val="none"/>
        </w:rPr>
      </w:pPr>
    </w:p>
    <w:p w14:paraId="40A5125D">
      <w:pPr>
        <w:jc w:val="center"/>
        <w:rPr>
          <w:rFonts w:ascii="宋体" w:hAnsi="宋体"/>
          <w:sz w:val="32"/>
          <w:szCs w:val="32"/>
          <w:highlight w:val="none"/>
        </w:rPr>
      </w:pPr>
    </w:p>
    <w:p w14:paraId="6B23C6F8">
      <w:pPr>
        <w:ind w:firstLine="420" w:firstLineChars="200"/>
        <w:jc w:val="center"/>
        <w:rPr>
          <w:rFonts w:ascii="宋体" w:hAnsi="宋体"/>
          <w:sz w:val="32"/>
          <w:szCs w:val="32"/>
          <w:highlight w:val="none"/>
        </w:rPr>
      </w:pPr>
      <w:r>
        <w:rPr>
          <w:rFonts w:hint="eastAsia" w:ascii="宋体" w:hAnsi="宋体"/>
          <w:kern w:val="0"/>
          <w:szCs w:val="21"/>
          <w:highlight w:val="none"/>
          <w:lang w:val="en-US" w:eastAsia="zh-CN"/>
        </w:rPr>
        <w:t>注：</w:t>
      </w:r>
      <w:r>
        <w:rPr>
          <w:rFonts w:hint="eastAsia" w:ascii="宋体" w:hAnsi="宋体"/>
          <w:kern w:val="0"/>
          <w:szCs w:val="21"/>
          <w:highlight w:val="none"/>
        </w:rPr>
        <w:t>法定代表人</w:t>
      </w:r>
      <w:r>
        <w:rPr>
          <w:rFonts w:hint="eastAsia" w:ascii="宋体" w:hAnsi="宋体"/>
          <w:kern w:val="0"/>
          <w:szCs w:val="21"/>
          <w:highlight w:val="none"/>
          <w:lang w:val="en-US" w:eastAsia="zh-CN"/>
        </w:rPr>
        <w:t>本人</w:t>
      </w:r>
      <w:r>
        <w:rPr>
          <w:rFonts w:hint="eastAsia" w:ascii="宋体" w:hAnsi="宋体" w:eastAsia="宋体"/>
          <w:kern w:val="0"/>
          <w:szCs w:val="21"/>
          <w:highlight w:val="none"/>
        </w:rPr>
        <w:t>投标时提供</w:t>
      </w:r>
      <w:r>
        <w:rPr>
          <w:rFonts w:hint="eastAsia" w:ascii="宋体" w:hAnsi="宋体" w:eastAsia="宋体"/>
          <w:kern w:val="0"/>
          <w:szCs w:val="21"/>
          <w:highlight w:val="none"/>
          <w:lang w:eastAsia="zh-CN"/>
        </w:rPr>
        <w:t>《</w:t>
      </w:r>
      <w:r>
        <w:rPr>
          <w:rFonts w:hint="eastAsia" w:ascii="宋体" w:hAnsi="宋体" w:eastAsia="宋体"/>
          <w:kern w:val="0"/>
          <w:szCs w:val="21"/>
          <w:highlight w:val="none"/>
        </w:rPr>
        <w:t>法定代表人资格证明</w:t>
      </w:r>
      <w:r>
        <w:rPr>
          <w:rFonts w:hint="eastAsia" w:ascii="宋体" w:hAnsi="宋体" w:eastAsia="宋体"/>
          <w:kern w:val="0"/>
          <w:szCs w:val="21"/>
          <w:highlight w:val="none"/>
          <w:lang w:eastAsia="zh-CN"/>
        </w:rPr>
        <w:t>》，</w:t>
      </w:r>
      <w:r>
        <w:rPr>
          <w:rFonts w:hint="eastAsia" w:ascii="宋体" w:hAnsi="宋体" w:eastAsia="宋体"/>
          <w:kern w:val="0"/>
          <w:szCs w:val="21"/>
          <w:highlight w:val="none"/>
          <w:lang w:val="en-US" w:eastAsia="zh-CN"/>
        </w:rPr>
        <w:t>无需提供《授权委托书》；法定代表人委托其他人投标时提供《授权委托书》，无需提供</w:t>
      </w:r>
      <w:r>
        <w:rPr>
          <w:rFonts w:hint="eastAsia" w:ascii="宋体" w:hAnsi="宋体" w:eastAsia="宋体"/>
          <w:kern w:val="0"/>
          <w:szCs w:val="21"/>
          <w:highlight w:val="none"/>
          <w:lang w:eastAsia="zh-CN"/>
        </w:rPr>
        <w:t>《</w:t>
      </w:r>
      <w:r>
        <w:rPr>
          <w:rFonts w:hint="eastAsia" w:ascii="宋体" w:hAnsi="宋体" w:eastAsia="宋体"/>
          <w:kern w:val="0"/>
          <w:szCs w:val="21"/>
          <w:highlight w:val="none"/>
        </w:rPr>
        <w:t>法定代表人资格证明</w:t>
      </w:r>
      <w:r>
        <w:rPr>
          <w:rFonts w:hint="eastAsia" w:ascii="宋体" w:hAnsi="宋体" w:eastAsia="宋体"/>
          <w:kern w:val="0"/>
          <w:szCs w:val="21"/>
          <w:highlight w:val="none"/>
          <w:lang w:eastAsia="zh-CN"/>
        </w:rPr>
        <w:t>》。</w:t>
      </w:r>
      <w:r>
        <w:rPr>
          <w:rFonts w:hint="eastAsia" w:ascii="宋体" w:hAnsi="宋体" w:eastAsia="宋体"/>
          <w:kern w:val="0"/>
          <w:szCs w:val="21"/>
          <w:highlight w:val="none"/>
        </w:rPr>
        <w:br w:type="page"/>
      </w:r>
      <w:bookmarkEnd w:id="771"/>
      <w:bookmarkEnd w:id="772"/>
      <w:bookmarkEnd w:id="773"/>
      <w:bookmarkEnd w:id="774"/>
      <w:bookmarkEnd w:id="775"/>
      <w:bookmarkEnd w:id="776"/>
      <w:bookmarkEnd w:id="777"/>
      <w:bookmarkEnd w:id="778"/>
      <w:bookmarkEnd w:id="779"/>
      <w:bookmarkEnd w:id="780"/>
      <w:bookmarkStart w:id="783" w:name="_Toc338840506"/>
      <w:bookmarkStart w:id="784" w:name="_Toc338840467"/>
      <w:bookmarkStart w:id="785" w:name="_Toc338840258"/>
      <w:r>
        <w:rPr>
          <w:rFonts w:hint="eastAsia" w:ascii="宋体" w:hAnsi="宋体"/>
          <w:b/>
          <w:bCs/>
          <w:kern w:val="44"/>
          <w:sz w:val="44"/>
          <w:szCs w:val="44"/>
          <w:highlight w:val="none"/>
        </w:rPr>
        <w:t>二　授权委托书</w:t>
      </w:r>
    </w:p>
    <w:p w14:paraId="45946630">
      <w:pPr>
        <w:keepNext w:val="0"/>
        <w:keepLines w:val="0"/>
        <w:pageBreakBefore w:val="0"/>
        <w:widowControl w:val="0"/>
        <w:kinsoku/>
        <w:wordWrap/>
        <w:overflowPunct/>
        <w:topLinePunct/>
        <w:autoSpaceDE/>
        <w:autoSpaceDN/>
        <w:bidi w:val="0"/>
        <w:adjustRightInd/>
        <w:snapToGrid/>
        <w:spacing w:line="500" w:lineRule="exact"/>
        <w:textAlignment w:val="auto"/>
        <w:rPr>
          <w:rFonts w:ascii="宋体" w:hAnsi="宋体"/>
          <w:sz w:val="32"/>
          <w:szCs w:val="32"/>
          <w:highlight w:val="none"/>
        </w:rPr>
      </w:pPr>
    </w:p>
    <w:p w14:paraId="4C122B50">
      <w:pPr>
        <w:keepNext w:val="0"/>
        <w:keepLines w:val="0"/>
        <w:pageBreakBefore w:val="0"/>
        <w:widowControl w:val="0"/>
        <w:kinsoku/>
        <w:wordWrap/>
        <w:overflowPunct/>
        <w:topLinePunct/>
        <w:autoSpaceDE/>
        <w:autoSpaceDN/>
        <w:bidi w:val="0"/>
        <w:adjustRightInd/>
        <w:snapToGrid/>
        <w:spacing w:line="500" w:lineRule="exact"/>
        <w:textAlignment w:val="auto"/>
        <w:rPr>
          <w:rFonts w:ascii="宋体" w:hAnsi="宋体"/>
          <w:sz w:val="32"/>
          <w:szCs w:val="32"/>
          <w:highlight w:val="none"/>
        </w:rPr>
      </w:pPr>
    </w:p>
    <w:p w14:paraId="30F2CC7F">
      <w:pPr>
        <w:keepNext w:val="0"/>
        <w:keepLines w:val="0"/>
        <w:pageBreakBefore w:val="0"/>
        <w:widowControl w:val="0"/>
        <w:kinsoku/>
        <w:wordWrap/>
        <w:overflowPunct/>
        <w:autoSpaceDE/>
        <w:autoSpaceDN/>
        <w:bidi w:val="0"/>
        <w:adjustRightInd/>
        <w:snapToGrid/>
        <w:spacing w:line="500" w:lineRule="exact"/>
        <w:ind w:firstLine="525"/>
        <w:jc w:val="left"/>
        <w:textAlignment w:val="auto"/>
        <w:rPr>
          <w:rFonts w:ascii="宋体" w:hAnsi="宋体"/>
          <w:sz w:val="32"/>
          <w:szCs w:val="32"/>
          <w:highlight w:val="none"/>
        </w:rPr>
      </w:pPr>
      <w:r>
        <w:rPr>
          <w:rFonts w:hint="eastAsia" w:ascii="宋体" w:hAnsi="宋体"/>
          <w:sz w:val="32"/>
          <w:szCs w:val="32"/>
          <w:highlight w:val="none"/>
        </w:rPr>
        <w:t>本人</w:t>
      </w:r>
      <w:r>
        <w:rPr>
          <w:rFonts w:hint="eastAsia" w:ascii="宋体" w:hAnsi="宋体"/>
          <w:sz w:val="32"/>
          <w:szCs w:val="32"/>
          <w:highlight w:val="none"/>
          <w:u w:val="single"/>
        </w:rPr>
        <w:t xml:space="preserve">    　　</w:t>
      </w:r>
      <w:r>
        <w:rPr>
          <w:rFonts w:hint="eastAsia" w:ascii="宋体" w:hAnsi="宋体"/>
          <w:sz w:val="32"/>
          <w:szCs w:val="32"/>
          <w:highlight w:val="none"/>
        </w:rPr>
        <w:t>（姓名） 系</w:t>
      </w:r>
      <w:r>
        <w:rPr>
          <w:rFonts w:hint="eastAsia" w:ascii="宋体" w:hAnsi="宋体"/>
          <w:sz w:val="32"/>
          <w:szCs w:val="32"/>
          <w:highlight w:val="none"/>
          <w:u w:val="single"/>
        </w:rPr>
        <w:t xml:space="preserve">                     </w:t>
      </w:r>
      <w:r>
        <w:rPr>
          <w:rFonts w:hint="eastAsia" w:ascii="宋体" w:hAnsi="宋体"/>
          <w:sz w:val="32"/>
          <w:szCs w:val="32"/>
          <w:highlight w:val="none"/>
        </w:rPr>
        <w:t>（投标</w:t>
      </w:r>
      <w:r>
        <w:rPr>
          <w:rFonts w:hint="eastAsia" w:ascii="宋体" w:hAnsi="宋体"/>
          <w:sz w:val="32"/>
          <w:szCs w:val="32"/>
          <w:highlight w:val="none"/>
          <w:lang w:val="en-US" w:eastAsia="zh-CN"/>
        </w:rPr>
        <w:t>人</w:t>
      </w:r>
      <w:r>
        <w:rPr>
          <w:rFonts w:hint="eastAsia" w:ascii="宋体" w:hAnsi="宋体"/>
          <w:sz w:val="32"/>
          <w:szCs w:val="32"/>
          <w:highlight w:val="none"/>
        </w:rPr>
        <w:t>名称）的法定代表人（负责人）</w:t>
      </w:r>
      <w:r>
        <w:rPr>
          <w:rFonts w:hint="eastAsia" w:ascii="宋体" w:hAnsi="宋体"/>
          <w:sz w:val="32"/>
          <w:szCs w:val="32"/>
          <w:highlight w:val="none"/>
          <w:lang w:eastAsia="zh-CN"/>
        </w:rPr>
        <w:t>，</w:t>
      </w:r>
      <w:r>
        <w:rPr>
          <w:rFonts w:hint="eastAsia" w:ascii="宋体" w:hAnsi="宋体"/>
          <w:sz w:val="32"/>
          <w:szCs w:val="32"/>
          <w:highlight w:val="none"/>
        </w:rPr>
        <w:t>现委托</w:t>
      </w:r>
      <w:r>
        <w:rPr>
          <w:rFonts w:hint="eastAsia" w:ascii="宋体" w:hAnsi="宋体"/>
          <w:sz w:val="32"/>
          <w:szCs w:val="32"/>
          <w:highlight w:val="none"/>
          <w:u w:val="single"/>
        </w:rPr>
        <w:t xml:space="preserve">   　　　　</w:t>
      </w:r>
      <w:r>
        <w:rPr>
          <w:rFonts w:hint="eastAsia" w:ascii="宋体" w:hAnsi="宋体"/>
          <w:sz w:val="32"/>
          <w:szCs w:val="32"/>
          <w:highlight w:val="none"/>
        </w:rPr>
        <w:t>（姓名）作为我方代理人。代理人根据授权，以我方名义签署、澄清、</w:t>
      </w:r>
      <w:r>
        <w:rPr>
          <w:rFonts w:hint="eastAsia" w:ascii="宋体" w:hAnsi="宋体"/>
          <w:sz w:val="32"/>
          <w:szCs w:val="32"/>
          <w:highlight w:val="none"/>
          <w:lang w:val="en-US" w:eastAsia="zh-CN"/>
        </w:rPr>
        <w:t>确认、</w:t>
      </w:r>
      <w:r>
        <w:rPr>
          <w:rFonts w:hint="eastAsia" w:ascii="宋体" w:hAnsi="宋体"/>
          <w:sz w:val="32"/>
          <w:szCs w:val="32"/>
          <w:highlight w:val="none"/>
        </w:rPr>
        <w:t>说明、补正、</w:t>
      </w:r>
      <w:r>
        <w:rPr>
          <w:rFonts w:hint="eastAsia" w:ascii="宋体" w:hAnsi="宋体"/>
          <w:sz w:val="32"/>
          <w:szCs w:val="32"/>
          <w:highlight w:val="none"/>
          <w:lang w:val="en-US" w:eastAsia="zh-CN"/>
        </w:rPr>
        <w:t>提</w:t>
      </w:r>
      <w:r>
        <w:rPr>
          <w:rFonts w:hint="eastAsia" w:ascii="宋体" w:hAnsi="宋体"/>
          <w:sz w:val="32"/>
          <w:szCs w:val="32"/>
          <w:highlight w:val="none"/>
        </w:rPr>
        <w:t>交、撤回、修改</w:t>
      </w:r>
      <w:r>
        <w:rPr>
          <w:rFonts w:hint="eastAsia" w:ascii="宋体" w:hAnsi="宋体"/>
          <w:sz w:val="32"/>
          <w:szCs w:val="32"/>
          <w:highlight w:val="none"/>
          <w:u w:val="single"/>
        </w:rPr>
        <w:t xml:space="preserve">           　　　</w:t>
      </w:r>
      <w:r>
        <w:rPr>
          <w:rFonts w:hint="eastAsia" w:ascii="宋体" w:hAnsi="宋体"/>
          <w:sz w:val="32"/>
          <w:szCs w:val="32"/>
          <w:highlight w:val="none"/>
        </w:rPr>
        <w:t>项目（</w:t>
      </w:r>
      <w:r>
        <w:rPr>
          <w:rFonts w:hint="eastAsia" w:ascii="宋体" w:hAnsi="宋体" w:cs="宋体"/>
          <w:sz w:val="32"/>
          <w:szCs w:val="32"/>
          <w:highlight w:val="none"/>
        </w:rPr>
        <w:t>项目编号：</w:t>
      </w:r>
      <w:r>
        <w:rPr>
          <w:rFonts w:hint="eastAsia" w:ascii="宋体" w:hAnsi="宋体" w:cs="宋体"/>
          <w:sz w:val="32"/>
          <w:szCs w:val="32"/>
          <w:highlight w:val="none"/>
          <w:u w:val="single"/>
        </w:rPr>
        <w:t xml:space="preserve">      </w:t>
      </w:r>
      <w:r>
        <w:rPr>
          <w:rFonts w:hint="eastAsia" w:ascii="宋体" w:hAnsi="宋体"/>
          <w:sz w:val="32"/>
          <w:szCs w:val="32"/>
          <w:highlight w:val="none"/>
        </w:rPr>
        <w:t>）投标文件、签订合同和处理有关事宜，其法律后果由我方承担。</w:t>
      </w:r>
    </w:p>
    <w:p w14:paraId="50A65183">
      <w:pPr>
        <w:keepNext w:val="0"/>
        <w:keepLines w:val="0"/>
        <w:pageBreakBefore w:val="0"/>
        <w:widowControl w:val="0"/>
        <w:kinsoku/>
        <w:wordWrap/>
        <w:overflowPunct/>
        <w:autoSpaceDE/>
        <w:autoSpaceDN/>
        <w:bidi w:val="0"/>
        <w:adjustRightInd/>
        <w:snapToGrid/>
        <w:spacing w:line="500" w:lineRule="exact"/>
        <w:ind w:firstLine="525"/>
        <w:jc w:val="left"/>
        <w:textAlignment w:val="auto"/>
        <w:rPr>
          <w:rFonts w:hint="eastAsia" w:ascii="宋体" w:hAnsi="宋体"/>
          <w:sz w:val="32"/>
          <w:szCs w:val="32"/>
          <w:highlight w:val="none"/>
        </w:rPr>
      </w:pPr>
      <w:r>
        <w:rPr>
          <w:rFonts w:hint="eastAsia" w:ascii="宋体" w:hAnsi="宋体"/>
          <w:sz w:val="32"/>
          <w:szCs w:val="32"/>
          <w:highlight w:val="none"/>
        </w:rPr>
        <w:t>委托期限：自本授权委托书签署之日起至投标有效期届满之日止。</w:t>
      </w:r>
    </w:p>
    <w:p w14:paraId="2AE165C6">
      <w:pPr>
        <w:keepNext w:val="0"/>
        <w:keepLines w:val="0"/>
        <w:pageBreakBefore w:val="0"/>
        <w:widowControl w:val="0"/>
        <w:kinsoku/>
        <w:wordWrap/>
        <w:overflowPunct/>
        <w:autoSpaceDE/>
        <w:autoSpaceDN/>
        <w:bidi w:val="0"/>
        <w:adjustRightInd/>
        <w:snapToGrid/>
        <w:spacing w:line="500" w:lineRule="exact"/>
        <w:ind w:firstLine="525"/>
        <w:jc w:val="left"/>
        <w:textAlignment w:val="auto"/>
        <w:rPr>
          <w:rFonts w:ascii="宋体" w:hAnsi="宋体"/>
          <w:sz w:val="32"/>
          <w:szCs w:val="32"/>
          <w:highlight w:val="none"/>
        </w:rPr>
      </w:pPr>
      <w:r>
        <w:rPr>
          <w:rFonts w:hint="eastAsia" w:ascii="宋体" w:hAnsi="宋体"/>
          <w:sz w:val="32"/>
          <w:szCs w:val="32"/>
          <w:highlight w:val="none"/>
        </w:rPr>
        <w:t>代理人无转委托权。</w:t>
      </w:r>
    </w:p>
    <w:p w14:paraId="444FBBBE">
      <w:pPr>
        <w:keepNext w:val="0"/>
        <w:keepLines w:val="0"/>
        <w:pageBreakBefore w:val="0"/>
        <w:widowControl w:val="0"/>
        <w:kinsoku/>
        <w:wordWrap/>
        <w:overflowPunct/>
        <w:autoSpaceDE/>
        <w:autoSpaceDN/>
        <w:bidi w:val="0"/>
        <w:adjustRightInd/>
        <w:snapToGrid/>
        <w:spacing w:line="500" w:lineRule="exact"/>
        <w:ind w:firstLine="525"/>
        <w:jc w:val="left"/>
        <w:textAlignment w:val="auto"/>
        <w:rPr>
          <w:rFonts w:ascii="宋体" w:hAnsi="宋体"/>
          <w:b/>
          <w:sz w:val="32"/>
          <w:szCs w:val="32"/>
          <w:highlight w:val="none"/>
        </w:rPr>
      </w:pPr>
      <w:r>
        <w:rPr>
          <w:rFonts w:hint="eastAsia" w:ascii="宋体" w:hAnsi="宋体"/>
          <w:b/>
          <w:sz w:val="32"/>
          <w:szCs w:val="32"/>
          <w:highlight w:val="none"/>
        </w:rPr>
        <w:t>此处附：法定代表人（负责人）身份证复印件及委托代理人身份证复印件</w:t>
      </w:r>
    </w:p>
    <w:p w14:paraId="575AF83D">
      <w:pPr>
        <w:spacing w:line="600" w:lineRule="exact"/>
        <w:ind w:firstLine="525"/>
        <w:jc w:val="left"/>
        <w:rPr>
          <w:rFonts w:ascii="宋体" w:hAnsi="宋体"/>
          <w:b/>
          <w:sz w:val="32"/>
          <w:szCs w:val="32"/>
          <w:highlight w:val="none"/>
        </w:rPr>
      </w:pPr>
    </w:p>
    <w:p w14:paraId="3C58FCB3">
      <w:pPr>
        <w:spacing w:line="600" w:lineRule="exact"/>
        <w:ind w:firstLine="525"/>
        <w:jc w:val="left"/>
        <w:rPr>
          <w:rFonts w:ascii="宋体" w:hAnsi="宋体"/>
          <w:sz w:val="32"/>
          <w:szCs w:val="32"/>
          <w:highlight w:val="none"/>
        </w:rPr>
      </w:pPr>
    </w:p>
    <w:p w14:paraId="3FC50345">
      <w:pPr>
        <w:spacing w:line="600" w:lineRule="exact"/>
        <w:jc w:val="left"/>
        <w:rPr>
          <w:rFonts w:ascii="宋体" w:hAnsi="宋体"/>
          <w:sz w:val="32"/>
          <w:szCs w:val="32"/>
          <w:highlight w:val="none"/>
        </w:rPr>
      </w:pPr>
    </w:p>
    <w:p w14:paraId="3DAA0ABF">
      <w:pPr>
        <w:keepNext w:val="0"/>
        <w:keepLines w:val="0"/>
        <w:pageBreakBefore w:val="0"/>
        <w:widowControl w:val="0"/>
        <w:kinsoku/>
        <w:wordWrap/>
        <w:overflowPunct/>
        <w:autoSpaceDE/>
        <w:autoSpaceDN/>
        <w:bidi w:val="0"/>
        <w:adjustRightInd/>
        <w:snapToGrid/>
        <w:spacing w:line="500" w:lineRule="exact"/>
        <w:ind w:firstLine="1280" w:firstLineChars="400"/>
        <w:textAlignment w:val="auto"/>
        <w:rPr>
          <w:rFonts w:hint="eastAsia" w:ascii="宋体" w:hAnsi="宋体" w:eastAsia="宋体"/>
          <w:sz w:val="32"/>
          <w:szCs w:val="32"/>
          <w:highlight w:val="none"/>
          <w:u w:val="single"/>
          <w:lang w:val="en-US" w:eastAsia="zh-CN"/>
        </w:rPr>
      </w:pPr>
      <w:r>
        <w:rPr>
          <w:rFonts w:hint="eastAsia" w:ascii="宋体" w:hAnsi="宋体"/>
          <w:sz w:val="32"/>
          <w:szCs w:val="32"/>
          <w:highlight w:val="none"/>
          <w:lang w:val="en-US" w:eastAsia="zh-CN"/>
        </w:rPr>
        <w:t>供应商</w:t>
      </w:r>
      <w:r>
        <w:rPr>
          <w:rFonts w:hint="eastAsia" w:ascii="宋体" w:hAnsi="宋体"/>
          <w:sz w:val="32"/>
          <w:szCs w:val="32"/>
          <w:highlight w:val="none"/>
        </w:rPr>
        <w:t>（</w:t>
      </w:r>
      <w:r>
        <w:rPr>
          <w:rFonts w:hint="eastAsia" w:ascii="宋体" w:hAnsi="宋体"/>
          <w:sz w:val="32"/>
          <w:szCs w:val="32"/>
          <w:highlight w:val="none"/>
          <w:lang w:val="en-US" w:eastAsia="zh-CN"/>
        </w:rPr>
        <w:t>加</w:t>
      </w:r>
      <w:r>
        <w:rPr>
          <w:rFonts w:hint="eastAsia" w:ascii="宋体" w:hAnsi="宋体"/>
          <w:sz w:val="32"/>
          <w:szCs w:val="32"/>
          <w:highlight w:val="none"/>
        </w:rPr>
        <w:t>盖</w:t>
      </w:r>
      <w:r>
        <w:rPr>
          <w:rFonts w:hint="eastAsia" w:ascii="宋体" w:hAnsi="宋体"/>
          <w:sz w:val="32"/>
          <w:szCs w:val="32"/>
          <w:highlight w:val="none"/>
          <w:lang w:val="en-US" w:eastAsia="zh-CN"/>
        </w:rPr>
        <w:t>公</w:t>
      </w:r>
      <w:r>
        <w:rPr>
          <w:rFonts w:hint="eastAsia" w:ascii="宋体" w:hAnsi="宋体"/>
          <w:sz w:val="32"/>
          <w:szCs w:val="32"/>
          <w:highlight w:val="none"/>
        </w:rPr>
        <w:t>章）：</w:t>
      </w:r>
      <w:r>
        <w:rPr>
          <w:rFonts w:hint="eastAsia"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r>
        <w:rPr>
          <w:rFonts w:hint="eastAsia"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p>
    <w:p w14:paraId="2786D87E">
      <w:pPr>
        <w:keepNext w:val="0"/>
        <w:keepLines w:val="0"/>
        <w:pageBreakBefore w:val="0"/>
        <w:widowControl w:val="0"/>
        <w:kinsoku/>
        <w:wordWrap/>
        <w:overflowPunct/>
        <w:autoSpaceDE/>
        <w:autoSpaceDN/>
        <w:bidi w:val="0"/>
        <w:adjustRightInd/>
        <w:snapToGrid/>
        <w:spacing w:line="500" w:lineRule="exact"/>
        <w:ind w:firstLine="1280" w:firstLineChars="400"/>
        <w:jc w:val="left"/>
        <w:textAlignment w:val="auto"/>
        <w:rPr>
          <w:rFonts w:ascii="宋体" w:hAnsi="宋体"/>
          <w:sz w:val="32"/>
          <w:szCs w:val="32"/>
          <w:highlight w:val="none"/>
        </w:rPr>
      </w:pPr>
      <w:r>
        <w:rPr>
          <w:rFonts w:hint="eastAsia" w:ascii="宋体" w:hAnsi="宋体"/>
          <w:sz w:val="32"/>
          <w:szCs w:val="32"/>
          <w:highlight w:val="none"/>
        </w:rPr>
        <w:t>法定代表人或负责人（签名或盖章）：</w:t>
      </w:r>
      <w:r>
        <w:rPr>
          <w:rFonts w:hint="eastAsia" w:ascii="宋体" w:hAnsi="宋体"/>
          <w:sz w:val="32"/>
          <w:szCs w:val="32"/>
          <w:highlight w:val="none"/>
          <w:u w:val="single"/>
        </w:rPr>
        <w:t xml:space="preserve"> 　　　　</w:t>
      </w:r>
    </w:p>
    <w:p w14:paraId="756972F9">
      <w:pPr>
        <w:keepNext w:val="0"/>
        <w:keepLines w:val="0"/>
        <w:pageBreakBefore w:val="0"/>
        <w:widowControl w:val="0"/>
        <w:kinsoku/>
        <w:wordWrap/>
        <w:overflowPunct/>
        <w:autoSpaceDE/>
        <w:autoSpaceDN/>
        <w:bidi w:val="0"/>
        <w:adjustRightInd/>
        <w:snapToGrid/>
        <w:spacing w:line="500" w:lineRule="exact"/>
        <w:ind w:firstLine="525"/>
        <w:jc w:val="left"/>
        <w:textAlignment w:val="auto"/>
        <w:rPr>
          <w:rFonts w:ascii="宋体" w:hAnsi="宋体"/>
          <w:sz w:val="32"/>
          <w:szCs w:val="32"/>
          <w:highlight w:val="none"/>
          <w:u w:val="single"/>
        </w:rPr>
      </w:pPr>
      <w:r>
        <w:rPr>
          <w:rFonts w:hint="eastAsia" w:ascii="宋体" w:hAnsi="宋体"/>
          <w:sz w:val="32"/>
          <w:szCs w:val="32"/>
          <w:highlight w:val="none"/>
        </w:rPr>
        <w:t>　　 代理人（签名或盖章）：</w:t>
      </w:r>
      <w:r>
        <w:rPr>
          <w:rFonts w:hint="eastAsia"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r>
        <w:rPr>
          <w:rFonts w:hint="eastAsia" w:ascii="宋体" w:hAnsi="宋体"/>
          <w:sz w:val="32"/>
          <w:szCs w:val="32"/>
          <w:highlight w:val="none"/>
          <w:u w:val="single"/>
        </w:rPr>
        <w:t xml:space="preserve"> 　　</w:t>
      </w:r>
      <w:r>
        <w:rPr>
          <w:rFonts w:hint="eastAsia" w:ascii="宋体" w:hAnsi="宋体"/>
          <w:sz w:val="32"/>
          <w:szCs w:val="32"/>
          <w:highlight w:val="none"/>
        </w:rPr>
        <w:t xml:space="preserve">                              </w:t>
      </w:r>
      <w:r>
        <w:rPr>
          <w:rFonts w:hint="eastAsia" w:ascii="宋体" w:hAnsi="宋体"/>
          <w:sz w:val="32"/>
          <w:szCs w:val="32"/>
          <w:highlight w:val="none"/>
          <w:u w:val="single"/>
        </w:rPr>
        <w:t xml:space="preserve"> 　　  </w:t>
      </w:r>
    </w:p>
    <w:p w14:paraId="6330C67B">
      <w:pPr>
        <w:keepNext w:val="0"/>
        <w:keepLines w:val="0"/>
        <w:pageBreakBefore w:val="0"/>
        <w:widowControl w:val="0"/>
        <w:kinsoku/>
        <w:wordWrap/>
        <w:overflowPunct/>
        <w:autoSpaceDE/>
        <w:autoSpaceDN/>
        <w:bidi w:val="0"/>
        <w:adjustRightInd/>
        <w:snapToGrid/>
        <w:spacing w:line="500" w:lineRule="exact"/>
        <w:ind w:firstLine="3840" w:firstLineChars="1200"/>
        <w:jc w:val="left"/>
        <w:textAlignment w:val="auto"/>
        <w:rPr>
          <w:rFonts w:ascii="宋体" w:hAnsi="宋体"/>
          <w:sz w:val="32"/>
          <w:szCs w:val="32"/>
          <w:highlight w:val="none"/>
        </w:rPr>
      </w:pPr>
      <w:r>
        <w:rPr>
          <w:rFonts w:hint="eastAsia" w:ascii="宋体" w:hAnsi="宋体"/>
          <w:sz w:val="32"/>
          <w:szCs w:val="32"/>
          <w:highlight w:val="none"/>
          <w:u w:val="none"/>
          <w:lang w:val="en-US" w:eastAsia="zh-CN"/>
        </w:rPr>
        <w:t>日期：</w:t>
      </w:r>
      <w:r>
        <w:rPr>
          <w:rFonts w:hint="eastAsia"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r>
        <w:rPr>
          <w:rFonts w:hint="eastAsia" w:ascii="宋体" w:hAnsi="宋体"/>
          <w:sz w:val="32"/>
          <w:szCs w:val="32"/>
          <w:highlight w:val="none"/>
          <w:u w:val="single"/>
        </w:rPr>
        <w:t xml:space="preserve">   </w:t>
      </w:r>
      <w:r>
        <w:rPr>
          <w:rFonts w:hint="eastAsia" w:ascii="宋体" w:hAnsi="宋体"/>
          <w:sz w:val="32"/>
          <w:szCs w:val="32"/>
          <w:highlight w:val="none"/>
        </w:rPr>
        <w:t>年</w:t>
      </w:r>
      <w:r>
        <w:rPr>
          <w:rFonts w:hint="eastAsia" w:ascii="宋体" w:hAnsi="宋体"/>
          <w:sz w:val="32"/>
          <w:szCs w:val="32"/>
          <w:highlight w:val="none"/>
          <w:u w:val="single"/>
        </w:rPr>
        <w:t xml:space="preserve">   </w:t>
      </w:r>
      <w:r>
        <w:rPr>
          <w:rFonts w:hint="eastAsia" w:ascii="宋体" w:hAnsi="宋体"/>
          <w:sz w:val="32"/>
          <w:szCs w:val="32"/>
          <w:highlight w:val="none"/>
        </w:rPr>
        <w:t>月</w:t>
      </w:r>
      <w:r>
        <w:rPr>
          <w:rFonts w:hint="eastAsia" w:ascii="宋体" w:hAnsi="宋体"/>
          <w:sz w:val="32"/>
          <w:szCs w:val="32"/>
          <w:highlight w:val="none"/>
          <w:u w:val="single"/>
        </w:rPr>
        <w:t xml:space="preserve">  </w:t>
      </w:r>
      <w:r>
        <w:rPr>
          <w:rFonts w:hint="eastAsia" w:ascii="宋体" w:hAnsi="宋体"/>
          <w:sz w:val="32"/>
          <w:szCs w:val="32"/>
          <w:highlight w:val="none"/>
        </w:rPr>
        <w:t>日</w:t>
      </w:r>
    </w:p>
    <w:p w14:paraId="4E24D2DB">
      <w:pPr>
        <w:ind w:firstLine="640" w:firstLineChars="200"/>
        <w:rPr>
          <w:rFonts w:ascii="宋体" w:hAnsi="宋体"/>
          <w:highlight w:val="none"/>
        </w:rPr>
      </w:pPr>
      <w:r>
        <w:rPr>
          <w:rFonts w:ascii="宋体" w:hAnsi="宋体"/>
          <w:sz w:val="32"/>
          <w:szCs w:val="32"/>
          <w:highlight w:val="none"/>
        </w:rPr>
        <w:br w:type="page"/>
      </w:r>
      <w:r>
        <w:rPr>
          <w:rFonts w:hint="eastAsia" w:ascii="宋体" w:hAnsi="宋体"/>
          <w:b/>
          <w:sz w:val="44"/>
          <w:szCs w:val="44"/>
          <w:highlight w:val="none"/>
        </w:rPr>
        <w:t>三　</w:t>
      </w:r>
      <w:bookmarkEnd w:id="765"/>
      <w:bookmarkEnd w:id="766"/>
      <w:bookmarkEnd w:id="783"/>
      <w:bookmarkEnd w:id="784"/>
      <w:bookmarkEnd w:id="785"/>
      <w:bookmarkStart w:id="786" w:name="_Toc289238787"/>
      <w:bookmarkStart w:id="787" w:name="_Toc338840509"/>
      <w:bookmarkStart w:id="788" w:name="_Toc289241535"/>
      <w:bookmarkStart w:id="789" w:name="_Toc289241358"/>
      <w:bookmarkStart w:id="790" w:name="_Toc289096742"/>
      <w:bookmarkStart w:id="791" w:name="_Toc289182438"/>
      <w:bookmarkStart w:id="792" w:name="_Toc288748127"/>
      <w:bookmarkStart w:id="793" w:name="_Toc338840470"/>
      <w:bookmarkStart w:id="794" w:name="_Toc338840261"/>
      <w:bookmarkStart w:id="795" w:name="_Toc289182816"/>
      <w:r>
        <w:rPr>
          <w:rFonts w:hint="eastAsia" w:ascii="宋体" w:hAnsi="宋体" w:cs="宋体"/>
          <w:b/>
          <w:kern w:val="44"/>
          <w:sz w:val="44"/>
          <w:szCs w:val="44"/>
          <w:highlight w:val="none"/>
        </w:rPr>
        <w:t>供应商基本情况和资格证明材料</w:t>
      </w:r>
    </w:p>
    <w:p w14:paraId="7C46BC64">
      <w:pPr>
        <w:widowControl/>
        <w:spacing w:line="480" w:lineRule="atLeast"/>
        <w:jc w:val="left"/>
        <w:rPr>
          <w:rFonts w:ascii="宋体" w:hAnsi="宋体" w:cs="宋体"/>
          <w:color w:val="555555"/>
          <w:kern w:val="0"/>
          <w:sz w:val="32"/>
          <w:szCs w:val="32"/>
          <w:highlight w:val="none"/>
        </w:rPr>
      </w:pPr>
    </w:p>
    <w:p w14:paraId="50E47EF5">
      <w:pPr>
        <w:topLinePunct/>
        <w:spacing w:line="440" w:lineRule="exact"/>
        <w:jc w:val="center"/>
        <w:outlineLvl w:val="1"/>
        <w:rPr>
          <w:rFonts w:ascii="宋体" w:hAnsi="宋体" w:cs="宋体"/>
          <w:b/>
          <w:bCs/>
          <w:sz w:val="32"/>
          <w:szCs w:val="32"/>
          <w:highlight w:val="none"/>
        </w:rPr>
      </w:pPr>
      <w:bookmarkStart w:id="796" w:name="_Toc18182"/>
      <w:r>
        <w:rPr>
          <w:rFonts w:hint="eastAsia" w:ascii="宋体" w:hAnsi="宋体" w:cs="宋体"/>
          <w:b/>
          <w:bCs/>
          <w:sz w:val="32"/>
          <w:szCs w:val="32"/>
          <w:highlight w:val="none"/>
        </w:rPr>
        <w:t>（一）供应商基本情况表</w:t>
      </w:r>
      <w:bookmarkEnd w:id="796"/>
    </w:p>
    <w:tbl>
      <w:tblPr>
        <w:tblStyle w:val="3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5"/>
        <w:gridCol w:w="1261"/>
        <w:gridCol w:w="1440"/>
        <w:gridCol w:w="538"/>
        <w:gridCol w:w="1080"/>
        <w:gridCol w:w="2344"/>
      </w:tblGrid>
      <w:tr w14:paraId="7F88D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5" w:type="dxa"/>
            <w:tcBorders>
              <w:top w:val="single" w:color="auto" w:sz="4" w:space="0"/>
              <w:left w:val="single" w:color="auto" w:sz="4" w:space="0"/>
              <w:bottom w:val="single" w:color="auto" w:sz="4" w:space="0"/>
              <w:right w:val="single" w:color="auto" w:sz="4" w:space="0"/>
            </w:tcBorders>
            <w:vAlign w:val="center"/>
          </w:tcPr>
          <w:p w14:paraId="614CF617">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供应商名称</w:t>
            </w:r>
          </w:p>
        </w:tc>
        <w:tc>
          <w:tcPr>
            <w:tcW w:w="6663" w:type="dxa"/>
            <w:gridSpan w:val="5"/>
            <w:tcBorders>
              <w:top w:val="single" w:color="auto" w:sz="4" w:space="0"/>
              <w:left w:val="single" w:color="auto" w:sz="4" w:space="0"/>
              <w:bottom w:val="single" w:color="auto" w:sz="4" w:space="0"/>
              <w:right w:val="single" w:color="auto" w:sz="4" w:space="0"/>
            </w:tcBorders>
            <w:vAlign w:val="center"/>
          </w:tcPr>
          <w:p w14:paraId="0B67FF19">
            <w:pPr>
              <w:topLinePunct/>
              <w:spacing w:line="440" w:lineRule="exact"/>
              <w:jc w:val="center"/>
              <w:rPr>
                <w:rFonts w:ascii="宋体" w:hAnsi="宋体" w:cs="宋体"/>
                <w:sz w:val="32"/>
                <w:szCs w:val="32"/>
                <w:highlight w:val="none"/>
              </w:rPr>
            </w:pPr>
          </w:p>
        </w:tc>
      </w:tr>
      <w:tr w14:paraId="2911C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5" w:type="dxa"/>
            <w:tcBorders>
              <w:top w:val="single" w:color="auto" w:sz="4" w:space="0"/>
              <w:left w:val="single" w:color="auto" w:sz="4" w:space="0"/>
              <w:bottom w:val="single" w:color="auto" w:sz="4" w:space="0"/>
              <w:right w:val="single" w:color="auto" w:sz="4" w:space="0"/>
            </w:tcBorders>
            <w:vAlign w:val="center"/>
          </w:tcPr>
          <w:p w14:paraId="6C3D5030">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注册地址</w:t>
            </w:r>
          </w:p>
        </w:tc>
        <w:tc>
          <w:tcPr>
            <w:tcW w:w="3239" w:type="dxa"/>
            <w:gridSpan w:val="3"/>
            <w:tcBorders>
              <w:top w:val="single" w:color="auto" w:sz="4" w:space="0"/>
              <w:left w:val="single" w:color="auto" w:sz="4" w:space="0"/>
              <w:bottom w:val="single" w:color="auto" w:sz="4" w:space="0"/>
              <w:right w:val="single" w:color="auto" w:sz="4" w:space="0"/>
            </w:tcBorders>
            <w:vAlign w:val="center"/>
          </w:tcPr>
          <w:p w14:paraId="1BA0CCDC">
            <w:pPr>
              <w:topLinePunct/>
              <w:spacing w:line="440" w:lineRule="exact"/>
              <w:jc w:val="center"/>
              <w:rPr>
                <w:rFonts w:ascii="宋体" w:hAnsi="宋体" w:cs="宋体"/>
                <w:sz w:val="32"/>
                <w:szCs w:val="3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BEC05B2">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邮编</w:t>
            </w:r>
          </w:p>
        </w:tc>
        <w:tc>
          <w:tcPr>
            <w:tcW w:w="2344" w:type="dxa"/>
            <w:tcBorders>
              <w:top w:val="single" w:color="auto" w:sz="4" w:space="0"/>
              <w:left w:val="single" w:color="auto" w:sz="4" w:space="0"/>
              <w:bottom w:val="single" w:color="auto" w:sz="4" w:space="0"/>
              <w:right w:val="single" w:color="auto" w:sz="4" w:space="0"/>
            </w:tcBorders>
            <w:vAlign w:val="center"/>
          </w:tcPr>
          <w:p w14:paraId="3FE9282D">
            <w:pPr>
              <w:topLinePunct/>
              <w:spacing w:line="440" w:lineRule="exact"/>
              <w:jc w:val="center"/>
              <w:rPr>
                <w:rFonts w:ascii="宋体" w:hAnsi="宋体" w:cs="宋体"/>
                <w:sz w:val="32"/>
                <w:szCs w:val="32"/>
                <w:highlight w:val="none"/>
              </w:rPr>
            </w:pPr>
          </w:p>
        </w:tc>
      </w:tr>
      <w:tr w14:paraId="2F488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5" w:type="dxa"/>
            <w:tcBorders>
              <w:top w:val="single" w:color="auto" w:sz="4" w:space="0"/>
              <w:left w:val="single" w:color="auto" w:sz="4" w:space="0"/>
              <w:bottom w:val="single" w:color="auto" w:sz="4" w:space="0"/>
              <w:right w:val="single" w:color="auto" w:sz="4" w:space="0"/>
            </w:tcBorders>
            <w:vAlign w:val="center"/>
          </w:tcPr>
          <w:p w14:paraId="12A37C9C">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法定代表人</w:t>
            </w:r>
          </w:p>
        </w:tc>
        <w:tc>
          <w:tcPr>
            <w:tcW w:w="3239" w:type="dxa"/>
            <w:gridSpan w:val="3"/>
            <w:tcBorders>
              <w:top w:val="single" w:color="auto" w:sz="4" w:space="0"/>
              <w:left w:val="single" w:color="auto" w:sz="4" w:space="0"/>
              <w:bottom w:val="single" w:color="auto" w:sz="4" w:space="0"/>
              <w:right w:val="single" w:color="auto" w:sz="4" w:space="0"/>
            </w:tcBorders>
            <w:vAlign w:val="center"/>
          </w:tcPr>
          <w:p w14:paraId="4DEFA9BA">
            <w:pPr>
              <w:topLinePunct/>
              <w:spacing w:line="440" w:lineRule="exact"/>
              <w:jc w:val="center"/>
              <w:rPr>
                <w:rFonts w:ascii="宋体" w:hAnsi="宋体" w:cs="宋体"/>
                <w:sz w:val="32"/>
                <w:szCs w:val="3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9FDE5D5">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电话</w:t>
            </w:r>
          </w:p>
        </w:tc>
        <w:tc>
          <w:tcPr>
            <w:tcW w:w="2344" w:type="dxa"/>
            <w:tcBorders>
              <w:top w:val="single" w:color="auto" w:sz="4" w:space="0"/>
              <w:left w:val="single" w:color="auto" w:sz="4" w:space="0"/>
              <w:bottom w:val="single" w:color="auto" w:sz="4" w:space="0"/>
              <w:right w:val="single" w:color="auto" w:sz="4" w:space="0"/>
            </w:tcBorders>
            <w:vAlign w:val="center"/>
          </w:tcPr>
          <w:p w14:paraId="40C75D6B">
            <w:pPr>
              <w:topLinePunct/>
              <w:spacing w:line="440" w:lineRule="exact"/>
              <w:jc w:val="center"/>
              <w:rPr>
                <w:rFonts w:ascii="宋体" w:hAnsi="宋体" w:cs="宋体"/>
                <w:sz w:val="32"/>
                <w:szCs w:val="32"/>
                <w:highlight w:val="none"/>
              </w:rPr>
            </w:pPr>
          </w:p>
        </w:tc>
      </w:tr>
      <w:tr w14:paraId="2446B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5" w:type="dxa"/>
            <w:vMerge w:val="restart"/>
            <w:tcBorders>
              <w:top w:val="single" w:color="auto" w:sz="4" w:space="0"/>
              <w:left w:val="single" w:color="auto" w:sz="4" w:space="0"/>
              <w:bottom w:val="single" w:color="auto" w:sz="4" w:space="0"/>
              <w:right w:val="single" w:color="auto" w:sz="4" w:space="0"/>
            </w:tcBorders>
            <w:vAlign w:val="center"/>
          </w:tcPr>
          <w:p w14:paraId="487FD8FB">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联系方式</w:t>
            </w:r>
          </w:p>
        </w:tc>
        <w:tc>
          <w:tcPr>
            <w:tcW w:w="1261" w:type="dxa"/>
            <w:tcBorders>
              <w:top w:val="single" w:color="auto" w:sz="4" w:space="0"/>
              <w:left w:val="single" w:color="auto" w:sz="4" w:space="0"/>
              <w:bottom w:val="single" w:color="auto" w:sz="4" w:space="0"/>
              <w:right w:val="single" w:color="auto" w:sz="4" w:space="0"/>
            </w:tcBorders>
            <w:vAlign w:val="center"/>
          </w:tcPr>
          <w:p w14:paraId="68E887B2">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联系人</w:t>
            </w:r>
          </w:p>
        </w:tc>
        <w:tc>
          <w:tcPr>
            <w:tcW w:w="1978" w:type="dxa"/>
            <w:gridSpan w:val="2"/>
            <w:tcBorders>
              <w:top w:val="single" w:color="auto" w:sz="4" w:space="0"/>
              <w:left w:val="single" w:color="auto" w:sz="4" w:space="0"/>
              <w:bottom w:val="single" w:color="auto" w:sz="4" w:space="0"/>
              <w:right w:val="single" w:color="auto" w:sz="4" w:space="0"/>
            </w:tcBorders>
            <w:vAlign w:val="center"/>
          </w:tcPr>
          <w:p w14:paraId="3E50E204">
            <w:pPr>
              <w:topLinePunct/>
              <w:spacing w:line="440" w:lineRule="exact"/>
              <w:jc w:val="center"/>
              <w:rPr>
                <w:rFonts w:ascii="宋体" w:hAnsi="宋体" w:cs="宋体"/>
                <w:sz w:val="32"/>
                <w:szCs w:val="3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21A42AE">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电 话</w:t>
            </w:r>
          </w:p>
        </w:tc>
        <w:tc>
          <w:tcPr>
            <w:tcW w:w="2344" w:type="dxa"/>
            <w:tcBorders>
              <w:top w:val="single" w:color="auto" w:sz="4" w:space="0"/>
              <w:left w:val="single" w:color="auto" w:sz="4" w:space="0"/>
              <w:bottom w:val="single" w:color="auto" w:sz="4" w:space="0"/>
              <w:right w:val="single" w:color="auto" w:sz="4" w:space="0"/>
            </w:tcBorders>
            <w:vAlign w:val="center"/>
          </w:tcPr>
          <w:p w14:paraId="51CFFD9C">
            <w:pPr>
              <w:topLinePunct/>
              <w:spacing w:line="440" w:lineRule="exact"/>
              <w:jc w:val="center"/>
              <w:rPr>
                <w:rFonts w:ascii="宋体" w:hAnsi="宋体" w:cs="宋体"/>
                <w:sz w:val="32"/>
                <w:szCs w:val="32"/>
                <w:highlight w:val="none"/>
              </w:rPr>
            </w:pPr>
          </w:p>
        </w:tc>
      </w:tr>
      <w:tr w14:paraId="6CC0D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5" w:type="dxa"/>
            <w:vMerge w:val="continue"/>
            <w:tcBorders>
              <w:top w:val="single" w:color="auto" w:sz="4" w:space="0"/>
              <w:left w:val="single" w:color="auto" w:sz="4" w:space="0"/>
              <w:bottom w:val="single" w:color="auto" w:sz="4" w:space="0"/>
              <w:right w:val="single" w:color="auto" w:sz="4" w:space="0"/>
            </w:tcBorders>
            <w:vAlign w:val="center"/>
          </w:tcPr>
          <w:p w14:paraId="1A37EE9A">
            <w:pPr>
              <w:topLinePunct/>
              <w:spacing w:line="440" w:lineRule="exact"/>
              <w:jc w:val="center"/>
              <w:rPr>
                <w:rFonts w:ascii="宋体" w:hAnsi="宋体" w:cs="宋体"/>
                <w:sz w:val="32"/>
                <w:szCs w:val="32"/>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FF00246">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传真</w:t>
            </w:r>
          </w:p>
        </w:tc>
        <w:tc>
          <w:tcPr>
            <w:tcW w:w="1978" w:type="dxa"/>
            <w:gridSpan w:val="2"/>
            <w:tcBorders>
              <w:top w:val="single" w:color="auto" w:sz="4" w:space="0"/>
              <w:left w:val="single" w:color="auto" w:sz="4" w:space="0"/>
              <w:bottom w:val="single" w:color="auto" w:sz="4" w:space="0"/>
              <w:right w:val="single" w:color="auto" w:sz="4" w:space="0"/>
            </w:tcBorders>
            <w:vAlign w:val="center"/>
          </w:tcPr>
          <w:p w14:paraId="651B4C3E">
            <w:pPr>
              <w:topLinePunct/>
              <w:spacing w:line="440" w:lineRule="exact"/>
              <w:jc w:val="center"/>
              <w:rPr>
                <w:rFonts w:ascii="宋体" w:hAnsi="宋体" w:cs="宋体"/>
                <w:sz w:val="32"/>
                <w:szCs w:val="3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B2A54C4">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网 址</w:t>
            </w:r>
          </w:p>
        </w:tc>
        <w:tc>
          <w:tcPr>
            <w:tcW w:w="2344" w:type="dxa"/>
            <w:tcBorders>
              <w:top w:val="single" w:color="auto" w:sz="4" w:space="0"/>
              <w:left w:val="single" w:color="auto" w:sz="4" w:space="0"/>
              <w:bottom w:val="single" w:color="auto" w:sz="4" w:space="0"/>
              <w:right w:val="single" w:color="auto" w:sz="4" w:space="0"/>
            </w:tcBorders>
            <w:vAlign w:val="center"/>
          </w:tcPr>
          <w:p w14:paraId="2A24DBEC">
            <w:pPr>
              <w:topLinePunct/>
              <w:spacing w:line="440" w:lineRule="exact"/>
              <w:jc w:val="center"/>
              <w:rPr>
                <w:rFonts w:ascii="宋体" w:hAnsi="宋体" w:cs="宋体"/>
                <w:sz w:val="32"/>
                <w:szCs w:val="32"/>
                <w:highlight w:val="none"/>
              </w:rPr>
            </w:pPr>
          </w:p>
        </w:tc>
      </w:tr>
      <w:tr w14:paraId="05F0FF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5" w:type="dxa"/>
            <w:tcBorders>
              <w:top w:val="single" w:color="auto" w:sz="4" w:space="0"/>
              <w:left w:val="single" w:color="auto" w:sz="4" w:space="0"/>
              <w:bottom w:val="single" w:color="auto" w:sz="4" w:space="0"/>
              <w:right w:val="single" w:color="auto" w:sz="4" w:space="0"/>
            </w:tcBorders>
            <w:vAlign w:val="center"/>
          </w:tcPr>
          <w:p w14:paraId="77D3A32D">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成立时间</w:t>
            </w:r>
          </w:p>
        </w:tc>
        <w:tc>
          <w:tcPr>
            <w:tcW w:w="2701" w:type="dxa"/>
            <w:gridSpan w:val="2"/>
            <w:tcBorders>
              <w:top w:val="single" w:color="auto" w:sz="4" w:space="0"/>
              <w:left w:val="single" w:color="auto" w:sz="4" w:space="0"/>
              <w:bottom w:val="single" w:color="auto" w:sz="4" w:space="0"/>
              <w:right w:val="single" w:color="auto" w:sz="4" w:space="0"/>
            </w:tcBorders>
            <w:vAlign w:val="center"/>
          </w:tcPr>
          <w:p w14:paraId="79742D7A">
            <w:pPr>
              <w:topLinePunct/>
              <w:spacing w:line="440" w:lineRule="exact"/>
              <w:jc w:val="center"/>
              <w:rPr>
                <w:rFonts w:ascii="宋体" w:hAnsi="宋体" w:cs="宋体"/>
                <w:sz w:val="32"/>
                <w:szCs w:val="32"/>
                <w:highlight w:val="none"/>
              </w:rPr>
            </w:pPr>
          </w:p>
        </w:tc>
        <w:tc>
          <w:tcPr>
            <w:tcW w:w="3962" w:type="dxa"/>
            <w:gridSpan w:val="3"/>
            <w:tcBorders>
              <w:top w:val="single" w:color="auto" w:sz="4" w:space="0"/>
              <w:left w:val="single" w:color="auto" w:sz="4" w:space="0"/>
              <w:bottom w:val="single" w:color="auto" w:sz="4" w:space="0"/>
              <w:right w:val="single" w:color="auto" w:sz="4" w:space="0"/>
            </w:tcBorders>
            <w:vAlign w:val="center"/>
          </w:tcPr>
          <w:p w14:paraId="48E72F58">
            <w:pPr>
              <w:topLinePunct/>
              <w:spacing w:line="440" w:lineRule="exact"/>
              <w:rPr>
                <w:rFonts w:ascii="宋体" w:hAnsi="宋体" w:cs="宋体"/>
                <w:sz w:val="32"/>
                <w:szCs w:val="32"/>
                <w:highlight w:val="none"/>
              </w:rPr>
            </w:pPr>
            <w:r>
              <w:rPr>
                <w:rFonts w:hint="eastAsia" w:ascii="宋体" w:hAnsi="宋体" w:cs="宋体"/>
                <w:sz w:val="32"/>
                <w:szCs w:val="32"/>
                <w:highlight w:val="none"/>
              </w:rPr>
              <w:t>员工总人数：</w:t>
            </w:r>
          </w:p>
        </w:tc>
      </w:tr>
      <w:tr w14:paraId="035CC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905" w:type="dxa"/>
            <w:tcBorders>
              <w:top w:val="single" w:color="auto" w:sz="4" w:space="0"/>
              <w:left w:val="single" w:color="auto" w:sz="4" w:space="0"/>
              <w:bottom w:val="single" w:color="auto" w:sz="4" w:space="0"/>
              <w:right w:val="single" w:color="auto" w:sz="4" w:space="0"/>
            </w:tcBorders>
            <w:vAlign w:val="center"/>
          </w:tcPr>
          <w:p w14:paraId="3EF81C4F">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营业执照号</w:t>
            </w:r>
          </w:p>
        </w:tc>
        <w:tc>
          <w:tcPr>
            <w:tcW w:w="2701" w:type="dxa"/>
            <w:gridSpan w:val="2"/>
            <w:tcBorders>
              <w:top w:val="single" w:color="auto" w:sz="4" w:space="0"/>
              <w:left w:val="single" w:color="auto" w:sz="4" w:space="0"/>
              <w:bottom w:val="single" w:color="auto" w:sz="4" w:space="0"/>
              <w:right w:val="single" w:color="auto" w:sz="4" w:space="0"/>
            </w:tcBorders>
            <w:vAlign w:val="center"/>
          </w:tcPr>
          <w:p w14:paraId="2806D9C6">
            <w:pPr>
              <w:topLinePunct/>
              <w:spacing w:line="440" w:lineRule="exact"/>
              <w:jc w:val="center"/>
              <w:rPr>
                <w:rFonts w:ascii="宋体" w:hAnsi="宋体" w:cs="宋体"/>
                <w:sz w:val="32"/>
                <w:szCs w:val="32"/>
                <w:highlight w:val="none"/>
              </w:rPr>
            </w:pPr>
          </w:p>
        </w:tc>
        <w:tc>
          <w:tcPr>
            <w:tcW w:w="3962" w:type="dxa"/>
            <w:gridSpan w:val="3"/>
            <w:tcBorders>
              <w:top w:val="single" w:color="auto" w:sz="4" w:space="0"/>
              <w:left w:val="single" w:color="auto" w:sz="4" w:space="0"/>
              <w:bottom w:val="single" w:color="auto" w:sz="4" w:space="0"/>
              <w:right w:val="single" w:color="auto" w:sz="4" w:space="0"/>
            </w:tcBorders>
            <w:vAlign w:val="center"/>
          </w:tcPr>
          <w:p w14:paraId="69D42EC9">
            <w:pPr>
              <w:topLinePunct/>
              <w:spacing w:line="440" w:lineRule="exact"/>
              <w:rPr>
                <w:rFonts w:ascii="宋体" w:hAnsi="宋体" w:cs="宋体"/>
                <w:sz w:val="32"/>
                <w:szCs w:val="32"/>
                <w:highlight w:val="none"/>
              </w:rPr>
            </w:pPr>
            <w:r>
              <w:rPr>
                <w:rFonts w:hint="eastAsia" w:ascii="宋体" w:hAnsi="宋体" w:cs="宋体"/>
                <w:sz w:val="32"/>
                <w:szCs w:val="32"/>
                <w:highlight w:val="none"/>
              </w:rPr>
              <w:t>注册资金：</w:t>
            </w:r>
          </w:p>
        </w:tc>
      </w:tr>
      <w:tr w14:paraId="41FF5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5" w:type="dxa"/>
            <w:tcBorders>
              <w:top w:val="single" w:color="auto" w:sz="4" w:space="0"/>
              <w:left w:val="single" w:color="auto" w:sz="4" w:space="0"/>
              <w:bottom w:val="single" w:color="auto" w:sz="4" w:space="0"/>
              <w:right w:val="single" w:color="auto" w:sz="4" w:space="0"/>
            </w:tcBorders>
            <w:vAlign w:val="center"/>
          </w:tcPr>
          <w:p w14:paraId="61A4B84E">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开户银行</w:t>
            </w:r>
          </w:p>
        </w:tc>
        <w:tc>
          <w:tcPr>
            <w:tcW w:w="2701" w:type="dxa"/>
            <w:gridSpan w:val="2"/>
            <w:tcBorders>
              <w:top w:val="single" w:color="auto" w:sz="4" w:space="0"/>
              <w:left w:val="single" w:color="auto" w:sz="4" w:space="0"/>
              <w:bottom w:val="single" w:color="auto" w:sz="4" w:space="0"/>
              <w:right w:val="single" w:color="auto" w:sz="4" w:space="0"/>
            </w:tcBorders>
            <w:vAlign w:val="center"/>
          </w:tcPr>
          <w:p w14:paraId="45F9FA50">
            <w:pPr>
              <w:topLinePunct/>
              <w:spacing w:line="440" w:lineRule="exact"/>
              <w:jc w:val="center"/>
              <w:rPr>
                <w:rFonts w:ascii="宋体" w:hAnsi="宋体" w:cs="宋体"/>
                <w:sz w:val="32"/>
                <w:szCs w:val="32"/>
                <w:highlight w:val="none"/>
              </w:rPr>
            </w:pPr>
          </w:p>
        </w:tc>
        <w:tc>
          <w:tcPr>
            <w:tcW w:w="3962" w:type="dxa"/>
            <w:gridSpan w:val="3"/>
            <w:tcBorders>
              <w:top w:val="single" w:color="auto" w:sz="4" w:space="0"/>
              <w:left w:val="single" w:color="auto" w:sz="4" w:space="0"/>
              <w:bottom w:val="single" w:color="auto" w:sz="4" w:space="0"/>
              <w:right w:val="single" w:color="auto" w:sz="4" w:space="0"/>
            </w:tcBorders>
            <w:vAlign w:val="center"/>
          </w:tcPr>
          <w:p w14:paraId="642A3A1E">
            <w:pPr>
              <w:topLinePunct/>
              <w:spacing w:line="440" w:lineRule="exact"/>
              <w:rPr>
                <w:rFonts w:ascii="宋体" w:hAnsi="宋体" w:cs="宋体"/>
                <w:sz w:val="32"/>
                <w:szCs w:val="32"/>
                <w:highlight w:val="none"/>
              </w:rPr>
            </w:pPr>
            <w:r>
              <w:rPr>
                <w:rFonts w:hint="eastAsia" w:ascii="宋体" w:hAnsi="宋体" w:cs="宋体"/>
                <w:sz w:val="32"/>
                <w:szCs w:val="32"/>
                <w:highlight w:val="none"/>
              </w:rPr>
              <w:t>账号：</w:t>
            </w:r>
          </w:p>
        </w:tc>
      </w:tr>
      <w:tr w14:paraId="12A1BA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trPr>
        <w:tc>
          <w:tcPr>
            <w:tcW w:w="1905" w:type="dxa"/>
            <w:tcBorders>
              <w:top w:val="single" w:color="auto" w:sz="4" w:space="0"/>
              <w:left w:val="single" w:color="auto" w:sz="4" w:space="0"/>
              <w:right w:val="single" w:color="auto" w:sz="4" w:space="0"/>
            </w:tcBorders>
            <w:vAlign w:val="center"/>
          </w:tcPr>
          <w:p w14:paraId="4DC571CB">
            <w:pPr>
              <w:topLinePunct/>
              <w:spacing w:line="440" w:lineRule="exact"/>
              <w:ind w:firstLine="320" w:firstLineChars="100"/>
              <w:jc w:val="center"/>
              <w:rPr>
                <w:rFonts w:ascii="宋体" w:hAnsi="宋体" w:cs="宋体"/>
                <w:sz w:val="32"/>
                <w:szCs w:val="32"/>
                <w:highlight w:val="none"/>
              </w:rPr>
            </w:pPr>
            <w:r>
              <w:rPr>
                <w:rFonts w:hint="eastAsia" w:ascii="宋体" w:hAnsi="宋体" w:cs="宋体"/>
                <w:sz w:val="32"/>
                <w:szCs w:val="32"/>
                <w:highlight w:val="none"/>
              </w:rPr>
              <w:t>核定的经营范围</w:t>
            </w:r>
          </w:p>
        </w:tc>
        <w:tc>
          <w:tcPr>
            <w:tcW w:w="6663" w:type="dxa"/>
            <w:gridSpan w:val="5"/>
            <w:tcBorders>
              <w:top w:val="single" w:color="auto" w:sz="4" w:space="0"/>
              <w:left w:val="single" w:color="auto" w:sz="4" w:space="0"/>
              <w:right w:val="single" w:color="auto" w:sz="4" w:space="0"/>
            </w:tcBorders>
            <w:vAlign w:val="center"/>
          </w:tcPr>
          <w:p w14:paraId="1E08417B">
            <w:pPr>
              <w:topLinePunct/>
              <w:spacing w:line="440" w:lineRule="exact"/>
              <w:rPr>
                <w:rFonts w:ascii="宋体" w:hAnsi="宋体" w:cs="宋体"/>
                <w:sz w:val="32"/>
                <w:szCs w:val="32"/>
                <w:highlight w:val="none"/>
              </w:rPr>
            </w:pPr>
          </w:p>
        </w:tc>
      </w:tr>
      <w:tr w14:paraId="3AAA2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5" w:type="dxa"/>
            <w:tcBorders>
              <w:top w:val="single" w:color="auto" w:sz="4" w:space="0"/>
              <w:left w:val="single" w:color="auto" w:sz="4" w:space="0"/>
              <w:bottom w:val="single" w:color="auto" w:sz="4" w:space="0"/>
              <w:right w:val="single" w:color="auto" w:sz="4" w:space="0"/>
            </w:tcBorders>
            <w:vAlign w:val="center"/>
          </w:tcPr>
          <w:p w14:paraId="231E1381">
            <w:pPr>
              <w:topLinePunct/>
              <w:spacing w:line="440" w:lineRule="exact"/>
              <w:jc w:val="center"/>
              <w:rPr>
                <w:rFonts w:ascii="宋体" w:hAnsi="宋体" w:cs="宋体"/>
                <w:sz w:val="32"/>
                <w:szCs w:val="32"/>
                <w:highlight w:val="none"/>
              </w:rPr>
            </w:pPr>
            <w:r>
              <w:rPr>
                <w:rFonts w:hint="eastAsia" w:ascii="宋体" w:hAnsi="宋体" w:cs="宋体"/>
                <w:sz w:val="32"/>
                <w:szCs w:val="32"/>
                <w:highlight w:val="none"/>
              </w:rPr>
              <w:t>备注</w:t>
            </w:r>
          </w:p>
        </w:tc>
        <w:tc>
          <w:tcPr>
            <w:tcW w:w="6663" w:type="dxa"/>
            <w:gridSpan w:val="5"/>
            <w:tcBorders>
              <w:top w:val="single" w:color="auto" w:sz="4" w:space="0"/>
              <w:left w:val="single" w:color="auto" w:sz="4" w:space="0"/>
              <w:bottom w:val="single" w:color="auto" w:sz="4" w:space="0"/>
              <w:right w:val="single" w:color="auto" w:sz="4" w:space="0"/>
            </w:tcBorders>
            <w:vAlign w:val="center"/>
          </w:tcPr>
          <w:p w14:paraId="7366E73A">
            <w:pPr>
              <w:topLinePunct/>
              <w:spacing w:line="440" w:lineRule="exact"/>
              <w:jc w:val="center"/>
              <w:rPr>
                <w:rFonts w:ascii="宋体" w:hAnsi="宋体" w:cs="宋体"/>
                <w:sz w:val="32"/>
                <w:szCs w:val="32"/>
                <w:highlight w:val="none"/>
              </w:rPr>
            </w:pPr>
          </w:p>
        </w:tc>
      </w:tr>
    </w:tbl>
    <w:p w14:paraId="3CA4229F">
      <w:pPr>
        <w:tabs>
          <w:tab w:val="left" w:pos="8280"/>
        </w:tabs>
        <w:spacing w:line="480" w:lineRule="exact"/>
        <w:ind w:right="6"/>
        <w:rPr>
          <w:rFonts w:ascii="宋体" w:hAnsi="宋体" w:cs="宋体"/>
          <w:b/>
          <w:sz w:val="32"/>
          <w:szCs w:val="32"/>
          <w:highlight w:val="none"/>
        </w:rPr>
      </w:pPr>
    </w:p>
    <w:p w14:paraId="563D4213">
      <w:pPr>
        <w:numPr>
          <w:ilvl w:val="0"/>
          <w:numId w:val="0"/>
        </w:numPr>
        <w:ind w:leftChars="0"/>
        <w:jc w:val="both"/>
        <w:rPr>
          <w:rFonts w:hint="eastAsia" w:ascii="宋体" w:hAnsi="宋体" w:cs="仿宋_GB2312"/>
          <w:b w:val="0"/>
          <w:bCs w:val="0"/>
          <w:sz w:val="28"/>
          <w:szCs w:val="28"/>
          <w:highlight w:val="none"/>
          <w:lang w:val="en-US" w:eastAsia="zh-CN"/>
        </w:rPr>
      </w:pPr>
      <w:r>
        <w:rPr>
          <w:rFonts w:hint="eastAsia" w:ascii="宋体" w:hAnsi="宋体" w:cs="宋体"/>
          <w:b/>
          <w:sz w:val="32"/>
          <w:szCs w:val="32"/>
          <w:highlight w:val="none"/>
        </w:rPr>
        <w:br w:type="page"/>
      </w:r>
      <w:r>
        <w:rPr>
          <w:rFonts w:hint="eastAsia" w:ascii="宋体" w:hAnsi="宋体" w:cs="仿宋_GB2312"/>
          <w:b w:val="0"/>
          <w:bCs w:val="0"/>
          <w:sz w:val="28"/>
          <w:szCs w:val="28"/>
          <w:highlight w:val="none"/>
          <w:lang w:val="en-US" w:eastAsia="zh-CN"/>
        </w:rPr>
        <w:t>资格证明材料（实质性要求）</w:t>
      </w:r>
    </w:p>
    <w:p w14:paraId="370D20F7">
      <w:pPr>
        <w:numPr>
          <w:ilvl w:val="0"/>
          <w:numId w:val="0"/>
        </w:numPr>
        <w:ind w:left="0" w:leftChars="0" w:firstLine="0" w:firstLineChars="0"/>
        <w:jc w:val="center"/>
        <w:outlineLvl w:val="1"/>
        <w:rPr>
          <w:rFonts w:ascii="宋体" w:hAnsi="宋体" w:cs="宋体"/>
          <w:b/>
          <w:sz w:val="32"/>
          <w:szCs w:val="32"/>
          <w:highlight w:val="none"/>
        </w:rPr>
      </w:pPr>
      <w:bookmarkStart w:id="797" w:name="_Toc30544"/>
      <w:r>
        <w:rPr>
          <w:rFonts w:hint="eastAsia" w:ascii="宋体" w:hAnsi="宋体" w:cs="宋体"/>
          <w:b/>
          <w:sz w:val="32"/>
          <w:szCs w:val="32"/>
          <w:highlight w:val="none"/>
          <w:lang w:eastAsia="zh-CN"/>
        </w:rPr>
        <w:t>（</w:t>
      </w:r>
      <w:r>
        <w:rPr>
          <w:rFonts w:hint="eastAsia" w:ascii="宋体" w:hAnsi="宋体" w:cs="宋体"/>
          <w:b/>
          <w:sz w:val="32"/>
          <w:szCs w:val="32"/>
          <w:highlight w:val="none"/>
          <w:lang w:val="en-US" w:eastAsia="zh-CN"/>
        </w:rPr>
        <w:t>二</w:t>
      </w:r>
      <w:r>
        <w:rPr>
          <w:rFonts w:hint="eastAsia" w:ascii="宋体" w:hAnsi="宋体" w:cs="宋体"/>
          <w:b/>
          <w:sz w:val="32"/>
          <w:szCs w:val="32"/>
          <w:highlight w:val="none"/>
          <w:lang w:eastAsia="zh-CN"/>
        </w:rPr>
        <w:t>）</w:t>
      </w:r>
      <w:r>
        <w:rPr>
          <w:rFonts w:hint="eastAsia" w:ascii="宋体" w:hAnsi="宋体" w:cs="宋体"/>
          <w:b/>
          <w:sz w:val="32"/>
          <w:szCs w:val="32"/>
          <w:highlight w:val="none"/>
        </w:rPr>
        <w:t>资格证明材料</w:t>
      </w:r>
      <w:bookmarkEnd w:id="797"/>
    </w:p>
    <w:p w14:paraId="2AA4FB4F">
      <w:pPr>
        <w:ind w:left="479" w:leftChars="228" w:firstLine="160" w:firstLineChars="50"/>
        <w:rPr>
          <w:rFonts w:ascii="宋体" w:hAnsi="宋体"/>
          <w:sz w:val="32"/>
          <w:szCs w:val="32"/>
          <w:highlight w:val="none"/>
        </w:rPr>
      </w:pPr>
    </w:p>
    <w:p w14:paraId="134D7B57">
      <w:pPr>
        <w:pStyle w:val="30"/>
        <w:ind w:left="0" w:leftChars="0" w:firstLine="640" w:firstLineChars="200"/>
        <w:rPr>
          <w:highlight w:val="none"/>
        </w:rPr>
      </w:pPr>
      <w:r>
        <w:rPr>
          <w:rFonts w:hint="eastAsia" w:ascii="宋体" w:hAnsi="宋体"/>
          <w:sz w:val="32"/>
          <w:szCs w:val="32"/>
          <w:highlight w:val="none"/>
        </w:rPr>
        <w:t>说明：</w:t>
      </w:r>
    </w:p>
    <w:p w14:paraId="78D15080">
      <w:pPr>
        <w:rPr>
          <w:rFonts w:ascii="宋体" w:hAnsi="宋体"/>
          <w:sz w:val="32"/>
          <w:szCs w:val="32"/>
          <w:highlight w:val="none"/>
        </w:rPr>
      </w:pPr>
      <w:r>
        <w:rPr>
          <w:rFonts w:hint="eastAsia" w:ascii="宋体" w:hAnsi="宋体"/>
          <w:sz w:val="32"/>
          <w:szCs w:val="32"/>
          <w:highlight w:val="none"/>
        </w:rPr>
        <w:t>　　1、供应商在此处完整提供“供应商资格要求”的全部资格证明材料，否则，自行承担资格审查不通过的风险责任。</w:t>
      </w:r>
    </w:p>
    <w:p w14:paraId="58AD7644">
      <w:pPr>
        <w:ind w:firstLine="640" w:firstLineChars="200"/>
        <w:rPr>
          <w:rFonts w:ascii="宋体" w:hAnsi="宋体"/>
          <w:sz w:val="32"/>
          <w:szCs w:val="32"/>
          <w:highlight w:val="none"/>
        </w:rPr>
      </w:pPr>
      <w:r>
        <w:rPr>
          <w:rFonts w:hint="eastAsia" w:ascii="宋体" w:hAnsi="宋体"/>
          <w:sz w:val="32"/>
          <w:szCs w:val="32"/>
          <w:highlight w:val="none"/>
        </w:rPr>
        <w:t>2、《供应商开标前三年内在经营活动中无重大违法记录的书面声明》和《供应商具备履行合同所必需的设备和专业技术能力的承诺书》格式见后附参考格式。</w:t>
      </w:r>
    </w:p>
    <w:p w14:paraId="7CCAF051">
      <w:pPr>
        <w:ind w:firstLine="640" w:firstLineChars="200"/>
        <w:rPr>
          <w:rFonts w:ascii="宋体" w:hAnsi="宋体"/>
          <w:sz w:val="32"/>
          <w:szCs w:val="32"/>
          <w:highlight w:val="none"/>
        </w:rPr>
      </w:pPr>
      <w:r>
        <w:rPr>
          <w:rFonts w:hint="eastAsia" w:ascii="宋体" w:hAnsi="宋体"/>
          <w:sz w:val="32"/>
          <w:szCs w:val="32"/>
          <w:highlight w:val="none"/>
        </w:rPr>
        <w:t>3、只面向中小企业采购的项目（以资格要求为准），须在此处提供《中小企业声明函》或《残疾人福利性单位声明函》或《监狱企业证明》。参考格式见“相关证明材料”附件。</w:t>
      </w:r>
    </w:p>
    <w:p w14:paraId="5D5403BC">
      <w:pPr>
        <w:pStyle w:val="28"/>
        <w:spacing w:line="300" w:lineRule="atLeast"/>
        <w:jc w:val="center"/>
        <w:rPr>
          <w:sz w:val="32"/>
          <w:szCs w:val="32"/>
          <w:highlight w:val="none"/>
        </w:rPr>
      </w:pPr>
      <w:r>
        <w:rPr>
          <w:rFonts w:hint="eastAsia"/>
          <w:sz w:val="32"/>
          <w:szCs w:val="32"/>
          <w:highlight w:val="none"/>
        </w:rPr>
        <w:br w:type="page"/>
      </w:r>
    </w:p>
    <w:p w14:paraId="30DA89CC">
      <w:pPr>
        <w:pStyle w:val="28"/>
        <w:spacing w:line="300" w:lineRule="atLeast"/>
        <w:jc w:val="center"/>
        <w:outlineLvl w:val="2"/>
        <w:rPr>
          <w:b/>
          <w:sz w:val="36"/>
          <w:szCs w:val="36"/>
          <w:highlight w:val="none"/>
        </w:rPr>
      </w:pPr>
      <w:r>
        <w:rPr>
          <w:rFonts w:hint="eastAsia"/>
          <w:b/>
          <w:sz w:val="36"/>
          <w:szCs w:val="36"/>
          <w:highlight w:val="none"/>
        </w:rPr>
        <w:t>供应商参与采购活动前三年内在经营活动中没有重大违法记录的书面声明函（</w:t>
      </w:r>
      <w:r>
        <w:rPr>
          <w:rFonts w:hint="eastAsia"/>
          <w:b/>
          <w:kern w:val="44"/>
          <w:sz w:val="32"/>
          <w:szCs w:val="32"/>
          <w:highlight w:val="none"/>
        </w:rPr>
        <w:t>参考格式</w:t>
      </w:r>
      <w:r>
        <w:rPr>
          <w:rFonts w:hint="eastAsia"/>
          <w:b/>
          <w:sz w:val="36"/>
          <w:szCs w:val="36"/>
          <w:highlight w:val="none"/>
        </w:rPr>
        <w:t>）</w:t>
      </w:r>
    </w:p>
    <w:p w14:paraId="69FF1F74">
      <w:pPr>
        <w:spacing w:before="156" w:beforeLines="50" w:after="156" w:afterLines="50" w:line="480" w:lineRule="auto"/>
        <w:rPr>
          <w:rFonts w:ascii="宋体" w:hAnsi="宋体"/>
          <w:sz w:val="32"/>
          <w:szCs w:val="32"/>
          <w:highlight w:val="none"/>
        </w:rPr>
      </w:pPr>
    </w:p>
    <w:p w14:paraId="35BB21A3">
      <w:pPr>
        <w:spacing w:before="156" w:beforeLines="50" w:after="156" w:afterLines="50" w:line="480" w:lineRule="auto"/>
        <w:ind w:firstLine="640" w:firstLineChars="200"/>
        <w:rPr>
          <w:rFonts w:ascii="宋体" w:hAnsi="宋体"/>
          <w:sz w:val="32"/>
          <w:szCs w:val="32"/>
          <w:highlight w:val="none"/>
        </w:rPr>
      </w:pPr>
      <w:r>
        <w:rPr>
          <w:rFonts w:hint="eastAsia" w:ascii="宋体" w:hAnsi="宋体"/>
          <w:sz w:val="32"/>
          <w:szCs w:val="32"/>
          <w:highlight w:val="none"/>
        </w:rPr>
        <w:t>我公司声明：在参与本项目采购活动前三年内（截至投标截止时间），没有重大违法记录（因违法经营受到刑事处罚或者责令停产停业、吊销许可证或者执照、较大数额罚款等行政处罚）。若发现我公司承诺不实，我公司投标无效，并承担由此造成的提供虚假材料等一切后果。</w:t>
      </w:r>
    </w:p>
    <w:p w14:paraId="344FA1F8">
      <w:pPr>
        <w:spacing w:before="156" w:beforeLines="50" w:after="156" w:afterLines="50" w:line="480" w:lineRule="auto"/>
        <w:ind w:firstLine="640" w:firstLineChars="200"/>
        <w:rPr>
          <w:rFonts w:ascii="宋体" w:hAnsi="宋体"/>
          <w:sz w:val="32"/>
          <w:szCs w:val="32"/>
          <w:highlight w:val="none"/>
        </w:rPr>
      </w:pPr>
      <w:r>
        <w:rPr>
          <w:rFonts w:hint="eastAsia" w:ascii="宋体" w:hAnsi="宋体"/>
          <w:sz w:val="32"/>
          <w:szCs w:val="32"/>
          <w:highlight w:val="none"/>
        </w:rPr>
        <w:t>特此声明。</w:t>
      </w:r>
    </w:p>
    <w:p w14:paraId="23DFDA4D">
      <w:pPr>
        <w:spacing w:before="156" w:beforeLines="50" w:after="156" w:afterLines="50" w:line="480" w:lineRule="auto"/>
        <w:rPr>
          <w:rFonts w:ascii="宋体" w:hAnsi="宋体"/>
          <w:sz w:val="32"/>
          <w:szCs w:val="32"/>
          <w:highlight w:val="none"/>
        </w:rPr>
      </w:pPr>
    </w:p>
    <w:p w14:paraId="140EA5B8">
      <w:pPr>
        <w:spacing w:before="156" w:beforeLines="50" w:after="156" w:afterLines="50" w:line="480" w:lineRule="auto"/>
        <w:rPr>
          <w:rFonts w:ascii="宋体" w:hAnsi="宋体"/>
          <w:sz w:val="32"/>
          <w:szCs w:val="32"/>
          <w:highlight w:val="none"/>
        </w:rPr>
      </w:pPr>
    </w:p>
    <w:p w14:paraId="45F385E4">
      <w:pPr>
        <w:spacing w:before="156" w:beforeLines="50" w:after="156" w:afterLines="50" w:line="480" w:lineRule="auto"/>
        <w:rPr>
          <w:rFonts w:ascii="宋体" w:hAnsi="宋体"/>
          <w:sz w:val="32"/>
          <w:szCs w:val="32"/>
          <w:highlight w:val="none"/>
        </w:rPr>
      </w:pPr>
      <w:r>
        <w:rPr>
          <w:rFonts w:hint="eastAsia" w:ascii="宋体" w:hAnsi="宋体"/>
          <w:sz w:val="32"/>
          <w:szCs w:val="32"/>
          <w:highlight w:val="none"/>
        </w:rPr>
        <w:t xml:space="preserve">                  投标单位：</w:t>
      </w:r>
    </w:p>
    <w:p w14:paraId="7F13E83E">
      <w:pPr>
        <w:spacing w:before="156" w:beforeLines="50" w:after="156" w:afterLines="50" w:line="480" w:lineRule="auto"/>
        <w:rPr>
          <w:rFonts w:ascii="宋体" w:hAnsi="宋体"/>
          <w:sz w:val="32"/>
          <w:szCs w:val="32"/>
          <w:highlight w:val="none"/>
        </w:rPr>
      </w:pPr>
      <w:r>
        <w:rPr>
          <w:rFonts w:hint="eastAsia" w:ascii="宋体" w:hAnsi="宋体"/>
          <w:sz w:val="32"/>
          <w:szCs w:val="32"/>
          <w:highlight w:val="none"/>
        </w:rPr>
        <w:t xml:space="preserve">                   时间：     年   月   日 </w:t>
      </w:r>
    </w:p>
    <w:p w14:paraId="3C5A0E4C">
      <w:pPr>
        <w:spacing w:before="156" w:beforeLines="50" w:after="156" w:afterLines="50" w:line="480" w:lineRule="auto"/>
        <w:rPr>
          <w:rFonts w:ascii="宋体" w:hAnsi="宋体"/>
          <w:sz w:val="32"/>
          <w:szCs w:val="32"/>
          <w:highlight w:val="none"/>
        </w:rPr>
      </w:pPr>
    </w:p>
    <w:p w14:paraId="1B55888B">
      <w:pPr>
        <w:spacing w:before="156" w:beforeLines="50" w:after="156" w:afterLines="50" w:line="480" w:lineRule="auto"/>
        <w:ind w:firstLine="640" w:firstLineChars="200"/>
        <w:rPr>
          <w:rFonts w:ascii="宋体" w:hAnsi="宋体"/>
          <w:sz w:val="32"/>
          <w:szCs w:val="32"/>
          <w:highlight w:val="none"/>
        </w:rPr>
      </w:pPr>
      <w:r>
        <w:rPr>
          <w:rFonts w:hint="eastAsia" w:ascii="宋体" w:hAnsi="宋体"/>
          <w:sz w:val="32"/>
          <w:szCs w:val="32"/>
          <w:highlight w:val="none"/>
        </w:rPr>
        <w:t>注：供应商在参加政府采购活动前三年内因违法经营被禁止在一定期限内参加政府采购活动，期限届满的，可以参加政府采购活动，但应在此处详细注明。</w:t>
      </w:r>
    </w:p>
    <w:p w14:paraId="069669C7">
      <w:pPr>
        <w:spacing w:before="156" w:beforeLines="50" w:after="156" w:afterLines="50" w:line="480" w:lineRule="auto"/>
        <w:rPr>
          <w:b/>
          <w:kern w:val="44"/>
          <w:sz w:val="32"/>
          <w:szCs w:val="32"/>
          <w:highlight w:val="none"/>
        </w:rPr>
      </w:pPr>
      <w:r>
        <w:rPr>
          <w:b/>
          <w:kern w:val="44"/>
          <w:sz w:val="32"/>
          <w:szCs w:val="32"/>
          <w:highlight w:val="none"/>
        </w:rPr>
        <w:br w:type="page"/>
      </w:r>
    </w:p>
    <w:p w14:paraId="3988EBAF">
      <w:pPr>
        <w:spacing w:before="156" w:beforeLines="50" w:after="156" w:afterLines="50" w:line="480" w:lineRule="auto"/>
        <w:jc w:val="center"/>
        <w:rPr>
          <w:b/>
          <w:sz w:val="36"/>
          <w:szCs w:val="36"/>
          <w:highlight w:val="none"/>
        </w:rPr>
      </w:pPr>
      <w:r>
        <w:rPr>
          <w:rFonts w:hint="eastAsia"/>
          <w:b/>
          <w:sz w:val="36"/>
          <w:szCs w:val="36"/>
          <w:highlight w:val="none"/>
        </w:rPr>
        <w:t>供应商具备履行合同所必需的设备和专业技术能力的承诺书</w:t>
      </w:r>
      <w:r>
        <w:rPr>
          <w:rFonts w:hint="eastAsia" w:ascii="宋体" w:hAnsi="宋体"/>
          <w:b/>
          <w:sz w:val="36"/>
          <w:szCs w:val="36"/>
          <w:highlight w:val="none"/>
        </w:rPr>
        <w:t>（</w:t>
      </w:r>
      <w:r>
        <w:rPr>
          <w:rFonts w:hint="eastAsia" w:ascii="宋体" w:hAnsi="宋体"/>
          <w:b/>
          <w:kern w:val="44"/>
          <w:sz w:val="32"/>
          <w:szCs w:val="32"/>
          <w:highlight w:val="none"/>
        </w:rPr>
        <w:t>参考格式</w:t>
      </w:r>
      <w:r>
        <w:rPr>
          <w:rFonts w:hint="eastAsia" w:ascii="宋体" w:hAnsi="宋体"/>
          <w:b/>
          <w:sz w:val="36"/>
          <w:szCs w:val="36"/>
          <w:highlight w:val="none"/>
        </w:rPr>
        <w:t>）</w:t>
      </w:r>
    </w:p>
    <w:p w14:paraId="38D5887E">
      <w:pPr>
        <w:spacing w:before="156" w:beforeLines="50" w:after="156" w:afterLines="50" w:line="480" w:lineRule="auto"/>
        <w:rPr>
          <w:rFonts w:ascii="宋体" w:hAnsi="宋体"/>
          <w:sz w:val="32"/>
          <w:szCs w:val="32"/>
          <w:highlight w:val="none"/>
        </w:rPr>
      </w:pPr>
      <w:r>
        <w:rPr>
          <w:rFonts w:hint="eastAsia" w:ascii="宋体" w:hAnsi="宋体"/>
          <w:sz w:val="32"/>
          <w:szCs w:val="32"/>
          <w:highlight w:val="none"/>
        </w:rPr>
        <w:t>我单位承诺：</w:t>
      </w:r>
    </w:p>
    <w:p w14:paraId="2EE00AA7">
      <w:pPr>
        <w:spacing w:before="156" w:beforeLines="50" w:after="156" w:afterLines="50" w:line="480" w:lineRule="auto"/>
        <w:ind w:firstLine="640" w:firstLineChars="200"/>
        <w:rPr>
          <w:rFonts w:ascii="宋体" w:hAnsi="宋体"/>
          <w:sz w:val="32"/>
          <w:szCs w:val="32"/>
          <w:highlight w:val="none"/>
        </w:rPr>
      </w:pPr>
      <w:r>
        <w:rPr>
          <w:rFonts w:hint="eastAsia" w:ascii="宋体" w:hAnsi="宋体"/>
          <w:sz w:val="32"/>
          <w:szCs w:val="32"/>
          <w:highlight w:val="none"/>
        </w:rPr>
        <w:t>我们已认真阅读本项目采购文件，对照项目要求，具备履行采购项目合同必须的设备和专业技术能力，并按照采购文件要求提供相关证明材料。如我方中标、成交，保证能够优质高效完成本项目，如因设备和专业能力不足而影响项目质量和进度，我方愿接受采购人的处罚并承担与之有关的责任和损失。</w:t>
      </w:r>
    </w:p>
    <w:p w14:paraId="0DBF6211">
      <w:pPr>
        <w:spacing w:before="156" w:beforeLines="50" w:after="156" w:afterLines="50" w:line="480" w:lineRule="auto"/>
        <w:ind w:firstLine="640" w:firstLineChars="200"/>
        <w:rPr>
          <w:rFonts w:ascii="宋体" w:hAnsi="宋体"/>
          <w:sz w:val="32"/>
          <w:szCs w:val="32"/>
          <w:highlight w:val="none"/>
        </w:rPr>
      </w:pPr>
      <w:r>
        <w:rPr>
          <w:rFonts w:hint="eastAsia" w:ascii="宋体" w:hAnsi="宋体"/>
          <w:sz w:val="32"/>
          <w:szCs w:val="32"/>
          <w:highlight w:val="none"/>
        </w:rPr>
        <w:t>特此承诺。</w:t>
      </w:r>
    </w:p>
    <w:p w14:paraId="6DEE4A70">
      <w:pPr>
        <w:pStyle w:val="28"/>
        <w:spacing w:line="300" w:lineRule="atLeast"/>
        <w:ind w:firstLine="642"/>
        <w:rPr>
          <w:rFonts w:cs="Times New Roman"/>
          <w:kern w:val="44"/>
          <w:sz w:val="32"/>
          <w:szCs w:val="32"/>
          <w:highlight w:val="none"/>
        </w:rPr>
      </w:pPr>
    </w:p>
    <w:p w14:paraId="69DB9BCD">
      <w:pPr>
        <w:pStyle w:val="28"/>
        <w:wordWrap w:val="0"/>
        <w:spacing w:line="300" w:lineRule="atLeast"/>
        <w:ind w:right="1365" w:rightChars="650" w:firstLine="642"/>
        <w:jc w:val="right"/>
        <w:rPr>
          <w:rFonts w:cs="Times New Roman"/>
          <w:kern w:val="44"/>
          <w:sz w:val="32"/>
          <w:szCs w:val="32"/>
          <w:highlight w:val="none"/>
          <w:u w:val="single"/>
        </w:rPr>
      </w:pPr>
      <w:r>
        <w:rPr>
          <w:rFonts w:hint="eastAsia" w:cs="Times New Roman"/>
          <w:kern w:val="44"/>
          <w:sz w:val="32"/>
          <w:szCs w:val="32"/>
          <w:highlight w:val="none"/>
        </w:rPr>
        <w:t>承诺供应商：</w:t>
      </w:r>
      <w:r>
        <w:rPr>
          <w:rFonts w:hint="eastAsia" w:cs="Times New Roman"/>
          <w:kern w:val="44"/>
          <w:sz w:val="32"/>
          <w:szCs w:val="32"/>
          <w:highlight w:val="none"/>
          <w:u w:val="single"/>
        </w:rPr>
        <w:t xml:space="preserve">            </w:t>
      </w:r>
    </w:p>
    <w:p w14:paraId="26DDD23C">
      <w:pPr>
        <w:pStyle w:val="28"/>
        <w:spacing w:line="300" w:lineRule="atLeast"/>
        <w:ind w:right="1365" w:rightChars="650" w:firstLine="642"/>
        <w:jc w:val="right"/>
        <w:rPr>
          <w:sz w:val="32"/>
          <w:szCs w:val="32"/>
          <w:highlight w:val="none"/>
        </w:rPr>
        <w:sectPr>
          <w:footerReference r:id="rId10" w:type="first"/>
          <w:footerReference r:id="rId9" w:type="default"/>
          <w:pgSz w:w="11906" w:h="16838"/>
          <w:pgMar w:top="1440" w:right="1800" w:bottom="1440" w:left="1800" w:header="851" w:footer="992" w:gutter="0"/>
          <w:pgNumType w:fmt="decimal" w:start="1"/>
          <w:cols w:space="720" w:num="1"/>
          <w:titlePg/>
          <w:docGrid w:type="lines" w:linePitch="312" w:charSpace="0"/>
        </w:sectPr>
      </w:pPr>
      <w:r>
        <w:rPr>
          <w:rFonts w:hint="eastAsia" w:cs="Times New Roman"/>
          <w:kern w:val="44"/>
          <w:sz w:val="32"/>
          <w:szCs w:val="32"/>
          <w:highlight w:val="none"/>
        </w:rPr>
        <w:t>年  月  日</w:t>
      </w:r>
    </w:p>
    <w:p w14:paraId="57E5211C">
      <w:pPr>
        <w:jc w:val="both"/>
        <w:rPr>
          <w:rFonts w:hint="eastAsia" w:ascii="宋体" w:hAnsi="宋体"/>
          <w:b/>
          <w:bCs/>
          <w:kern w:val="44"/>
          <w:sz w:val="44"/>
          <w:szCs w:val="44"/>
          <w:highlight w:val="none"/>
        </w:rPr>
      </w:pPr>
      <w:r>
        <w:rPr>
          <w:rFonts w:hint="eastAsia" w:ascii="宋体" w:hAnsi="宋体" w:cs="仿宋_GB2312"/>
          <w:b w:val="0"/>
          <w:bCs w:val="0"/>
          <w:sz w:val="28"/>
          <w:szCs w:val="28"/>
          <w:highlight w:val="none"/>
          <w:lang w:val="en-US" w:eastAsia="zh-CN"/>
        </w:rPr>
        <w:t>投标内容及报价明细表（实质性要求）</w:t>
      </w:r>
    </w:p>
    <w:bookmarkEnd w:id="786"/>
    <w:bookmarkEnd w:id="787"/>
    <w:bookmarkEnd w:id="788"/>
    <w:bookmarkEnd w:id="789"/>
    <w:bookmarkEnd w:id="790"/>
    <w:bookmarkEnd w:id="791"/>
    <w:bookmarkEnd w:id="792"/>
    <w:bookmarkEnd w:id="793"/>
    <w:bookmarkEnd w:id="794"/>
    <w:bookmarkEnd w:id="795"/>
    <w:p w14:paraId="3084547A">
      <w:pPr>
        <w:jc w:val="center"/>
        <w:rPr>
          <w:rFonts w:ascii="宋体" w:hAnsi="宋体"/>
          <w:b/>
          <w:bCs/>
          <w:kern w:val="44"/>
          <w:sz w:val="44"/>
          <w:szCs w:val="44"/>
          <w:highlight w:val="none"/>
        </w:rPr>
      </w:pPr>
      <w:bookmarkStart w:id="798" w:name="_Toc338840510"/>
      <w:bookmarkStart w:id="799" w:name="_Toc289096743"/>
      <w:bookmarkStart w:id="800" w:name="_Toc289182817"/>
      <w:bookmarkStart w:id="801" w:name="_Toc289241536"/>
      <w:bookmarkStart w:id="802" w:name="_Toc289241359"/>
      <w:bookmarkStart w:id="803" w:name="_Toc288748128"/>
      <w:bookmarkStart w:id="804" w:name="_Toc289238788"/>
      <w:bookmarkStart w:id="805" w:name="_Toc338840471"/>
      <w:bookmarkStart w:id="806" w:name="_Toc338840262"/>
      <w:bookmarkStart w:id="807" w:name="_Toc289182439"/>
      <w:r>
        <w:rPr>
          <w:rFonts w:hint="eastAsia" w:ascii="宋体" w:hAnsi="宋体"/>
          <w:b/>
          <w:bCs/>
          <w:kern w:val="44"/>
          <w:sz w:val="44"/>
          <w:szCs w:val="44"/>
          <w:highlight w:val="none"/>
        </w:rPr>
        <w:t>四　投标内容及报价明细表</w:t>
      </w:r>
    </w:p>
    <w:p w14:paraId="6214752B">
      <w:pPr>
        <w:jc w:val="center"/>
        <w:rPr>
          <w:rFonts w:ascii="宋体" w:hAnsi="宋体"/>
          <w:b/>
          <w:bCs/>
          <w:kern w:val="44"/>
          <w:sz w:val="32"/>
          <w:szCs w:val="32"/>
          <w:highlight w:val="none"/>
        </w:rPr>
      </w:pPr>
      <w:r>
        <w:rPr>
          <w:rFonts w:hint="eastAsia" w:ascii="宋体" w:hAnsi="宋体"/>
          <w:b/>
          <w:bCs/>
          <w:kern w:val="44"/>
          <w:sz w:val="32"/>
          <w:szCs w:val="32"/>
          <w:highlight w:val="none"/>
        </w:rPr>
        <w:t>（本表适用于服务类或工程类采购项目）</w:t>
      </w:r>
    </w:p>
    <w:p w14:paraId="06D2A42A">
      <w:pPr>
        <w:rPr>
          <w:rFonts w:ascii="宋体" w:hAnsi="宋体"/>
          <w:b/>
          <w:bCs/>
          <w:kern w:val="44"/>
          <w:sz w:val="44"/>
          <w:szCs w:val="44"/>
          <w:highlight w:val="none"/>
        </w:rPr>
      </w:pPr>
    </w:p>
    <w:tbl>
      <w:tblPr>
        <w:tblStyle w:val="32"/>
        <w:tblpPr w:leftFromText="180" w:rightFromText="180" w:vertAnchor="text" w:horzAnchor="margin"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3909"/>
        <w:gridCol w:w="1281"/>
        <w:gridCol w:w="877"/>
        <w:gridCol w:w="981"/>
        <w:gridCol w:w="1057"/>
      </w:tblGrid>
      <w:tr w14:paraId="0A8E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26" w:type="dxa"/>
            <w:vAlign w:val="center"/>
          </w:tcPr>
          <w:p w14:paraId="3B86116A">
            <w:pPr>
              <w:spacing w:line="400" w:lineRule="exact"/>
              <w:jc w:val="center"/>
              <w:rPr>
                <w:rFonts w:ascii="宋体" w:hAnsi="宋体"/>
                <w:highlight w:val="none"/>
              </w:rPr>
            </w:pPr>
            <w:r>
              <w:rPr>
                <w:rFonts w:hint="eastAsia" w:ascii="宋体" w:hAnsi="宋体"/>
                <w:highlight w:val="none"/>
              </w:rPr>
              <w:t>序号</w:t>
            </w:r>
          </w:p>
        </w:tc>
        <w:tc>
          <w:tcPr>
            <w:tcW w:w="3909" w:type="dxa"/>
            <w:vAlign w:val="center"/>
          </w:tcPr>
          <w:p w14:paraId="524B79AF">
            <w:pPr>
              <w:spacing w:line="400" w:lineRule="exact"/>
              <w:ind w:left="223" w:hanging="223"/>
              <w:jc w:val="center"/>
              <w:rPr>
                <w:rFonts w:ascii="宋体" w:hAnsi="宋体"/>
                <w:highlight w:val="none"/>
              </w:rPr>
            </w:pPr>
            <w:r>
              <w:rPr>
                <w:rFonts w:hint="eastAsia" w:ascii="宋体" w:hAnsi="宋体" w:cs="chs_boot"/>
                <w:highlight w:val="none"/>
                <w:lang w:val="en-US" w:eastAsia="zh-CN"/>
              </w:rPr>
              <w:t>分项名称及</w:t>
            </w:r>
            <w:r>
              <w:rPr>
                <w:rFonts w:hint="eastAsia" w:ascii="宋体" w:hAnsi="宋体" w:cs="chs_boot"/>
                <w:highlight w:val="none"/>
              </w:rPr>
              <w:t>内容</w:t>
            </w:r>
          </w:p>
        </w:tc>
        <w:tc>
          <w:tcPr>
            <w:tcW w:w="1281" w:type="dxa"/>
            <w:vAlign w:val="center"/>
          </w:tcPr>
          <w:p w14:paraId="526A4ED9">
            <w:pPr>
              <w:spacing w:line="400" w:lineRule="exact"/>
              <w:ind w:left="223" w:hanging="223"/>
              <w:jc w:val="center"/>
              <w:rPr>
                <w:rFonts w:hint="default" w:ascii="宋体" w:hAnsi="宋体" w:eastAsia="宋体" w:cs="chs_boot"/>
                <w:highlight w:val="none"/>
                <w:lang w:val="en-US" w:eastAsia="zh-CN"/>
              </w:rPr>
            </w:pPr>
            <w:r>
              <w:rPr>
                <w:rFonts w:hint="eastAsia" w:ascii="宋体" w:hAnsi="宋体" w:cs="chs_boot"/>
                <w:highlight w:val="none"/>
                <w:lang w:val="en-US" w:eastAsia="zh-CN"/>
              </w:rPr>
              <w:t>数量及单位</w:t>
            </w:r>
          </w:p>
        </w:tc>
        <w:tc>
          <w:tcPr>
            <w:tcW w:w="877" w:type="dxa"/>
            <w:vAlign w:val="center"/>
          </w:tcPr>
          <w:p w14:paraId="347E2EFB">
            <w:pPr>
              <w:spacing w:line="400" w:lineRule="exact"/>
              <w:ind w:left="223" w:hanging="223"/>
              <w:jc w:val="center"/>
              <w:rPr>
                <w:rFonts w:ascii="宋体" w:hAnsi="宋体" w:cs="chs_boot"/>
                <w:highlight w:val="none"/>
              </w:rPr>
            </w:pPr>
            <w:r>
              <w:rPr>
                <w:rFonts w:hint="eastAsia" w:ascii="宋体" w:hAnsi="宋体" w:cs="chs_boot"/>
                <w:highlight w:val="none"/>
              </w:rPr>
              <w:t>单价</w:t>
            </w:r>
          </w:p>
        </w:tc>
        <w:tc>
          <w:tcPr>
            <w:tcW w:w="981" w:type="dxa"/>
            <w:vAlign w:val="center"/>
          </w:tcPr>
          <w:p w14:paraId="5B1246F5">
            <w:pPr>
              <w:spacing w:line="400" w:lineRule="exact"/>
              <w:jc w:val="center"/>
              <w:rPr>
                <w:rFonts w:ascii="宋体" w:hAnsi="宋体"/>
                <w:highlight w:val="none"/>
              </w:rPr>
            </w:pPr>
            <w:r>
              <w:rPr>
                <w:rFonts w:hint="eastAsia" w:ascii="宋体" w:hAnsi="宋体"/>
                <w:highlight w:val="none"/>
              </w:rPr>
              <w:t>价格合计</w:t>
            </w:r>
          </w:p>
        </w:tc>
        <w:tc>
          <w:tcPr>
            <w:tcW w:w="1057" w:type="dxa"/>
            <w:vAlign w:val="center"/>
          </w:tcPr>
          <w:p w14:paraId="0DCC41A7">
            <w:pPr>
              <w:spacing w:line="400" w:lineRule="exact"/>
              <w:jc w:val="center"/>
              <w:rPr>
                <w:rFonts w:ascii="宋体" w:hAnsi="宋体"/>
                <w:highlight w:val="none"/>
              </w:rPr>
            </w:pPr>
            <w:r>
              <w:rPr>
                <w:rFonts w:hint="eastAsia" w:ascii="宋体" w:hAnsi="宋体"/>
                <w:highlight w:val="none"/>
              </w:rPr>
              <w:t>备注</w:t>
            </w:r>
          </w:p>
        </w:tc>
      </w:tr>
      <w:tr w14:paraId="3DD2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26" w:type="dxa"/>
          </w:tcPr>
          <w:p w14:paraId="16A7942D">
            <w:pPr>
              <w:spacing w:line="400" w:lineRule="exact"/>
              <w:jc w:val="center"/>
              <w:rPr>
                <w:rFonts w:ascii="宋体" w:hAnsi="宋体"/>
                <w:sz w:val="28"/>
                <w:highlight w:val="none"/>
              </w:rPr>
            </w:pPr>
            <w:r>
              <w:rPr>
                <w:rFonts w:hint="eastAsia" w:ascii="宋体" w:hAnsi="宋体"/>
                <w:sz w:val="28"/>
                <w:highlight w:val="none"/>
              </w:rPr>
              <w:t>1</w:t>
            </w:r>
          </w:p>
        </w:tc>
        <w:tc>
          <w:tcPr>
            <w:tcW w:w="3909" w:type="dxa"/>
          </w:tcPr>
          <w:p w14:paraId="14907E80">
            <w:pPr>
              <w:spacing w:line="400" w:lineRule="exact"/>
              <w:jc w:val="center"/>
              <w:rPr>
                <w:rFonts w:ascii="宋体" w:hAnsi="宋体"/>
                <w:sz w:val="28"/>
                <w:highlight w:val="none"/>
              </w:rPr>
            </w:pPr>
          </w:p>
        </w:tc>
        <w:tc>
          <w:tcPr>
            <w:tcW w:w="1281" w:type="dxa"/>
          </w:tcPr>
          <w:p w14:paraId="6D0C8CB6">
            <w:pPr>
              <w:spacing w:line="400" w:lineRule="exact"/>
              <w:jc w:val="center"/>
              <w:rPr>
                <w:rFonts w:ascii="宋体" w:hAnsi="宋体"/>
                <w:sz w:val="28"/>
                <w:highlight w:val="none"/>
              </w:rPr>
            </w:pPr>
          </w:p>
        </w:tc>
        <w:tc>
          <w:tcPr>
            <w:tcW w:w="877" w:type="dxa"/>
          </w:tcPr>
          <w:p w14:paraId="78496494">
            <w:pPr>
              <w:spacing w:line="400" w:lineRule="exact"/>
              <w:jc w:val="center"/>
              <w:rPr>
                <w:rFonts w:ascii="宋体" w:hAnsi="宋体"/>
                <w:sz w:val="28"/>
                <w:highlight w:val="none"/>
              </w:rPr>
            </w:pPr>
          </w:p>
        </w:tc>
        <w:tc>
          <w:tcPr>
            <w:tcW w:w="981" w:type="dxa"/>
          </w:tcPr>
          <w:p w14:paraId="4CCEAB01">
            <w:pPr>
              <w:spacing w:line="400" w:lineRule="exact"/>
              <w:jc w:val="center"/>
              <w:rPr>
                <w:rFonts w:ascii="宋体" w:hAnsi="宋体"/>
                <w:sz w:val="28"/>
                <w:highlight w:val="none"/>
              </w:rPr>
            </w:pPr>
          </w:p>
        </w:tc>
        <w:tc>
          <w:tcPr>
            <w:tcW w:w="1057" w:type="dxa"/>
          </w:tcPr>
          <w:p w14:paraId="344262F7">
            <w:pPr>
              <w:spacing w:line="400" w:lineRule="exact"/>
              <w:jc w:val="center"/>
              <w:rPr>
                <w:rFonts w:ascii="宋体" w:hAnsi="宋体"/>
                <w:sz w:val="28"/>
                <w:highlight w:val="none"/>
              </w:rPr>
            </w:pPr>
          </w:p>
        </w:tc>
      </w:tr>
      <w:tr w14:paraId="554B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26" w:type="dxa"/>
          </w:tcPr>
          <w:p w14:paraId="6C0AAC14">
            <w:pPr>
              <w:spacing w:line="400" w:lineRule="exact"/>
              <w:jc w:val="center"/>
              <w:rPr>
                <w:rFonts w:ascii="宋体" w:hAnsi="宋体"/>
                <w:sz w:val="28"/>
                <w:highlight w:val="none"/>
              </w:rPr>
            </w:pPr>
            <w:r>
              <w:rPr>
                <w:rFonts w:hint="eastAsia" w:ascii="宋体" w:hAnsi="宋体"/>
                <w:sz w:val="28"/>
                <w:highlight w:val="none"/>
              </w:rPr>
              <w:t>2</w:t>
            </w:r>
          </w:p>
        </w:tc>
        <w:tc>
          <w:tcPr>
            <w:tcW w:w="3909" w:type="dxa"/>
          </w:tcPr>
          <w:p w14:paraId="1ACF8A3C">
            <w:pPr>
              <w:spacing w:line="400" w:lineRule="exact"/>
              <w:jc w:val="center"/>
              <w:rPr>
                <w:rFonts w:ascii="宋体" w:hAnsi="宋体"/>
                <w:sz w:val="28"/>
                <w:highlight w:val="none"/>
              </w:rPr>
            </w:pPr>
          </w:p>
        </w:tc>
        <w:tc>
          <w:tcPr>
            <w:tcW w:w="1281" w:type="dxa"/>
          </w:tcPr>
          <w:p w14:paraId="20F6B1B1">
            <w:pPr>
              <w:spacing w:line="400" w:lineRule="exact"/>
              <w:jc w:val="center"/>
              <w:rPr>
                <w:rFonts w:ascii="宋体" w:hAnsi="宋体"/>
                <w:sz w:val="28"/>
                <w:highlight w:val="none"/>
              </w:rPr>
            </w:pPr>
          </w:p>
        </w:tc>
        <w:tc>
          <w:tcPr>
            <w:tcW w:w="877" w:type="dxa"/>
          </w:tcPr>
          <w:p w14:paraId="7DD20E33">
            <w:pPr>
              <w:spacing w:line="400" w:lineRule="exact"/>
              <w:jc w:val="center"/>
              <w:rPr>
                <w:rFonts w:ascii="宋体" w:hAnsi="宋体"/>
                <w:sz w:val="28"/>
                <w:highlight w:val="none"/>
              </w:rPr>
            </w:pPr>
          </w:p>
        </w:tc>
        <w:tc>
          <w:tcPr>
            <w:tcW w:w="981" w:type="dxa"/>
          </w:tcPr>
          <w:p w14:paraId="440101E5">
            <w:pPr>
              <w:spacing w:line="400" w:lineRule="exact"/>
              <w:jc w:val="center"/>
              <w:rPr>
                <w:rFonts w:ascii="宋体" w:hAnsi="宋体"/>
                <w:sz w:val="28"/>
                <w:highlight w:val="none"/>
              </w:rPr>
            </w:pPr>
          </w:p>
        </w:tc>
        <w:tc>
          <w:tcPr>
            <w:tcW w:w="1057" w:type="dxa"/>
          </w:tcPr>
          <w:p w14:paraId="275B5E6B">
            <w:pPr>
              <w:spacing w:line="400" w:lineRule="exact"/>
              <w:jc w:val="center"/>
              <w:rPr>
                <w:rFonts w:ascii="宋体" w:hAnsi="宋体"/>
                <w:sz w:val="28"/>
                <w:highlight w:val="none"/>
              </w:rPr>
            </w:pPr>
          </w:p>
        </w:tc>
      </w:tr>
      <w:tr w14:paraId="57DB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26" w:type="dxa"/>
          </w:tcPr>
          <w:p w14:paraId="172F9C02">
            <w:pPr>
              <w:spacing w:line="400" w:lineRule="exact"/>
              <w:jc w:val="center"/>
              <w:rPr>
                <w:rFonts w:ascii="宋体" w:hAnsi="宋体"/>
                <w:sz w:val="28"/>
                <w:highlight w:val="none"/>
              </w:rPr>
            </w:pPr>
            <w:r>
              <w:rPr>
                <w:rFonts w:ascii="宋体" w:hAnsi="宋体"/>
                <w:sz w:val="28"/>
                <w:highlight w:val="none"/>
              </w:rPr>
              <w:t>…</w:t>
            </w:r>
          </w:p>
        </w:tc>
        <w:tc>
          <w:tcPr>
            <w:tcW w:w="3909" w:type="dxa"/>
          </w:tcPr>
          <w:p w14:paraId="7ACA6C11">
            <w:pPr>
              <w:spacing w:line="400" w:lineRule="exact"/>
              <w:jc w:val="center"/>
              <w:rPr>
                <w:rFonts w:ascii="宋体" w:hAnsi="宋体"/>
                <w:sz w:val="28"/>
                <w:highlight w:val="none"/>
              </w:rPr>
            </w:pPr>
          </w:p>
        </w:tc>
        <w:tc>
          <w:tcPr>
            <w:tcW w:w="1281" w:type="dxa"/>
          </w:tcPr>
          <w:p w14:paraId="18EC8C36">
            <w:pPr>
              <w:spacing w:line="400" w:lineRule="exact"/>
              <w:jc w:val="center"/>
              <w:rPr>
                <w:rFonts w:ascii="宋体" w:hAnsi="宋体"/>
                <w:sz w:val="28"/>
                <w:highlight w:val="none"/>
              </w:rPr>
            </w:pPr>
          </w:p>
        </w:tc>
        <w:tc>
          <w:tcPr>
            <w:tcW w:w="877" w:type="dxa"/>
          </w:tcPr>
          <w:p w14:paraId="7B3B9557">
            <w:pPr>
              <w:spacing w:line="400" w:lineRule="exact"/>
              <w:jc w:val="center"/>
              <w:rPr>
                <w:rFonts w:ascii="宋体" w:hAnsi="宋体"/>
                <w:sz w:val="28"/>
                <w:highlight w:val="none"/>
              </w:rPr>
            </w:pPr>
          </w:p>
        </w:tc>
        <w:tc>
          <w:tcPr>
            <w:tcW w:w="981" w:type="dxa"/>
          </w:tcPr>
          <w:p w14:paraId="7D90690E">
            <w:pPr>
              <w:spacing w:line="400" w:lineRule="exact"/>
              <w:jc w:val="center"/>
              <w:rPr>
                <w:rFonts w:ascii="宋体" w:hAnsi="宋体"/>
                <w:sz w:val="28"/>
                <w:highlight w:val="none"/>
              </w:rPr>
            </w:pPr>
          </w:p>
        </w:tc>
        <w:tc>
          <w:tcPr>
            <w:tcW w:w="1057" w:type="dxa"/>
          </w:tcPr>
          <w:p w14:paraId="142880BC">
            <w:pPr>
              <w:spacing w:line="400" w:lineRule="exact"/>
              <w:jc w:val="center"/>
              <w:rPr>
                <w:rFonts w:ascii="宋体" w:hAnsi="宋体"/>
                <w:sz w:val="28"/>
                <w:highlight w:val="none"/>
              </w:rPr>
            </w:pPr>
          </w:p>
        </w:tc>
      </w:tr>
      <w:tr w14:paraId="5FD7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893" w:type="dxa"/>
            <w:gridSpan w:val="4"/>
          </w:tcPr>
          <w:p w14:paraId="730A1600">
            <w:pPr>
              <w:spacing w:line="400" w:lineRule="exact"/>
              <w:jc w:val="center"/>
              <w:rPr>
                <w:rFonts w:ascii="宋体" w:hAnsi="宋体"/>
                <w:sz w:val="28"/>
                <w:highlight w:val="none"/>
              </w:rPr>
            </w:pPr>
            <w:r>
              <w:rPr>
                <w:rFonts w:hint="eastAsia" w:ascii="宋体" w:hAnsi="宋体"/>
                <w:b/>
                <w:bCs/>
                <w:sz w:val="24"/>
                <w:szCs w:val="22"/>
                <w:highlight w:val="none"/>
              </w:rPr>
              <w:t>价格总合计</w:t>
            </w:r>
            <w:r>
              <w:rPr>
                <w:rFonts w:hint="eastAsia" w:ascii="宋体" w:hAnsi="宋体"/>
                <w:sz w:val="24"/>
                <w:szCs w:val="22"/>
                <w:highlight w:val="none"/>
              </w:rPr>
              <w:t>（应与投标函中的“投标报价”相同）</w:t>
            </w:r>
          </w:p>
        </w:tc>
        <w:tc>
          <w:tcPr>
            <w:tcW w:w="2038" w:type="dxa"/>
            <w:gridSpan w:val="2"/>
          </w:tcPr>
          <w:p w14:paraId="746300CE">
            <w:pPr>
              <w:spacing w:line="400" w:lineRule="exact"/>
              <w:jc w:val="center"/>
              <w:rPr>
                <w:rFonts w:ascii="宋体" w:hAnsi="宋体"/>
                <w:b/>
                <w:bCs/>
                <w:sz w:val="24"/>
                <w:szCs w:val="22"/>
                <w:highlight w:val="none"/>
              </w:rPr>
            </w:pPr>
            <w:r>
              <w:rPr>
                <w:rFonts w:hint="eastAsia" w:ascii="宋体" w:hAnsi="宋体"/>
                <w:kern w:val="0"/>
                <w:sz w:val="28"/>
                <w:szCs w:val="28"/>
                <w:highlight w:val="none"/>
              </w:rPr>
              <w:t>¥</w:t>
            </w:r>
            <w:r>
              <w:rPr>
                <w:rFonts w:hint="eastAsia" w:ascii="宋体" w:hAnsi="宋体"/>
                <w:sz w:val="24"/>
                <w:szCs w:val="22"/>
                <w:highlight w:val="none"/>
              </w:rPr>
              <w:t>：</w:t>
            </w:r>
            <w:r>
              <w:rPr>
                <w:rFonts w:hint="eastAsia" w:ascii="宋体" w:hAnsi="宋体"/>
                <w:sz w:val="24"/>
                <w:szCs w:val="22"/>
                <w:highlight w:val="none"/>
                <w:u w:val="single"/>
              </w:rPr>
              <w:t xml:space="preserve"> 　　　    </w:t>
            </w:r>
            <w:r>
              <w:rPr>
                <w:rFonts w:hint="eastAsia" w:ascii="宋体" w:hAnsi="宋体"/>
                <w:sz w:val="24"/>
                <w:szCs w:val="22"/>
                <w:highlight w:val="none"/>
              </w:rPr>
              <w:t>元</w:t>
            </w:r>
          </w:p>
        </w:tc>
      </w:tr>
    </w:tbl>
    <w:p w14:paraId="1310C8ED">
      <w:pPr>
        <w:spacing w:line="340" w:lineRule="exact"/>
        <w:ind w:left="-315" w:leftChars="-150" w:right="-525" w:rightChars="-250"/>
        <w:rPr>
          <w:rFonts w:ascii="宋体" w:hAnsi="宋体"/>
          <w:b/>
          <w:szCs w:val="21"/>
          <w:highlight w:val="none"/>
        </w:rPr>
      </w:pPr>
    </w:p>
    <w:p w14:paraId="1F8848A5">
      <w:pPr>
        <w:spacing w:line="340" w:lineRule="exact"/>
        <w:ind w:left="-315" w:leftChars="-150" w:right="-525" w:rightChars="-250"/>
        <w:rPr>
          <w:rFonts w:ascii="宋体" w:hAnsi="宋体"/>
          <w:b/>
          <w:szCs w:val="21"/>
          <w:highlight w:val="none"/>
        </w:rPr>
      </w:pPr>
    </w:p>
    <w:p w14:paraId="3D24B2EC">
      <w:pPr>
        <w:spacing w:line="340" w:lineRule="exact"/>
        <w:ind w:left="-315" w:leftChars="-150" w:right="-525" w:rightChars="-250"/>
        <w:rPr>
          <w:rFonts w:ascii="宋体" w:hAnsi="宋体"/>
          <w:b/>
          <w:szCs w:val="21"/>
          <w:highlight w:val="none"/>
        </w:rPr>
      </w:pPr>
      <w:r>
        <w:rPr>
          <w:rFonts w:hint="eastAsia" w:ascii="宋体" w:hAnsi="宋体"/>
          <w:b/>
          <w:szCs w:val="21"/>
          <w:highlight w:val="none"/>
        </w:rPr>
        <w:t>注：“分项名称及内容”由供应商根据项目情况自行填写，如：人员工资、设备费用、材料、利润、税金</w:t>
      </w:r>
      <w:r>
        <w:rPr>
          <w:rFonts w:ascii="宋体" w:hAnsi="宋体"/>
          <w:b/>
          <w:szCs w:val="21"/>
          <w:highlight w:val="none"/>
        </w:rPr>
        <w:t>……</w:t>
      </w:r>
      <w:r>
        <w:rPr>
          <w:rFonts w:hint="eastAsia" w:ascii="宋体" w:hAnsi="宋体"/>
          <w:b/>
          <w:szCs w:val="21"/>
          <w:highlight w:val="none"/>
        </w:rPr>
        <w:t>。</w:t>
      </w:r>
    </w:p>
    <w:p w14:paraId="7F500076">
      <w:pPr>
        <w:jc w:val="both"/>
        <w:rPr>
          <w:rFonts w:hint="eastAsia" w:ascii="宋体" w:hAnsi="宋体" w:cs="仿宋_GB2312"/>
          <w:b w:val="0"/>
          <w:bCs w:val="0"/>
          <w:sz w:val="28"/>
          <w:szCs w:val="28"/>
          <w:highlight w:val="none"/>
          <w:lang w:val="en-US" w:eastAsia="zh-CN"/>
        </w:rPr>
      </w:pPr>
      <w:r>
        <w:rPr>
          <w:rFonts w:hint="eastAsia" w:ascii="宋体" w:hAnsi="宋体"/>
          <w:b/>
          <w:bCs/>
          <w:kern w:val="44"/>
          <w:sz w:val="32"/>
          <w:szCs w:val="32"/>
          <w:highlight w:val="none"/>
        </w:rPr>
        <w:br w:type="page"/>
      </w:r>
      <w:bookmarkEnd w:id="798"/>
      <w:bookmarkEnd w:id="799"/>
      <w:bookmarkEnd w:id="800"/>
      <w:bookmarkEnd w:id="801"/>
      <w:bookmarkEnd w:id="802"/>
      <w:bookmarkEnd w:id="803"/>
      <w:bookmarkEnd w:id="804"/>
      <w:bookmarkEnd w:id="805"/>
      <w:bookmarkEnd w:id="806"/>
      <w:bookmarkEnd w:id="807"/>
      <w:r>
        <w:rPr>
          <w:rFonts w:hint="eastAsia" w:ascii="宋体" w:hAnsi="宋体" w:cs="仿宋_GB2312"/>
          <w:b w:val="0"/>
          <w:bCs w:val="0"/>
          <w:sz w:val="28"/>
          <w:szCs w:val="28"/>
          <w:highlight w:val="none"/>
          <w:lang w:val="en-US" w:eastAsia="zh-CN"/>
        </w:rPr>
        <w:t>技术及商务偏差表（实质性要求）</w:t>
      </w:r>
    </w:p>
    <w:p w14:paraId="5CBDC2FE">
      <w:pPr>
        <w:jc w:val="center"/>
        <w:rPr>
          <w:rFonts w:ascii="宋体" w:hAnsi="宋体"/>
          <w:bCs/>
          <w:kern w:val="44"/>
          <w:sz w:val="44"/>
          <w:szCs w:val="44"/>
          <w:highlight w:val="none"/>
        </w:rPr>
      </w:pPr>
      <w:r>
        <w:rPr>
          <w:rFonts w:hint="eastAsia" w:ascii="宋体" w:hAnsi="宋体"/>
          <w:b/>
          <w:bCs/>
          <w:kern w:val="44"/>
          <w:sz w:val="44"/>
          <w:szCs w:val="44"/>
          <w:highlight w:val="none"/>
        </w:rPr>
        <w:t>五　技术及商务偏差表</w:t>
      </w:r>
    </w:p>
    <w:p w14:paraId="730331E1">
      <w:pPr>
        <w:rPr>
          <w:rFonts w:ascii="宋体" w:hAnsi="宋体"/>
          <w:sz w:val="28"/>
          <w:highlight w:val="none"/>
          <w:u w:val="single"/>
        </w:rPr>
      </w:pPr>
      <w:r>
        <w:rPr>
          <w:rFonts w:hint="eastAsia" w:ascii="宋体" w:hAnsi="宋体"/>
          <w:sz w:val="32"/>
          <w:szCs w:val="32"/>
          <w:highlight w:val="none"/>
        </w:rPr>
        <w:t xml:space="preserve"> </w:t>
      </w:r>
      <w:r>
        <w:rPr>
          <w:rFonts w:hint="eastAsia" w:ascii="宋体" w:hAnsi="宋体"/>
          <w:sz w:val="28"/>
          <w:highlight w:val="none"/>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594"/>
        <w:gridCol w:w="2195"/>
        <w:gridCol w:w="2520"/>
        <w:gridCol w:w="1980"/>
      </w:tblGrid>
      <w:tr w14:paraId="66F8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jc w:val="center"/>
        </w:trPr>
        <w:tc>
          <w:tcPr>
            <w:tcW w:w="8928" w:type="dxa"/>
            <w:gridSpan w:val="5"/>
            <w:vAlign w:val="center"/>
          </w:tcPr>
          <w:p w14:paraId="430C022A">
            <w:pPr>
              <w:pStyle w:val="56"/>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投标内容</w:t>
            </w:r>
            <w:r>
              <w:rPr>
                <w:rFonts w:hint="eastAsia" w:hAnsi="宋体" w:cs="宋体"/>
                <w:bCs/>
                <w:color w:val="auto"/>
                <w:sz w:val="24"/>
                <w:szCs w:val="24"/>
                <w:highlight w:val="none"/>
              </w:rPr>
              <w:t>对本项</w:t>
            </w:r>
            <w:r>
              <w:rPr>
                <w:rFonts w:hint="eastAsia" w:ascii="宋体" w:hAnsi="宋体" w:eastAsia="宋体" w:cs="宋体"/>
                <w:bCs/>
                <w:color w:val="auto"/>
                <w:sz w:val="24"/>
                <w:szCs w:val="24"/>
                <w:highlight w:val="none"/>
              </w:rPr>
              <w:t>目技术及商务</w:t>
            </w:r>
            <w:r>
              <w:rPr>
                <w:rFonts w:hint="eastAsia" w:ascii="宋体" w:hAnsi="宋体" w:eastAsia="宋体" w:cs="宋体"/>
                <w:bCs/>
                <w:color w:val="auto"/>
                <w:sz w:val="24"/>
                <w:szCs w:val="24"/>
                <w:highlight w:val="none"/>
                <w:lang w:val="en-US" w:eastAsia="zh-CN"/>
              </w:rPr>
              <w:t>要求的</w:t>
            </w:r>
            <w:r>
              <w:rPr>
                <w:rFonts w:hint="eastAsia" w:ascii="宋体" w:hAnsi="宋体" w:eastAsia="宋体" w:cs="宋体"/>
                <w:bCs/>
                <w:color w:val="auto"/>
                <w:sz w:val="24"/>
                <w:szCs w:val="24"/>
                <w:highlight w:val="none"/>
              </w:rPr>
              <w:t>偏差情况</w:t>
            </w:r>
            <w:r>
              <w:rPr>
                <w:rFonts w:hint="eastAsia" w:hAnsi="宋体" w:cs="宋体"/>
                <w:bCs/>
                <w:color w:val="auto"/>
                <w:sz w:val="24"/>
                <w:szCs w:val="24"/>
                <w:highlight w:val="none"/>
              </w:rPr>
              <w:t>（请进行勾选）：</w:t>
            </w:r>
          </w:p>
          <w:p w14:paraId="146A2875">
            <w:pPr>
              <w:pStyle w:val="56"/>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hAnsi="宋体" w:cs="宋体"/>
                <w:bCs/>
                <w:color w:val="auto"/>
                <w:sz w:val="24"/>
                <w:szCs w:val="24"/>
                <w:highlight w:val="none"/>
              </w:rPr>
            </w:pPr>
            <w:r>
              <w:rPr>
                <w:rFonts w:hint="eastAsia" w:hAnsi="宋体" w:cs="宋体"/>
                <w:bCs/>
                <w:color w:val="auto"/>
                <w:sz w:val="24"/>
                <w:szCs w:val="24"/>
                <w:highlight w:val="none"/>
              </w:rPr>
              <w:t>□无偏</w:t>
            </w:r>
            <w:r>
              <w:rPr>
                <w:rFonts w:hint="eastAsia" w:hAnsi="宋体" w:cs="宋体"/>
                <w:bCs/>
                <w:color w:val="auto"/>
                <w:sz w:val="24"/>
                <w:szCs w:val="24"/>
                <w:highlight w:val="none"/>
                <w:lang w:val="en-US" w:eastAsia="zh-CN"/>
              </w:rPr>
              <w:t>差</w:t>
            </w:r>
            <w:r>
              <w:rPr>
                <w:rFonts w:hint="eastAsia" w:hAnsi="宋体" w:cs="宋体"/>
                <w:bCs/>
                <w:color w:val="auto"/>
                <w:sz w:val="24"/>
                <w:szCs w:val="24"/>
                <w:highlight w:val="none"/>
              </w:rPr>
              <w:t>（如无</w:t>
            </w:r>
            <w:r>
              <w:rPr>
                <w:rFonts w:hint="eastAsia" w:hAnsi="宋体" w:cs="宋体"/>
                <w:bCs/>
                <w:color w:val="auto"/>
                <w:sz w:val="24"/>
                <w:szCs w:val="24"/>
                <w:highlight w:val="none"/>
                <w:lang w:val="en-US" w:eastAsia="zh-CN"/>
              </w:rPr>
              <w:t>偏差</w:t>
            </w:r>
            <w:r>
              <w:rPr>
                <w:rFonts w:hint="eastAsia" w:hAnsi="宋体" w:cs="宋体"/>
                <w:bCs/>
                <w:color w:val="auto"/>
                <w:sz w:val="24"/>
                <w:szCs w:val="24"/>
                <w:highlight w:val="none"/>
              </w:rPr>
              <w:t>，仅勾选无</w:t>
            </w:r>
            <w:r>
              <w:rPr>
                <w:rFonts w:hint="eastAsia" w:hAnsi="宋体" w:cs="宋体"/>
                <w:bCs/>
                <w:color w:val="auto"/>
                <w:sz w:val="24"/>
                <w:szCs w:val="24"/>
                <w:highlight w:val="none"/>
                <w:lang w:val="en-US" w:eastAsia="zh-CN"/>
              </w:rPr>
              <w:t>偏差</w:t>
            </w:r>
            <w:r>
              <w:rPr>
                <w:rFonts w:hint="eastAsia" w:hAnsi="宋体" w:cs="宋体"/>
                <w:bCs/>
                <w:color w:val="auto"/>
                <w:sz w:val="24"/>
                <w:szCs w:val="24"/>
                <w:highlight w:val="none"/>
              </w:rPr>
              <w:t>即可）</w:t>
            </w:r>
          </w:p>
          <w:p w14:paraId="171ACEB0">
            <w:pPr>
              <w:keepNext w:val="0"/>
              <w:keepLines w:val="0"/>
              <w:pageBreakBefore w:val="0"/>
              <w:widowControl w:val="0"/>
              <w:kinsoku/>
              <w:wordWrap/>
              <w:overflowPunct/>
              <w:topLinePunct w:val="0"/>
              <w:autoSpaceDE/>
              <w:autoSpaceDN/>
              <w:bidi w:val="0"/>
              <w:adjustRightInd/>
              <w:spacing w:line="240" w:lineRule="auto"/>
              <w:jc w:val="left"/>
              <w:textAlignment w:val="auto"/>
              <w:rPr>
                <w:rFonts w:ascii="宋体" w:hAnsi="宋体"/>
                <w:sz w:val="24"/>
                <w:highlight w:val="none"/>
              </w:rPr>
            </w:pPr>
            <w:r>
              <w:rPr>
                <w:rFonts w:hint="eastAsia" w:hAnsi="宋体" w:cs="宋体"/>
                <w:bCs/>
                <w:color w:val="auto"/>
                <w:sz w:val="24"/>
                <w:szCs w:val="24"/>
                <w:highlight w:val="none"/>
              </w:rPr>
              <w:t>□有偏</w:t>
            </w:r>
            <w:r>
              <w:rPr>
                <w:rFonts w:hint="eastAsia" w:hAnsi="宋体" w:cs="宋体"/>
                <w:bCs/>
                <w:color w:val="auto"/>
                <w:sz w:val="24"/>
                <w:szCs w:val="24"/>
                <w:highlight w:val="none"/>
                <w:lang w:val="en-US" w:eastAsia="zh-CN"/>
              </w:rPr>
              <w:t>差</w:t>
            </w:r>
            <w:r>
              <w:rPr>
                <w:rFonts w:hint="eastAsia" w:hAnsi="宋体" w:cs="宋体"/>
                <w:bCs/>
                <w:color w:val="auto"/>
                <w:sz w:val="24"/>
                <w:szCs w:val="24"/>
                <w:highlight w:val="none"/>
              </w:rPr>
              <w:t>（如有偏</w:t>
            </w:r>
            <w:r>
              <w:rPr>
                <w:rFonts w:hint="eastAsia" w:hAnsi="宋体" w:cs="宋体"/>
                <w:bCs/>
                <w:color w:val="auto"/>
                <w:sz w:val="24"/>
                <w:szCs w:val="24"/>
                <w:highlight w:val="none"/>
                <w:lang w:val="en-US" w:eastAsia="zh-CN"/>
              </w:rPr>
              <w:t>差</w:t>
            </w:r>
            <w:r>
              <w:rPr>
                <w:rFonts w:hint="eastAsia" w:hAnsi="宋体" w:cs="宋体"/>
                <w:bCs/>
                <w:color w:val="auto"/>
                <w:sz w:val="24"/>
                <w:szCs w:val="24"/>
                <w:highlight w:val="none"/>
              </w:rPr>
              <w:t>，则</w:t>
            </w:r>
            <w:r>
              <w:rPr>
                <w:rFonts w:hint="eastAsia" w:hAnsi="宋体" w:cs="宋体"/>
                <w:bCs/>
                <w:color w:val="auto"/>
                <w:sz w:val="24"/>
                <w:szCs w:val="24"/>
                <w:highlight w:val="none"/>
                <w:lang w:val="en-US" w:eastAsia="zh-CN"/>
              </w:rPr>
              <w:t>须</w:t>
            </w:r>
            <w:r>
              <w:rPr>
                <w:rFonts w:hint="eastAsia" w:hAnsi="宋体" w:cs="宋体"/>
                <w:bCs/>
                <w:color w:val="auto"/>
                <w:sz w:val="24"/>
                <w:szCs w:val="24"/>
                <w:highlight w:val="none"/>
              </w:rPr>
              <w:t>在本表中</w:t>
            </w:r>
            <w:r>
              <w:rPr>
                <w:rFonts w:hint="eastAsia" w:hAnsi="宋体" w:eastAsia="宋体" w:cs="宋体"/>
                <w:bCs/>
                <w:color w:val="auto"/>
                <w:sz w:val="24"/>
                <w:szCs w:val="24"/>
                <w:highlight w:val="none"/>
              </w:rPr>
              <w:t>对偏</w:t>
            </w:r>
            <w:r>
              <w:rPr>
                <w:rFonts w:hint="eastAsia" w:hAnsi="宋体" w:eastAsia="宋体" w:cs="宋体"/>
                <w:bCs/>
                <w:color w:val="auto"/>
                <w:sz w:val="24"/>
                <w:szCs w:val="24"/>
                <w:highlight w:val="none"/>
                <w:lang w:val="en-US" w:eastAsia="zh-CN"/>
              </w:rPr>
              <w:t>差</w:t>
            </w:r>
            <w:r>
              <w:rPr>
                <w:rFonts w:hint="eastAsia" w:hAnsi="宋体" w:eastAsia="宋体" w:cs="宋体"/>
                <w:bCs/>
                <w:color w:val="auto"/>
                <w:sz w:val="24"/>
                <w:szCs w:val="24"/>
                <w:highlight w:val="none"/>
              </w:rPr>
              <w:t>项逐一列明</w:t>
            </w:r>
            <w:r>
              <w:rPr>
                <w:rFonts w:hint="eastAsia" w:hAnsi="宋体" w:eastAsia="宋体" w:cs="宋体"/>
                <w:bCs/>
                <w:color w:val="auto"/>
                <w:sz w:val="24"/>
                <w:szCs w:val="24"/>
                <w:highlight w:val="none"/>
                <w:lang w:eastAsia="zh-CN"/>
              </w:rPr>
              <w:t>，</w:t>
            </w:r>
            <w:r>
              <w:rPr>
                <w:rFonts w:hint="eastAsia" w:hAnsi="宋体" w:eastAsia="宋体" w:cs="宋体"/>
                <w:bCs/>
                <w:color w:val="auto"/>
                <w:sz w:val="24"/>
                <w:szCs w:val="24"/>
                <w:highlight w:val="none"/>
              </w:rPr>
              <w:t>注明正偏差或负偏差情况，保证除列出的偏差外无其他偏差。）</w:t>
            </w:r>
          </w:p>
        </w:tc>
      </w:tr>
      <w:tr w14:paraId="1D2A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639" w:type="dxa"/>
            <w:vAlign w:val="center"/>
          </w:tcPr>
          <w:p w14:paraId="45671914">
            <w:pPr>
              <w:spacing w:line="440" w:lineRule="exact"/>
              <w:jc w:val="center"/>
              <w:rPr>
                <w:rFonts w:hint="eastAsia" w:ascii="宋体" w:hAnsi="宋体"/>
                <w:sz w:val="24"/>
                <w:highlight w:val="none"/>
              </w:rPr>
            </w:pPr>
            <w:r>
              <w:rPr>
                <w:rFonts w:hint="eastAsia" w:ascii="宋体" w:hAnsi="宋体"/>
                <w:sz w:val="24"/>
                <w:highlight w:val="none"/>
              </w:rPr>
              <w:t>序号</w:t>
            </w:r>
          </w:p>
        </w:tc>
        <w:tc>
          <w:tcPr>
            <w:tcW w:w="1594" w:type="dxa"/>
            <w:vAlign w:val="center"/>
          </w:tcPr>
          <w:p w14:paraId="60E7BA67">
            <w:pPr>
              <w:jc w:val="center"/>
              <w:rPr>
                <w:rFonts w:hint="eastAsia" w:hAnsi="宋体" w:cs="宋体"/>
                <w:bCs/>
                <w:color w:val="auto"/>
                <w:sz w:val="24"/>
                <w:szCs w:val="24"/>
                <w:highlight w:val="none"/>
              </w:rPr>
            </w:pPr>
            <w:r>
              <w:rPr>
                <w:rFonts w:hint="eastAsia" w:hAnsi="宋体" w:cs="宋体"/>
                <w:bCs/>
                <w:color w:val="auto"/>
                <w:sz w:val="24"/>
                <w:szCs w:val="24"/>
                <w:highlight w:val="none"/>
              </w:rPr>
              <w:t>招标文件条款号</w:t>
            </w:r>
            <w:r>
              <w:rPr>
                <w:rFonts w:hint="eastAsia" w:hAnsi="宋体" w:cs="宋体"/>
                <w:bCs/>
                <w:color w:val="auto"/>
                <w:sz w:val="24"/>
                <w:szCs w:val="24"/>
                <w:highlight w:val="none"/>
                <w:lang w:val="en-US" w:eastAsia="zh-CN"/>
              </w:rPr>
              <w:t>及标的</w:t>
            </w:r>
            <w:r>
              <w:rPr>
                <w:rFonts w:hint="eastAsia" w:ascii="宋体" w:hAnsi="宋体"/>
                <w:sz w:val="24"/>
                <w:highlight w:val="none"/>
              </w:rPr>
              <w:t>名称</w:t>
            </w:r>
          </w:p>
        </w:tc>
        <w:tc>
          <w:tcPr>
            <w:tcW w:w="2195" w:type="dxa"/>
            <w:vAlign w:val="center"/>
          </w:tcPr>
          <w:p w14:paraId="54050839">
            <w:pPr>
              <w:jc w:val="center"/>
              <w:rPr>
                <w:rFonts w:hint="eastAsia" w:ascii="宋体" w:hAnsi="宋体"/>
                <w:sz w:val="24"/>
                <w:highlight w:val="none"/>
              </w:rPr>
            </w:pPr>
            <w:r>
              <w:rPr>
                <w:rFonts w:hint="eastAsia" w:ascii="宋体" w:hAnsi="宋体"/>
                <w:sz w:val="24"/>
                <w:highlight w:val="none"/>
              </w:rPr>
              <w:t>招标文件要求</w:t>
            </w:r>
          </w:p>
        </w:tc>
        <w:tc>
          <w:tcPr>
            <w:tcW w:w="2520" w:type="dxa"/>
            <w:vAlign w:val="center"/>
          </w:tcPr>
          <w:p w14:paraId="7C30CA3A">
            <w:pPr>
              <w:jc w:val="center"/>
              <w:rPr>
                <w:rFonts w:hint="eastAsia" w:ascii="宋体" w:hAnsi="宋体"/>
                <w:sz w:val="24"/>
                <w:highlight w:val="none"/>
              </w:rPr>
            </w:pPr>
            <w:r>
              <w:rPr>
                <w:rFonts w:hint="eastAsia" w:ascii="宋体" w:hAnsi="宋体"/>
                <w:sz w:val="24"/>
                <w:highlight w:val="none"/>
              </w:rPr>
              <w:t>投标文件内容</w:t>
            </w:r>
          </w:p>
        </w:tc>
        <w:tc>
          <w:tcPr>
            <w:tcW w:w="1980" w:type="dxa"/>
            <w:vAlign w:val="center"/>
          </w:tcPr>
          <w:p w14:paraId="306147DB">
            <w:pPr>
              <w:jc w:val="center"/>
              <w:rPr>
                <w:rFonts w:hint="eastAsia" w:ascii="宋体" w:hAnsi="宋体"/>
                <w:sz w:val="24"/>
                <w:highlight w:val="none"/>
              </w:rPr>
            </w:pPr>
            <w:r>
              <w:rPr>
                <w:rFonts w:hint="eastAsia" w:ascii="宋体" w:hAnsi="宋体"/>
                <w:sz w:val="24"/>
                <w:highlight w:val="none"/>
              </w:rPr>
              <w:t>偏差说明</w:t>
            </w:r>
          </w:p>
        </w:tc>
      </w:tr>
      <w:tr w14:paraId="0B11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exact"/>
          <w:jc w:val="center"/>
        </w:trPr>
        <w:tc>
          <w:tcPr>
            <w:tcW w:w="639" w:type="dxa"/>
          </w:tcPr>
          <w:p w14:paraId="6A7D59F6">
            <w:pPr>
              <w:rPr>
                <w:rFonts w:ascii="宋体" w:hAnsi="宋体"/>
                <w:highlight w:val="none"/>
              </w:rPr>
            </w:pPr>
          </w:p>
        </w:tc>
        <w:tc>
          <w:tcPr>
            <w:tcW w:w="1594" w:type="dxa"/>
          </w:tcPr>
          <w:p w14:paraId="1BFD1B57">
            <w:pPr>
              <w:rPr>
                <w:rFonts w:ascii="宋体" w:hAnsi="宋体"/>
                <w:highlight w:val="none"/>
              </w:rPr>
            </w:pPr>
          </w:p>
        </w:tc>
        <w:tc>
          <w:tcPr>
            <w:tcW w:w="2195" w:type="dxa"/>
          </w:tcPr>
          <w:p w14:paraId="654EEEC4">
            <w:pPr>
              <w:rPr>
                <w:rFonts w:ascii="宋体" w:hAnsi="宋体"/>
                <w:highlight w:val="none"/>
              </w:rPr>
            </w:pPr>
          </w:p>
        </w:tc>
        <w:tc>
          <w:tcPr>
            <w:tcW w:w="2520" w:type="dxa"/>
          </w:tcPr>
          <w:p w14:paraId="55A61C14">
            <w:pPr>
              <w:rPr>
                <w:rFonts w:ascii="宋体" w:hAnsi="宋体"/>
                <w:highlight w:val="none"/>
              </w:rPr>
            </w:pPr>
          </w:p>
        </w:tc>
        <w:tc>
          <w:tcPr>
            <w:tcW w:w="1980" w:type="dxa"/>
          </w:tcPr>
          <w:p w14:paraId="1B6C5318">
            <w:pPr>
              <w:rPr>
                <w:rFonts w:ascii="宋体" w:hAnsi="宋体"/>
                <w:highlight w:val="none"/>
              </w:rPr>
            </w:pPr>
          </w:p>
        </w:tc>
      </w:tr>
      <w:tr w14:paraId="2872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639" w:type="dxa"/>
          </w:tcPr>
          <w:p w14:paraId="036C7CAB">
            <w:pPr>
              <w:rPr>
                <w:rFonts w:ascii="宋体" w:hAnsi="宋体"/>
                <w:highlight w:val="none"/>
              </w:rPr>
            </w:pPr>
          </w:p>
        </w:tc>
        <w:tc>
          <w:tcPr>
            <w:tcW w:w="1594" w:type="dxa"/>
          </w:tcPr>
          <w:p w14:paraId="070E5468">
            <w:pPr>
              <w:rPr>
                <w:rFonts w:ascii="宋体" w:hAnsi="宋体"/>
                <w:highlight w:val="none"/>
              </w:rPr>
            </w:pPr>
          </w:p>
        </w:tc>
        <w:tc>
          <w:tcPr>
            <w:tcW w:w="2195" w:type="dxa"/>
          </w:tcPr>
          <w:p w14:paraId="778E7C3D">
            <w:pPr>
              <w:rPr>
                <w:rFonts w:ascii="宋体" w:hAnsi="宋体"/>
                <w:highlight w:val="none"/>
              </w:rPr>
            </w:pPr>
          </w:p>
        </w:tc>
        <w:tc>
          <w:tcPr>
            <w:tcW w:w="2520" w:type="dxa"/>
          </w:tcPr>
          <w:p w14:paraId="66EA92F0">
            <w:pPr>
              <w:rPr>
                <w:rFonts w:ascii="宋体" w:hAnsi="宋体"/>
                <w:highlight w:val="none"/>
              </w:rPr>
            </w:pPr>
          </w:p>
        </w:tc>
        <w:tc>
          <w:tcPr>
            <w:tcW w:w="1980" w:type="dxa"/>
          </w:tcPr>
          <w:p w14:paraId="679A1BFC">
            <w:pPr>
              <w:rPr>
                <w:rFonts w:ascii="宋体" w:hAnsi="宋体"/>
                <w:highlight w:val="none"/>
              </w:rPr>
            </w:pPr>
          </w:p>
        </w:tc>
      </w:tr>
      <w:tr w14:paraId="705F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jc w:val="center"/>
        </w:trPr>
        <w:tc>
          <w:tcPr>
            <w:tcW w:w="639" w:type="dxa"/>
          </w:tcPr>
          <w:p w14:paraId="7C7A5A98">
            <w:pPr>
              <w:rPr>
                <w:rFonts w:ascii="宋体" w:hAnsi="宋体"/>
                <w:highlight w:val="none"/>
              </w:rPr>
            </w:pPr>
          </w:p>
        </w:tc>
        <w:tc>
          <w:tcPr>
            <w:tcW w:w="1594" w:type="dxa"/>
          </w:tcPr>
          <w:p w14:paraId="00E177A3">
            <w:pPr>
              <w:rPr>
                <w:rFonts w:ascii="宋体" w:hAnsi="宋体"/>
                <w:highlight w:val="none"/>
              </w:rPr>
            </w:pPr>
          </w:p>
        </w:tc>
        <w:tc>
          <w:tcPr>
            <w:tcW w:w="2195" w:type="dxa"/>
          </w:tcPr>
          <w:p w14:paraId="54CAAA79">
            <w:pPr>
              <w:rPr>
                <w:rFonts w:ascii="宋体" w:hAnsi="宋体"/>
                <w:highlight w:val="none"/>
              </w:rPr>
            </w:pPr>
          </w:p>
        </w:tc>
        <w:tc>
          <w:tcPr>
            <w:tcW w:w="2520" w:type="dxa"/>
          </w:tcPr>
          <w:p w14:paraId="69CADEC2">
            <w:pPr>
              <w:rPr>
                <w:rFonts w:ascii="宋体" w:hAnsi="宋体"/>
                <w:highlight w:val="none"/>
              </w:rPr>
            </w:pPr>
          </w:p>
        </w:tc>
        <w:tc>
          <w:tcPr>
            <w:tcW w:w="1980" w:type="dxa"/>
          </w:tcPr>
          <w:p w14:paraId="13E31835">
            <w:pPr>
              <w:rPr>
                <w:rFonts w:ascii="宋体" w:hAnsi="宋体"/>
                <w:highlight w:val="none"/>
              </w:rPr>
            </w:pPr>
          </w:p>
        </w:tc>
      </w:tr>
      <w:tr w14:paraId="6755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639" w:type="dxa"/>
          </w:tcPr>
          <w:p w14:paraId="545F55FB">
            <w:pPr>
              <w:rPr>
                <w:rFonts w:ascii="宋体" w:hAnsi="宋体"/>
                <w:highlight w:val="none"/>
              </w:rPr>
            </w:pPr>
          </w:p>
        </w:tc>
        <w:tc>
          <w:tcPr>
            <w:tcW w:w="1594" w:type="dxa"/>
          </w:tcPr>
          <w:p w14:paraId="3CF1C48D">
            <w:pPr>
              <w:rPr>
                <w:rFonts w:ascii="宋体" w:hAnsi="宋体"/>
                <w:highlight w:val="none"/>
              </w:rPr>
            </w:pPr>
          </w:p>
        </w:tc>
        <w:tc>
          <w:tcPr>
            <w:tcW w:w="2195" w:type="dxa"/>
          </w:tcPr>
          <w:p w14:paraId="03D70F87">
            <w:pPr>
              <w:rPr>
                <w:rFonts w:ascii="宋体" w:hAnsi="宋体"/>
                <w:highlight w:val="none"/>
              </w:rPr>
            </w:pPr>
          </w:p>
        </w:tc>
        <w:tc>
          <w:tcPr>
            <w:tcW w:w="2520" w:type="dxa"/>
          </w:tcPr>
          <w:p w14:paraId="47FF9F51">
            <w:pPr>
              <w:rPr>
                <w:rFonts w:ascii="宋体" w:hAnsi="宋体"/>
                <w:highlight w:val="none"/>
              </w:rPr>
            </w:pPr>
          </w:p>
        </w:tc>
        <w:tc>
          <w:tcPr>
            <w:tcW w:w="1980" w:type="dxa"/>
          </w:tcPr>
          <w:p w14:paraId="602E753A">
            <w:pPr>
              <w:rPr>
                <w:rFonts w:ascii="宋体" w:hAnsi="宋体"/>
                <w:highlight w:val="none"/>
              </w:rPr>
            </w:pPr>
          </w:p>
        </w:tc>
      </w:tr>
      <w:tr w14:paraId="6BE0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exact"/>
          <w:jc w:val="center"/>
        </w:trPr>
        <w:tc>
          <w:tcPr>
            <w:tcW w:w="639" w:type="dxa"/>
          </w:tcPr>
          <w:p w14:paraId="73356EC7">
            <w:pPr>
              <w:rPr>
                <w:rFonts w:ascii="宋体" w:hAnsi="宋体"/>
                <w:highlight w:val="none"/>
              </w:rPr>
            </w:pPr>
          </w:p>
        </w:tc>
        <w:tc>
          <w:tcPr>
            <w:tcW w:w="1594" w:type="dxa"/>
          </w:tcPr>
          <w:p w14:paraId="21E06180">
            <w:pPr>
              <w:rPr>
                <w:rFonts w:ascii="宋体" w:hAnsi="宋体"/>
                <w:highlight w:val="none"/>
              </w:rPr>
            </w:pPr>
          </w:p>
        </w:tc>
        <w:tc>
          <w:tcPr>
            <w:tcW w:w="2195" w:type="dxa"/>
          </w:tcPr>
          <w:p w14:paraId="5F144B90">
            <w:pPr>
              <w:rPr>
                <w:rFonts w:ascii="宋体" w:hAnsi="宋体"/>
                <w:highlight w:val="none"/>
              </w:rPr>
            </w:pPr>
          </w:p>
        </w:tc>
        <w:tc>
          <w:tcPr>
            <w:tcW w:w="2520" w:type="dxa"/>
          </w:tcPr>
          <w:p w14:paraId="687BD101">
            <w:pPr>
              <w:rPr>
                <w:rFonts w:ascii="宋体" w:hAnsi="宋体"/>
                <w:highlight w:val="none"/>
              </w:rPr>
            </w:pPr>
          </w:p>
        </w:tc>
        <w:tc>
          <w:tcPr>
            <w:tcW w:w="1980" w:type="dxa"/>
          </w:tcPr>
          <w:p w14:paraId="671D7109">
            <w:pPr>
              <w:rPr>
                <w:rFonts w:ascii="宋体" w:hAnsi="宋体"/>
                <w:highlight w:val="none"/>
              </w:rPr>
            </w:pPr>
          </w:p>
        </w:tc>
      </w:tr>
      <w:tr w14:paraId="54F0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exact"/>
          <w:jc w:val="center"/>
        </w:trPr>
        <w:tc>
          <w:tcPr>
            <w:tcW w:w="639" w:type="dxa"/>
          </w:tcPr>
          <w:p w14:paraId="29368A86">
            <w:pPr>
              <w:rPr>
                <w:rFonts w:ascii="宋体" w:hAnsi="宋体"/>
                <w:highlight w:val="none"/>
              </w:rPr>
            </w:pPr>
          </w:p>
        </w:tc>
        <w:tc>
          <w:tcPr>
            <w:tcW w:w="1594" w:type="dxa"/>
          </w:tcPr>
          <w:p w14:paraId="1A66B40D">
            <w:pPr>
              <w:rPr>
                <w:rFonts w:ascii="宋体" w:hAnsi="宋体"/>
                <w:highlight w:val="none"/>
              </w:rPr>
            </w:pPr>
          </w:p>
        </w:tc>
        <w:tc>
          <w:tcPr>
            <w:tcW w:w="2195" w:type="dxa"/>
          </w:tcPr>
          <w:p w14:paraId="65E0416A">
            <w:pPr>
              <w:rPr>
                <w:rFonts w:ascii="宋体" w:hAnsi="宋体"/>
                <w:highlight w:val="none"/>
              </w:rPr>
            </w:pPr>
          </w:p>
        </w:tc>
        <w:tc>
          <w:tcPr>
            <w:tcW w:w="2520" w:type="dxa"/>
          </w:tcPr>
          <w:p w14:paraId="0D355E69">
            <w:pPr>
              <w:rPr>
                <w:rFonts w:ascii="宋体" w:hAnsi="宋体"/>
                <w:highlight w:val="none"/>
              </w:rPr>
            </w:pPr>
          </w:p>
        </w:tc>
        <w:tc>
          <w:tcPr>
            <w:tcW w:w="1980" w:type="dxa"/>
          </w:tcPr>
          <w:p w14:paraId="2E57C1A4">
            <w:pPr>
              <w:rPr>
                <w:rFonts w:ascii="宋体" w:hAnsi="宋体"/>
                <w:highlight w:val="none"/>
              </w:rPr>
            </w:pPr>
          </w:p>
        </w:tc>
      </w:tr>
      <w:tr w14:paraId="09D8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exact"/>
          <w:jc w:val="center"/>
        </w:trPr>
        <w:tc>
          <w:tcPr>
            <w:tcW w:w="639" w:type="dxa"/>
          </w:tcPr>
          <w:p w14:paraId="05A5EFF5">
            <w:pPr>
              <w:rPr>
                <w:rFonts w:ascii="宋体" w:hAnsi="宋体"/>
                <w:highlight w:val="none"/>
              </w:rPr>
            </w:pPr>
          </w:p>
        </w:tc>
        <w:tc>
          <w:tcPr>
            <w:tcW w:w="1594" w:type="dxa"/>
          </w:tcPr>
          <w:p w14:paraId="2B8D16D9">
            <w:pPr>
              <w:rPr>
                <w:rFonts w:ascii="宋体" w:hAnsi="宋体"/>
                <w:highlight w:val="none"/>
              </w:rPr>
            </w:pPr>
          </w:p>
        </w:tc>
        <w:tc>
          <w:tcPr>
            <w:tcW w:w="2195" w:type="dxa"/>
          </w:tcPr>
          <w:p w14:paraId="4B398D5C">
            <w:pPr>
              <w:rPr>
                <w:rFonts w:ascii="宋体" w:hAnsi="宋体"/>
                <w:highlight w:val="none"/>
              </w:rPr>
            </w:pPr>
          </w:p>
        </w:tc>
        <w:tc>
          <w:tcPr>
            <w:tcW w:w="2520" w:type="dxa"/>
          </w:tcPr>
          <w:p w14:paraId="6AF88292">
            <w:pPr>
              <w:rPr>
                <w:rFonts w:ascii="宋体" w:hAnsi="宋体"/>
                <w:highlight w:val="none"/>
              </w:rPr>
            </w:pPr>
          </w:p>
        </w:tc>
        <w:tc>
          <w:tcPr>
            <w:tcW w:w="1980" w:type="dxa"/>
          </w:tcPr>
          <w:p w14:paraId="6914635C">
            <w:pPr>
              <w:rPr>
                <w:rFonts w:ascii="宋体" w:hAnsi="宋体"/>
                <w:highlight w:val="none"/>
              </w:rPr>
            </w:pPr>
          </w:p>
        </w:tc>
      </w:tr>
    </w:tbl>
    <w:p w14:paraId="6D9C1684">
      <w:pPr>
        <w:jc w:val="center"/>
        <w:rPr>
          <w:rFonts w:ascii="宋体" w:hAnsi="宋体"/>
          <w:bCs/>
          <w:kern w:val="44"/>
          <w:sz w:val="44"/>
          <w:szCs w:val="44"/>
          <w:highlight w:val="none"/>
        </w:rPr>
      </w:pPr>
    </w:p>
    <w:p w14:paraId="35FA3A49">
      <w:pPr>
        <w:rPr>
          <w:rFonts w:ascii="宋体" w:hAnsi="宋体"/>
          <w:sz w:val="28"/>
          <w:highlight w:val="none"/>
          <w:u w:val="single"/>
        </w:rPr>
      </w:pPr>
      <w:r>
        <w:rPr>
          <w:rFonts w:hint="eastAsia" w:ascii="宋体" w:hAnsi="宋体"/>
          <w:sz w:val="32"/>
          <w:szCs w:val="32"/>
          <w:highlight w:val="none"/>
        </w:rPr>
        <w:t xml:space="preserve"> </w:t>
      </w:r>
      <w:r>
        <w:rPr>
          <w:rFonts w:hint="eastAsia" w:ascii="宋体" w:hAnsi="宋体"/>
          <w:sz w:val="28"/>
          <w:highlight w:val="none"/>
        </w:rPr>
        <w:t xml:space="preserve">           </w:t>
      </w:r>
    </w:p>
    <w:p w14:paraId="0E55F9C4">
      <w:pPr>
        <w:widowControl/>
        <w:rPr>
          <w:rFonts w:ascii="宋体" w:hAnsi="宋体"/>
          <w:sz w:val="32"/>
          <w:szCs w:val="32"/>
          <w:highlight w:val="none"/>
        </w:rPr>
      </w:pPr>
      <w:bookmarkStart w:id="808" w:name="_Toc289096745"/>
      <w:bookmarkStart w:id="809" w:name="_Toc289241361"/>
      <w:bookmarkStart w:id="810" w:name="_Toc338840264"/>
      <w:bookmarkStart w:id="811" w:name="_Toc289238790"/>
      <w:bookmarkStart w:id="812" w:name="_Toc338840512"/>
      <w:bookmarkStart w:id="813" w:name="_Toc289182819"/>
      <w:bookmarkStart w:id="814" w:name="_Toc338840473"/>
      <w:bookmarkStart w:id="815" w:name="_Toc289182441"/>
      <w:bookmarkStart w:id="816" w:name="_Toc289241538"/>
      <w:bookmarkStart w:id="817" w:name="_Toc288748130"/>
      <w:r>
        <w:rPr>
          <w:rFonts w:ascii="宋体" w:hAnsi="宋体"/>
          <w:sz w:val="32"/>
          <w:szCs w:val="32"/>
          <w:highlight w:val="none"/>
        </w:rPr>
        <w:br w:type="page"/>
      </w:r>
      <w:bookmarkEnd w:id="808"/>
      <w:bookmarkEnd w:id="809"/>
      <w:bookmarkEnd w:id="810"/>
      <w:bookmarkEnd w:id="811"/>
      <w:bookmarkEnd w:id="812"/>
      <w:bookmarkEnd w:id="813"/>
      <w:bookmarkEnd w:id="814"/>
      <w:bookmarkEnd w:id="815"/>
      <w:bookmarkEnd w:id="816"/>
      <w:bookmarkEnd w:id="817"/>
    </w:p>
    <w:p w14:paraId="533CE08B">
      <w:pPr>
        <w:jc w:val="center"/>
        <w:outlineLvl w:val="9"/>
        <w:rPr>
          <w:rFonts w:ascii="宋体" w:hAnsi="宋体"/>
          <w:b/>
          <w:kern w:val="44"/>
          <w:sz w:val="44"/>
          <w:szCs w:val="44"/>
          <w:highlight w:val="none"/>
        </w:rPr>
      </w:pPr>
      <w:r>
        <w:rPr>
          <w:rFonts w:hint="eastAsia" w:ascii="宋体" w:hAnsi="宋体"/>
          <w:b/>
          <w:kern w:val="44"/>
          <w:sz w:val="44"/>
          <w:szCs w:val="44"/>
          <w:highlight w:val="none"/>
          <w:lang w:eastAsia="zh-CN"/>
        </w:rPr>
        <w:t>六</w:t>
      </w:r>
      <w:r>
        <w:rPr>
          <w:rFonts w:hint="eastAsia" w:ascii="宋体" w:hAnsi="宋体"/>
          <w:b/>
          <w:kern w:val="44"/>
          <w:sz w:val="44"/>
          <w:szCs w:val="44"/>
          <w:highlight w:val="none"/>
        </w:rPr>
        <w:t xml:space="preserve">  业绩合同</w:t>
      </w:r>
    </w:p>
    <w:p w14:paraId="3D057AB1">
      <w:pPr>
        <w:jc w:val="center"/>
        <w:rPr>
          <w:rFonts w:ascii="宋体" w:hAnsi="宋体"/>
          <w:b/>
          <w:kern w:val="44"/>
          <w:sz w:val="44"/>
          <w:szCs w:val="44"/>
          <w:highlight w:val="none"/>
        </w:rPr>
      </w:pPr>
    </w:p>
    <w:p w14:paraId="00CD0FDD">
      <w:pPr>
        <w:rPr>
          <w:rFonts w:ascii="宋体" w:hAnsi="宋体"/>
          <w:b/>
          <w:kern w:val="44"/>
          <w:sz w:val="44"/>
          <w:szCs w:val="44"/>
          <w:highlight w:val="none"/>
        </w:rPr>
      </w:pPr>
      <w:r>
        <w:rPr>
          <w:rFonts w:hint="eastAsia" w:ascii="宋体" w:hAnsi="宋体"/>
          <w:b/>
          <w:kern w:val="44"/>
          <w:sz w:val="44"/>
          <w:szCs w:val="44"/>
          <w:highlight w:val="none"/>
        </w:rPr>
        <w:br w:type="page"/>
      </w:r>
    </w:p>
    <w:p w14:paraId="203D946F">
      <w:pPr>
        <w:jc w:val="center"/>
        <w:outlineLvl w:val="9"/>
        <w:rPr>
          <w:rFonts w:hint="default" w:ascii="宋体" w:hAnsi="宋体" w:eastAsia="宋体"/>
          <w:b/>
          <w:kern w:val="44"/>
          <w:sz w:val="44"/>
          <w:szCs w:val="44"/>
          <w:highlight w:val="none"/>
          <w:lang w:val="en-US" w:eastAsia="zh-CN"/>
        </w:rPr>
      </w:pPr>
      <w:r>
        <w:rPr>
          <w:rFonts w:hint="eastAsia" w:ascii="宋体" w:hAnsi="宋体"/>
          <w:b/>
          <w:kern w:val="44"/>
          <w:sz w:val="44"/>
          <w:szCs w:val="44"/>
          <w:highlight w:val="none"/>
          <w:lang w:eastAsia="zh-CN"/>
        </w:rPr>
        <w:t>七</w:t>
      </w:r>
      <w:r>
        <w:rPr>
          <w:rFonts w:hint="eastAsia" w:ascii="宋体" w:hAnsi="宋体"/>
          <w:b/>
          <w:kern w:val="44"/>
          <w:sz w:val="44"/>
          <w:szCs w:val="44"/>
          <w:highlight w:val="none"/>
        </w:rPr>
        <w:t xml:space="preserve">  企业</w:t>
      </w:r>
      <w:r>
        <w:rPr>
          <w:rFonts w:hint="eastAsia" w:ascii="宋体" w:hAnsi="宋体"/>
          <w:b/>
          <w:kern w:val="44"/>
          <w:sz w:val="44"/>
          <w:szCs w:val="44"/>
          <w:highlight w:val="none"/>
          <w:lang w:val="en-US" w:eastAsia="zh-CN"/>
        </w:rPr>
        <w:t>规范性</w:t>
      </w:r>
    </w:p>
    <w:p w14:paraId="7E2C60D4">
      <w:pPr>
        <w:jc w:val="center"/>
        <w:rPr>
          <w:rFonts w:ascii="宋体" w:hAnsi="宋体"/>
          <w:b/>
          <w:kern w:val="44"/>
          <w:sz w:val="44"/>
          <w:szCs w:val="44"/>
          <w:highlight w:val="none"/>
        </w:rPr>
      </w:pPr>
    </w:p>
    <w:p w14:paraId="1D42ABED">
      <w:pPr>
        <w:rPr>
          <w:rFonts w:ascii="宋体" w:hAnsi="宋体"/>
          <w:b/>
          <w:kern w:val="44"/>
          <w:sz w:val="44"/>
          <w:szCs w:val="44"/>
          <w:highlight w:val="none"/>
        </w:rPr>
      </w:pPr>
      <w:r>
        <w:rPr>
          <w:rFonts w:hint="eastAsia" w:ascii="宋体" w:hAnsi="宋体"/>
          <w:b/>
          <w:kern w:val="44"/>
          <w:sz w:val="44"/>
          <w:szCs w:val="44"/>
          <w:highlight w:val="none"/>
        </w:rPr>
        <w:br w:type="page"/>
      </w:r>
    </w:p>
    <w:p w14:paraId="672A2942">
      <w:pPr>
        <w:jc w:val="center"/>
        <w:outlineLvl w:val="9"/>
        <w:rPr>
          <w:rFonts w:hint="default" w:ascii="宋体" w:hAnsi="宋体"/>
          <w:b/>
          <w:kern w:val="44"/>
          <w:sz w:val="44"/>
          <w:szCs w:val="44"/>
          <w:highlight w:val="none"/>
          <w:lang w:val="en-US" w:eastAsia="zh-CN"/>
        </w:rPr>
      </w:pPr>
      <w:r>
        <w:rPr>
          <w:rFonts w:hint="eastAsia" w:ascii="宋体" w:hAnsi="宋体"/>
          <w:b/>
          <w:kern w:val="44"/>
          <w:sz w:val="44"/>
          <w:szCs w:val="44"/>
          <w:highlight w:val="none"/>
          <w:lang w:eastAsia="zh-CN"/>
        </w:rPr>
        <w:t>八</w:t>
      </w:r>
      <w:r>
        <w:rPr>
          <w:rFonts w:hint="eastAsia" w:ascii="宋体" w:hAnsi="宋体"/>
          <w:b/>
          <w:kern w:val="44"/>
          <w:sz w:val="44"/>
          <w:szCs w:val="44"/>
          <w:highlight w:val="none"/>
        </w:rPr>
        <w:t xml:space="preserve">   </w:t>
      </w:r>
      <w:r>
        <w:rPr>
          <w:rFonts w:hint="eastAsia" w:ascii="宋体" w:hAnsi="宋体"/>
          <w:b/>
          <w:kern w:val="44"/>
          <w:sz w:val="44"/>
          <w:szCs w:val="44"/>
          <w:highlight w:val="none"/>
          <w:lang w:eastAsia="zh-CN"/>
        </w:rPr>
        <w:t>服务承诺</w:t>
      </w:r>
    </w:p>
    <w:p w14:paraId="7BA83D92">
      <w:pPr>
        <w:jc w:val="center"/>
        <w:rPr>
          <w:rFonts w:ascii="宋体" w:hAnsi="宋体"/>
          <w:b/>
          <w:kern w:val="44"/>
          <w:sz w:val="44"/>
          <w:szCs w:val="44"/>
          <w:highlight w:val="none"/>
        </w:rPr>
      </w:pPr>
    </w:p>
    <w:p w14:paraId="38402520">
      <w:pPr>
        <w:rPr>
          <w:rFonts w:ascii="宋体" w:hAnsi="宋体"/>
          <w:b/>
          <w:kern w:val="44"/>
          <w:sz w:val="44"/>
          <w:szCs w:val="44"/>
          <w:highlight w:val="none"/>
        </w:rPr>
      </w:pPr>
      <w:r>
        <w:rPr>
          <w:rFonts w:hint="eastAsia" w:ascii="宋体" w:hAnsi="宋体"/>
          <w:b/>
          <w:kern w:val="44"/>
          <w:sz w:val="44"/>
          <w:szCs w:val="44"/>
          <w:highlight w:val="none"/>
        </w:rPr>
        <w:br w:type="page"/>
      </w:r>
    </w:p>
    <w:p w14:paraId="1411DB27">
      <w:pPr>
        <w:jc w:val="center"/>
        <w:outlineLvl w:val="9"/>
        <w:rPr>
          <w:rFonts w:hint="eastAsia" w:ascii="宋体" w:hAnsi="宋体"/>
          <w:b/>
          <w:kern w:val="44"/>
          <w:sz w:val="44"/>
          <w:szCs w:val="44"/>
          <w:highlight w:val="none"/>
        </w:rPr>
      </w:pPr>
      <w:r>
        <w:rPr>
          <w:rFonts w:hint="eastAsia" w:ascii="宋体" w:hAnsi="宋体"/>
          <w:b/>
          <w:kern w:val="44"/>
          <w:sz w:val="44"/>
          <w:szCs w:val="44"/>
          <w:highlight w:val="none"/>
          <w:lang w:eastAsia="zh-CN"/>
        </w:rPr>
        <w:t>九</w:t>
      </w:r>
      <w:r>
        <w:rPr>
          <w:rFonts w:hint="eastAsia" w:ascii="宋体" w:hAnsi="宋体"/>
          <w:b/>
          <w:kern w:val="44"/>
          <w:sz w:val="44"/>
          <w:szCs w:val="44"/>
          <w:highlight w:val="none"/>
        </w:rPr>
        <w:t xml:space="preserve">  服务方案</w:t>
      </w:r>
    </w:p>
    <w:p w14:paraId="75F2450B">
      <w:pPr>
        <w:jc w:val="left"/>
        <w:outlineLvl w:val="9"/>
        <w:rPr>
          <w:rFonts w:hint="eastAsia" w:ascii="宋体" w:hAnsi="宋体"/>
          <w:b/>
          <w:kern w:val="44"/>
          <w:sz w:val="44"/>
          <w:szCs w:val="44"/>
          <w:highlight w:val="none"/>
        </w:rPr>
      </w:pPr>
    </w:p>
    <w:p w14:paraId="22BF0D79">
      <w:pPr>
        <w:keepNext w:val="0"/>
        <w:keepLines w:val="0"/>
        <w:pageBreakBefore w:val="0"/>
        <w:widowControl w:val="0"/>
        <w:numPr>
          <w:ilvl w:val="0"/>
          <w:numId w:val="8"/>
        </w:numPr>
        <w:kinsoku/>
        <w:wordWrap/>
        <w:overflowPunct/>
        <w:topLinePunct w:val="0"/>
        <w:autoSpaceDE/>
        <w:autoSpaceDN/>
        <w:bidi w:val="0"/>
        <w:adjustRightInd/>
        <w:snapToGrid/>
        <w:spacing w:line="700" w:lineRule="exact"/>
        <w:jc w:val="left"/>
        <w:textAlignment w:val="auto"/>
        <w:outlineLvl w:val="9"/>
        <w:rPr>
          <w:rFonts w:hint="eastAsia" w:ascii="宋体" w:hAnsi="宋体" w:eastAsia="宋体" w:cs="宋体"/>
          <w:color w:val="auto"/>
          <w:lang w:eastAsia="zh-CN"/>
        </w:rPr>
      </w:pPr>
      <w:r>
        <w:rPr>
          <w:rFonts w:hint="eastAsia" w:ascii="宋体" w:hAnsi="宋体" w:eastAsia="宋体" w:cs="宋体"/>
          <w:color w:val="auto"/>
          <w:lang w:eastAsia="zh-CN"/>
        </w:rPr>
        <w:t>项目人员配备</w:t>
      </w:r>
    </w:p>
    <w:p w14:paraId="7C04620E">
      <w:pPr>
        <w:keepNext w:val="0"/>
        <w:keepLines w:val="0"/>
        <w:pageBreakBefore w:val="0"/>
        <w:widowControl w:val="0"/>
        <w:numPr>
          <w:ilvl w:val="0"/>
          <w:numId w:val="8"/>
        </w:numPr>
        <w:kinsoku/>
        <w:wordWrap/>
        <w:overflowPunct/>
        <w:topLinePunct w:val="0"/>
        <w:autoSpaceDE/>
        <w:autoSpaceDN/>
        <w:bidi w:val="0"/>
        <w:adjustRightInd/>
        <w:snapToGrid/>
        <w:spacing w:line="700" w:lineRule="exact"/>
        <w:jc w:val="left"/>
        <w:textAlignment w:val="auto"/>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岗位要求及工作职责</w:t>
      </w:r>
    </w:p>
    <w:p w14:paraId="1AA7CAF8">
      <w:pPr>
        <w:keepNext w:val="0"/>
        <w:keepLines w:val="0"/>
        <w:pageBreakBefore w:val="0"/>
        <w:widowControl w:val="0"/>
        <w:numPr>
          <w:ilvl w:val="0"/>
          <w:numId w:val="8"/>
        </w:numPr>
        <w:kinsoku/>
        <w:wordWrap/>
        <w:overflowPunct/>
        <w:topLinePunct w:val="0"/>
        <w:autoSpaceDE/>
        <w:autoSpaceDN/>
        <w:bidi w:val="0"/>
        <w:adjustRightInd/>
        <w:snapToGrid/>
        <w:spacing w:line="700" w:lineRule="exact"/>
        <w:jc w:val="left"/>
        <w:textAlignment w:val="auto"/>
        <w:outlineLvl w:val="9"/>
        <w:rPr>
          <w:rFonts w:hint="eastAsia" w:ascii="宋体" w:hAnsi="宋体" w:eastAsia="宋体" w:cs="宋体"/>
          <w:color w:val="auto"/>
          <w:lang w:val="en-US" w:eastAsia="zh-CN"/>
        </w:rPr>
      </w:pPr>
      <w:r>
        <w:rPr>
          <w:rFonts w:hint="eastAsia" w:ascii="宋体" w:hAnsi="宋体" w:eastAsia="宋体" w:cs="宋体"/>
          <w:color w:val="auto"/>
          <w:lang w:eastAsia="zh-CN"/>
        </w:rPr>
        <w:t>服务内容及要求</w:t>
      </w:r>
    </w:p>
    <w:p w14:paraId="0FCA6D4A">
      <w:pPr>
        <w:keepNext w:val="0"/>
        <w:keepLines w:val="0"/>
        <w:pageBreakBefore w:val="0"/>
        <w:widowControl w:val="0"/>
        <w:numPr>
          <w:ilvl w:val="0"/>
          <w:numId w:val="8"/>
        </w:numPr>
        <w:kinsoku/>
        <w:wordWrap/>
        <w:overflowPunct/>
        <w:topLinePunct w:val="0"/>
        <w:autoSpaceDE/>
        <w:autoSpaceDN/>
        <w:bidi w:val="0"/>
        <w:adjustRightInd/>
        <w:snapToGrid/>
        <w:spacing w:line="700" w:lineRule="exact"/>
        <w:jc w:val="left"/>
        <w:textAlignment w:val="auto"/>
        <w:outlineLvl w:val="9"/>
        <w:rPr>
          <w:rFonts w:hint="eastAsia" w:ascii="宋体" w:hAnsi="宋体" w:eastAsia="宋体" w:cs="宋体"/>
          <w:color w:val="auto"/>
          <w:lang w:val="en-US" w:eastAsia="zh-CN"/>
        </w:rPr>
      </w:pPr>
      <w:r>
        <w:rPr>
          <w:rFonts w:hint="eastAsia" w:ascii="宋体" w:hAnsi="宋体" w:eastAsia="宋体" w:cs="宋体"/>
          <w:color w:val="auto"/>
          <w:highlight w:val="none"/>
          <w:lang w:val="en-US" w:eastAsia="zh-CN"/>
        </w:rPr>
        <w:t>突发紧急事件处理应急预案</w:t>
      </w:r>
    </w:p>
    <w:p w14:paraId="630EC4C4">
      <w:pPr>
        <w:keepNext w:val="0"/>
        <w:keepLines w:val="0"/>
        <w:pageBreakBefore w:val="0"/>
        <w:widowControl w:val="0"/>
        <w:numPr>
          <w:ilvl w:val="0"/>
          <w:numId w:val="8"/>
        </w:numPr>
        <w:kinsoku/>
        <w:wordWrap/>
        <w:overflowPunct/>
        <w:topLinePunct w:val="0"/>
        <w:autoSpaceDE/>
        <w:autoSpaceDN/>
        <w:bidi w:val="0"/>
        <w:adjustRightInd/>
        <w:snapToGrid/>
        <w:spacing w:line="700" w:lineRule="exact"/>
        <w:jc w:val="left"/>
        <w:textAlignment w:val="auto"/>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项目</w:t>
      </w:r>
      <w:r>
        <w:rPr>
          <w:rFonts w:hint="eastAsia" w:ascii="宋体" w:hAnsi="宋体" w:eastAsia="宋体" w:cs="宋体"/>
          <w:color w:val="auto"/>
          <w:highlight w:val="none"/>
          <w:lang w:val="en-US" w:eastAsia="zh-CN"/>
        </w:rPr>
        <w:t>拟投入</w:t>
      </w:r>
      <w:r>
        <w:rPr>
          <w:rFonts w:hint="eastAsia" w:ascii="宋体" w:hAnsi="宋体" w:cs="宋体"/>
          <w:color w:val="auto"/>
          <w:highlight w:val="none"/>
          <w:lang w:val="en-US" w:eastAsia="zh-CN"/>
        </w:rPr>
        <w:t>的物资、</w:t>
      </w:r>
      <w:r>
        <w:rPr>
          <w:rFonts w:hint="eastAsia" w:ascii="宋体" w:hAnsi="宋体" w:eastAsia="宋体" w:cs="宋体"/>
          <w:color w:val="auto"/>
          <w:lang w:val="en-US" w:eastAsia="zh-CN"/>
        </w:rPr>
        <w:t>设备</w:t>
      </w:r>
    </w:p>
    <w:p w14:paraId="54AAAEC8">
      <w:pPr>
        <w:jc w:val="left"/>
        <w:rPr>
          <w:rFonts w:ascii="宋体" w:hAnsi="宋体"/>
          <w:b/>
          <w:kern w:val="44"/>
          <w:sz w:val="44"/>
          <w:szCs w:val="44"/>
          <w:highlight w:val="none"/>
        </w:rPr>
      </w:pPr>
    </w:p>
    <w:p w14:paraId="3762969A">
      <w:pPr>
        <w:rPr>
          <w:rFonts w:ascii="宋体" w:hAnsi="宋体"/>
          <w:b/>
          <w:kern w:val="44"/>
          <w:sz w:val="44"/>
          <w:szCs w:val="44"/>
          <w:highlight w:val="none"/>
        </w:rPr>
      </w:pPr>
      <w:r>
        <w:rPr>
          <w:rFonts w:hint="eastAsia" w:ascii="宋体" w:hAnsi="宋体"/>
          <w:b/>
          <w:kern w:val="44"/>
          <w:sz w:val="44"/>
          <w:szCs w:val="44"/>
          <w:highlight w:val="none"/>
        </w:rPr>
        <w:br w:type="page"/>
      </w:r>
    </w:p>
    <w:p w14:paraId="470C8E5F">
      <w:pPr>
        <w:jc w:val="center"/>
        <w:outlineLvl w:val="9"/>
        <w:rPr>
          <w:rFonts w:ascii="宋体" w:hAnsi="宋体" w:cs="宋体"/>
          <w:b/>
          <w:kern w:val="44"/>
          <w:sz w:val="32"/>
          <w:szCs w:val="32"/>
          <w:highlight w:val="none"/>
        </w:rPr>
      </w:pPr>
      <w:r>
        <w:rPr>
          <w:rFonts w:hint="eastAsia" w:ascii="宋体" w:hAnsi="宋体" w:cs="宋体"/>
          <w:b/>
          <w:kern w:val="44"/>
          <w:sz w:val="44"/>
          <w:szCs w:val="44"/>
          <w:highlight w:val="none"/>
        </w:rPr>
        <w:t xml:space="preserve">十  </w:t>
      </w:r>
      <w:r>
        <w:rPr>
          <w:rFonts w:hint="eastAsia" w:ascii="宋体" w:hAnsi="宋体"/>
          <w:b/>
          <w:kern w:val="44"/>
          <w:sz w:val="44"/>
          <w:szCs w:val="44"/>
          <w:highlight w:val="none"/>
        </w:rPr>
        <w:t>相关证明材料</w:t>
      </w:r>
    </w:p>
    <w:p w14:paraId="5FE15F93">
      <w:pPr>
        <w:widowControl/>
        <w:snapToGrid w:val="0"/>
        <w:spacing w:line="480" w:lineRule="exact"/>
        <w:ind w:left="420" w:leftChars="200" w:firstLine="160" w:firstLineChars="50"/>
        <w:jc w:val="left"/>
        <w:rPr>
          <w:rFonts w:ascii="宋体" w:hAnsi="宋体"/>
          <w:sz w:val="32"/>
          <w:szCs w:val="32"/>
          <w:highlight w:val="none"/>
        </w:rPr>
      </w:pPr>
    </w:p>
    <w:p w14:paraId="065BD723">
      <w:pPr>
        <w:widowControl/>
        <w:tabs>
          <w:tab w:val="left" w:pos="1571"/>
        </w:tabs>
        <w:snapToGrid w:val="0"/>
        <w:spacing w:line="480" w:lineRule="exact"/>
        <w:ind w:firstLine="640" w:firstLineChars="200"/>
        <w:jc w:val="left"/>
        <w:rPr>
          <w:rFonts w:ascii="宋体" w:hAnsi="宋体"/>
          <w:color w:val="000000"/>
          <w:kern w:val="0"/>
          <w:sz w:val="32"/>
          <w:szCs w:val="32"/>
          <w:highlight w:val="none"/>
        </w:rPr>
      </w:pPr>
    </w:p>
    <w:p w14:paraId="47B81228">
      <w:pPr>
        <w:spacing w:line="480" w:lineRule="exact"/>
        <w:ind w:firstLine="640" w:firstLineChars="200"/>
        <w:rPr>
          <w:rFonts w:ascii="宋体" w:hAnsi="宋体"/>
          <w:sz w:val="32"/>
          <w:szCs w:val="32"/>
          <w:highlight w:val="none"/>
        </w:rPr>
      </w:pPr>
      <w:r>
        <w:rPr>
          <w:rFonts w:hint="eastAsia" w:ascii="宋体" w:hAnsi="宋体"/>
          <w:sz w:val="32"/>
          <w:szCs w:val="32"/>
          <w:highlight w:val="none"/>
        </w:rPr>
        <w:t>1、供应商结合项目要求和自身情况提供相关证明材料。</w:t>
      </w:r>
    </w:p>
    <w:p w14:paraId="2ABE4E11">
      <w:pPr>
        <w:spacing w:line="480" w:lineRule="exact"/>
        <w:ind w:firstLine="640" w:firstLineChars="200"/>
        <w:rPr>
          <w:rFonts w:ascii="宋体" w:hAnsi="宋体"/>
          <w:sz w:val="32"/>
          <w:szCs w:val="32"/>
          <w:highlight w:val="none"/>
        </w:rPr>
      </w:pPr>
    </w:p>
    <w:p w14:paraId="7F50C2D8">
      <w:pPr>
        <w:spacing w:line="480" w:lineRule="exact"/>
        <w:ind w:firstLine="640" w:firstLineChars="200"/>
        <w:rPr>
          <w:rFonts w:ascii="宋体" w:hAnsi="宋体"/>
          <w:sz w:val="32"/>
          <w:szCs w:val="32"/>
          <w:highlight w:val="none"/>
        </w:rPr>
      </w:pPr>
      <w:r>
        <w:rPr>
          <w:rFonts w:hint="eastAsia" w:ascii="宋体" w:hAnsi="宋体"/>
          <w:sz w:val="32"/>
          <w:szCs w:val="32"/>
          <w:highlight w:val="none"/>
        </w:rPr>
        <w:t>2、中小微企业相关材料（格式见附件）：</w:t>
      </w:r>
    </w:p>
    <w:p w14:paraId="463EFAC6">
      <w:pPr>
        <w:spacing w:line="480" w:lineRule="exact"/>
        <w:ind w:firstLine="640" w:firstLineChars="200"/>
        <w:rPr>
          <w:rFonts w:ascii="宋体" w:hAnsi="宋体"/>
          <w:sz w:val="32"/>
          <w:szCs w:val="32"/>
          <w:highlight w:val="none"/>
        </w:rPr>
      </w:pPr>
      <w:r>
        <w:rPr>
          <w:rFonts w:hint="eastAsia" w:ascii="宋体" w:hAnsi="宋体"/>
          <w:sz w:val="32"/>
          <w:szCs w:val="32"/>
          <w:highlight w:val="none"/>
        </w:rPr>
        <w:t>只面向中小微企业采购项目。中型、小型、微型企业须在“三　供应商基本情况和资格证明材料”处按要求提供《中小企业声明函》</w:t>
      </w:r>
      <w:r>
        <w:rPr>
          <w:rFonts w:hint="eastAsia" w:ascii="宋体" w:hAnsi="宋体"/>
          <w:sz w:val="32"/>
          <w:szCs w:val="32"/>
          <w:highlight w:val="none"/>
          <w:lang w:eastAsia="zh-CN"/>
        </w:rPr>
        <w:t>（</w:t>
      </w:r>
      <w:r>
        <w:rPr>
          <w:rFonts w:hint="eastAsia" w:ascii="宋体" w:hAnsi="宋体"/>
          <w:sz w:val="32"/>
          <w:szCs w:val="32"/>
          <w:highlight w:val="none"/>
        </w:rPr>
        <w:t>若为货物类采购项目，其全部标的应均为中型、小型、微型企业生产，并在声明函中分别列明与“投标内容及报价明细表”中对应的每一标的及其生产制造商情况</w:t>
      </w:r>
      <w:r>
        <w:rPr>
          <w:rFonts w:hint="eastAsia" w:ascii="宋体" w:hAnsi="宋体"/>
          <w:sz w:val="32"/>
          <w:szCs w:val="32"/>
          <w:highlight w:val="none"/>
          <w:lang w:eastAsia="zh-CN"/>
        </w:rPr>
        <w:t>）</w:t>
      </w:r>
      <w:r>
        <w:rPr>
          <w:rFonts w:hint="eastAsia" w:ascii="宋体" w:hAnsi="宋体"/>
          <w:sz w:val="32"/>
          <w:szCs w:val="32"/>
          <w:highlight w:val="none"/>
        </w:rPr>
        <w:t>，作为资格审查内容。</w:t>
      </w:r>
    </w:p>
    <w:p w14:paraId="446AC3C0">
      <w:pPr>
        <w:spacing w:line="480" w:lineRule="exact"/>
        <w:ind w:firstLine="640" w:firstLineChars="200"/>
        <w:rPr>
          <w:rFonts w:ascii="宋体" w:hAnsi="宋体"/>
          <w:sz w:val="32"/>
          <w:szCs w:val="32"/>
          <w:highlight w:val="none"/>
        </w:rPr>
      </w:pPr>
      <w:r>
        <w:rPr>
          <w:rFonts w:hint="eastAsia" w:ascii="宋体" w:hAnsi="宋体"/>
          <w:sz w:val="32"/>
          <w:szCs w:val="32"/>
          <w:highlight w:val="none"/>
        </w:rPr>
        <w:t>非专门面向中小微企业采购项目。小型、微型企业按要求提供《中小企业声明函》的</w:t>
      </w:r>
      <w:r>
        <w:rPr>
          <w:rFonts w:hint="eastAsia" w:ascii="宋体" w:hAnsi="宋体"/>
          <w:sz w:val="32"/>
          <w:szCs w:val="32"/>
          <w:highlight w:val="none"/>
          <w:lang w:eastAsia="zh-CN"/>
        </w:rPr>
        <w:t>（</w:t>
      </w:r>
      <w:r>
        <w:rPr>
          <w:rFonts w:hint="eastAsia" w:ascii="宋体" w:hAnsi="宋体"/>
          <w:sz w:val="32"/>
          <w:szCs w:val="32"/>
          <w:highlight w:val="none"/>
        </w:rPr>
        <w:t>若为货物类采购项目，其全部标的应均为小型、微型企业生产，并在声明函中分别列明与“投标内容及报价明细表”中对应的每一标的及其生产制造商情况</w:t>
      </w:r>
      <w:r>
        <w:rPr>
          <w:rFonts w:hint="eastAsia" w:ascii="宋体" w:hAnsi="宋体"/>
          <w:sz w:val="32"/>
          <w:szCs w:val="32"/>
          <w:highlight w:val="none"/>
          <w:lang w:eastAsia="zh-CN"/>
        </w:rPr>
        <w:t>）</w:t>
      </w:r>
      <w:r>
        <w:rPr>
          <w:rFonts w:hint="eastAsia" w:ascii="宋体" w:hAnsi="宋体"/>
          <w:sz w:val="32"/>
          <w:szCs w:val="32"/>
          <w:highlight w:val="none"/>
        </w:rPr>
        <w:t>，符合要求者在评标时给予价格扣除。</w:t>
      </w:r>
    </w:p>
    <w:p w14:paraId="6B61EE93">
      <w:pPr>
        <w:spacing w:line="480" w:lineRule="exact"/>
        <w:ind w:firstLine="640" w:firstLineChars="200"/>
        <w:rPr>
          <w:rFonts w:hint="eastAsia" w:ascii="宋体" w:hAnsi="宋体"/>
          <w:sz w:val="32"/>
          <w:szCs w:val="32"/>
          <w:highlight w:val="none"/>
        </w:rPr>
      </w:pPr>
      <w:r>
        <w:rPr>
          <w:rFonts w:hint="eastAsia" w:ascii="宋体" w:hAnsi="宋体"/>
          <w:sz w:val="32"/>
          <w:szCs w:val="32"/>
          <w:highlight w:val="none"/>
        </w:rPr>
        <w:t>监狱企业、残疾人福利性单位提供符合要求的《监狱企业证明文件》或《残疾人福利性单位声明函》，视同小型、微型企业。多重身份者不重复计算。</w:t>
      </w:r>
    </w:p>
    <w:p w14:paraId="46D5BAF0">
      <w:pPr>
        <w:spacing w:line="480" w:lineRule="exact"/>
        <w:ind w:firstLine="640" w:firstLineChars="200"/>
        <w:rPr>
          <w:rFonts w:hint="eastAsia" w:ascii="宋体" w:hAnsi="宋体"/>
          <w:sz w:val="32"/>
          <w:szCs w:val="32"/>
          <w:highlight w:val="none"/>
        </w:rPr>
      </w:pPr>
    </w:p>
    <w:p w14:paraId="03BC9DF5">
      <w:pPr>
        <w:spacing w:line="480" w:lineRule="exact"/>
        <w:ind w:firstLine="640" w:firstLineChars="200"/>
        <w:rPr>
          <w:rFonts w:hint="eastAsia" w:ascii="宋体" w:hAnsi="宋体" w:eastAsia="宋体"/>
          <w:sz w:val="32"/>
          <w:szCs w:val="32"/>
          <w:highlight w:val="none"/>
          <w:lang w:val="en-US" w:eastAsia="zh-CN"/>
        </w:rPr>
      </w:pPr>
    </w:p>
    <w:p w14:paraId="27283DAA">
      <w:pPr>
        <w:spacing w:before="120" w:beforeLines="50" w:after="120" w:afterLines="50"/>
        <w:ind w:firstLine="630" w:firstLineChars="196"/>
        <w:outlineLvl w:val="9"/>
        <w:rPr>
          <w:rFonts w:ascii="宋体" w:hAnsi="宋体"/>
          <w:b/>
          <w:kern w:val="44"/>
          <w:sz w:val="32"/>
          <w:szCs w:val="32"/>
          <w:highlight w:val="none"/>
        </w:rPr>
      </w:pPr>
      <w:r>
        <w:rPr>
          <w:rFonts w:hint="eastAsia"/>
          <w:b/>
          <w:kern w:val="44"/>
          <w:sz w:val="32"/>
          <w:szCs w:val="32"/>
          <w:highlight w:val="none"/>
        </w:rPr>
        <w:br w:type="page"/>
      </w:r>
      <w:r>
        <w:rPr>
          <w:rFonts w:hint="eastAsia" w:ascii="宋体" w:hAnsi="宋体"/>
          <w:b/>
          <w:kern w:val="44"/>
          <w:sz w:val="32"/>
          <w:szCs w:val="32"/>
          <w:highlight w:val="none"/>
        </w:rPr>
        <w:t>附件1</w:t>
      </w:r>
      <w:r>
        <w:rPr>
          <w:rFonts w:hint="eastAsia" w:ascii="宋体" w:hAnsi="宋体"/>
          <w:b/>
          <w:sz w:val="28"/>
          <w:szCs w:val="28"/>
          <w:highlight w:val="none"/>
        </w:rPr>
        <w:t>（符合政策要求，并申请按小型微型企业投标者提供）</w:t>
      </w:r>
      <w:r>
        <w:rPr>
          <w:rFonts w:hint="eastAsia" w:ascii="宋体" w:hAnsi="宋体"/>
          <w:b/>
          <w:kern w:val="44"/>
          <w:sz w:val="28"/>
          <w:szCs w:val="28"/>
          <w:highlight w:val="none"/>
        </w:rPr>
        <w:t>：</w:t>
      </w:r>
    </w:p>
    <w:p w14:paraId="3694F74E">
      <w:pPr>
        <w:pStyle w:val="2"/>
        <w:spacing w:after="340" w:line="360" w:lineRule="auto"/>
        <w:jc w:val="center"/>
        <w:outlineLvl w:val="9"/>
        <w:rPr>
          <w:rFonts w:ascii="宋体" w:hAnsi="宋体"/>
          <w:bCs w:val="0"/>
          <w:kern w:val="2"/>
          <w:sz w:val="36"/>
          <w:szCs w:val="36"/>
          <w:highlight w:val="none"/>
        </w:rPr>
      </w:pPr>
      <w:bookmarkStart w:id="818" w:name="_Toc28255"/>
      <w:bookmarkStart w:id="819" w:name="_Toc16214"/>
      <w:bookmarkStart w:id="820" w:name="_Toc10609"/>
      <w:r>
        <w:rPr>
          <w:rFonts w:hint="eastAsia" w:ascii="宋体" w:hAnsi="宋体"/>
          <w:bCs w:val="0"/>
          <w:kern w:val="2"/>
          <w:sz w:val="36"/>
          <w:szCs w:val="36"/>
          <w:highlight w:val="none"/>
        </w:rPr>
        <w:t>中小企业声明函（工程、服务）</w:t>
      </w:r>
      <w:bookmarkEnd w:id="818"/>
      <w:bookmarkEnd w:id="819"/>
      <w:bookmarkEnd w:id="820"/>
    </w:p>
    <w:p w14:paraId="35CC2505">
      <w:pPr>
        <w:spacing w:before="120" w:beforeLines="50" w:after="120" w:afterLines="50" w:line="440" w:lineRule="exact"/>
        <w:ind w:firstLine="600" w:firstLineChars="200"/>
        <w:jc w:val="left"/>
        <w:rPr>
          <w:rFonts w:ascii="宋体" w:hAnsi="宋体"/>
          <w:sz w:val="30"/>
          <w:szCs w:val="30"/>
          <w:highlight w:val="none"/>
        </w:rPr>
      </w:pPr>
      <w:r>
        <w:rPr>
          <w:rFonts w:hint="eastAsia" w:ascii="宋体" w:hAnsi="宋体"/>
          <w:sz w:val="30"/>
          <w:szCs w:val="30"/>
          <w:highlight w:val="none"/>
        </w:rPr>
        <w:t>本公司（联合体）郑重声明，根据《政府采购促进中小企业发展管理办法》（财库﹝2020﹞46 号）的规定，本公司（联合体）参加</w:t>
      </w:r>
      <w:r>
        <w:rPr>
          <w:rFonts w:hint="eastAsia" w:ascii="宋体" w:hAnsi="宋体"/>
          <w:i/>
          <w:iCs/>
          <w:sz w:val="30"/>
          <w:szCs w:val="30"/>
          <w:highlight w:val="none"/>
          <w:u w:val="single"/>
        </w:rPr>
        <w:t>（单位名称）</w:t>
      </w:r>
      <w:r>
        <w:rPr>
          <w:rFonts w:hint="eastAsia" w:ascii="宋体" w:hAnsi="宋体"/>
          <w:sz w:val="30"/>
          <w:szCs w:val="30"/>
          <w:highlight w:val="none"/>
        </w:rPr>
        <w:t>的</w:t>
      </w:r>
      <w:r>
        <w:rPr>
          <w:rFonts w:hint="eastAsia" w:ascii="宋体" w:hAnsi="宋体"/>
          <w:i/>
          <w:iCs/>
          <w:sz w:val="30"/>
          <w:szCs w:val="30"/>
          <w:highlight w:val="none"/>
          <w:u w:val="single"/>
        </w:rPr>
        <w:t>（项目名称）</w:t>
      </w:r>
      <w:r>
        <w:rPr>
          <w:rFonts w:hint="eastAsia" w:ascii="宋体" w:hAnsi="宋体"/>
          <w:sz w:val="30"/>
          <w:szCs w:val="30"/>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D5AF895">
      <w:pPr>
        <w:spacing w:before="120" w:beforeLines="50" w:after="120" w:afterLines="50" w:line="440" w:lineRule="exact"/>
        <w:ind w:firstLine="600" w:firstLineChars="200"/>
        <w:jc w:val="left"/>
        <w:rPr>
          <w:rFonts w:ascii="宋体" w:hAnsi="宋体"/>
          <w:sz w:val="30"/>
          <w:szCs w:val="30"/>
          <w:highlight w:val="none"/>
        </w:rPr>
      </w:pPr>
      <w:r>
        <w:rPr>
          <w:rFonts w:hint="eastAsia" w:ascii="宋体" w:hAnsi="宋体"/>
          <w:i w:val="0"/>
          <w:iCs w:val="0"/>
          <w:sz w:val="30"/>
          <w:szCs w:val="30"/>
          <w:highlight w:val="none"/>
          <w:u w:val="none"/>
          <w:lang w:val="en-US" w:eastAsia="zh-CN"/>
        </w:rPr>
        <w:t>1.</w:t>
      </w:r>
      <w:r>
        <w:rPr>
          <w:rFonts w:hint="eastAsia" w:ascii="宋体" w:hAnsi="宋体"/>
          <w:i/>
          <w:iCs/>
          <w:sz w:val="30"/>
          <w:szCs w:val="30"/>
          <w:highlight w:val="none"/>
          <w:u w:val="single"/>
        </w:rPr>
        <w:t xml:space="preserve">    （标的名称）</w:t>
      </w:r>
      <w:r>
        <w:rPr>
          <w:rFonts w:hint="eastAsia" w:ascii="宋体" w:hAnsi="宋体"/>
          <w:sz w:val="30"/>
          <w:szCs w:val="30"/>
          <w:highlight w:val="none"/>
        </w:rPr>
        <w:t>，</w:t>
      </w:r>
      <w:r>
        <w:rPr>
          <w:rFonts w:hint="eastAsia" w:ascii="宋体" w:hAnsi="宋体" w:eastAsia="Calibri"/>
          <w:sz w:val="30"/>
          <w:szCs w:val="30"/>
          <w:highlight w:val="none"/>
        </w:rPr>
        <w:t>属于</w:t>
      </w:r>
      <w:r>
        <w:rPr>
          <w:rFonts w:hint="eastAsia" w:ascii="宋体" w:hAnsi="宋体"/>
          <w:sz w:val="30"/>
          <w:szCs w:val="30"/>
          <w:highlight w:val="none"/>
          <w:u w:val="single"/>
        </w:rPr>
        <w:t xml:space="preserve">              </w:t>
      </w:r>
      <w:r>
        <w:rPr>
          <w:rFonts w:hint="eastAsia" w:ascii="宋体" w:hAnsi="宋体" w:eastAsia="Calibri"/>
          <w:sz w:val="30"/>
          <w:szCs w:val="30"/>
          <w:highlight w:val="none"/>
        </w:rPr>
        <w:t>行业</w:t>
      </w:r>
      <w:r>
        <w:rPr>
          <w:rFonts w:hint="eastAsia" w:ascii="宋体" w:hAnsi="宋体"/>
          <w:sz w:val="30"/>
          <w:szCs w:val="30"/>
          <w:highlight w:val="none"/>
        </w:rPr>
        <w:t>；承建（承接）企业为</w:t>
      </w:r>
      <w:r>
        <w:rPr>
          <w:rFonts w:hint="eastAsia" w:ascii="宋体" w:hAnsi="宋体"/>
          <w:i/>
          <w:iCs/>
          <w:sz w:val="30"/>
          <w:szCs w:val="30"/>
          <w:highlight w:val="none"/>
          <w:u w:val="single"/>
        </w:rPr>
        <w:t>（企业名称）</w:t>
      </w:r>
      <w:r>
        <w:rPr>
          <w:rFonts w:hint="eastAsia" w:ascii="宋体" w:hAnsi="宋体"/>
          <w:sz w:val="30"/>
          <w:szCs w:val="30"/>
          <w:highlight w:val="none"/>
        </w:rPr>
        <w:t>，从业人员</w:t>
      </w:r>
      <w:r>
        <w:rPr>
          <w:rFonts w:hint="eastAsia" w:ascii="宋体" w:hAnsi="宋体"/>
          <w:sz w:val="30"/>
          <w:szCs w:val="30"/>
          <w:highlight w:val="none"/>
          <w:u w:val="single"/>
        </w:rPr>
        <w:t xml:space="preserve"> </w:t>
      </w:r>
      <w:r>
        <w:rPr>
          <w:rFonts w:hint="eastAsia" w:ascii="宋体" w:hAnsi="宋体"/>
          <w:sz w:val="30"/>
          <w:szCs w:val="30"/>
          <w:highlight w:val="none"/>
          <w:u w:val="single"/>
        </w:rPr>
        <w:tab/>
      </w:r>
      <w:r>
        <w:rPr>
          <w:rFonts w:hint="eastAsia" w:ascii="宋体" w:hAnsi="宋体"/>
          <w:sz w:val="30"/>
          <w:szCs w:val="30"/>
          <w:highlight w:val="none"/>
        </w:rPr>
        <w:t>人，营业收入为</w:t>
      </w:r>
      <w:r>
        <w:rPr>
          <w:rFonts w:hint="eastAsia" w:ascii="宋体" w:hAnsi="宋体"/>
          <w:sz w:val="30"/>
          <w:szCs w:val="30"/>
          <w:highlight w:val="none"/>
          <w:u w:val="single"/>
        </w:rPr>
        <w:t xml:space="preserve"> </w:t>
      </w:r>
      <w:r>
        <w:rPr>
          <w:rFonts w:hint="eastAsia" w:ascii="宋体" w:hAnsi="宋体"/>
          <w:sz w:val="30"/>
          <w:szCs w:val="30"/>
          <w:highlight w:val="none"/>
          <w:u w:val="single"/>
        </w:rPr>
        <w:tab/>
      </w:r>
      <w:r>
        <w:rPr>
          <w:rFonts w:hint="eastAsia" w:ascii="宋体" w:hAnsi="宋体"/>
          <w:sz w:val="30"/>
          <w:szCs w:val="30"/>
          <w:highlight w:val="none"/>
        </w:rPr>
        <w:t>万元，资产总额为</w:t>
      </w:r>
      <w:r>
        <w:rPr>
          <w:rFonts w:hint="eastAsia" w:ascii="宋体" w:hAnsi="宋体"/>
          <w:sz w:val="30"/>
          <w:szCs w:val="30"/>
          <w:highlight w:val="none"/>
          <w:u w:val="single"/>
        </w:rPr>
        <w:t xml:space="preserve"> </w:t>
      </w:r>
      <w:r>
        <w:rPr>
          <w:rFonts w:hint="eastAsia" w:ascii="宋体" w:hAnsi="宋体"/>
          <w:sz w:val="30"/>
          <w:szCs w:val="30"/>
          <w:highlight w:val="none"/>
          <w:u w:val="single"/>
        </w:rPr>
        <w:tab/>
      </w:r>
      <w:r>
        <w:rPr>
          <w:rFonts w:hint="eastAsia" w:ascii="宋体" w:hAnsi="宋体"/>
          <w:sz w:val="30"/>
          <w:szCs w:val="30"/>
          <w:highlight w:val="none"/>
        </w:rPr>
        <w:t>万元，属于</w:t>
      </w:r>
      <w:r>
        <w:rPr>
          <w:rFonts w:hint="eastAsia" w:ascii="宋体" w:hAnsi="宋体"/>
          <w:sz w:val="30"/>
          <w:szCs w:val="30"/>
          <w:highlight w:val="none"/>
          <w:u w:val="single"/>
        </w:rPr>
        <w:t xml:space="preserve">         </w:t>
      </w:r>
      <w:r>
        <w:rPr>
          <w:rFonts w:hint="eastAsia" w:ascii="宋体" w:hAnsi="宋体"/>
          <w:i/>
          <w:iCs/>
          <w:sz w:val="30"/>
          <w:szCs w:val="30"/>
          <w:highlight w:val="none"/>
          <w:u w:val="single"/>
        </w:rPr>
        <w:t>（中型企业、小型企业、微型企业）</w:t>
      </w:r>
      <w:r>
        <w:rPr>
          <w:rFonts w:hint="eastAsia" w:ascii="宋体" w:hAnsi="宋体"/>
          <w:sz w:val="30"/>
          <w:szCs w:val="30"/>
          <w:highlight w:val="none"/>
        </w:rPr>
        <w:t>；</w:t>
      </w:r>
    </w:p>
    <w:p w14:paraId="0322FEC5">
      <w:pPr>
        <w:spacing w:before="120" w:beforeLines="50" w:after="120" w:afterLines="50" w:line="440" w:lineRule="exact"/>
        <w:ind w:firstLine="600" w:firstLineChars="200"/>
        <w:jc w:val="left"/>
        <w:rPr>
          <w:rFonts w:ascii="宋体" w:hAnsi="宋体"/>
          <w:sz w:val="30"/>
          <w:szCs w:val="30"/>
          <w:highlight w:val="none"/>
        </w:rPr>
      </w:pPr>
      <w:r>
        <w:rPr>
          <w:rFonts w:hint="eastAsia" w:ascii="宋体" w:hAnsi="宋体"/>
          <w:i w:val="0"/>
          <w:iCs w:val="0"/>
          <w:sz w:val="30"/>
          <w:szCs w:val="30"/>
          <w:highlight w:val="none"/>
          <w:u w:val="none"/>
          <w:lang w:val="en-US" w:eastAsia="zh-CN"/>
        </w:rPr>
        <w:t>2.</w:t>
      </w:r>
      <w:r>
        <w:rPr>
          <w:rFonts w:hint="eastAsia" w:ascii="宋体" w:hAnsi="宋体"/>
          <w:i/>
          <w:iCs/>
          <w:sz w:val="30"/>
          <w:szCs w:val="30"/>
          <w:highlight w:val="none"/>
          <w:u w:val="single"/>
        </w:rPr>
        <w:t xml:space="preserve">    （标的名称）</w:t>
      </w:r>
      <w:r>
        <w:rPr>
          <w:rFonts w:hint="eastAsia" w:ascii="宋体" w:hAnsi="宋体"/>
          <w:sz w:val="30"/>
          <w:szCs w:val="30"/>
          <w:highlight w:val="none"/>
        </w:rPr>
        <w:t>，</w:t>
      </w:r>
      <w:r>
        <w:rPr>
          <w:rFonts w:hint="eastAsia" w:ascii="宋体" w:hAnsi="宋体" w:eastAsia="Calibri"/>
          <w:sz w:val="30"/>
          <w:szCs w:val="30"/>
          <w:highlight w:val="none"/>
        </w:rPr>
        <w:t>属于</w:t>
      </w:r>
      <w:r>
        <w:rPr>
          <w:rFonts w:hint="eastAsia" w:ascii="宋体" w:hAnsi="宋体"/>
          <w:sz w:val="30"/>
          <w:szCs w:val="30"/>
          <w:highlight w:val="none"/>
          <w:u w:val="single"/>
        </w:rPr>
        <w:t xml:space="preserve">              </w:t>
      </w:r>
      <w:r>
        <w:rPr>
          <w:rFonts w:hint="eastAsia" w:ascii="宋体" w:hAnsi="宋体" w:eastAsia="Calibri"/>
          <w:sz w:val="30"/>
          <w:szCs w:val="30"/>
          <w:highlight w:val="none"/>
        </w:rPr>
        <w:t>行业</w:t>
      </w:r>
      <w:r>
        <w:rPr>
          <w:rFonts w:hint="eastAsia" w:ascii="宋体" w:hAnsi="宋体"/>
          <w:sz w:val="30"/>
          <w:szCs w:val="30"/>
          <w:highlight w:val="none"/>
        </w:rPr>
        <w:t>；承建（承接）企业为</w:t>
      </w:r>
      <w:r>
        <w:rPr>
          <w:rFonts w:hint="eastAsia" w:ascii="宋体" w:hAnsi="宋体"/>
          <w:i/>
          <w:iCs/>
          <w:sz w:val="30"/>
          <w:szCs w:val="30"/>
          <w:highlight w:val="none"/>
          <w:u w:val="single"/>
        </w:rPr>
        <w:t>（企业名称）</w:t>
      </w:r>
      <w:r>
        <w:rPr>
          <w:rFonts w:hint="eastAsia" w:ascii="宋体" w:hAnsi="宋体"/>
          <w:sz w:val="30"/>
          <w:szCs w:val="30"/>
          <w:highlight w:val="none"/>
        </w:rPr>
        <w:t>，从业人员</w:t>
      </w:r>
      <w:r>
        <w:rPr>
          <w:rFonts w:hint="eastAsia" w:ascii="宋体" w:hAnsi="宋体"/>
          <w:sz w:val="30"/>
          <w:szCs w:val="30"/>
          <w:highlight w:val="none"/>
          <w:u w:val="single"/>
        </w:rPr>
        <w:t xml:space="preserve"> </w:t>
      </w:r>
      <w:r>
        <w:rPr>
          <w:rFonts w:hint="eastAsia" w:ascii="宋体" w:hAnsi="宋体"/>
          <w:sz w:val="30"/>
          <w:szCs w:val="30"/>
          <w:highlight w:val="none"/>
          <w:u w:val="single"/>
        </w:rPr>
        <w:tab/>
      </w:r>
      <w:r>
        <w:rPr>
          <w:rFonts w:hint="eastAsia" w:ascii="宋体" w:hAnsi="宋体"/>
          <w:sz w:val="30"/>
          <w:szCs w:val="30"/>
          <w:highlight w:val="none"/>
        </w:rPr>
        <w:t>人，营业收入为</w:t>
      </w:r>
      <w:r>
        <w:rPr>
          <w:rFonts w:hint="eastAsia" w:ascii="宋体" w:hAnsi="宋体"/>
          <w:sz w:val="30"/>
          <w:szCs w:val="30"/>
          <w:highlight w:val="none"/>
          <w:u w:val="single"/>
        </w:rPr>
        <w:t xml:space="preserve"> </w:t>
      </w:r>
      <w:r>
        <w:rPr>
          <w:rFonts w:hint="eastAsia" w:ascii="宋体" w:hAnsi="宋体"/>
          <w:sz w:val="30"/>
          <w:szCs w:val="30"/>
          <w:highlight w:val="none"/>
          <w:u w:val="single"/>
        </w:rPr>
        <w:tab/>
      </w:r>
      <w:r>
        <w:rPr>
          <w:rFonts w:hint="eastAsia" w:ascii="宋体" w:hAnsi="宋体"/>
          <w:sz w:val="30"/>
          <w:szCs w:val="30"/>
          <w:highlight w:val="none"/>
        </w:rPr>
        <w:t>万元，资产总额为</w:t>
      </w:r>
      <w:r>
        <w:rPr>
          <w:rFonts w:hint="eastAsia" w:ascii="宋体" w:hAnsi="宋体"/>
          <w:sz w:val="30"/>
          <w:szCs w:val="30"/>
          <w:highlight w:val="none"/>
          <w:u w:val="single"/>
        </w:rPr>
        <w:t xml:space="preserve"> </w:t>
      </w:r>
      <w:r>
        <w:rPr>
          <w:rFonts w:hint="eastAsia" w:ascii="宋体" w:hAnsi="宋体"/>
          <w:sz w:val="30"/>
          <w:szCs w:val="30"/>
          <w:highlight w:val="none"/>
          <w:u w:val="single"/>
          <w:lang w:val="en-US" w:eastAsia="zh-CN"/>
        </w:rPr>
        <w:t xml:space="preserve"> </w:t>
      </w:r>
      <w:r>
        <w:rPr>
          <w:rFonts w:hint="eastAsia" w:ascii="宋体" w:hAnsi="宋体"/>
          <w:sz w:val="30"/>
          <w:szCs w:val="30"/>
          <w:highlight w:val="none"/>
          <w:u w:val="single"/>
        </w:rPr>
        <w:tab/>
      </w:r>
      <w:r>
        <w:rPr>
          <w:rFonts w:hint="eastAsia" w:ascii="宋体" w:hAnsi="宋体"/>
          <w:sz w:val="30"/>
          <w:szCs w:val="30"/>
          <w:highlight w:val="none"/>
        </w:rPr>
        <w:t>万元，属于</w:t>
      </w:r>
      <w:r>
        <w:rPr>
          <w:rFonts w:hint="eastAsia" w:ascii="宋体" w:hAnsi="宋体"/>
          <w:sz w:val="30"/>
          <w:szCs w:val="30"/>
          <w:highlight w:val="none"/>
          <w:u w:val="single"/>
        </w:rPr>
        <w:t xml:space="preserve">         </w:t>
      </w:r>
      <w:r>
        <w:rPr>
          <w:rFonts w:hint="eastAsia" w:ascii="宋体" w:hAnsi="宋体"/>
          <w:i/>
          <w:iCs/>
          <w:sz w:val="30"/>
          <w:szCs w:val="30"/>
          <w:highlight w:val="none"/>
          <w:u w:val="single"/>
        </w:rPr>
        <w:t>（中型企业、小型企业、微型企业）</w:t>
      </w:r>
      <w:r>
        <w:rPr>
          <w:rFonts w:hint="eastAsia" w:ascii="宋体" w:hAnsi="宋体"/>
          <w:sz w:val="30"/>
          <w:szCs w:val="30"/>
          <w:highlight w:val="none"/>
        </w:rPr>
        <w:t>；</w:t>
      </w:r>
    </w:p>
    <w:p w14:paraId="3E2F65B9">
      <w:pPr>
        <w:spacing w:before="120" w:beforeLines="50" w:after="120" w:afterLines="50" w:line="440" w:lineRule="exact"/>
        <w:ind w:firstLine="600" w:firstLineChars="200"/>
        <w:jc w:val="left"/>
        <w:rPr>
          <w:rFonts w:ascii="宋体" w:hAnsi="宋体"/>
          <w:sz w:val="30"/>
          <w:szCs w:val="30"/>
          <w:highlight w:val="none"/>
        </w:rPr>
      </w:pPr>
    </w:p>
    <w:p w14:paraId="0CBAD219">
      <w:pPr>
        <w:spacing w:before="120" w:beforeLines="50" w:after="120" w:afterLines="50" w:line="440" w:lineRule="exact"/>
        <w:ind w:firstLine="600" w:firstLineChars="200"/>
        <w:jc w:val="left"/>
        <w:rPr>
          <w:rFonts w:ascii="宋体" w:hAnsi="宋体"/>
          <w:sz w:val="30"/>
          <w:szCs w:val="30"/>
          <w:highlight w:val="none"/>
        </w:rPr>
      </w:pPr>
      <w:r>
        <w:rPr>
          <w:rFonts w:hint="eastAsia" w:ascii="宋体" w:hAnsi="宋体"/>
          <w:sz w:val="30"/>
          <w:szCs w:val="30"/>
          <w:highlight w:val="none"/>
        </w:rPr>
        <w:t>以上企业，不属于大企业的分支机构，不存在控股股东为大企业的情形，也不存在与大企业的负责人为同一人的情形。</w:t>
      </w:r>
    </w:p>
    <w:p w14:paraId="24563889">
      <w:pPr>
        <w:spacing w:before="120" w:beforeLines="50" w:after="120" w:afterLines="50" w:line="440" w:lineRule="exact"/>
        <w:ind w:firstLine="600" w:firstLineChars="200"/>
        <w:jc w:val="left"/>
        <w:rPr>
          <w:rFonts w:ascii="宋体" w:hAnsi="宋体"/>
          <w:sz w:val="30"/>
          <w:szCs w:val="30"/>
          <w:highlight w:val="none"/>
        </w:rPr>
      </w:pPr>
      <w:r>
        <w:rPr>
          <w:rFonts w:hint="eastAsia" w:ascii="宋体" w:hAnsi="宋体"/>
          <w:sz w:val="30"/>
          <w:szCs w:val="30"/>
          <w:highlight w:val="none"/>
        </w:rPr>
        <w:t>本企业对上述声明内容的真实性负责。如有虚假，将依法承担相应责任。</w:t>
      </w:r>
    </w:p>
    <w:p w14:paraId="7982EAEF">
      <w:pPr>
        <w:spacing w:before="120" w:beforeLines="50" w:after="120" w:afterLines="50" w:line="440" w:lineRule="exact"/>
        <w:ind w:right="968" w:rightChars="461" w:firstLine="600" w:firstLineChars="200"/>
        <w:jc w:val="right"/>
        <w:rPr>
          <w:rFonts w:ascii="宋体" w:hAnsi="宋体"/>
          <w:sz w:val="30"/>
          <w:szCs w:val="30"/>
          <w:highlight w:val="none"/>
        </w:rPr>
      </w:pPr>
      <w:r>
        <w:rPr>
          <w:rFonts w:hint="eastAsia" w:ascii="宋体" w:hAnsi="宋体"/>
          <w:sz w:val="30"/>
          <w:szCs w:val="30"/>
          <w:highlight w:val="none"/>
        </w:rPr>
        <w:t>企业名称（盖章）：</w:t>
      </w:r>
    </w:p>
    <w:p w14:paraId="6C4CD4D4">
      <w:pPr>
        <w:spacing w:before="120" w:beforeLines="50" w:after="120" w:afterLines="50" w:line="440" w:lineRule="exact"/>
        <w:ind w:right="968" w:rightChars="461" w:firstLine="600" w:firstLineChars="200"/>
        <w:jc w:val="center"/>
        <w:rPr>
          <w:rFonts w:ascii="宋体" w:hAnsi="宋体"/>
          <w:sz w:val="30"/>
          <w:szCs w:val="30"/>
          <w:highlight w:val="none"/>
        </w:rPr>
      </w:pPr>
      <w:r>
        <w:rPr>
          <w:rFonts w:hint="eastAsia" w:ascii="宋体" w:hAnsi="宋体"/>
          <w:sz w:val="30"/>
          <w:szCs w:val="30"/>
          <w:highlight w:val="none"/>
        </w:rPr>
        <w:t xml:space="preserve">                   日期：</w:t>
      </w:r>
    </w:p>
    <w:p w14:paraId="56F247B5">
      <w:pPr>
        <w:pStyle w:val="56"/>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b/>
          <w:sz w:val="24"/>
          <w:highlight w:val="none"/>
        </w:rPr>
      </w:pPr>
      <w:r>
        <w:rPr>
          <w:rFonts w:hint="eastAsia" w:ascii="宋体" w:hAnsi="宋体"/>
          <w:b/>
          <w:sz w:val="24"/>
          <w:highlight w:val="none"/>
        </w:rPr>
        <w:t>注：1、上文中“标的”对应的中小企业划分标准</w:t>
      </w:r>
      <w:r>
        <w:rPr>
          <w:rFonts w:hint="eastAsia" w:ascii="宋体" w:hAnsi="宋体"/>
          <w:b/>
          <w:color w:val="000000" w:themeColor="text1"/>
          <w:sz w:val="24"/>
          <w:highlight w:val="none"/>
          <w14:textFill>
            <w14:solidFill>
              <w14:schemeClr w14:val="tx1"/>
            </w14:solidFill>
          </w14:textFill>
        </w:rPr>
        <w:t>所属行业应填:属于</w:t>
      </w:r>
      <w:r>
        <w:rPr>
          <w:rFonts w:hint="eastAsia" w:hAnsi="宋体"/>
          <w:b/>
          <w:color w:val="000000" w:themeColor="text1"/>
          <w:sz w:val="24"/>
          <w:highlight w:val="none"/>
          <w:u w:val="single"/>
          <w:lang w:val="en-US" w:eastAsia="zh-CN"/>
          <w14:textFill>
            <w14:solidFill>
              <w14:schemeClr w14:val="tx1"/>
            </w14:solidFill>
          </w14:textFill>
        </w:rPr>
        <w:t>租赁和商务服务业</w:t>
      </w:r>
      <w:r>
        <w:rPr>
          <w:rFonts w:hint="eastAsia" w:ascii="宋体" w:hAnsi="宋体"/>
          <w:b/>
          <w:color w:val="000000" w:themeColor="text1"/>
          <w:sz w:val="24"/>
          <w:highlight w:val="none"/>
          <w14:textFill>
            <w14:solidFill>
              <w14:schemeClr w14:val="tx1"/>
            </w14:solidFill>
          </w14:textFill>
        </w:rPr>
        <w:t>行业</w:t>
      </w:r>
      <w:r>
        <w:rPr>
          <w:rFonts w:hint="eastAsia" w:ascii="宋体" w:hAnsi="宋体"/>
          <w:b/>
          <w:color w:val="000000" w:themeColor="text1"/>
          <w:sz w:val="24"/>
          <w:highlight w:val="none"/>
          <w:lang w:val="en-US" w:eastAsia="zh-CN"/>
          <w14:textFill>
            <w14:solidFill>
              <w14:schemeClr w14:val="tx1"/>
            </w14:solidFill>
          </w14:textFill>
        </w:rPr>
        <w:t>，供应商按照该行业对照《关于印发中小企</w:t>
      </w:r>
      <w:r>
        <w:rPr>
          <w:rFonts w:hint="eastAsia" w:ascii="宋体" w:hAnsi="宋体"/>
          <w:b/>
          <w:sz w:val="24"/>
          <w:highlight w:val="none"/>
          <w:lang w:val="en-US" w:eastAsia="zh-CN"/>
        </w:rPr>
        <w:t>业划型标准规定的通知》（工信部联企业〔2011〕300号）</w:t>
      </w:r>
      <w:r>
        <w:rPr>
          <w:rFonts w:hint="eastAsia" w:ascii="宋体" w:hAnsi="宋体"/>
          <w:b/>
          <w:sz w:val="24"/>
          <w:highlight w:val="none"/>
        </w:rPr>
        <w:t>判定标的承接企业是否属于中小微企业</w:t>
      </w:r>
      <w:r>
        <w:rPr>
          <w:rFonts w:hint="eastAsia" w:hAnsi="宋体"/>
          <w:b/>
          <w:sz w:val="24"/>
          <w:highlight w:val="none"/>
          <w:lang w:eastAsia="zh-CN"/>
        </w:rPr>
        <w:t>，</w:t>
      </w:r>
      <w:r>
        <w:rPr>
          <w:rFonts w:hint="eastAsia" w:hAnsi="宋体"/>
          <w:b/>
          <w:sz w:val="24"/>
          <w:highlight w:val="none"/>
          <w:lang w:val="en-US" w:eastAsia="zh-CN"/>
        </w:rPr>
        <w:t>属于者</w:t>
      </w:r>
      <w:r>
        <w:rPr>
          <w:rFonts w:hint="eastAsia" w:ascii="宋体" w:hAnsi="宋体"/>
          <w:b/>
          <w:sz w:val="24"/>
          <w:highlight w:val="none"/>
        </w:rPr>
        <w:t>在本声明函中写明标的及承接企业情况。</w:t>
      </w:r>
      <w:r>
        <w:rPr>
          <w:rFonts w:hint="eastAsia" w:ascii="宋体" w:hAnsi="宋体"/>
          <w:b/>
          <w:sz w:val="24"/>
          <w:highlight w:val="none"/>
          <w:lang w:val="en-US" w:eastAsia="zh-CN"/>
        </w:rPr>
        <w:t>供应商</w:t>
      </w:r>
      <w:r>
        <w:rPr>
          <w:rFonts w:hint="eastAsia" w:hAnsi="宋体"/>
          <w:b/>
          <w:sz w:val="24"/>
          <w:highlight w:val="none"/>
          <w:lang w:val="en-US" w:eastAsia="zh-CN"/>
        </w:rPr>
        <w:t>对填写的承接企业信息</w:t>
      </w:r>
      <w:r>
        <w:rPr>
          <w:rFonts w:hint="eastAsia" w:ascii="宋体" w:hAnsi="宋体"/>
          <w:b/>
          <w:sz w:val="24"/>
          <w:highlight w:val="none"/>
          <w:lang w:val="en-US" w:eastAsia="zh-CN"/>
        </w:rPr>
        <w:t>真实性承担责任。</w:t>
      </w:r>
    </w:p>
    <w:p w14:paraId="6E821221">
      <w:pPr>
        <w:spacing w:before="120" w:beforeLines="50" w:after="120" w:afterLines="50" w:line="400" w:lineRule="exact"/>
        <w:ind w:right="-92" w:rightChars="-44"/>
        <w:rPr>
          <w:rFonts w:ascii="宋体" w:hAnsi="宋体"/>
          <w:b/>
          <w:sz w:val="24"/>
          <w:highlight w:val="none"/>
        </w:rPr>
      </w:pPr>
      <w:r>
        <w:rPr>
          <w:rFonts w:hint="eastAsia" w:ascii="宋体" w:hAnsi="宋体"/>
          <w:b/>
          <w:sz w:val="24"/>
          <w:highlight w:val="none"/>
        </w:rPr>
        <w:t>2、从业人员、营业收入、资产总额填报上一年度数据，无上一年度数据的新成立企业可不填报。</w:t>
      </w:r>
    </w:p>
    <w:p w14:paraId="136CD13C">
      <w:pPr>
        <w:spacing w:before="120" w:beforeLines="50" w:after="120" w:afterLines="50" w:line="400" w:lineRule="exact"/>
        <w:ind w:right="-92" w:rightChars="-44"/>
        <w:rPr>
          <w:rFonts w:ascii="宋体" w:hAnsi="宋体"/>
          <w:b/>
          <w:sz w:val="24"/>
          <w:highlight w:val="none"/>
        </w:rPr>
      </w:pPr>
      <w:r>
        <w:rPr>
          <w:rFonts w:hint="eastAsia" w:ascii="宋体" w:hAnsi="宋体"/>
          <w:b/>
          <w:sz w:val="24"/>
          <w:highlight w:val="none"/>
        </w:rPr>
        <w:t>3、中标人的本声明函随中标结果同时公布，接受其他供应商和社会监督。</w:t>
      </w:r>
    </w:p>
    <w:p w14:paraId="56273D03">
      <w:pPr>
        <w:spacing w:before="120" w:beforeLines="50" w:after="120" w:afterLines="50" w:line="400" w:lineRule="exact"/>
        <w:ind w:right="-92" w:rightChars="-44"/>
        <w:rPr>
          <w:rFonts w:ascii="宋体" w:hAnsi="宋体"/>
          <w:b/>
          <w:sz w:val="24"/>
          <w:highlight w:val="none"/>
        </w:rPr>
        <w:sectPr>
          <w:footerReference r:id="rId11" w:type="default"/>
          <w:pgSz w:w="11910" w:h="16840"/>
          <w:pgMar w:top="1500" w:right="1380" w:bottom="1780" w:left="1580" w:header="0" w:footer="1595" w:gutter="0"/>
          <w:pgNumType w:fmt="decimal"/>
          <w:cols w:space="720" w:num="1"/>
        </w:sectPr>
      </w:pPr>
    </w:p>
    <w:p w14:paraId="75D51CBD">
      <w:pPr>
        <w:rPr>
          <w:rFonts w:ascii="宋体" w:hAnsi="宋体"/>
          <w:b/>
          <w:kern w:val="44"/>
          <w:sz w:val="32"/>
          <w:szCs w:val="32"/>
          <w:highlight w:val="none"/>
        </w:rPr>
      </w:pPr>
      <w:r>
        <w:rPr>
          <w:rFonts w:hint="eastAsia" w:ascii="宋体" w:hAnsi="宋体"/>
          <w:b/>
          <w:kern w:val="44"/>
          <w:sz w:val="32"/>
          <w:szCs w:val="32"/>
          <w:highlight w:val="none"/>
        </w:rPr>
        <w:t>附件2</w:t>
      </w:r>
      <w:r>
        <w:rPr>
          <w:rFonts w:hint="eastAsia" w:ascii="宋体" w:hAnsi="宋体"/>
          <w:b/>
          <w:sz w:val="28"/>
          <w:szCs w:val="28"/>
          <w:highlight w:val="none"/>
        </w:rPr>
        <w:t>（符合政策要求，并申请按残疾人福利性单位投标者提供）</w:t>
      </w:r>
      <w:r>
        <w:rPr>
          <w:rFonts w:hint="eastAsia" w:ascii="宋体" w:hAnsi="宋体"/>
          <w:b/>
          <w:kern w:val="44"/>
          <w:sz w:val="28"/>
          <w:szCs w:val="28"/>
          <w:highlight w:val="none"/>
        </w:rPr>
        <w:t>：</w:t>
      </w:r>
    </w:p>
    <w:p w14:paraId="28C63A6F">
      <w:pPr>
        <w:spacing w:line="588" w:lineRule="exact"/>
        <w:rPr>
          <w:rFonts w:ascii="宋体" w:hAnsi="宋体"/>
          <w:spacing w:val="6"/>
          <w:sz w:val="30"/>
          <w:szCs w:val="30"/>
          <w:highlight w:val="none"/>
        </w:rPr>
      </w:pPr>
    </w:p>
    <w:p w14:paraId="1164F179">
      <w:pPr>
        <w:spacing w:line="588" w:lineRule="exact"/>
        <w:jc w:val="center"/>
        <w:rPr>
          <w:rFonts w:ascii="宋体" w:hAnsi="宋体"/>
          <w:b/>
          <w:spacing w:val="6"/>
          <w:sz w:val="32"/>
          <w:szCs w:val="32"/>
          <w:highlight w:val="none"/>
        </w:rPr>
      </w:pPr>
      <w:bookmarkStart w:id="821" w:name="OLE_LINK14"/>
      <w:bookmarkStart w:id="822" w:name="OLE_LINK13"/>
      <w:r>
        <w:rPr>
          <w:rFonts w:hint="eastAsia" w:ascii="宋体" w:hAnsi="宋体"/>
          <w:b/>
          <w:spacing w:val="6"/>
          <w:sz w:val="32"/>
          <w:szCs w:val="32"/>
          <w:highlight w:val="none"/>
        </w:rPr>
        <w:t>残疾人福利性单位声明函</w:t>
      </w:r>
      <w:bookmarkEnd w:id="821"/>
      <w:bookmarkEnd w:id="822"/>
    </w:p>
    <w:p w14:paraId="7FC328D6">
      <w:pPr>
        <w:spacing w:line="588" w:lineRule="exact"/>
        <w:ind w:firstLine="624" w:firstLineChars="200"/>
        <w:rPr>
          <w:rFonts w:ascii="宋体" w:hAnsi="宋体"/>
          <w:spacing w:val="6"/>
          <w:sz w:val="30"/>
          <w:szCs w:val="30"/>
          <w:highlight w:val="none"/>
        </w:rPr>
      </w:pPr>
      <w:r>
        <w:rPr>
          <w:rFonts w:hint="eastAsia" w:ascii="宋体" w:hAnsi="宋体"/>
          <w:spacing w:val="6"/>
          <w:sz w:val="30"/>
          <w:szCs w:val="30"/>
          <w:highlight w:val="none"/>
        </w:rPr>
        <w:t>本单位郑重声明，根据《财政部</w:t>
      </w:r>
      <w:r>
        <w:rPr>
          <w:rFonts w:ascii="宋体" w:hAnsi="宋体"/>
          <w:spacing w:val="6"/>
          <w:sz w:val="30"/>
          <w:szCs w:val="30"/>
          <w:highlight w:val="none"/>
        </w:rPr>
        <w:t xml:space="preserve"> </w:t>
      </w:r>
      <w:r>
        <w:rPr>
          <w:rFonts w:hint="eastAsia" w:ascii="宋体" w:hAnsi="宋体"/>
          <w:spacing w:val="6"/>
          <w:sz w:val="30"/>
          <w:szCs w:val="30"/>
          <w:highlight w:val="none"/>
        </w:rPr>
        <w:t>民政部</w:t>
      </w:r>
      <w:r>
        <w:rPr>
          <w:rFonts w:ascii="宋体" w:hAnsi="宋体"/>
          <w:spacing w:val="6"/>
          <w:sz w:val="30"/>
          <w:szCs w:val="30"/>
          <w:highlight w:val="none"/>
        </w:rPr>
        <w:t xml:space="preserve"> </w:t>
      </w:r>
      <w:r>
        <w:rPr>
          <w:rFonts w:hint="eastAsia" w:ascii="宋体" w:hAnsi="宋体"/>
          <w:spacing w:val="6"/>
          <w:sz w:val="30"/>
          <w:szCs w:val="30"/>
          <w:highlight w:val="none"/>
        </w:rPr>
        <w:t>中国残疾人联合会关于促进残疾人就业政府采购政策的通知》（财库</w:t>
      </w:r>
      <w:r>
        <w:rPr>
          <w:rFonts w:hint="eastAsia" w:ascii="宋体" w:hAnsi="宋体"/>
          <w:sz w:val="32"/>
          <w:szCs w:val="32"/>
          <w:highlight w:val="none"/>
        </w:rPr>
        <w:t>〔</w:t>
      </w:r>
      <w:r>
        <w:rPr>
          <w:rFonts w:ascii="宋体" w:hAnsi="宋体"/>
          <w:sz w:val="32"/>
          <w:szCs w:val="32"/>
          <w:highlight w:val="none"/>
        </w:rPr>
        <w:t>2017</w:t>
      </w:r>
      <w:r>
        <w:rPr>
          <w:rFonts w:hint="eastAsia" w:ascii="宋体" w:hAnsi="宋体"/>
          <w:sz w:val="32"/>
          <w:szCs w:val="32"/>
          <w:highlight w:val="none"/>
        </w:rPr>
        <w:t>〕</w:t>
      </w:r>
      <w:r>
        <w:rPr>
          <w:rFonts w:ascii="宋体" w:hAnsi="宋体"/>
          <w:sz w:val="32"/>
          <w:szCs w:val="32"/>
          <w:highlight w:val="none"/>
        </w:rPr>
        <w:t xml:space="preserve"> 141</w:t>
      </w:r>
      <w:r>
        <w:rPr>
          <w:rFonts w:hint="eastAsia" w:ascii="宋体" w:hAnsi="宋体"/>
          <w:spacing w:val="6"/>
          <w:sz w:val="30"/>
          <w:szCs w:val="30"/>
          <w:highlight w:val="none"/>
        </w:rPr>
        <w:t>号）的规定，本单位为符合条件的残疾人福利性单位，且本单位参加</w:t>
      </w:r>
      <w:r>
        <w:rPr>
          <w:rFonts w:hint="eastAsia" w:ascii="宋体" w:hAnsi="宋体"/>
          <w:spacing w:val="6"/>
          <w:sz w:val="30"/>
          <w:szCs w:val="30"/>
          <w:highlight w:val="none"/>
          <w:u w:val="single"/>
        </w:rPr>
        <w:t xml:space="preserve">        </w:t>
      </w:r>
      <w:r>
        <w:rPr>
          <w:rFonts w:hint="eastAsia" w:ascii="宋体" w:hAnsi="宋体"/>
          <w:spacing w:val="6"/>
          <w:sz w:val="30"/>
          <w:szCs w:val="30"/>
          <w:highlight w:val="none"/>
        </w:rPr>
        <w:t>单位的</w:t>
      </w:r>
      <w:r>
        <w:rPr>
          <w:rFonts w:hint="eastAsia" w:ascii="宋体" w:hAnsi="宋体"/>
          <w:spacing w:val="6"/>
          <w:sz w:val="30"/>
          <w:szCs w:val="30"/>
          <w:highlight w:val="none"/>
          <w:u w:val="single"/>
        </w:rPr>
        <w:t xml:space="preserve">        </w:t>
      </w:r>
      <w:r>
        <w:rPr>
          <w:rFonts w:hint="eastAsia" w:ascii="宋体" w:hAnsi="宋体"/>
          <w:spacing w:val="6"/>
          <w:sz w:val="30"/>
          <w:szCs w:val="30"/>
          <w:highlight w:val="none"/>
        </w:rPr>
        <w:t>项目采购活动提供本单位制造的货物（由本单位承担工程</w:t>
      </w:r>
      <w:r>
        <w:rPr>
          <w:rFonts w:ascii="宋体" w:hAnsi="宋体"/>
          <w:spacing w:val="6"/>
          <w:sz w:val="30"/>
          <w:szCs w:val="30"/>
          <w:highlight w:val="none"/>
        </w:rPr>
        <w:t>/</w:t>
      </w:r>
      <w:r>
        <w:rPr>
          <w:rFonts w:hint="eastAsia" w:ascii="宋体" w:hAnsi="宋体"/>
          <w:spacing w:val="6"/>
          <w:sz w:val="30"/>
          <w:szCs w:val="30"/>
          <w:highlight w:val="none"/>
        </w:rPr>
        <w:t>提供服务），或者提供其他残疾人福利性单位制造的货物（不包括使用非残疾人福利性单位注册商标的货物）。</w:t>
      </w:r>
    </w:p>
    <w:p w14:paraId="3188E0EB">
      <w:pPr>
        <w:spacing w:line="588" w:lineRule="exact"/>
        <w:ind w:firstLine="624" w:firstLineChars="200"/>
        <w:rPr>
          <w:rFonts w:ascii="宋体" w:hAnsi="宋体"/>
          <w:spacing w:val="6"/>
          <w:sz w:val="30"/>
          <w:szCs w:val="30"/>
          <w:highlight w:val="none"/>
        </w:rPr>
      </w:pPr>
      <w:r>
        <w:rPr>
          <w:rFonts w:hint="eastAsia" w:ascii="宋体" w:hAnsi="宋体"/>
          <w:spacing w:val="6"/>
          <w:sz w:val="30"/>
          <w:szCs w:val="30"/>
          <w:highlight w:val="none"/>
        </w:rPr>
        <w:t>本单位对上述声明的真实性负责。如有虚假，将依法承担相应责任。</w:t>
      </w:r>
    </w:p>
    <w:p w14:paraId="7B1EFA7E">
      <w:pPr>
        <w:tabs>
          <w:tab w:val="left" w:pos="4860"/>
        </w:tabs>
        <w:spacing w:line="588" w:lineRule="exact"/>
        <w:ind w:right="1560" w:firstLine="3432" w:firstLineChars="1100"/>
        <w:rPr>
          <w:rFonts w:ascii="宋体" w:hAnsi="宋体"/>
          <w:spacing w:val="6"/>
          <w:sz w:val="30"/>
          <w:szCs w:val="30"/>
          <w:highlight w:val="none"/>
        </w:rPr>
      </w:pPr>
    </w:p>
    <w:p w14:paraId="69357C04">
      <w:pPr>
        <w:tabs>
          <w:tab w:val="left" w:pos="4860"/>
        </w:tabs>
        <w:spacing w:line="588" w:lineRule="exact"/>
        <w:ind w:right="1560" w:firstLine="3432" w:firstLineChars="1100"/>
        <w:rPr>
          <w:rFonts w:ascii="宋体" w:hAnsi="宋体"/>
          <w:spacing w:val="6"/>
          <w:sz w:val="30"/>
          <w:szCs w:val="30"/>
          <w:highlight w:val="none"/>
        </w:rPr>
      </w:pPr>
    </w:p>
    <w:p w14:paraId="1006A5EA">
      <w:pPr>
        <w:tabs>
          <w:tab w:val="left" w:pos="4860"/>
        </w:tabs>
        <w:spacing w:line="588" w:lineRule="exact"/>
        <w:ind w:right="1560" w:firstLine="3432" w:firstLineChars="1100"/>
        <w:rPr>
          <w:rFonts w:ascii="宋体" w:hAnsi="宋体"/>
          <w:spacing w:val="6"/>
          <w:sz w:val="30"/>
          <w:szCs w:val="30"/>
          <w:highlight w:val="none"/>
        </w:rPr>
      </w:pPr>
      <w:r>
        <w:rPr>
          <w:rFonts w:hint="eastAsia" w:ascii="宋体" w:hAnsi="宋体"/>
          <w:spacing w:val="6"/>
          <w:sz w:val="30"/>
          <w:szCs w:val="30"/>
          <w:highlight w:val="none"/>
        </w:rPr>
        <w:t>单位名称（盖章）：</w:t>
      </w:r>
    </w:p>
    <w:p w14:paraId="40CB46C7">
      <w:pPr>
        <w:tabs>
          <w:tab w:val="left" w:pos="4860"/>
        </w:tabs>
        <w:spacing w:line="588" w:lineRule="exact"/>
        <w:ind w:right="1560" w:firstLine="4680" w:firstLineChars="1500"/>
        <w:rPr>
          <w:rFonts w:ascii="宋体" w:hAnsi="宋体"/>
          <w:spacing w:val="6"/>
          <w:sz w:val="30"/>
          <w:szCs w:val="30"/>
          <w:highlight w:val="none"/>
        </w:rPr>
      </w:pPr>
      <w:r>
        <w:rPr>
          <w:rFonts w:hint="eastAsia" w:ascii="宋体" w:hAnsi="宋体"/>
          <w:spacing w:val="6"/>
          <w:sz w:val="30"/>
          <w:szCs w:val="30"/>
          <w:highlight w:val="none"/>
        </w:rPr>
        <w:t>日</w:t>
      </w:r>
      <w:r>
        <w:rPr>
          <w:rFonts w:ascii="宋体" w:hAnsi="宋体"/>
          <w:spacing w:val="6"/>
          <w:sz w:val="30"/>
          <w:szCs w:val="30"/>
          <w:highlight w:val="none"/>
        </w:rPr>
        <w:t xml:space="preserve">  </w:t>
      </w:r>
      <w:r>
        <w:rPr>
          <w:rFonts w:hint="eastAsia" w:ascii="宋体" w:hAnsi="宋体"/>
          <w:spacing w:val="6"/>
          <w:sz w:val="30"/>
          <w:szCs w:val="30"/>
          <w:highlight w:val="none"/>
        </w:rPr>
        <w:t>期：</w:t>
      </w:r>
    </w:p>
    <w:p w14:paraId="4D36824C">
      <w:pPr>
        <w:spacing w:line="440" w:lineRule="exact"/>
        <w:ind w:firstLine="506" w:firstLineChars="200"/>
        <w:rPr>
          <w:rFonts w:ascii="宋体" w:hAnsi="宋体"/>
          <w:b/>
          <w:bCs/>
          <w:spacing w:val="6"/>
          <w:sz w:val="24"/>
          <w:highlight w:val="none"/>
        </w:rPr>
      </w:pPr>
    </w:p>
    <w:p w14:paraId="05F6E06A">
      <w:pPr>
        <w:spacing w:line="440" w:lineRule="exact"/>
        <w:ind w:firstLine="506" w:firstLineChars="200"/>
        <w:rPr>
          <w:rFonts w:ascii="宋体" w:hAnsi="宋体"/>
          <w:b/>
          <w:bCs/>
          <w:spacing w:val="6"/>
          <w:sz w:val="24"/>
          <w:highlight w:val="none"/>
        </w:rPr>
      </w:pPr>
      <w:r>
        <w:rPr>
          <w:rFonts w:hint="eastAsia" w:ascii="宋体" w:hAnsi="宋体"/>
          <w:b/>
          <w:bCs/>
          <w:spacing w:val="6"/>
          <w:sz w:val="24"/>
          <w:highlight w:val="none"/>
        </w:rPr>
        <w:t>注：1、享受政府采购支持政策的残疾人福利性单位应当同时满足以下条件：①残疾证（不少于10人，不低于单位职工人数的25%），②劳务合同（期限一年以上），③社会保险金缴纳票据或清单，④银行代发工资证明。（供应商属残疾人福利性单位，提供其他残疾人福利性单位制造的货物时，需同时提供该制造企业出具的《残疾人福利性单位声明函》）。</w:t>
      </w:r>
    </w:p>
    <w:p w14:paraId="062EFDD4">
      <w:pPr>
        <w:spacing w:line="440" w:lineRule="exact"/>
        <w:ind w:firstLine="506" w:firstLineChars="200"/>
        <w:rPr>
          <w:rFonts w:ascii="宋体" w:hAnsi="宋体"/>
          <w:b/>
          <w:bCs/>
          <w:spacing w:val="6"/>
          <w:sz w:val="24"/>
          <w:highlight w:val="none"/>
        </w:rPr>
      </w:pPr>
      <w:r>
        <w:rPr>
          <w:rFonts w:hint="eastAsia" w:ascii="宋体" w:hAnsi="宋体"/>
          <w:b/>
          <w:bCs/>
          <w:spacing w:val="6"/>
          <w:sz w:val="24"/>
          <w:highlight w:val="none"/>
        </w:rPr>
        <w:t>2、中标人本声明函随中标结果同时公布，接受其他供应商和社会监督。</w:t>
      </w:r>
    </w:p>
    <w:p w14:paraId="0B94EBB5">
      <w:pPr>
        <w:rPr>
          <w:rFonts w:ascii="宋体" w:hAnsi="宋体"/>
          <w:b/>
          <w:kern w:val="44"/>
          <w:sz w:val="32"/>
          <w:szCs w:val="32"/>
          <w:highlight w:val="none"/>
        </w:rPr>
      </w:pPr>
      <w:r>
        <w:rPr>
          <w:rFonts w:ascii="宋体" w:hAnsi="宋体"/>
          <w:highlight w:val="none"/>
        </w:rPr>
        <w:br w:type="page"/>
      </w:r>
      <w:r>
        <w:rPr>
          <w:rFonts w:hint="eastAsia" w:ascii="宋体" w:hAnsi="宋体"/>
          <w:b/>
          <w:kern w:val="44"/>
          <w:sz w:val="32"/>
          <w:szCs w:val="32"/>
          <w:highlight w:val="none"/>
        </w:rPr>
        <w:t>附件3</w:t>
      </w:r>
      <w:r>
        <w:rPr>
          <w:rFonts w:hint="eastAsia" w:ascii="宋体" w:hAnsi="宋体"/>
          <w:b/>
          <w:sz w:val="28"/>
          <w:szCs w:val="28"/>
          <w:highlight w:val="none"/>
        </w:rPr>
        <w:t>（符合政策要求，并申请按监狱企业投标者提供）</w:t>
      </w:r>
      <w:r>
        <w:rPr>
          <w:rFonts w:hint="eastAsia" w:ascii="宋体" w:hAnsi="宋体"/>
          <w:b/>
          <w:kern w:val="44"/>
          <w:sz w:val="28"/>
          <w:szCs w:val="28"/>
          <w:highlight w:val="none"/>
        </w:rPr>
        <w:t>：</w:t>
      </w:r>
    </w:p>
    <w:p w14:paraId="337D5565">
      <w:pPr>
        <w:spacing w:line="588" w:lineRule="exact"/>
        <w:rPr>
          <w:rFonts w:ascii="宋体" w:hAnsi="宋体"/>
          <w:spacing w:val="6"/>
          <w:sz w:val="30"/>
          <w:szCs w:val="30"/>
          <w:highlight w:val="none"/>
        </w:rPr>
      </w:pPr>
    </w:p>
    <w:p w14:paraId="1934A822">
      <w:pPr>
        <w:spacing w:line="588" w:lineRule="exact"/>
        <w:jc w:val="center"/>
        <w:rPr>
          <w:rFonts w:ascii="宋体" w:hAnsi="宋体"/>
          <w:b/>
          <w:spacing w:val="6"/>
          <w:sz w:val="32"/>
          <w:szCs w:val="32"/>
          <w:highlight w:val="none"/>
        </w:rPr>
      </w:pPr>
      <w:r>
        <w:rPr>
          <w:rFonts w:hint="eastAsia" w:ascii="宋体" w:hAnsi="宋体"/>
          <w:b/>
          <w:spacing w:val="6"/>
          <w:sz w:val="32"/>
          <w:szCs w:val="32"/>
          <w:highlight w:val="none"/>
        </w:rPr>
        <w:t>监狱企业证明</w:t>
      </w:r>
    </w:p>
    <w:p w14:paraId="19E0DD17">
      <w:pPr>
        <w:spacing w:line="340" w:lineRule="exact"/>
        <w:ind w:firstLine="560" w:firstLineChars="200"/>
        <w:rPr>
          <w:rFonts w:ascii="宋体" w:hAnsi="宋体"/>
          <w:color w:val="FF0000"/>
          <w:sz w:val="28"/>
          <w:szCs w:val="28"/>
          <w:highlight w:val="none"/>
        </w:rPr>
      </w:pPr>
    </w:p>
    <w:p w14:paraId="0EB63C61">
      <w:pPr>
        <w:spacing w:line="340" w:lineRule="exact"/>
        <w:ind w:firstLine="560" w:firstLineChars="200"/>
        <w:rPr>
          <w:rFonts w:ascii="宋体" w:hAnsi="宋体"/>
          <w:color w:val="FF0000"/>
          <w:sz w:val="28"/>
          <w:szCs w:val="28"/>
          <w:highlight w:val="none"/>
        </w:rPr>
      </w:pPr>
    </w:p>
    <w:p w14:paraId="27D90BBA">
      <w:pPr>
        <w:spacing w:line="340" w:lineRule="exact"/>
        <w:ind w:firstLine="560" w:firstLineChars="200"/>
        <w:rPr>
          <w:rFonts w:ascii="宋体" w:hAnsi="宋体"/>
          <w:color w:val="FF0000"/>
          <w:sz w:val="28"/>
          <w:szCs w:val="28"/>
          <w:highlight w:val="none"/>
        </w:rPr>
      </w:pPr>
    </w:p>
    <w:p w14:paraId="2C0A69A5">
      <w:pPr>
        <w:spacing w:line="340" w:lineRule="exact"/>
        <w:ind w:firstLine="560" w:firstLineChars="200"/>
        <w:rPr>
          <w:rFonts w:ascii="宋体" w:hAnsi="宋体"/>
          <w:color w:val="FF0000"/>
          <w:sz w:val="28"/>
          <w:szCs w:val="28"/>
          <w:highlight w:val="none"/>
        </w:rPr>
      </w:pPr>
    </w:p>
    <w:p w14:paraId="62672F4D">
      <w:pPr>
        <w:spacing w:line="340" w:lineRule="exact"/>
        <w:ind w:firstLine="580" w:firstLineChars="200"/>
        <w:rPr>
          <w:rFonts w:ascii="宋体" w:hAnsi="宋体"/>
          <w:color w:val="FF0000"/>
          <w:sz w:val="28"/>
          <w:szCs w:val="28"/>
          <w:highlight w:val="none"/>
        </w:rPr>
      </w:pPr>
      <w:r>
        <w:rPr>
          <w:rFonts w:hint="eastAsia" w:ascii="宋体" w:hAnsi="宋体"/>
          <w:color w:val="000000"/>
          <w:sz w:val="29"/>
          <w:szCs w:val="29"/>
          <w:highlight w:val="none"/>
        </w:rPr>
        <w:t>提供由省级以上监狱管理局、戒毒管理局（含新疆生产建设兵团）出具的属于监狱企业的证明文件。</w:t>
      </w:r>
    </w:p>
    <w:p w14:paraId="77C95D76">
      <w:pPr>
        <w:spacing w:line="480" w:lineRule="exact"/>
        <w:jc w:val="center"/>
        <w:rPr>
          <w:rFonts w:ascii="宋体" w:hAnsi="宋体" w:cs="仿宋_GB2312"/>
          <w:b/>
          <w:sz w:val="44"/>
          <w:szCs w:val="44"/>
          <w:highlight w:val="none"/>
        </w:rPr>
      </w:pPr>
    </w:p>
    <w:p w14:paraId="73E498F7">
      <w:pPr>
        <w:spacing w:line="480" w:lineRule="exact"/>
        <w:jc w:val="center"/>
        <w:rPr>
          <w:rFonts w:ascii="宋体" w:hAnsi="宋体" w:cs="仿宋_GB2312"/>
          <w:b/>
          <w:sz w:val="44"/>
          <w:szCs w:val="44"/>
          <w:highlight w:val="none"/>
        </w:rPr>
      </w:pPr>
    </w:p>
    <w:p w14:paraId="0DEC148E">
      <w:pPr>
        <w:spacing w:line="480" w:lineRule="exact"/>
        <w:jc w:val="center"/>
        <w:rPr>
          <w:rFonts w:ascii="宋体" w:hAnsi="宋体" w:cs="仿宋_GB2312"/>
          <w:b/>
          <w:sz w:val="44"/>
          <w:szCs w:val="44"/>
          <w:highlight w:val="none"/>
        </w:rPr>
      </w:pPr>
    </w:p>
    <w:p w14:paraId="529EDDAF">
      <w:pPr>
        <w:spacing w:line="480" w:lineRule="exact"/>
        <w:jc w:val="center"/>
        <w:rPr>
          <w:rFonts w:ascii="宋体" w:hAnsi="宋体" w:cs="仿宋_GB2312"/>
          <w:b/>
          <w:sz w:val="44"/>
          <w:szCs w:val="44"/>
          <w:highlight w:val="none"/>
        </w:rPr>
      </w:pPr>
    </w:p>
    <w:p w14:paraId="3FD7A935">
      <w:pPr>
        <w:spacing w:line="480" w:lineRule="exact"/>
        <w:jc w:val="center"/>
        <w:rPr>
          <w:rFonts w:ascii="宋体" w:hAnsi="宋体" w:cs="仿宋_GB2312"/>
          <w:b/>
          <w:sz w:val="44"/>
          <w:szCs w:val="44"/>
          <w:highlight w:val="none"/>
        </w:rPr>
      </w:pPr>
    </w:p>
    <w:p w14:paraId="5726937D">
      <w:pPr>
        <w:spacing w:line="480" w:lineRule="exact"/>
        <w:jc w:val="center"/>
        <w:rPr>
          <w:rFonts w:ascii="宋体" w:hAnsi="宋体" w:cs="仿宋_GB2312"/>
          <w:b/>
          <w:sz w:val="44"/>
          <w:szCs w:val="44"/>
          <w:highlight w:val="none"/>
        </w:rPr>
      </w:pPr>
    </w:p>
    <w:p w14:paraId="7E6B9A71">
      <w:pPr>
        <w:spacing w:line="480" w:lineRule="exact"/>
        <w:jc w:val="center"/>
        <w:rPr>
          <w:rFonts w:ascii="宋体" w:hAnsi="宋体" w:cs="仿宋_GB2312"/>
          <w:b/>
          <w:sz w:val="44"/>
          <w:szCs w:val="44"/>
          <w:highlight w:val="none"/>
        </w:rPr>
      </w:pPr>
    </w:p>
    <w:p w14:paraId="236BA56C">
      <w:pPr>
        <w:spacing w:line="480" w:lineRule="exact"/>
        <w:jc w:val="center"/>
        <w:rPr>
          <w:rFonts w:ascii="宋体" w:hAnsi="宋体" w:cs="仿宋_GB2312"/>
          <w:b/>
          <w:sz w:val="44"/>
          <w:szCs w:val="44"/>
          <w:highlight w:val="none"/>
        </w:rPr>
      </w:pPr>
    </w:p>
    <w:p w14:paraId="7D34467C">
      <w:pPr>
        <w:spacing w:line="480" w:lineRule="exact"/>
        <w:jc w:val="center"/>
        <w:rPr>
          <w:rFonts w:ascii="宋体" w:hAnsi="宋体" w:cs="仿宋_GB2312"/>
          <w:b/>
          <w:sz w:val="44"/>
          <w:szCs w:val="44"/>
          <w:highlight w:val="none"/>
        </w:rPr>
      </w:pPr>
    </w:p>
    <w:p w14:paraId="1EA8AD07">
      <w:pPr>
        <w:autoSpaceDE w:val="0"/>
        <w:autoSpaceDN w:val="0"/>
        <w:adjustRightInd w:val="0"/>
        <w:ind w:firstLine="482" w:firstLineChars="200"/>
        <w:jc w:val="left"/>
        <w:rPr>
          <w:rFonts w:ascii="宋体" w:hAnsi="宋体" w:cs="仿宋_GB2312"/>
          <w:sz w:val="32"/>
          <w:szCs w:val="32"/>
          <w:highlight w:val="none"/>
        </w:rPr>
      </w:pPr>
      <w:r>
        <w:rPr>
          <w:rFonts w:hint="eastAsia" w:ascii="宋体" w:hAnsi="宋体"/>
          <w:b/>
          <w:sz w:val="24"/>
          <w:highlight w:val="none"/>
        </w:rPr>
        <w:t>注：中标人的本证明文件随中标结果同时公布，接受其他供应商和社会监督。</w:t>
      </w:r>
    </w:p>
    <w:p w14:paraId="48B1793E">
      <w:pPr>
        <w:widowControl/>
        <w:spacing w:line="400" w:lineRule="exact"/>
        <w:jc w:val="left"/>
        <w:rPr>
          <w:rFonts w:ascii="宋体" w:hAnsi="宋体" w:cs="宋体"/>
          <w:bCs/>
          <w:color w:val="555555"/>
          <w:kern w:val="0"/>
          <w:sz w:val="32"/>
          <w:szCs w:val="32"/>
          <w:highlight w:val="none"/>
        </w:rPr>
      </w:pPr>
    </w:p>
    <w:p w14:paraId="0538F6AF">
      <w:pPr>
        <w:rPr>
          <w:rFonts w:hint="eastAsia" w:ascii="仿宋_GB2312" w:eastAsia="仿宋_GB2312"/>
          <w:sz w:val="32"/>
          <w:szCs w:val="32"/>
          <w:highlight w:val="none"/>
        </w:rPr>
      </w:pPr>
    </w:p>
    <w:sectPr>
      <w:footerReference r:id="rId12" w:type="default"/>
      <w:pgSz w:w="11906" w:h="16838"/>
      <w:pgMar w:top="1440" w:right="1800" w:bottom="1869"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chs_boot">
    <w:altName w:val="宋体"/>
    <w:panose1 w:val="00000000000000000000"/>
    <w:charset w:val="00"/>
    <w:family w:val="swiss"/>
    <w:pitch w:val="default"/>
    <w:sig w:usb0="00000000" w:usb1="00000000" w:usb2="00000016" w:usb3="00000000" w:csb0="001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4A133">
    <w:pPr>
      <w:pStyle w:val="18"/>
      <w:jc w:val="center"/>
    </w:pPr>
    <w:r>
      <w:rPr>
        <w:rFonts w:hint="eastAsi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E438C">
    <w:pPr>
      <w:pStyle w:val="1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7B886">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EB2D2">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6C83E">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96C83E">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0169">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D7009">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7D7009">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36DFF">
    <w:pPr>
      <w:pStyle w:val="10"/>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F7B4F">
                          <w:pPr>
                            <w:pStyle w:val="18"/>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2F7B4F">
                    <w:pPr>
                      <w:pStyle w:val="18"/>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2EB14">
    <w:pPr>
      <w:pStyle w:val="10"/>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1A2B7">
                          <w:pPr>
                            <w:pStyle w:val="1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D31A2B7">
                    <w:pPr>
                      <w:pStyle w:val="1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0FCE">
    <w:pPr>
      <w:pStyle w:val="20"/>
    </w:pPr>
    <w:r>
      <w:rPr>
        <w:rFonts w:hint="eastAsia" w:ascii="仿宋_GB2312" w:eastAsia="仿宋_GB2312"/>
      </w:rPr>
      <w:t>开封市政府采购中心政府采购招标文件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7D21A">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B8710">
    <w:pPr>
      <w:pStyle w:val="20"/>
      <w:rPr>
        <w:rFonts w:ascii="仿宋_GB2312" w:eastAsia="仿宋_GB2312"/>
      </w:rPr>
    </w:pPr>
    <w:r>
      <w:rPr>
        <w:rFonts w:hint="eastAsia" w:ascii="仿宋_GB2312" w:eastAsia="仿宋_GB2312"/>
      </w:rPr>
      <w:t>开封市政府采购中心政府采购招标文件</w:t>
    </w:r>
  </w:p>
  <w:p w14:paraId="70D7F270">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F7DA9"/>
    <w:multiLevelType w:val="singleLevel"/>
    <w:tmpl w:val="80CF7DA9"/>
    <w:lvl w:ilvl="0" w:tentative="0">
      <w:start w:val="1"/>
      <w:numFmt w:val="decimal"/>
      <w:suff w:val="nothing"/>
      <w:lvlText w:val="%1．"/>
      <w:lvlJc w:val="left"/>
      <w:pPr>
        <w:ind w:left="0" w:firstLine="400"/>
      </w:pPr>
      <w:rPr>
        <w:rFonts w:hint="default"/>
      </w:rPr>
    </w:lvl>
  </w:abstractNum>
  <w:abstractNum w:abstractNumId="1">
    <w:nsid w:val="85437088"/>
    <w:multiLevelType w:val="singleLevel"/>
    <w:tmpl w:val="85437088"/>
    <w:lvl w:ilvl="0" w:tentative="0">
      <w:start w:val="1"/>
      <w:numFmt w:val="chineseCounting"/>
      <w:suff w:val="nothing"/>
      <w:lvlText w:val="第%1章　"/>
      <w:lvlJc w:val="left"/>
      <w:rPr>
        <w:rFonts w:hint="eastAsia"/>
      </w:rPr>
    </w:lvl>
  </w:abstractNum>
  <w:abstractNum w:abstractNumId="2">
    <w:nsid w:val="AF2B0C56"/>
    <w:multiLevelType w:val="singleLevel"/>
    <w:tmpl w:val="AF2B0C56"/>
    <w:lvl w:ilvl="0" w:tentative="0">
      <w:start w:val="1"/>
      <w:numFmt w:val="decimal"/>
      <w:suff w:val="nothing"/>
      <w:lvlText w:val="%1、"/>
      <w:lvlJc w:val="left"/>
    </w:lvl>
  </w:abstractNum>
  <w:abstractNum w:abstractNumId="3">
    <w:nsid w:val="B864656A"/>
    <w:multiLevelType w:val="singleLevel"/>
    <w:tmpl w:val="B864656A"/>
    <w:lvl w:ilvl="0" w:tentative="0">
      <w:start w:val="5"/>
      <w:numFmt w:val="decimal"/>
      <w:suff w:val="nothing"/>
      <w:lvlText w:val="%1、"/>
      <w:lvlJc w:val="left"/>
    </w:lvl>
  </w:abstractNum>
  <w:abstractNum w:abstractNumId="4">
    <w:nsid w:val="C5D989B7"/>
    <w:multiLevelType w:val="singleLevel"/>
    <w:tmpl w:val="C5D989B7"/>
    <w:lvl w:ilvl="0" w:tentative="0">
      <w:start w:val="1"/>
      <w:numFmt w:val="decimal"/>
      <w:lvlText w:val="%1)"/>
      <w:lvlJc w:val="left"/>
      <w:pPr>
        <w:tabs>
          <w:tab w:val="left" w:pos="420"/>
        </w:tabs>
        <w:ind w:left="845" w:hanging="425"/>
      </w:pPr>
      <w:rPr>
        <w:rFonts w:hint="default"/>
      </w:rPr>
    </w:lvl>
  </w:abstractNum>
  <w:abstractNum w:abstractNumId="5">
    <w:nsid w:val="DE81DB27"/>
    <w:multiLevelType w:val="singleLevel"/>
    <w:tmpl w:val="DE81DB27"/>
    <w:lvl w:ilvl="0" w:tentative="0">
      <w:start w:val="1"/>
      <w:numFmt w:val="decimal"/>
      <w:lvlText w:val="(%1)"/>
      <w:lvlJc w:val="left"/>
      <w:pPr>
        <w:tabs>
          <w:tab w:val="left" w:pos="420"/>
        </w:tabs>
        <w:ind w:left="845" w:hanging="425"/>
      </w:pPr>
      <w:rPr>
        <w:rFonts w:hint="default"/>
      </w:rPr>
    </w:lvl>
  </w:abstractNum>
  <w:abstractNum w:abstractNumId="6">
    <w:nsid w:val="2AEC5AC3"/>
    <w:multiLevelType w:val="multilevel"/>
    <w:tmpl w:val="2AEC5AC3"/>
    <w:lvl w:ilvl="0" w:tentative="0">
      <w:start w:val="1"/>
      <w:numFmt w:val="decimal"/>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abstractNum w:abstractNumId="7">
    <w:nsid w:val="64CF817D"/>
    <w:multiLevelType w:val="singleLevel"/>
    <w:tmpl w:val="64CF817D"/>
    <w:lvl w:ilvl="0" w:tentative="0">
      <w:start w:val="1"/>
      <w:numFmt w:val="chineseCounting"/>
      <w:suff w:val="nothing"/>
      <w:lvlText w:val="%1、"/>
      <w:lvlJc w:val="left"/>
      <w:pPr>
        <w:ind w:left="0" w:firstLine="420"/>
      </w:pPr>
      <w:rPr>
        <w:rFonts w:hint="eastAsia"/>
      </w:rPr>
    </w:lvl>
  </w:abstractNum>
  <w:num w:numId="1">
    <w:abstractNumId w:val="1"/>
  </w:num>
  <w:num w:numId="2">
    <w:abstractNumId w:val="3"/>
  </w:num>
  <w:num w:numId="3">
    <w:abstractNumId w:val="4"/>
  </w:num>
  <w:num w:numId="4">
    <w:abstractNumId w:val="5"/>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BlODJmM2IxZDBhODExZGZiODFhMmIyMDVmYTc2ZGQifQ=="/>
  </w:docVars>
  <w:rsids>
    <w:rsidRoot w:val="00774BDA"/>
    <w:rsid w:val="00000197"/>
    <w:rsid w:val="000006AD"/>
    <w:rsid w:val="00000853"/>
    <w:rsid w:val="00000E7D"/>
    <w:rsid w:val="00001182"/>
    <w:rsid w:val="000012A6"/>
    <w:rsid w:val="000014A7"/>
    <w:rsid w:val="000023FF"/>
    <w:rsid w:val="000030CC"/>
    <w:rsid w:val="00003118"/>
    <w:rsid w:val="000034B5"/>
    <w:rsid w:val="000039AC"/>
    <w:rsid w:val="00003A38"/>
    <w:rsid w:val="00003CE4"/>
    <w:rsid w:val="00003DAF"/>
    <w:rsid w:val="00004727"/>
    <w:rsid w:val="00004A3F"/>
    <w:rsid w:val="00004D5B"/>
    <w:rsid w:val="000069DD"/>
    <w:rsid w:val="00006B53"/>
    <w:rsid w:val="000070BF"/>
    <w:rsid w:val="0000717E"/>
    <w:rsid w:val="00010986"/>
    <w:rsid w:val="0001104C"/>
    <w:rsid w:val="000120B2"/>
    <w:rsid w:val="00012A11"/>
    <w:rsid w:val="00013636"/>
    <w:rsid w:val="0001456D"/>
    <w:rsid w:val="000147CA"/>
    <w:rsid w:val="000150DC"/>
    <w:rsid w:val="00015444"/>
    <w:rsid w:val="00015B8B"/>
    <w:rsid w:val="000162E3"/>
    <w:rsid w:val="0001642C"/>
    <w:rsid w:val="00016B0A"/>
    <w:rsid w:val="00016E6A"/>
    <w:rsid w:val="00017216"/>
    <w:rsid w:val="000175E9"/>
    <w:rsid w:val="000179BF"/>
    <w:rsid w:val="000201EB"/>
    <w:rsid w:val="00020773"/>
    <w:rsid w:val="000208D2"/>
    <w:rsid w:val="00020AF7"/>
    <w:rsid w:val="00020B15"/>
    <w:rsid w:val="000211DD"/>
    <w:rsid w:val="00021454"/>
    <w:rsid w:val="00021986"/>
    <w:rsid w:val="00021AB5"/>
    <w:rsid w:val="000220C7"/>
    <w:rsid w:val="00022211"/>
    <w:rsid w:val="000223B0"/>
    <w:rsid w:val="000225C1"/>
    <w:rsid w:val="00022F5D"/>
    <w:rsid w:val="0002396C"/>
    <w:rsid w:val="00023BDF"/>
    <w:rsid w:val="00024303"/>
    <w:rsid w:val="00024933"/>
    <w:rsid w:val="00024C81"/>
    <w:rsid w:val="0002563F"/>
    <w:rsid w:val="00025676"/>
    <w:rsid w:val="0002597C"/>
    <w:rsid w:val="0002623D"/>
    <w:rsid w:val="000262C6"/>
    <w:rsid w:val="00026528"/>
    <w:rsid w:val="00026C8F"/>
    <w:rsid w:val="00026C94"/>
    <w:rsid w:val="0003032D"/>
    <w:rsid w:val="000303D9"/>
    <w:rsid w:val="00030595"/>
    <w:rsid w:val="000305EF"/>
    <w:rsid w:val="00030CD5"/>
    <w:rsid w:val="00030E70"/>
    <w:rsid w:val="00031545"/>
    <w:rsid w:val="00031830"/>
    <w:rsid w:val="0003197E"/>
    <w:rsid w:val="000322D2"/>
    <w:rsid w:val="0003279B"/>
    <w:rsid w:val="000330E6"/>
    <w:rsid w:val="0003312F"/>
    <w:rsid w:val="00033287"/>
    <w:rsid w:val="00034029"/>
    <w:rsid w:val="00034058"/>
    <w:rsid w:val="000341C7"/>
    <w:rsid w:val="00035242"/>
    <w:rsid w:val="00035C5C"/>
    <w:rsid w:val="00035C8D"/>
    <w:rsid w:val="000365E4"/>
    <w:rsid w:val="00036FDB"/>
    <w:rsid w:val="000372B2"/>
    <w:rsid w:val="00037718"/>
    <w:rsid w:val="00040C94"/>
    <w:rsid w:val="0004131B"/>
    <w:rsid w:val="000414DD"/>
    <w:rsid w:val="00041986"/>
    <w:rsid w:val="000419FE"/>
    <w:rsid w:val="00041B64"/>
    <w:rsid w:val="0004222C"/>
    <w:rsid w:val="00042510"/>
    <w:rsid w:val="00042DC4"/>
    <w:rsid w:val="00043689"/>
    <w:rsid w:val="000438F5"/>
    <w:rsid w:val="00043AE7"/>
    <w:rsid w:val="000442E1"/>
    <w:rsid w:val="00044B31"/>
    <w:rsid w:val="00044D31"/>
    <w:rsid w:val="00044DEE"/>
    <w:rsid w:val="00045659"/>
    <w:rsid w:val="000457ED"/>
    <w:rsid w:val="000460E1"/>
    <w:rsid w:val="000467EE"/>
    <w:rsid w:val="00046A9C"/>
    <w:rsid w:val="0004736C"/>
    <w:rsid w:val="00047417"/>
    <w:rsid w:val="00047ACE"/>
    <w:rsid w:val="00047D2F"/>
    <w:rsid w:val="0005069E"/>
    <w:rsid w:val="000507E5"/>
    <w:rsid w:val="00050978"/>
    <w:rsid w:val="00050D4A"/>
    <w:rsid w:val="000514D2"/>
    <w:rsid w:val="000519FC"/>
    <w:rsid w:val="00051D6C"/>
    <w:rsid w:val="0005233B"/>
    <w:rsid w:val="00052A18"/>
    <w:rsid w:val="00052B8A"/>
    <w:rsid w:val="00052E71"/>
    <w:rsid w:val="00053215"/>
    <w:rsid w:val="00053247"/>
    <w:rsid w:val="00053411"/>
    <w:rsid w:val="00053EA2"/>
    <w:rsid w:val="00053F6D"/>
    <w:rsid w:val="00053F72"/>
    <w:rsid w:val="00054389"/>
    <w:rsid w:val="00055DE6"/>
    <w:rsid w:val="0005659B"/>
    <w:rsid w:val="00056768"/>
    <w:rsid w:val="000567D5"/>
    <w:rsid w:val="00056B10"/>
    <w:rsid w:val="00056C80"/>
    <w:rsid w:val="00056CDF"/>
    <w:rsid w:val="00057D51"/>
    <w:rsid w:val="000606B0"/>
    <w:rsid w:val="00060AC6"/>
    <w:rsid w:val="00061121"/>
    <w:rsid w:val="00061A28"/>
    <w:rsid w:val="00061F97"/>
    <w:rsid w:val="00061FD5"/>
    <w:rsid w:val="0006275B"/>
    <w:rsid w:val="00062D61"/>
    <w:rsid w:val="00063851"/>
    <w:rsid w:val="000641F7"/>
    <w:rsid w:val="000651E7"/>
    <w:rsid w:val="00065C00"/>
    <w:rsid w:val="00070394"/>
    <w:rsid w:val="000706A0"/>
    <w:rsid w:val="000707AC"/>
    <w:rsid w:val="00070EBF"/>
    <w:rsid w:val="00070ED5"/>
    <w:rsid w:val="00070F6C"/>
    <w:rsid w:val="000710FC"/>
    <w:rsid w:val="00072E05"/>
    <w:rsid w:val="00073620"/>
    <w:rsid w:val="0007429F"/>
    <w:rsid w:val="00074BD4"/>
    <w:rsid w:val="00074E9C"/>
    <w:rsid w:val="0007513C"/>
    <w:rsid w:val="000757B8"/>
    <w:rsid w:val="0007592D"/>
    <w:rsid w:val="00075BA5"/>
    <w:rsid w:val="00075DD0"/>
    <w:rsid w:val="000767CF"/>
    <w:rsid w:val="00076A78"/>
    <w:rsid w:val="00076D2C"/>
    <w:rsid w:val="00076F12"/>
    <w:rsid w:val="00077B34"/>
    <w:rsid w:val="00077F0E"/>
    <w:rsid w:val="00080051"/>
    <w:rsid w:val="00080C8C"/>
    <w:rsid w:val="0008231C"/>
    <w:rsid w:val="000824AF"/>
    <w:rsid w:val="000826D6"/>
    <w:rsid w:val="000826F7"/>
    <w:rsid w:val="00082942"/>
    <w:rsid w:val="00082E16"/>
    <w:rsid w:val="00082F09"/>
    <w:rsid w:val="000831E2"/>
    <w:rsid w:val="000837E4"/>
    <w:rsid w:val="00083A7B"/>
    <w:rsid w:val="000848CA"/>
    <w:rsid w:val="00084B86"/>
    <w:rsid w:val="00084B94"/>
    <w:rsid w:val="00086493"/>
    <w:rsid w:val="000864D0"/>
    <w:rsid w:val="000868F3"/>
    <w:rsid w:val="00087271"/>
    <w:rsid w:val="0008790A"/>
    <w:rsid w:val="00087D2C"/>
    <w:rsid w:val="0009066C"/>
    <w:rsid w:val="0009139B"/>
    <w:rsid w:val="000918D5"/>
    <w:rsid w:val="00091929"/>
    <w:rsid w:val="00092F1D"/>
    <w:rsid w:val="00093013"/>
    <w:rsid w:val="000933FA"/>
    <w:rsid w:val="00093C41"/>
    <w:rsid w:val="000941A7"/>
    <w:rsid w:val="000941B5"/>
    <w:rsid w:val="00094302"/>
    <w:rsid w:val="00094624"/>
    <w:rsid w:val="00094800"/>
    <w:rsid w:val="00094863"/>
    <w:rsid w:val="00094ACE"/>
    <w:rsid w:val="0009594D"/>
    <w:rsid w:val="000965D0"/>
    <w:rsid w:val="00097080"/>
    <w:rsid w:val="00097D06"/>
    <w:rsid w:val="000A04B4"/>
    <w:rsid w:val="000A172F"/>
    <w:rsid w:val="000A1E6E"/>
    <w:rsid w:val="000A1FED"/>
    <w:rsid w:val="000A2806"/>
    <w:rsid w:val="000A2B25"/>
    <w:rsid w:val="000A2E6E"/>
    <w:rsid w:val="000A381C"/>
    <w:rsid w:val="000A3836"/>
    <w:rsid w:val="000A4C06"/>
    <w:rsid w:val="000A518A"/>
    <w:rsid w:val="000A5B29"/>
    <w:rsid w:val="000A6785"/>
    <w:rsid w:val="000A7617"/>
    <w:rsid w:val="000A7FD0"/>
    <w:rsid w:val="000B023E"/>
    <w:rsid w:val="000B13F7"/>
    <w:rsid w:val="000B16B6"/>
    <w:rsid w:val="000B234C"/>
    <w:rsid w:val="000B25FB"/>
    <w:rsid w:val="000B2749"/>
    <w:rsid w:val="000B29E1"/>
    <w:rsid w:val="000B4C16"/>
    <w:rsid w:val="000B510B"/>
    <w:rsid w:val="000B5422"/>
    <w:rsid w:val="000B5996"/>
    <w:rsid w:val="000B6710"/>
    <w:rsid w:val="000B67C7"/>
    <w:rsid w:val="000B737C"/>
    <w:rsid w:val="000C0FA3"/>
    <w:rsid w:val="000C1297"/>
    <w:rsid w:val="000C17FC"/>
    <w:rsid w:val="000C1B10"/>
    <w:rsid w:val="000C20DE"/>
    <w:rsid w:val="000C3CFD"/>
    <w:rsid w:val="000C47F4"/>
    <w:rsid w:val="000C4E93"/>
    <w:rsid w:val="000C5044"/>
    <w:rsid w:val="000C58E8"/>
    <w:rsid w:val="000C5FA0"/>
    <w:rsid w:val="000C60E1"/>
    <w:rsid w:val="000C6175"/>
    <w:rsid w:val="000C61ED"/>
    <w:rsid w:val="000C6797"/>
    <w:rsid w:val="000C7114"/>
    <w:rsid w:val="000C79E7"/>
    <w:rsid w:val="000C7E15"/>
    <w:rsid w:val="000D01C7"/>
    <w:rsid w:val="000D0403"/>
    <w:rsid w:val="000D0681"/>
    <w:rsid w:val="000D2650"/>
    <w:rsid w:val="000D297E"/>
    <w:rsid w:val="000D2F98"/>
    <w:rsid w:val="000D35A0"/>
    <w:rsid w:val="000D36A9"/>
    <w:rsid w:val="000D3A55"/>
    <w:rsid w:val="000D438A"/>
    <w:rsid w:val="000D497A"/>
    <w:rsid w:val="000D4BC7"/>
    <w:rsid w:val="000D5477"/>
    <w:rsid w:val="000D54B6"/>
    <w:rsid w:val="000D631E"/>
    <w:rsid w:val="000D66D8"/>
    <w:rsid w:val="000D6C39"/>
    <w:rsid w:val="000D729F"/>
    <w:rsid w:val="000D75A6"/>
    <w:rsid w:val="000D7E31"/>
    <w:rsid w:val="000E067E"/>
    <w:rsid w:val="000E09C0"/>
    <w:rsid w:val="000E0F43"/>
    <w:rsid w:val="000E18AF"/>
    <w:rsid w:val="000E1F13"/>
    <w:rsid w:val="000E1FD0"/>
    <w:rsid w:val="000E2290"/>
    <w:rsid w:val="000E2455"/>
    <w:rsid w:val="000E2EAC"/>
    <w:rsid w:val="000E39EB"/>
    <w:rsid w:val="000E39F1"/>
    <w:rsid w:val="000E3D6C"/>
    <w:rsid w:val="000E3F86"/>
    <w:rsid w:val="000E4634"/>
    <w:rsid w:val="000E4F26"/>
    <w:rsid w:val="000E58BA"/>
    <w:rsid w:val="000E5AC3"/>
    <w:rsid w:val="000E5EB8"/>
    <w:rsid w:val="000E75CC"/>
    <w:rsid w:val="000F08C1"/>
    <w:rsid w:val="000F0C9F"/>
    <w:rsid w:val="000F0CF3"/>
    <w:rsid w:val="000F0F3D"/>
    <w:rsid w:val="000F1158"/>
    <w:rsid w:val="000F1B48"/>
    <w:rsid w:val="000F1B83"/>
    <w:rsid w:val="000F287A"/>
    <w:rsid w:val="000F2AEA"/>
    <w:rsid w:val="000F3AE7"/>
    <w:rsid w:val="000F3B34"/>
    <w:rsid w:val="000F3CCD"/>
    <w:rsid w:val="000F403E"/>
    <w:rsid w:val="000F4205"/>
    <w:rsid w:val="000F429F"/>
    <w:rsid w:val="000F483F"/>
    <w:rsid w:val="000F49F1"/>
    <w:rsid w:val="000F4D81"/>
    <w:rsid w:val="000F5DCB"/>
    <w:rsid w:val="000F6480"/>
    <w:rsid w:val="000F667C"/>
    <w:rsid w:val="000F6704"/>
    <w:rsid w:val="000F6881"/>
    <w:rsid w:val="000F68AB"/>
    <w:rsid w:val="000F6CDA"/>
    <w:rsid w:val="000F72B2"/>
    <w:rsid w:val="000F75AA"/>
    <w:rsid w:val="00100369"/>
    <w:rsid w:val="0010066F"/>
    <w:rsid w:val="001016C1"/>
    <w:rsid w:val="0010180C"/>
    <w:rsid w:val="00101E26"/>
    <w:rsid w:val="00101ED8"/>
    <w:rsid w:val="00101EE3"/>
    <w:rsid w:val="00102F52"/>
    <w:rsid w:val="00103A06"/>
    <w:rsid w:val="00103D69"/>
    <w:rsid w:val="00104946"/>
    <w:rsid w:val="00104960"/>
    <w:rsid w:val="001053BA"/>
    <w:rsid w:val="00105B28"/>
    <w:rsid w:val="00106926"/>
    <w:rsid w:val="00106ACF"/>
    <w:rsid w:val="0010719F"/>
    <w:rsid w:val="00107A57"/>
    <w:rsid w:val="00107BFB"/>
    <w:rsid w:val="001100CC"/>
    <w:rsid w:val="0011087A"/>
    <w:rsid w:val="00110D01"/>
    <w:rsid w:val="00111173"/>
    <w:rsid w:val="00111325"/>
    <w:rsid w:val="0011159C"/>
    <w:rsid w:val="00111637"/>
    <w:rsid w:val="00111718"/>
    <w:rsid w:val="00111795"/>
    <w:rsid w:val="00111B01"/>
    <w:rsid w:val="00112041"/>
    <w:rsid w:val="00112303"/>
    <w:rsid w:val="00112D84"/>
    <w:rsid w:val="00113088"/>
    <w:rsid w:val="00113535"/>
    <w:rsid w:val="0011440F"/>
    <w:rsid w:val="00115038"/>
    <w:rsid w:val="0011517C"/>
    <w:rsid w:val="00115808"/>
    <w:rsid w:val="00115E37"/>
    <w:rsid w:val="001165D0"/>
    <w:rsid w:val="00116A5C"/>
    <w:rsid w:val="00116DC2"/>
    <w:rsid w:val="00117127"/>
    <w:rsid w:val="0011738A"/>
    <w:rsid w:val="00117A39"/>
    <w:rsid w:val="00117CD3"/>
    <w:rsid w:val="00117DA2"/>
    <w:rsid w:val="00120197"/>
    <w:rsid w:val="00120959"/>
    <w:rsid w:val="00120D4A"/>
    <w:rsid w:val="00121929"/>
    <w:rsid w:val="00122154"/>
    <w:rsid w:val="00122157"/>
    <w:rsid w:val="001228F4"/>
    <w:rsid w:val="00122D5D"/>
    <w:rsid w:val="00122D5F"/>
    <w:rsid w:val="0012317A"/>
    <w:rsid w:val="00123AD2"/>
    <w:rsid w:val="00124321"/>
    <w:rsid w:val="0012501D"/>
    <w:rsid w:val="001256D4"/>
    <w:rsid w:val="00126069"/>
    <w:rsid w:val="00126565"/>
    <w:rsid w:val="0012674E"/>
    <w:rsid w:val="00127539"/>
    <w:rsid w:val="00130716"/>
    <w:rsid w:val="00130810"/>
    <w:rsid w:val="00131E56"/>
    <w:rsid w:val="00132502"/>
    <w:rsid w:val="001328B9"/>
    <w:rsid w:val="001328F3"/>
    <w:rsid w:val="0013315E"/>
    <w:rsid w:val="0013334E"/>
    <w:rsid w:val="001333C2"/>
    <w:rsid w:val="001333E7"/>
    <w:rsid w:val="001339C9"/>
    <w:rsid w:val="0013470A"/>
    <w:rsid w:val="001354B3"/>
    <w:rsid w:val="00135584"/>
    <w:rsid w:val="0013567F"/>
    <w:rsid w:val="001358BB"/>
    <w:rsid w:val="00135A92"/>
    <w:rsid w:val="00135CD5"/>
    <w:rsid w:val="00136437"/>
    <w:rsid w:val="001365BE"/>
    <w:rsid w:val="00136B9A"/>
    <w:rsid w:val="00137F04"/>
    <w:rsid w:val="00140102"/>
    <w:rsid w:val="00141C7B"/>
    <w:rsid w:val="00142CC7"/>
    <w:rsid w:val="00143A9B"/>
    <w:rsid w:val="0014412B"/>
    <w:rsid w:val="00144262"/>
    <w:rsid w:val="001454E0"/>
    <w:rsid w:val="00145B0A"/>
    <w:rsid w:val="00145D92"/>
    <w:rsid w:val="00146BAB"/>
    <w:rsid w:val="00147834"/>
    <w:rsid w:val="00147CEC"/>
    <w:rsid w:val="00147EA9"/>
    <w:rsid w:val="0015029C"/>
    <w:rsid w:val="00150311"/>
    <w:rsid w:val="00150928"/>
    <w:rsid w:val="00150970"/>
    <w:rsid w:val="00150AC7"/>
    <w:rsid w:val="00150C37"/>
    <w:rsid w:val="00151115"/>
    <w:rsid w:val="00152482"/>
    <w:rsid w:val="00152E81"/>
    <w:rsid w:val="001534C0"/>
    <w:rsid w:val="00154FFE"/>
    <w:rsid w:val="00155921"/>
    <w:rsid w:val="001559B3"/>
    <w:rsid w:val="00155B15"/>
    <w:rsid w:val="00155C4D"/>
    <w:rsid w:val="00155E2F"/>
    <w:rsid w:val="001563E5"/>
    <w:rsid w:val="001565F8"/>
    <w:rsid w:val="001574EE"/>
    <w:rsid w:val="00157589"/>
    <w:rsid w:val="001579BF"/>
    <w:rsid w:val="00157B00"/>
    <w:rsid w:val="00157B3E"/>
    <w:rsid w:val="001601EA"/>
    <w:rsid w:val="00162437"/>
    <w:rsid w:val="0016275A"/>
    <w:rsid w:val="0016275D"/>
    <w:rsid w:val="0016290F"/>
    <w:rsid w:val="00163067"/>
    <w:rsid w:val="00164116"/>
    <w:rsid w:val="00164C04"/>
    <w:rsid w:val="001656B6"/>
    <w:rsid w:val="00165CB2"/>
    <w:rsid w:val="0016619E"/>
    <w:rsid w:val="00166236"/>
    <w:rsid w:val="00166756"/>
    <w:rsid w:val="00166D2D"/>
    <w:rsid w:val="001679A4"/>
    <w:rsid w:val="00167C44"/>
    <w:rsid w:val="00167DEF"/>
    <w:rsid w:val="00167F76"/>
    <w:rsid w:val="001701C4"/>
    <w:rsid w:val="00170247"/>
    <w:rsid w:val="001709A0"/>
    <w:rsid w:val="00170ACE"/>
    <w:rsid w:val="00171788"/>
    <w:rsid w:val="00171A9D"/>
    <w:rsid w:val="001721A5"/>
    <w:rsid w:val="00172A69"/>
    <w:rsid w:val="00172B7C"/>
    <w:rsid w:val="00172B9D"/>
    <w:rsid w:val="00172EFD"/>
    <w:rsid w:val="00173830"/>
    <w:rsid w:val="00173B59"/>
    <w:rsid w:val="00173C98"/>
    <w:rsid w:val="00173E97"/>
    <w:rsid w:val="0017411F"/>
    <w:rsid w:val="001746CC"/>
    <w:rsid w:val="00174BE8"/>
    <w:rsid w:val="001754A8"/>
    <w:rsid w:val="0017561E"/>
    <w:rsid w:val="00175DDC"/>
    <w:rsid w:val="0017635F"/>
    <w:rsid w:val="00176812"/>
    <w:rsid w:val="00176D76"/>
    <w:rsid w:val="001777C8"/>
    <w:rsid w:val="00177EDF"/>
    <w:rsid w:val="00180151"/>
    <w:rsid w:val="0018067A"/>
    <w:rsid w:val="00180C47"/>
    <w:rsid w:val="00180D7B"/>
    <w:rsid w:val="00180DA5"/>
    <w:rsid w:val="00180DB5"/>
    <w:rsid w:val="00181FB9"/>
    <w:rsid w:val="00182782"/>
    <w:rsid w:val="00182F6D"/>
    <w:rsid w:val="001831AE"/>
    <w:rsid w:val="00183B3E"/>
    <w:rsid w:val="00183E3B"/>
    <w:rsid w:val="00184D6A"/>
    <w:rsid w:val="00184DC6"/>
    <w:rsid w:val="00185055"/>
    <w:rsid w:val="00185543"/>
    <w:rsid w:val="00185C7F"/>
    <w:rsid w:val="001863E4"/>
    <w:rsid w:val="00186761"/>
    <w:rsid w:val="00186794"/>
    <w:rsid w:val="00186819"/>
    <w:rsid w:val="00186BA5"/>
    <w:rsid w:val="001873C6"/>
    <w:rsid w:val="001875F7"/>
    <w:rsid w:val="00187DEA"/>
    <w:rsid w:val="00190A3E"/>
    <w:rsid w:val="00190CF3"/>
    <w:rsid w:val="00190FBE"/>
    <w:rsid w:val="00191129"/>
    <w:rsid w:val="001911F0"/>
    <w:rsid w:val="00191A71"/>
    <w:rsid w:val="00191D2A"/>
    <w:rsid w:val="00191FD6"/>
    <w:rsid w:val="00192A02"/>
    <w:rsid w:val="00192CB3"/>
    <w:rsid w:val="00192D87"/>
    <w:rsid w:val="00193241"/>
    <w:rsid w:val="00193339"/>
    <w:rsid w:val="00193AFB"/>
    <w:rsid w:val="00193BC6"/>
    <w:rsid w:val="00194F05"/>
    <w:rsid w:val="001950EF"/>
    <w:rsid w:val="00195E24"/>
    <w:rsid w:val="00195F77"/>
    <w:rsid w:val="00195F93"/>
    <w:rsid w:val="001963AA"/>
    <w:rsid w:val="00196698"/>
    <w:rsid w:val="00197011"/>
    <w:rsid w:val="001971BC"/>
    <w:rsid w:val="00197235"/>
    <w:rsid w:val="0019744B"/>
    <w:rsid w:val="001978F3"/>
    <w:rsid w:val="00197B08"/>
    <w:rsid w:val="00197C7C"/>
    <w:rsid w:val="001A05BA"/>
    <w:rsid w:val="001A08F6"/>
    <w:rsid w:val="001A1285"/>
    <w:rsid w:val="001A2FA6"/>
    <w:rsid w:val="001A333F"/>
    <w:rsid w:val="001A34CB"/>
    <w:rsid w:val="001A3A79"/>
    <w:rsid w:val="001A3DC4"/>
    <w:rsid w:val="001A419C"/>
    <w:rsid w:val="001A4601"/>
    <w:rsid w:val="001A483C"/>
    <w:rsid w:val="001A4A14"/>
    <w:rsid w:val="001A5A73"/>
    <w:rsid w:val="001A5FA1"/>
    <w:rsid w:val="001A62BE"/>
    <w:rsid w:val="001A62F1"/>
    <w:rsid w:val="001A635D"/>
    <w:rsid w:val="001A63B1"/>
    <w:rsid w:val="001A77E6"/>
    <w:rsid w:val="001B0261"/>
    <w:rsid w:val="001B0BAA"/>
    <w:rsid w:val="001B148D"/>
    <w:rsid w:val="001B1B58"/>
    <w:rsid w:val="001B2E89"/>
    <w:rsid w:val="001B3DBB"/>
    <w:rsid w:val="001B41EE"/>
    <w:rsid w:val="001B4B0F"/>
    <w:rsid w:val="001B5110"/>
    <w:rsid w:val="001B5A2D"/>
    <w:rsid w:val="001B5E33"/>
    <w:rsid w:val="001B6090"/>
    <w:rsid w:val="001B61D3"/>
    <w:rsid w:val="001B6BE2"/>
    <w:rsid w:val="001B7BBE"/>
    <w:rsid w:val="001B7C7F"/>
    <w:rsid w:val="001B7CC7"/>
    <w:rsid w:val="001B7E60"/>
    <w:rsid w:val="001C0362"/>
    <w:rsid w:val="001C086F"/>
    <w:rsid w:val="001C1402"/>
    <w:rsid w:val="001C1887"/>
    <w:rsid w:val="001C193E"/>
    <w:rsid w:val="001C2986"/>
    <w:rsid w:val="001C2BEA"/>
    <w:rsid w:val="001C2C38"/>
    <w:rsid w:val="001C2C9A"/>
    <w:rsid w:val="001C2F2E"/>
    <w:rsid w:val="001C2F39"/>
    <w:rsid w:val="001C2F3B"/>
    <w:rsid w:val="001C3477"/>
    <w:rsid w:val="001C3FA8"/>
    <w:rsid w:val="001C44A4"/>
    <w:rsid w:val="001C45E6"/>
    <w:rsid w:val="001C4711"/>
    <w:rsid w:val="001C4C6B"/>
    <w:rsid w:val="001C4E1B"/>
    <w:rsid w:val="001C51E5"/>
    <w:rsid w:val="001C6026"/>
    <w:rsid w:val="001C637C"/>
    <w:rsid w:val="001C66BD"/>
    <w:rsid w:val="001C6835"/>
    <w:rsid w:val="001C71BB"/>
    <w:rsid w:val="001C72E5"/>
    <w:rsid w:val="001C759F"/>
    <w:rsid w:val="001C7BCD"/>
    <w:rsid w:val="001C7E14"/>
    <w:rsid w:val="001D0A95"/>
    <w:rsid w:val="001D0FF8"/>
    <w:rsid w:val="001D1461"/>
    <w:rsid w:val="001D148C"/>
    <w:rsid w:val="001D2678"/>
    <w:rsid w:val="001D273C"/>
    <w:rsid w:val="001D2798"/>
    <w:rsid w:val="001D33F0"/>
    <w:rsid w:val="001D3C25"/>
    <w:rsid w:val="001D3DAC"/>
    <w:rsid w:val="001D412B"/>
    <w:rsid w:val="001D58B7"/>
    <w:rsid w:val="001D5966"/>
    <w:rsid w:val="001D6155"/>
    <w:rsid w:val="001D64E2"/>
    <w:rsid w:val="001D6B17"/>
    <w:rsid w:val="001D756E"/>
    <w:rsid w:val="001D7595"/>
    <w:rsid w:val="001D76E4"/>
    <w:rsid w:val="001D78C9"/>
    <w:rsid w:val="001D7ADF"/>
    <w:rsid w:val="001D7E36"/>
    <w:rsid w:val="001E0D0F"/>
    <w:rsid w:val="001E1A5A"/>
    <w:rsid w:val="001E208F"/>
    <w:rsid w:val="001E239B"/>
    <w:rsid w:val="001E249C"/>
    <w:rsid w:val="001E294B"/>
    <w:rsid w:val="001E2BCE"/>
    <w:rsid w:val="001E2F66"/>
    <w:rsid w:val="001E306D"/>
    <w:rsid w:val="001E3856"/>
    <w:rsid w:val="001E390D"/>
    <w:rsid w:val="001E39DE"/>
    <w:rsid w:val="001E4362"/>
    <w:rsid w:val="001E44B3"/>
    <w:rsid w:val="001E485F"/>
    <w:rsid w:val="001E4A48"/>
    <w:rsid w:val="001E562D"/>
    <w:rsid w:val="001E5B6C"/>
    <w:rsid w:val="001E5D1D"/>
    <w:rsid w:val="001E5DE5"/>
    <w:rsid w:val="001E63B1"/>
    <w:rsid w:val="001E7138"/>
    <w:rsid w:val="001E73C5"/>
    <w:rsid w:val="001E74B5"/>
    <w:rsid w:val="001E78A8"/>
    <w:rsid w:val="001F0077"/>
    <w:rsid w:val="001F01F8"/>
    <w:rsid w:val="001F1107"/>
    <w:rsid w:val="001F1A2D"/>
    <w:rsid w:val="001F1F89"/>
    <w:rsid w:val="001F217C"/>
    <w:rsid w:val="001F22C3"/>
    <w:rsid w:val="001F2B2F"/>
    <w:rsid w:val="001F3AF9"/>
    <w:rsid w:val="001F3EBA"/>
    <w:rsid w:val="001F48B7"/>
    <w:rsid w:val="001F4F07"/>
    <w:rsid w:val="001F4FAF"/>
    <w:rsid w:val="001F555A"/>
    <w:rsid w:val="001F5AB7"/>
    <w:rsid w:val="001F62B2"/>
    <w:rsid w:val="001F6379"/>
    <w:rsid w:val="001F6985"/>
    <w:rsid w:val="001F746C"/>
    <w:rsid w:val="001F7759"/>
    <w:rsid w:val="002000E6"/>
    <w:rsid w:val="00200497"/>
    <w:rsid w:val="00201062"/>
    <w:rsid w:val="0020348F"/>
    <w:rsid w:val="00204509"/>
    <w:rsid w:val="0020453E"/>
    <w:rsid w:val="00204A1F"/>
    <w:rsid w:val="0020544A"/>
    <w:rsid w:val="00205C3D"/>
    <w:rsid w:val="00205E38"/>
    <w:rsid w:val="00206001"/>
    <w:rsid w:val="002064B2"/>
    <w:rsid w:val="00206C2E"/>
    <w:rsid w:val="00206DA8"/>
    <w:rsid w:val="00207028"/>
    <w:rsid w:val="00207498"/>
    <w:rsid w:val="002103C5"/>
    <w:rsid w:val="00210404"/>
    <w:rsid w:val="0021063B"/>
    <w:rsid w:val="0021198C"/>
    <w:rsid w:val="00212579"/>
    <w:rsid w:val="00212B18"/>
    <w:rsid w:val="00212D1C"/>
    <w:rsid w:val="00213689"/>
    <w:rsid w:val="00213BA0"/>
    <w:rsid w:val="00213FD4"/>
    <w:rsid w:val="00214153"/>
    <w:rsid w:val="002141A1"/>
    <w:rsid w:val="00214408"/>
    <w:rsid w:val="00214AB5"/>
    <w:rsid w:val="002150CD"/>
    <w:rsid w:val="002151A2"/>
    <w:rsid w:val="00215360"/>
    <w:rsid w:val="00215A20"/>
    <w:rsid w:val="00215FDC"/>
    <w:rsid w:val="0021643B"/>
    <w:rsid w:val="00216D64"/>
    <w:rsid w:val="002173E3"/>
    <w:rsid w:val="002178DF"/>
    <w:rsid w:val="00220927"/>
    <w:rsid w:val="002209BD"/>
    <w:rsid w:val="00220CE5"/>
    <w:rsid w:val="00220E35"/>
    <w:rsid w:val="00221167"/>
    <w:rsid w:val="00221FBB"/>
    <w:rsid w:val="00222553"/>
    <w:rsid w:val="00222876"/>
    <w:rsid w:val="00222922"/>
    <w:rsid w:val="00222AEA"/>
    <w:rsid w:val="00222B92"/>
    <w:rsid w:val="00222F8C"/>
    <w:rsid w:val="00223C19"/>
    <w:rsid w:val="00223CBD"/>
    <w:rsid w:val="00223F59"/>
    <w:rsid w:val="00224BD2"/>
    <w:rsid w:val="00224D61"/>
    <w:rsid w:val="00224E91"/>
    <w:rsid w:val="00225A72"/>
    <w:rsid w:val="00226081"/>
    <w:rsid w:val="002261EB"/>
    <w:rsid w:val="002262BA"/>
    <w:rsid w:val="002265F7"/>
    <w:rsid w:val="00227D78"/>
    <w:rsid w:val="0023103B"/>
    <w:rsid w:val="00231910"/>
    <w:rsid w:val="00231C0C"/>
    <w:rsid w:val="00232198"/>
    <w:rsid w:val="00233CA1"/>
    <w:rsid w:val="00233F30"/>
    <w:rsid w:val="002350DD"/>
    <w:rsid w:val="00235E9E"/>
    <w:rsid w:val="002366BF"/>
    <w:rsid w:val="00236CDB"/>
    <w:rsid w:val="0023748C"/>
    <w:rsid w:val="002378D0"/>
    <w:rsid w:val="00240379"/>
    <w:rsid w:val="002404E1"/>
    <w:rsid w:val="0024053D"/>
    <w:rsid w:val="0024089B"/>
    <w:rsid w:val="002408A7"/>
    <w:rsid w:val="00240A5A"/>
    <w:rsid w:val="00240DB9"/>
    <w:rsid w:val="00241597"/>
    <w:rsid w:val="0024190A"/>
    <w:rsid w:val="00241BAF"/>
    <w:rsid w:val="00241E86"/>
    <w:rsid w:val="00241FB2"/>
    <w:rsid w:val="00243583"/>
    <w:rsid w:val="0024385C"/>
    <w:rsid w:val="002447DE"/>
    <w:rsid w:val="0024481E"/>
    <w:rsid w:val="00244C93"/>
    <w:rsid w:val="00244DFC"/>
    <w:rsid w:val="00245614"/>
    <w:rsid w:val="00245BE6"/>
    <w:rsid w:val="00246225"/>
    <w:rsid w:val="002465C4"/>
    <w:rsid w:val="002465C7"/>
    <w:rsid w:val="00246742"/>
    <w:rsid w:val="00246912"/>
    <w:rsid w:val="002476B8"/>
    <w:rsid w:val="00247C87"/>
    <w:rsid w:val="00247E12"/>
    <w:rsid w:val="00247F5C"/>
    <w:rsid w:val="002500F1"/>
    <w:rsid w:val="00250E92"/>
    <w:rsid w:val="00251BA2"/>
    <w:rsid w:val="00252339"/>
    <w:rsid w:val="00252487"/>
    <w:rsid w:val="00252726"/>
    <w:rsid w:val="00252D71"/>
    <w:rsid w:val="00252EBE"/>
    <w:rsid w:val="00253C38"/>
    <w:rsid w:val="00253EEE"/>
    <w:rsid w:val="00253FA3"/>
    <w:rsid w:val="00254015"/>
    <w:rsid w:val="00254380"/>
    <w:rsid w:val="0025479D"/>
    <w:rsid w:val="00254A0B"/>
    <w:rsid w:val="00254B9B"/>
    <w:rsid w:val="00255019"/>
    <w:rsid w:val="00255B28"/>
    <w:rsid w:val="00255FC7"/>
    <w:rsid w:val="002561FD"/>
    <w:rsid w:val="00256879"/>
    <w:rsid w:val="002569E8"/>
    <w:rsid w:val="00256B82"/>
    <w:rsid w:val="00256C01"/>
    <w:rsid w:val="00256C8A"/>
    <w:rsid w:val="00256CB5"/>
    <w:rsid w:val="00260782"/>
    <w:rsid w:val="002608E8"/>
    <w:rsid w:val="002609D8"/>
    <w:rsid w:val="00260E45"/>
    <w:rsid w:val="00260E79"/>
    <w:rsid w:val="002611D4"/>
    <w:rsid w:val="002617C7"/>
    <w:rsid w:val="00261A54"/>
    <w:rsid w:val="00263180"/>
    <w:rsid w:val="002633E3"/>
    <w:rsid w:val="00263669"/>
    <w:rsid w:val="002637CF"/>
    <w:rsid w:val="00263842"/>
    <w:rsid w:val="0026387B"/>
    <w:rsid w:val="00263A4D"/>
    <w:rsid w:val="0026400B"/>
    <w:rsid w:val="0026400C"/>
    <w:rsid w:val="002647C2"/>
    <w:rsid w:val="00265038"/>
    <w:rsid w:val="0026548A"/>
    <w:rsid w:val="002654CE"/>
    <w:rsid w:val="00265D41"/>
    <w:rsid w:val="00266ADC"/>
    <w:rsid w:val="00267103"/>
    <w:rsid w:val="00270639"/>
    <w:rsid w:val="002710E2"/>
    <w:rsid w:val="002720BF"/>
    <w:rsid w:val="002728B0"/>
    <w:rsid w:val="00272AF3"/>
    <w:rsid w:val="002739B5"/>
    <w:rsid w:val="00273B6C"/>
    <w:rsid w:val="002742D5"/>
    <w:rsid w:val="002749CF"/>
    <w:rsid w:val="00274B25"/>
    <w:rsid w:val="002753BD"/>
    <w:rsid w:val="00275BDD"/>
    <w:rsid w:val="00275E73"/>
    <w:rsid w:val="002762B8"/>
    <w:rsid w:val="002763A9"/>
    <w:rsid w:val="00276E5E"/>
    <w:rsid w:val="002808FF"/>
    <w:rsid w:val="00280B86"/>
    <w:rsid w:val="002814F1"/>
    <w:rsid w:val="0028255B"/>
    <w:rsid w:val="00282A61"/>
    <w:rsid w:val="00282F89"/>
    <w:rsid w:val="00283365"/>
    <w:rsid w:val="00284BA6"/>
    <w:rsid w:val="00285773"/>
    <w:rsid w:val="002858A5"/>
    <w:rsid w:val="002869A9"/>
    <w:rsid w:val="00286F1F"/>
    <w:rsid w:val="00287CD6"/>
    <w:rsid w:val="002903F3"/>
    <w:rsid w:val="002905B2"/>
    <w:rsid w:val="002909AC"/>
    <w:rsid w:val="002911E8"/>
    <w:rsid w:val="00292490"/>
    <w:rsid w:val="00292E08"/>
    <w:rsid w:val="0029335F"/>
    <w:rsid w:val="0029343D"/>
    <w:rsid w:val="0029361C"/>
    <w:rsid w:val="00293730"/>
    <w:rsid w:val="002951A1"/>
    <w:rsid w:val="00295807"/>
    <w:rsid w:val="002964F0"/>
    <w:rsid w:val="0029670B"/>
    <w:rsid w:val="00296949"/>
    <w:rsid w:val="00296CC2"/>
    <w:rsid w:val="00296ED3"/>
    <w:rsid w:val="0029750A"/>
    <w:rsid w:val="002977FD"/>
    <w:rsid w:val="00297888"/>
    <w:rsid w:val="002A0089"/>
    <w:rsid w:val="002A0483"/>
    <w:rsid w:val="002A0720"/>
    <w:rsid w:val="002A0D0C"/>
    <w:rsid w:val="002A136D"/>
    <w:rsid w:val="002A1C0E"/>
    <w:rsid w:val="002A1FD9"/>
    <w:rsid w:val="002A259A"/>
    <w:rsid w:val="002A2C11"/>
    <w:rsid w:val="002A3490"/>
    <w:rsid w:val="002A34BE"/>
    <w:rsid w:val="002A35DB"/>
    <w:rsid w:val="002A36E4"/>
    <w:rsid w:val="002A4957"/>
    <w:rsid w:val="002A4B97"/>
    <w:rsid w:val="002A4C35"/>
    <w:rsid w:val="002A501A"/>
    <w:rsid w:val="002A5098"/>
    <w:rsid w:val="002A5099"/>
    <w:rsid w:val="002A5C20"/>
    <w:rsid w:val="002A5C55"/>
    <w:rsid w:val="002A5FA8"/>
    <w:rsid w:val="002A6145"/>
    <w:rsid w:val="002A6D65"/>
    <w:rsid w:val="002A7283"/>
    <w:rsid w:val="002A7551"/>
    <w:rsid w:val="002A75BA"/>
    <w:rsid w:val="002A7C22"/>
    <w:rsid w:val="002A7CF8"/>
    <w:rsid w:val="002B0489"/>
    <w:rsid w:val="002B08C3"/>
    <w:rsid w:val="002B14F3"/>
    <w:rsid w:val="002B162E"/>
    <w:rsid w:val="002B1956"/>
    <w:rsid w:val="002B1A16"/>
    <w:rsid w:val="002B1E39"/>
    <w:rsid w:val="002B20B1"/>
    <w:rsid w:val="002B2385"/>
    <w:rsid w:val="002B2AE4"/>
    <w:rsid w:val="002B329E"/>
    <w:rsid w:val="002B406C"/>
    <w:rsid w:val="002B548E"/>
    <w:rsid w:val="002B555F"/>
    <w:rsid w:val="002B591F"/>
    <w:rsid w:val="002B5F24"/>
    <w:rsid w:val="002B5FC3"/>
    <w:rsid w:val="002B6440"/>
    <w:rsid w:val="002B658D"/>
    <w:rsid w:val="002B7984"/>
    <w:rsid w:val="002B7BA7"/>
    <w:rsid w:val="002B7ED4"/>
    <w:rsid w:val="002C160F"/>
    <w:rsid w:val="002C176E"/>
    <w:rsid w:val="002C1814"/>
    <w:rsid w:val="002C1B4D"/>
    <w:rsid w:val="002C2769"/>
    <w:rsid w:val="002C2A42"/>
    <w:rsid w:val="002C2B8B"/>
    <w:rsid w:val="002C2EC4"/>
    <w:rsid w:val="002C2FC5"/>
    <w:rsid w:val="002C2FCF"/>
    <w:rsid w:val="002C315F"/>
    <w:rsid w:val="002C38E0"/>
    <w:rsid w:val="002C41A9"/>
    <w:rsid w:val="002C41CB"/>
    <w:rsid w:val="002C4991"/>
    <w:rsid w:val="002C4B08"/>
    <w:rsid w:val="002C5C4C"/>
    <w:rsid w:val="002C600B"/>
    <w:rsid w:val="002C643D"/>
    <w:rsid w:val="002C6BB9"/>
    <w:rsid w:val="002C6D7A"/>
    <w:rsid w:val="002C6EDF"/>
    <w:rsid w:val="002C7195"/>
    <w:rsid w:val="002C74E8"/>
    <w:rsid w:val="002C7657"/>
    <w:rsid w:val="002C765A"/>
    <w:rsid w:val="002C7B35"/>
    <w:rsid w:val="002C7B57"/>
    <w:rsid w:val="002D053B"/>
    <w:rsid w:val="002D188C"/>
    <w:rsid w:val="002D199D"/>
    <w:rsid w:val="002D1BFF"/>
    <w:rsid w:val="002D4502"/>
    <w:rsid w:val="002D45B7"/>
    <w:rsid w:val="002D51D4"/>
    <w:rsid w:val="002D53EF"/>
    <w:rsid w:val="002D5447"/>
    <w:rsid w:val="002D56E0"/>
    <w:rsid w:val="002D5B19"/>
    <w:rsid w:val="002D65EE"/>
    <w:rsid w:val="002D6835"/>
    <w:rsid w:val="002D7C12"/>
    <w:rsid w:val="002D7F90"/>
    <w:rsid w:val="002E094F"/>
    <w:rsid w:val="002E0DC1"/>
    <w:rsid w:val="002E0DCE"/>
    <w:rsid w:val="002E1DB4"/>
    <w:rsid w:val="002E21DB"/>
    <w:rsid w:val="002E25D0"/>
    <w:rsid w:val="002E3400"/>
    <w:rsid w:val="002E3C45"/>
    <w:rsid w:val="002E3ECE"/>
    <w:rsid w:val="002E4110"/>
    <w:rsid w:val="002E4684"/>
    <w:rsid w:val="002E4A18"/>
    <w:rsid w:val="002E5195"/>
    <w:rsid w:val="002E5918"/>
    <w:rsid w:val="002E6018"/>
    <w:rsid w:val="002E65D8"/>
    <w:rsid w:val="002E66AE"/>
    <w:rsid w:val="002E66FF"/>
    <w:rsid w:val="002E7B5B"/>
    <w:rsid w:val="002F017F"/>
    <w:rsid w:val="002F0611"/>
    <w:rsid w:val="002F0762"/>
    <w:rsid w:val="002F08FC"/>
    <w:rsid w:val="002F0A52"/>
    <w:rsid w:val="002F1370"/>
    <w:rsid w:val="002F27C2"/>
    <w:rsid w:val="002F28FF"/>
    <w:rsid w:val="002F2E95"/>
    <w:rsid w:val="002F2F08"/>
    <w:rsid w:val="002F3AA5"/>
    <w:rsid w:val="002F3CDA"/>
    <w:rsid w:val="002F4089"/>
    <w:rsid w:val="002F4876"/>
    <w:rsid w:val="002F4A2E"/>
    <w:rsid w:val="002F517F"/>
    <w:rsid w:val="002F568E"/>
    <w:rsid w:val="002F575C"/>
    <w:rsid w:val="002F5941"/>
    <w:rsid w:val="002F59EC"/>
    <w:rsid w:val="002F5A40"/>
    <w:rsid w:val="002F5D61"/>
    <w:rsid w:val="002F687E"/>
    <w:rsid w:val="002F6B40"/>
    <w:rsid w:val="002F6D6A"/>
    <w:rsid w:val="002F70D4"/>
    <w:rsid w:val="002F72E9"/>
    <w:rsid w:val="002F7790"/>
    <w:rsid w:val="002F7D1D"/>
    <w:rsid w:val="00300C88"/>
    <w:rsid w:val="00300FF5"/>
    <w:rsid w:val="00301397"/>
    <w:rsid w:val="0030198A"/>
    <w:rsid w:val="00301D54"/>
    <w:rsid w:val="00302148"/>
    <w:rsid w:val="003022EF"/>
    <w:rsid w:val="00303006"/>
    <w:rsid w:val="0030431C"/>
    <w:rsid w:val="0030569C"/>
    <w:rsid w:val="00305726"/>
    <w:rsid w:val="003058B0"/>
    <w:rsid w:val="0030698A"/>
    <w:rsid w:val="00306E14"/>
    <w:rsid w:val="003071E0"/>
    <w:rsid w:val="0030725F"/>
    <w:rsid w:val="003074E8"/>
    <w:rsid w:val="00307A6A"/>
    <w:rsid w:val="00307EBA"/>
    <w:rsid w:val="0031037A"/>
    <w:rsid w:val="00311AAD"/>
    <w:rsid w:val="00311B50"/>
    <w:rsid w:val="00311D53"/>
    <w:rsid w:val="0031250E"/>
    <w:rsid w:val="0031268F"/>
    <w:rsid w:val="0031310B"/>
    <w:rsid w:val="003134A1"/>
    <w:rsid w:val="00314CB1"/>
    <w:rsid w:val="00314F0F"/>
    <w:rsid w:val="00315B40"/>
    <w:rsid w:val="0031610B"/>
    <w:rsid w:val="003165CA"/>
    <w:rsid w:val="00316C5C"/>
    <w:rsid w:val="0031711C"/>
    <w:rsid w:val="003178BD"/>
    <w:rsid w:val="00317B92"/>
    <w:rsid w:val="0032014A"/>
    <w:rsid w:val="003213B5"/>
    <w:rsid w:val="00321D61"/>
    <w:rsid w:val="0032216B"/>
    <w:rsid w:val="00322870"/>
    <w:rsid w:val="00322D47"/>
    <w:rsid w:val="003236A6"/>
    <w:rsid w:val="00323AE5"/>
    <w:rsid w:val="00324A08"/>
    <w:rsid w:val="00324E9B"/>
    <w:rsid w:val="00324F30"/>
    <w:rsid w:val="003250C9"/>
    <w:rsid w:val="00325754"/>
    <w:rsid w:val="0032660B"/>
    <w:rsid w:val="0032733B"/>
    <w:rsid w:val="0032770C"/>
    <w:rsid w:val="00327EA0"/>
    <w:rsid w:val="00332012"/>
    <w:rsid w:val="00332397"/>
    <w:rsid w:val="00332673"/>
    <w:rsid w:val="0033297D"/>
    <w:rsid w:val="00332A1F"/>
    <w:rsid w:val="00333DAF"/>
    <w:rsid w:val="003347A0"/>
    <w:rsid w:val="00334AB5"/>
    <w:rsid w:val="00334BA3"/>
    <w:rsid w:val="00334C1F"/>
    <w:rsid w:val="003351D1"/>
    <w:rsid w:val="00335255"/>
    <w:rsid w:val="003361A8"/>
    <w:rsid w:val="003361CF"/>
    <w:rsid w:val="00336642"/>
    <w:rsid w:val="003366DC"/>
    <w:rsid w:val="00336809"/>
    <w:rsid w:val="00336DF0"/>
    <w:rsid w:val="00337586"/>
    <w:rsid w:val="0033759A"/>
    <w:rsid w:val="00337B15"/>
    <w:rsid w:val="003406F8"/>
    <w:rsid w:val="003408E1"/>
    <w:rsid w:val="00341E92"/>
    <w:rsid w:val="00341EA7"/>
    <w:rsid w:val="003439C9"/>
    <w:rsid w:val="00343BF3"/>
    <w:rsid w:val="00343C8E"/>
    <w:rsid w:val="00344B40"/>
    <w:rsid w:val="00344B50"/>
    <w:rsid w:val="00345061"/>
    <w:rsid w:val="00345232"/>
    <w:rsid w:val="00345F15"/>
    <w:rsid w:val="00345FF6"/>
    <w:rsid w:val="003465C1"/>
    <w:rsid w:val="00346B51"/>
    <w:rsid w:val="00346F0D"/>
    <w:rsid w:val="00347013"/>
    <w:rsid w:val="00347500"/>
    <w:rsid w:val="00347511"/>
    <w:rsid w:val="00347712"/>
    <w:rsid w:val="00347AFA"/>
    <w:rsid w:val="00347C2C"/>
    <w:rsid w:val="00347DB2"/>
    <w:rsid w:val="00350858"/>
    <w:rsid w:val="003524CF"/>
    <w:rsid w:val="00352AFB"/>
    <w:rsid w:val="00352C98"/>
    <w:rsid w:val="00352E89"/>
    <w:rsid w:val="00352EF8"/>
    <w:rsid w:val="00352FC6"/>
    <w:rsid w:val="00354528"/>
    <w:rsid w:val="00354E76"/>
    <w:rsid w:val="003551A8"/>
    <w:rsid w:val="00355222"/>
    <w:rsid w:val="0035529F"/>
    <w:rsid w:val="003562F7"/>
    <w:rsid w:val="003565A4"/>
    <w:rsid w:val="0035671E"/>
    <w:rsid w:val="003567F7"/>
    <w:rsid w:val="00356996"/>
    <w:rsid w:val="00356B55"/>
    <w:rsid w:val="00356E72"/>
    <w:rsid w:val="00356F89"/>
    <w:rsid w:val="00357343"/>
    <w:rsid w:val="00357708"/>
    <w:rsid w:val="0035787B"/>
    <w:rsid w:val="00357EFD"/>
    <w:rsid w:val="0036042E"/>
    <w:rsid w:val="00360F13"/>
    <w:rsid w:val="003619B3"/>
    <w:rsid w:val="00361D52"/>
    <w:rsid w:val="0036226F"/>
    <w:rsid w:val="00362F45"/>
    <w:rsid w:val="00362F59"/>
    <w:rsid w:val="00365411"/>
    <w:rsid w:val="003656D7"/>
    <w:rsid w:val="00365718"/>
    <w:rsid w:val="00366075"/>
    <w:rsid w:val="00366644"/>
    <w:rsid w:val="003666AC"/>
    <w:rsid w:val="003666E1"/>
    <w:rsid w:val="003667F4"/>
    <w:rsid w:val="0036697B"/>
    <w:rsid w:val="00367957"/>
    <w:rsid w:val="0037083E"/>
    <w:rsid w:val="00370B0F"/>
    <w:rsid w:val="00370C76"/>
    <w:rsid w:val="00370F15"/>
    <w:rsid w:val="00372F0E"/>
    <w:rsid w:val="00373017"/>
    <w:rsid w:val="00373287"/>
    <w:rsid w:val="00373361"/>
    <w:rsid w:val="00373675"/>
    <w:rsid w:val="003738C3"/>
    <w:rsid w:val="00373C63"/>
    <w:rsid w:val="00373D2E"/>
    <w:rsid w:val="00373E03"/>
    <w:rsid w:val="00373E32"/>
    <w:rsid w:val="003746B6"/>
    <w:rsid w:val="00374B3D"/>
    <w:rsid w:val="00374C97"/>
    <w:rsid w:val="00374E63"/>
    <w:rsid w:val="0037507A"/>
    <w:rsid w:val="003759D5"/>
    <w:rsid w:val="00375D0B"/>
    <w:rsid w:val="00376156"/>
    <w:rsid w:val="00376651"/>
    <w:rsid w:val="00376E08"/>
    <w:rsid w:val="00377753"/>
    <w:rsid w:val="00377A64"/>
    <w:rsid w:val="003803FE"/>
    <w:rsid w:val="0038044D"/>
    <w:rsid w:val="00380595"/>
    <w:rsid w:val="00380940"/>
    <w:rsid w:val="00380DF9"/>
    <w:rsid w:val="0038114C"/>
    <w:rsid w:val="003812D0"/>
    <w:rsid w:val="003813C8"/>
    <w:rsid w:val="00382489"/>
    <w:rsid w:val="00382E19"/>
    <w:rsid w:val="003830D8"/>
    <w:rsid w:val="003831F3"/>
    <w:rsid w:val="00383AEF"/>
    <w:rsid w:val="00383C6E"/>
    <w:rsid w:val="00383D2F"/>
    <w:rsid w:val="00383E86"/>
    <w:rsid w:val="00383EBE"/>
    <w:rsid w:val="00384185"/>
    <w:rsid w:val="00384D4D"/>
    <w:rsid w:val="00384F51"/>
    <w:rsid w:val="0038505F"/>
    <w:rsid w:val="00385367"/>
    <w:rsid w:val="00385678"/>
    <w:rsid w:val="003859EC"/>
    <w:rsid w:val="00386252"/>
    <w:rsid w:val="00387393"/>
    <w:rsid w:val="00387886"/>
    <w:rsid w:val="00387896"/>
    <w:rsid w:val="00387900"/>
    <w:rsid w:val="00387B6A"/>
    <w:rsid w:val="00390651"/>
    <w:rsid w:val="00390CC3"/>
    <w:rsid w:val="00390EA3"/>
    <w:rsid w:val="0039102A"/>
    <w:rsid w:val="0039191E"/>
    <w:rsid w:val="00392185"/>
    <w:rsid w:val="003921AB"/>
    <w:rsid w:val="00392233"/>
    <w:rsid w:val="00392C50"/>
    <w:rsid w:val="00392EC6"/>
    <w:rsid w:val="00393373"/>
    <w:rsid w:val="0039342F"/>
    <w:rsid w:val="00393468"/>
    <w:rsid w:val="00394CEF"/>
    <w:rsid w:val="00394E7B"/>
    <w:rsid w:val="003952EE"/>
    <w:rsid w:val="00395FDA"/>
    <w:rsid w:val="00396CEC"/>
    <w:rsid w:val="00397386"/>
    <w:rsid w:val="00397669"/>
    <w:rsid w:val="00397A3E"/>
    <w:rsid w:val="00397FCF"/>
    <w:rsid w:val="003A0C26"/>
    <w:rsid w:val="003A1019"/>
    <w:rsid w:val="003A10FA"/>
    <w:rsid w:val="003A12A6"/>
    <w:rsid w:val="003A138B"/>
    <w:rsid w:val="003A1664"/>
    <w:rsid w:val="003A1B37"/>
    <w:rsid w:val="003A2432"/>
    <w:rsid w:val="003A2B99"/>
    <w:rsid w:val="003A33BE"/>
    <w:rsid w:val="003A373B"/>
    <w:rsid w:val="003A4783"/>
    <w:rsid w:val="003A6169"/>
    <w:rsid w:val="003A6235"/>
    <w:rsid w:val="003A68CB"/>
    <w:rsid w:val="003A6D7E"/>
    <w:rsid w:val="003A72B1"/>
    <w:rsid w:val="003A7643"/>
    <w:rsid w:val="003A7820"/>
    <w:rsid w:val="003B0655"/>
    <w:rsid w:val="003B0BA9"/>
    <w:rsid w:val="003B167E"/>
    <w:rsid w:val="003B18A9"/>
    <w:rsid w:val="003B1ADC"/>
    <w:rsid w:val="003B2584"/>
    <w:rsid w:val="003B25AB"/>
    <w:rsid w:val="003B37A0"/>
    <w:rsid w:val="003B445E"/>
    <w:rsid w:val="003B4BE7"/>
    <w:rsid w:val="003B4D7C"/>
    <w:rsid w:val="003B4E9E"/>
    <w:rsid w:val="003B59EB"/>
    <w:rsid w:val="003B5B8F"/>
    <w:rsid w:val="003B5EC5"/>
    <w:rsid w:val="003B6715"/>
    <w:rsid w:val="003B6824"/>
    <w:rsid w:val="003B6914"/>
    <w:rsid w:val="003B6C77"/>
    <w:rsid w:val="003B706F"/>
    <w:rsid w:val="003B7815"/>
    <w:rsid w:val="003B7B5D"/>
    <w:rsid w:val="003B7DB5"/>
    <w:rsid w:val="003B7DFB"/>
    <w:rsid w:val="003C0176"/>
    <w:rsid w:val="003C04A3"/>
    <w:rsid w:val="003C0565"/>
    <w:rsid w:val="003C0598"/>
    <w:rsid w:val="003C067E"/>
    <w:rsid w:val="003C09CF"/>
    <w:rsid w:val="003C0DAD"/>
    <w:rsid w:val="003C148F"/>
    <w:rsid w:val="003C2C4B"/>
    <w:rsid w:val="003C4E0F"/>
    <w:rsid w:val="003C4E36"/>
    <w:rsid w:val="003C4F8B"/>
    <w:rsid w:val="003C52C8"/>
    <w:rsid w:val="003C5ACA"/>
    <w:rsid w:val="003C5E86"/>
    <w:rsid w:val="003C5EC3"/>
    <w:rsid w:val="003C658F"/>
    <w:rsid w:val="003C7769"/>
    <w:rsid w:val="003D0717"/>
    <w:rsid w:val="003D0CB8"/>
    <w:rsid w:val="003D0F92"/>
    <w:rsid w:val="003D0FDB"/>
    <w:rsid w:val="003D103F"/>
    <w:rsid w:val="003D11A2"/>
    <w:rsid w:val="003D1E05"/>
    <w:rsid w:val="003D1F0D"/>
    <w:rsid w:val="003D23BB"/>
    <w:rsid w:val="003D47D2"/>
    <w:rsid w:val="003D4922"/>
    <w:rsid w:val="003D5156"/>
    <w:rsid w:val="003D525D"/>
    <w:rsid w:val="003D555E"/>
    <w:rsid w:val="003D5721"/>
    <w:rsid w:val="003D651D"/>
    <w:rsid w:val="003D676E"/>
    <w:rsid w:val="003D6E5D"/>
    <w:rsid w:val="003D7220"/>
    <w:rsid w:val="003D77C7"/>
    <w:rsid w:val="003E0042"/>
    <w:rsid w:val="003E0671"/>
    <w:rsid w:val="003E06DF"/>
    <w:rsid w:val="003E082C"/>
    <w:rsid w:val="003E08F7"/>
    <w:rsid w:val="003E1179"/>
    <w:rsid w:val="003E12FB"/>
    <w:rsid w:val="003E1460"/>
    <w:rsid w:val="003E14AF"/>
    <w:rsid w:val="003E1510"/>
    <w:rsid w:val="003E19F6"/>
    <w:rsid w:val="003E2B89"/>
    <w:rsid w:val="003E2C66"/>
    <w:rsid w:val="003E2F96"/>
    <w:rsid w:val="003E2FE1"/>
    <w:rsid w:val="003E3B3E"/>
    <w:rsid w:val="003E3FDE"/>
    <w:rsid w:val="003E457C"/>
    <w:rsid w:val="003E4FE0"/>
    <w:rsid w:val="003E500D"/>
    <w:rsid w:val="003E519F"/>
    <w:rsid w:val="003E6F8D"/>
    <w:rsid w:val="003E7770"/>
    <w:rsid w:val="003F0140"/>
    <w:rsid w:val="003F2055"/>
    <w:rsid w:val="003F2059"/>
    <w:rsid w:val="003F2486"/>
    <w:rsid w:val="003F28D5"/>
    <w:rsid w:val="003F2D39"/>
    <w:rsid w:val="003F2E0C"/>
    <w:rsid w:val="003F2EE6"/>
    <w:rsid w:val="003F3338"/>
    <w:rsid w:val="003F36D0"/>
    <w:rsid w:val="003F3AF0"/>
    <w:rsid w:val="003F3B23"/>
    <w:rsid w:val="003F3C2A"/>
    <w:rsid w:val="003F4A6D"/>
    <w:rsid w:val="003F4D48"/>
    <w:rsid w:val="003F5869"/>
    <w:rsid w:val="003F5ED7"/>
    <w:rsid w:val="003F696C"/>
    <w:rsid w:val="003F7841"/>
    <w:rsid w:val="003F7DAC"/>
    <w:rsid w:val="00400DC7"/>
    <w:rsid w:val="00401DEA"/>
    <w:rsid w:val="004020F7"/>
    <w:rsid w:val="004022E8"/>
    <w:rsid w:val="004023ED"/>
    <w:rsid w:val="004038FE"/>
    <w:rsid w:val="00403BC5"/>
    <w:rsid w:val="00403F0C"/>
    <w:rsid w:val="004046B2"/>
    <w:rsid w:val="0040491A"/>
    <w:rsid w:val="00404D30"/>
    <w:rsid w:val="00404D42"/>
    <w:rsid w:val="00404FC7"/>
    <w:rsid w:val="0040500F"/>
    <w:rsid w:val="004059F4"/>
    <w:rsid w:val="00405AFC"/>
    <w:rsid w:val="00406195"/>
    <w:rsid w:val="00406613"/>
    <w:rsid w:val="0040663C"/>
    <w:rsid w:val="00406715"/>
    <w:rsid w:val="0040693C"/>
    <w:rsid w:val="004079E7"/>
    <w:rsid w:val="00407ABC"/>
    <w:rsid w:val="004100C7"/>
    <w:rsid w:val="00410583"/>
    <w:rsid w:val="00410BC0"/>
    <w:rsid w:val="00410F8B"/>
    <w:rsid w:val="00411293"/>
    <w:rsid w:val="00411E7A"/>
    <w:rsid w:val="0041206D"/>
    <w:rsid w:val="004122B7"/>
    <w:rsid w:val="00412715"/>
    <w:rsid w:val="00412A21"/>
    <w:rsid w:val="00412C6C"/>
    <w:rsid w:val="00412E32"/>
    <w:rsid w:val="00412FBA"/>
    <w:rsid w:val="004134F5"/>
    <w:rsid w:val="0041353F"/>
    <w:rsid w:val="0041390E"/>
    <w:rsid w:val="00413B6D"/>
    <w:rsid w:val="004142F2"/>
    <w:rsid w:val="00414753"/>
    <w:rsid w:val="00414B87"/>
    <w:rsid w:val="00415A6F"/>
    <w:rsid w:val="0041641C"/>
    <w:rsid w:val="00416AD1"/>
    <w:rsid w:val="004174F3"/>
    <w:rsid w:val="0041758C"/>
    <w:rsid w:val="00417DBA"/>
    <w:rsid w:val="004201D2"/>
    <w:rsid w:val="00420989"/>
    <w:rsid w:val="004209C8"/>
    <w:rsid w:val="00420E7D"/>
    <w:rsid w:val="004212BA"/>
    <w:rsid w:val="00421446"/>
    <w:rsid w:val="00421AB2"/>
    <w:rsid w:val="00421CC1"/>
    <w:rsid w:val="00421CEE"/>
    <w:rsid w:val="00421FA1"/>
    <w:rsid w:val="0042235C"/>
    <w:rsid w:val="00422391"/>
    <w:rsid w:val="00422ACD"/>
    <w:rsid w:val="00422C86"/>
    <w:rsid w:val="004233BD"/>
    <w:rsid w:val="0042378F"/>
    <w:rsid w:val="00423850"/>
    <w:rsid w:val="00423D5E"/>
    <w:rsid w:val="00424600"/>
    <w:rsid w:val="00424982"/>
    <w:rsid w:val="004257C5"/>
    <w:rsid w:val="0042592F"/>
    <w:rsid w:val="004262BE"/>
    <w:rsid w:val="00426432"/>
    <w:rsid w:val="00426784"/>
    <w:rsid w:val="00426C8B"/>
    <w:rsid w:val="00427841"/>
    <w:rsid w:val="00430480"/>
    <w:rsid w:val="004311E7"/>
    <w:rsid w:val="00431553"/>
    <w:rsid w:val="00432197"/>
    <w:rsid w:val="00432660"/>
    <w:rsid w:val="00432A0F"/>
    <w:rsid w:val="00432F80"/>
    <w:rsid w:val="0043345B"/>
    <w:rsid w:val="004334DF"/>
    <w:rsid w:val="004334ED"/>
    <w:rsid w:val="004335D1"/>
    <w:rsid w:val="00433DF7"/>
    <w:rsid w:val="00434259"/>
    <w:rsid w:val="00434881"/>
    <w:rsid w:val="00434C35"/>
    <w:rsid w:val="00434CB4"/>
    <w:rsid w:val="004358F5"/>
    <w:rsid w:val="00436C32"/>
    <w:rsid w:val="004374B4"/>
    <w:rsid w:val="00437AF5"/>
    <w:rsid w:val="0044094D"/>
    <w:rsid w:val="00440CD6"/>
    <w:rsid w:val="00441783"/>
    <w:rsid w:val="00441D3C"/>
    <w:rsid w:val="00442C7C"/>
    <w:rsid w:val="00442DE8"/>
    <w:rsid w:val="004432FB"/>
    <w:rsid w:val="00443413"/>
    <w:rsid w:val="0044404B"/>
    <w:rsid w:val="004444D4"/>
    <w:rsid w:val="004450FE"/>
    <w:rsid w:val="00445C13"/>
    <w:rsid w:val="00445D7A"/>
    <w:rsid w:val="00445DE2"/>
    <w:rsid w:val="00446A23"/>
    <w:rsid w:val="00446EA0"/>
    <w:rsid w:val="00447012"/>
    <w:rsid w:val="0044705A"/>
    <w:rsid w:val="0044797B"/>
    <w:rsid w:val="00450255"/>
    <w:rsid w:val="00450566"/>
    <w:rsid w:val="0045157F"/>
    <w:rsid w:val="00451ECE"/>
    <w:rsid w:val="00452EDE"/>
    <w:rsid w:val="004539E5"/>
    <w:rsid w:val="00453E57"/>
    <w:rsid w:val="00454797"/>
    <w:rsid w:val="00454A4C"/>
    <w:rsid w:val="004552A7"/>
    <w:rsid w:val="00455958"/>
    <w:rsid w:val="004560AE"/>
    <w:rsid w:val="00456E2E"/>
    <w:rsid w:val="0045741D"/>
    <w:rsid w:val="00457574"/>
    <w:rsid w:val="00457641"/>
    <w:rsid w:val="00457A77"/>
    <w:rsid w:val="004600AA"/>
    <w:rsid w:val="004602BB"/>
    <w:rsid w:val="00460514"/>
    <w:rsid w:val="00460B1E"/>
    <w:rsid w:val="004612AC"/>
    <w:rsid w:val="004615F7"/>
    <w:rsid w:val="004617CF"/>
    <w:rsid w:val="00461C6A"/>
    <w:rsid w:val="004622AB"/>
    <w:rsid w:val="00462325"/>
    <w:rsid w:val="004623D7"/>
    <w:rsid w:val="0046414F"/>
    <w:rsid w:val="004642F0"/>
    <w:rsid w:val="00464ECE"/>
    <w:rsid w:val="0046514A"/>
    <w:rsid w:val="0046571C"/>
    <w:rsid w:val="00465ACB"/>
    <w:rsid w:val="00465AD9"/>
    <w:rsid w:val="0046603F"/>
    <w:rsid w:val="004663B1"/>
    <w:rsid w:val="004667B7"/>
    <w:rsid w:val="0046680E"/>
    <w:rsid w:val="00466C20"/>
    <w:rsid w:val="00466D9B"/>
    <w:rsid w:val="00466EFD"/>
    <w:rsid w:val="004676CB"/>
    <w:rsid w:val="00467A94"/>
    <w:rsid w:val="004700D9"/>
    <w:rsid w:val="004704D0"/>
    <w:rsid w:val="004707EA"/>
    <w:rsid w:val="004712C4"/>
    <w:rsid w:val="0047145D"/>
    <w:rsid w:val="00471E8B"/>
    <w:rsid w:val="0047447D"/>
    <w:rsid w:val="004755FC"/>
    <w:rsid w:val="0047617C"/>
    <w:rsid w:val="004765E1"/>
    <w:rsid w:val="004770A7"/>
    <w:rsid w:val="004770FE"/>
    <w:rsid w:val="00477BAB"/>
    <w:rsid w:val="00477BBA"/>
    <w:rsid w:val="00477CE2"/>
    <w:rsid w:val="0048016E"/>
    <w:rsid w:val="00480E02"/>
    <w:rsid w:val="0048109E"/>
    <w:rsid w:val="00481128"/>
    <w:rsid w:val="00481A34"/>
    <w:rsid w:val="00481CC3"/>
    <w:rsid w:val="0048205F"/>
    <w:rsid w:val="00482331"/>
    <w:rsid w:val="00482BF3"/>
    <w:rsid w:val="00482DC6"/>
    <w:rsid w:val="0048504A"/>
    <w:rsid w:val="0048532E"/>
    <w:rsid w:val="00485867"/>
    <w:rsid w:val="0048626F"/>
    <w:rsid w:val="0048660D"/>
    <w:rsid w:val="00486829"/>
    <w:rsid w:val="0049086A"/>
    <w:rsid w:val="00491199"/>
    <w:rsid w:val="004918E1"/>
    <w:rsid w:val="00491B75"/>
    <w:rsid w:val="004923D7"/>
    <w:rsid w:val="004926DD"/>
    <w:rsid w:val="00493158"/>
    <w:rsid w:val="0049353D"/>
    <w:rsid w:val="004935AC"/>
    <w:rsid w:val="00493D4F"/>
    <w:rsid w:val="00494DA7"/>
    <w:rsid w:val="00494E45"/>
    <w:rsid w:val="00494E71"/>
    <w:rsid w:val="00495032"/>
    <w:rsid w:val="004950FE"/>
    <w:rsid w:val="004953CA"/>
    <w:rsid w:val="00495FB2"/>
    <w:rsid w:val="00496097"/>
    <w:rsid w:val="0049622A"/>
    <w:rsid w:val="004968FC"/>
    <w:rsid w:val="00496FE3"/>
    <w:rsid w:val="004A0B9E"/>
    <w:rsid w:val="004A0EA9"/>
    <w:rsid w:val="004A1935"/>
    <w:rsid w:val="004A1D70"/>
    <w:rsid w:val="004A2B20"/>
    <w:rsid w:val="004A2B48"/>
    <w:rsid w:val="004A431E"/>
    <w:rsid w:val="004A48D3"/>
    <w:rsid w:val="004A4BFA"/>
    <w:rsid w:val="004A4DFC"/>
    <w:rsid w:val="004A5230"/>
    <w:rsid w:val="004A56B2"/>
    <w:rsid w:val="004A5B2D"/>
    <w:rsid w:val="004A5E1D"/>
    <w:rsid w:val="004A657E"/>
    <w:rsid w:val="004A670C"/>
    <w:rsid w:val="004A6B69"/>
    <w:rsid w:val="004A718E"/>
    <w:rsid w:val="004A7F43"/>
    <w:rsid w:val="004B02A0"/>
    <w:rsid w:val="004B04C6"/>
    <w:rsid w:val="004B05CE"/>
    <w:rsid w:val="004B0755"/>
    <w:rsid w:val="004B108E"/>
    <w:rsid w:val="004B134F"/>
    <w:rsid w:val="004B179D"/>
    <w:rsid w:val="004B17AE"/>
    <w:rsid w:val="004B1FE9"/>
    <w:rsid w:val="004B29F7"/>
    <w:rsid w:val="004B2ED1"/>
    <w:rsid w:val="004B3DE2"/>
    <w:rsid w:val="004B4ED9"/>
    <w:rsid w:val="004B5201"/>
    <w:rsid w:val="004B5360"/>
    <w:rsid w:val="004B5947"/>
    <w:rsid w:val="004B5A96"/>
    <w:rsid w:val="004B63F3"/>
    <w:rsid w:val="004B66D5"/>
    <w:rsid w:val="004B6E93"/>
    <w:rsid w:val="004B6F02"/>
    <w:rsid w:val="004B73A4"/>
    <w:rsid w:val="004B7A34"/>
    <w:rsid w:val="004C06EF"/>
    <w:rsid w:val="004C0C35"/>
    <w:rsid w:val="004C0D35"/>
    <w:rsid w:val="004C137E"/>
    <w:rsid w:val="004C1401"/>
    <w:rsid w:val="004C1674"/>
    <w:rsid w:val="004C1747"/>
    <w:rsid w:val="004C2C44"/>
    <w:rsid w:val="004C304B"/>
    <w:rsid w:val="004C3B9D"/>
    <w:rsid w:val="004C3C45"/>
    <w:rsid w:val="004C3DD3"/>
    <w:rsid w:val="004C4308"/>
    <w:rsid w:val="004C4CC4"/>
    <w:rsid w:val="004C5145"/>
    <w:rsid w:val="004C560B"/>
    <w:rsid w:val="004C58A9"/>
    <w:rsid w:val="004C5963"/>
    <w:rsid w:val="004C5D90"/>
    <w:rsid w:val="004C683D"/>
    <w:rsid w:val="004C71A9"/>
    <w:rsid w:val="004C733C"/>
    <w:rsid w:val="004C74D7"/>
    <w:rsid w:val="004C7687"/>
    <w:rsid w:val="004C7B87"/>
    <w:rsid w:val="004D01E6"/>
    <w:rsid w:val="004D025B"/>
    <w:rsid w:val="004D03BC"/>
    <w:rsid w:val="004D03D7"/>
    <w:rsid w:val="004D16A1"/>
    <w:rsid w:val="004D179B"/>
    <w:rsid w:val="004D1C45"/>
    <w:rsid w:val="004D1D3D"/>
    <w:rsid w:val="004D1E3A"/>
    <w:rsid w:val="004D2967"/>
    <w:rsid w:val="004D30FC"/>
    <w:rsid w:val="004D31CA"/>
    <w:rsid w:val="004D3992"/>
    <w:rsid w:val="004D44EA"/>
    <w:rsid w:val="004D4BEA"/>
    <w:rsid w:val="004D4D70"/>
    <w:rsid w:val="004D4DD7"/>
    <w:rsid w:val="004D51AF"/>
    <w:rsid w:val="004D6B8B"/>
    <w:rsid w:val="004D752F"/>
    <w:rsid w:val="004D76AE"/>
    <w:rsid w:val="004D7AF2"/>
    <w:rsid w:val="004D7EA4"/>
    <w:rsid w:val="004E0671"/>
    <w:rsid w:val="004E06FA"/>
    <w:rsid w:val="004E0A0D"/>
    <w:rsid w:val="004E17B7"/>
    <w:rsid w:val="004E25D4"/>
    <w:rsid w:val="004E25F4"/>
    <w:rsid w:val="004E3163"/>
    <w:rsid w:val="004E363B"/>
    <w:rsid w:val="004E370F"/>
    <w:rsid w:val="004E3948"/>
    <w:rsid w:val="004E3AB2"/>
    <w:rsid w:val="004E3CA6"/>
    <w:rsid w:val="004E3F4F"/>
    <w:rsid w:val="004E4D2F"/>
    <w:rsid w:val="004E4F06"/>
    <w:rsid w:val="004E56DD"/>
    <w:rsid w:val="004E57A9"/>
    <w:rsid w:val="004E5A67"/>
    <w:rsid w:val="004E5C66"/>
    <w:rsid w:val="004E677E"/>
    <w:rsid w:val="004E70C9"/>
    <w:rsid w:val="004E736B"/>
    <w:rsid w:val="004E7C94"/>
    <w:rsid w:val="004F00A4"/>
    <w:rsid w:val="004F0AA5"/>
    <w:rsid w:val="004F133B"/>
    <w:rsid w:val="004F159E"/>
    <w:rsid w:val="004F17B1"/>
    <w:rsid w:val="004F27B1"/>
    <w:rsid w:val="004F2897"/>
    <w:rsid w:val="004F3149"/>
    <w:rsid w:val="004F315F"/>
    <w:rsid w:val="004F3AE1"/>
    <w:rsid w:val="004F3CD3"/>
    <w:rsid w:val="004F417C"/>
    <w:rsid w:val="004F42AC"/>
    <w:rsid w:val="004F451A"/>
    <w:rsid w:val="004F5231"/>
    <w:rsid w:val="004F5802"/>
    <w:rsid w:val="004F6510"/>
    <w:rsid w:val="004F690A"/>
    <w:rsid w:val="004F71CA"/>
    <w:rsid w:val="004F77FA"/>
    <w:rsid w:val="00500154"/>
    <w:rsid w:val="00500A7A"/>
    <w:rsid w:val="00500EBD"/>
    <w:rsid w:val="00501536"/>
    <w:rsid w:val="0050323C"/>
    <w:rsid w:val="00503744"/>
    <w:rsid w:val="00503ACF"/>
    <w:rsid w:val="005049C7"/>
    <w:rsid w:val="00504BBB"/>
    <w:rsid w:val="00505224"/>
    <w:rsid w:val="00505824"/>
    <w:rsid w:val="005059E6"/>
    <w:rsid w:val="00505F9D"/>
    <w:rsid w:val="00506965"/>
    <w:rsid w:val="00506CD0"/>
    <w:rsid w:val="00507717"/>
    <w:rsid w:val="00510322"/>
    <w:rsid w:val="00511B10"/>
    <w:rsid w:val="00511BCA"/>
    <w:rsid w:val="00511D1E"/>
    <w:rsid w:val="00511D32"/>
    <w:rsid w:val="0051230B"/>
    <w:rsid w:val="005123CB"/>
    <w:rsid w:val="00512DEE"/>
    <w:rsid w:val="005136AD"/>
    <w:rsid w:val="00514213"/>
    <w:rsid w:val="005144E0"/>
    <w:rsid w:val="00514500"/>
    <w:rsid w:val="00514BB6"/>
    <w:rsid w:val="00514D45"/>
    <w:rsid w:val="0051551F"/>
    <w:rsid w:val="00515799"/>
    <w:rsid w:val="005165D9"/>
    <w:rsid w:val="005168D3"/>
    <w:rsid w:val="00520106"/>
    <w:rsid w:val="0052042E"/>
    <w:rsid w:val="0052052F"/>
    <w:rsid w:val="00520570"/>
    <w:rsid w:val="00520BBD"/>
    <w:rsid w:val="005218D7"/>
    <w:rsid w:val="00521AB8"/>
    <w:rsid w:val="00521FAA"/>
    <w:rsid w:val="0052303D"/>
    <w:rsid w:val="005232F1"/>
    <w:rsid w:val="0052356D"/>
    <w:rsid w:val="005247D1"/>
    <w:rsid w:val="00525004"/>
    <w:rsid w:val="00525285"/>
    <w:rsid w:val="005258B6"/>
    <w:rsid w:val="00525CF2"/>
    <w:rsid w:val="005261A6"/>
    <w:rsid w:val="005268B5"/>
    <w:rsid w:val="00526BC3"/>
    <w:rsid w:val="00527030"/>
    <w:rsid w:val="0052707D"/>
    <w:rsid w:val="005270D1"/>
    <w:rsid w:val="00530055"/>
    <w:rsid w:val="00530185"/>
    <w:rsid w:val="00530372"/>
    <w:rsid w:val="0053101A"/>
    <w:rsid w:val="005315D4"/>
    <w:rsid w:val="00531E25"/>
    <w:rsid w:val="00533082"/>
    <w:rsid w:val="00533148"/>
    <w:rsid w:val="005334C1"/>
    <w:rsid w:val="00534236"/>
    <w:rsid w:val="00534454"/>
    <w:rsid w:val="00534C91"/>
    <w:rsid w:val="00535597"/>
    <w:rsid w:val="00535B58"/>
    <w:rsid w:val="00536CC5"/>
    <w:rsid w:val="005379CF"/>
    <w:rsid w:val="00541234"/>
    <w:rsid w:val="005414A4"/>
    <w:rsid w:val="00541654"/>
    <w:rsid w:val="005418B8"/>
    <w:rsid w:val="00541CD3"/>
    <w:rsid w:val="00541F35"/>
    <w:rsid w:val="00541FB2"/>
    <w:rsid w:val="00542413"/>
    <w:rsid w:val="00542EEE"/>
    <w:rsid w:val="0054372E"/>
    <w:rsid w:val="00543943"/>
    <w:rsid w:val="00543A02"/>
    <w:rsid w:val="0054491B"/>
    <w:rsid w:val="00544CE7"/>
    <w:rsid w:val="005456CB"/>
    <w:rsid w:val="00545CDE"/>
    <w:rsid w:val="005461FE"/>
    <w:rsid w:val="0054658A"/>
    <w:rsid w:val="00546A01"/>
    <w:rsid w:val="00546BD8"/>
    <w:rsid w:val="00546F74"/>
    <w:rsid w:val="00546FF7"/>
    <w:rsid w:val="00550135"/>
    <w:rsid w:val="0055065C"/>
    <w:rsid w:val="00550E7E"/>
    <w:rsid w:val="00552022"/>
    <w:rsid w:val="00552B75"/>
    <w:rsid w:val="0055350D"/>
    <w:rsid w:val="00553A60"/>
    <w:rsid w:val="00553B0A"/>
    <w:rsid w:val="00553CA3"/>
    <w:rsid w:val="00553F3F"/>
    <w:rsid w:val="00554160"/>
    <w:rsid w:val="005545EA"/>
    <w:rsid w:val="00554E37"/>
    <w:rsid w:val="00555101"/>
    <w:rsid w:val="00555105"/>
    <w:rsid w:val="0055651A"/>
    <w:rsid w:val="00556984"/>
    <w:rsid w:val="00556E3E"/>
    <w:rsid w:val="0055710A"/>
    <w:rsid w:val="00557727"/>
    <w:rsid w:val="00560109"/>
    <w:rsid w:val="00560451"/>
    <w:rsid w:val="00560475"/>
    <w:rsid w:val="005604CB"/>
    <w:rsid w:val="0056065F"/>
    <w:rsid w:val="00560812"/>
    <w:rsid w:val="00560934"/>
    <w:rsid w:val="00561687"/>
    <w:rsid w:val="00561A4F"/>
    <w:rsid w:val="00561E55"/>
    <w:rsid w:val="00562073"/>
    <w:rsid w:val="00562475"/>
    <w:rsid w:val="00562557"/>
    <w:rsid w:val="00562626"/>
    <w:rsid w:val="00562E5F"/>
    <w:rsid w:val="00563473"/>
    <w:rsid w:val="00563823"/>
    <w:rsid w:val="0056391F"/>
    <w:rsid w:val="00563B56"/>
    <w:rsid w:val="00563EED"/>
    <w:rsid w:val="0056543A"/>
    <w:rsid w:val="00565732"/>
    <w:rsid w:val="00566019"/>
    <w:rsid w:val="0056634F"/>
    <w:rsid w:val="00566413"/>
    <w:rsid w:val="00566E57"/>
    <w:rsid w:val="00567053"/>
    <w:rsid w:val="00567BDE"/>
    <w:rsid w:val="00567E09"/>
    <w:rsid w:val="005700BB"/>
    <w:rsid w:val="005702F3"/>
    <w:rsid w:val="00570304"/>
    <w:rsid w:val="00570696"/>
    <w:rsid w:val="00570C8B"/>
    <w:rsid w:val="005710CA"/>
    <w:rsid w:val="00571E37"/>
    <w:rsid w:val="005723E1"/>
    <w:rsid w:val="00573105"/>
    <w:rsid w:val="00573AAB"/>
    <w:rsid w:val="00573B2A"/>
    <w:rsid w:val="00573FE3"/>
    <w:rsid w:val="00575531"/>
    <w:rsid w:val="005756CC"/>
    <w:rsid w:val="00575917"/>
    <w:rsid w:val="00575BBD"/>
    <w:rsid w:val="00575EE9"/>
    <w:rsid w:val="00575FA0"/>
    <w:rsid w:val="00576574"/>
    <w:rsid w:val="005775E5"/>
    <w:rsid w:val="00577D2E"/>
    <w:rsid w:val="005804A7"/>
    <w:rsid w:val="005804BD"/>
    <w:rsid w:val="00581884"/>
    <w:rsid w:val="0058459F"/>
    <w:rsid w:val="0058469E"/>
    <w:rsid w:val="00585109"/>
    <w:rsid w:val="005853DB"/>
    <w:rsid w:val="005854B7"/>
    <w:rsid w:val="00585838"/>
    <w:rsid w:val="00585B88"/>
    <w:rsid w:val="00585F93"/>
    <w:rsid w:val="00586ED2"/>
    <w:rsid w:val="00587DBD"/>
    <w:rsid w:val="005906D9"/>
    <w:rsid w:val="00590A3E"/>
    <w:rsid w:val="00590B10"/>
    <w:rsid w:val="00590BD3"/>
    <w:rsid w:val="00590DDA"/>
    <w:rsid w:val="00591310"/>
    <w:rsid w:val="00591316"/>
    <w:rsid w:val="0059176B"/>
    <w:rsid w:val="00591D4C"/>
    <w:rsid w:val="00591E59"/>
    <w:rsid w:val="00592685"/>
    <w:rsid w:val="00592B5A"/>
    <w:rsid w:val="00592DA5"/>
    <w:rsid w:val="00592FEB"/>
    <w:rsid w:val="005930FF"/>
    <w:rsid w:val="0059404C"/>
    <w:rsid w:val="00594351"/>
    <w:rsid w:val="0059438D"/>
    <w:rsid w:val="00594555"/>
    <w:rsid w:val="00594676"/>
    <w:rsid w:val="005956F0"/>
    <w:rsid w:val="0059712C"/>
    <w:rsid w:val="00597361"/>
    <w:rsid w:val="00597DF7"/>
    <w:rsid w:val="005A03A9"/>
    <w:rsid w:val="005A08F0"/>
    <w:rsid w:val="005A137D"/>
    <w:rsid w:val="005A1E28"/>
    <w:rsid w:val="005A2CD1"/>
    <w:rsid w:val="005A2DEE"/>
    <w:rsid w:val="005A2F74"/>
    <w:rsid w:val="005A360F"/>
    <w:rsid w:val="005A39A1"/>
    <w:rsid w:val="005A3EAD"/>
    <w:rsid w:val="005A44F8"/>
    <w:rsid w:val="005A4602"/>
    <w:rsid w:val="005A4769"/>
    <w:rsid w:val="005A4837"/>
    <w:rsid w:val="005A4AC2"/>
    <w:rsid w:val="005A4ED6"/>
    <w:rsid w:val="005A4FAC"/>
    <w:rsid w:val="005A5605"/>
    <w:rsid w:val="005A56A8"/>
    <w:rsid w:val="005A5A10"/>
    <w:rsid w:val="005A7675"/>
    <w:rsid w:val="005A7A2E"/>
    <w:rsid w:val="005B008B"/>
    <w:rsid w:val="005B0120"/>
    <w:rsid w:val="005B0D90"/>
    <w:rsid w:val="005B165A"/>
    <w:rsid w:val="005B1A49"/>
    <w:rsid w:val="005B1AFB"/>
    <w:rsid w:val="005B2C27"/>
    <w:rsid w:val="005B2E47"/>
    <w:rsid w:val="005B31B9"/>
    <w:rsid w:val="005B35D6"/>
    <w:rsid w:val="005B3628"/>
    <w:rsid w:val="005B3CAC"/>
    <w:rsid w:val="005B4A05"/>
    <w:rsid w:val="005B5253"/>
    <w:rsid w:val="005B58BE"/>
    <w:rsid w:val="005B59E1"/>
    <w:rsid w:val="005B5A71"/>
    <w:rsid w:val="005B64D2"/>
    <w:rsid w:val="005B7239"/>
    <w:rsid w:val="005B72CA"/>
    <w:rsid w:val="005B7850"/>
    <w:rsid w:val="005B7AB4"/>
    <w:rsid w:val="005B7CD4"/>
    <w:rsid w:val="005C08AB"/>
    <w:rsid w:val="005C1415"/>
    <w:rsid w:val="005C14A0"/>
    <w:rsid w:val="005C1A52"/>
    <w:rsid w:val="005C1A76"/>
    <w:rsid w:val="005C1D71"/>
    <w:rsid w:val="005C1ED8"/>
    <w:rsid w:val="005C222A"/>
    <w:rsid w:val="005C24D8"/>
    <w:rsid w:val="005C310F"/>
    <w:rsid w:val="005C316F"/>
    <w:rsid w:val="005C3704"/>
    <w:rsid w:val="005C3D96"/>
    <w:rsid w:val="005C44D8"/>
    <w:rsid w:val="005C51FA"/>
    <w:rsid w:val="005C57C9"/>
    <w:rsid w:val="005C59F0"/>
    <w:rsid w:val="005C6C7D"/>
    <w:rsid w:val="005C7098"/>
    <w:rsid w:val="005C7113"/>
    <w:rsid w:val="005C722E"/>
    <w:rsid w:val="005C7512"/>
    <w:rsid w:val="005C762C"/>
    <w:rsid w:val="005C77FF"/>
    <w:rsid w:val="005D10F2"/>
    <w:rsid w:val="005D1414"/>
    <w:rsid w:val="005D1B44"/>
    <w:rsid w:val="005D20CA"/>
    <w:rsid w:val="005D2721"/>
    <w:rsid w:val="005D2836"/>
    <w:rsid w:val="005D33FD"/>
    <w:rsid w:val="005D3811"/>
    <w:rsid w:val="005D3B13"/>
    <w:rsid w:val="005D3C72"/>
    <w:rsid w:val="005D45A4"/>
    <w:rsid w:val="005D48B4"/>
    <w:rsid w:val="005D61E3"/>
    <w:rsid w:val="005D68AD"/>
    <w:rsid w:val="005D6942"/>
    <w:rsid w:val="005D6D3B"/>
    <w:rsid w:val="005D6D46"/>
    <w:rsid w:val="005D724E"/>
    <w:rsid w:val="005D7264"/>
    <w:rsid w:val="005D7CEF"/>
    <w:rsid w:val="005E0464"/>
    <w:rsid w:val="005E198E"/>
    <w:rsid w:val="005E1B33"/>
    <w:rsid w:val="005E2022"/>
    <w:rsid w:val="005E2315"/>
    <w:rsid w:val="005E2EE9"/>
    <w:rsid w:val="005E30ED"/>
    <w:rsid w:val="005E3FED"/>
    <w:rsid w:val="005E4251"/>
    <w:rsid w:val="005E4B3D"/>
    <w:rsid w:val="005E4B93"/>
    <w:rsid w:val="005E4CCE"/>
    <w:rsid w:val="005E520B"/>
    <w:rsid w:val="005E5346"/>
    <w:rsid w:val="005E5909"/>
    <w:rsid w:val="005E5FDC"/>
    <w:rsid w:val="005E64C8"/>
    <w:rsid w:val="005E6F9A"/>
    <w:rsid w:val="005E76B8"/>
    <w:rsid w:val="005F032E"/>
    <w:rsid w:val="005F090F"/>
    <w:rsid w:val="005F119A"/>
    <w:rsid w:val="005F34EE"/>
    <w:rsid w:val="005F3779"/>
    <w:rsid w:val="005F4243"/>
    <w:rsid w:val="005F4816"/>
    <w:rsid w:val="005F602C"/>
    <w:rsid w:val="005F6267"/>
    <w:rsid w:val="005F62AB"/>
    <w:rsid w:val="005F64ED"/>
    <w:rsid w:val="005F69D7"/>
    <w:rsid w:val="005F6C59"/>
    <w:rsid w:val="005F710A"/>
    <w:rsid w:val="005F723E"/>
    <w:rsid w:val="005F79AE"/>
    <w:rsid w:val="00601416"/>
    <w:rsid w:val="0060175C"/>
    <w:rsid w:val="00601983"/>
    <w:rsid w:val="006019BD"/>
    <w:rsid w:val="00602C6E"/>
    <w:rsid w:val="00603CF9"/>
    <w:rsid w:val="00604009"/>
    <w:rsid w:val="00604132"/>
    <w:rsid w:val="006043A5"/>
    <w:rsid w:val="00604A06"/>
    <w:rsid w:val="00604BCE"/>
    <w:rsid w:val="00604C59"/>
    <w:rsid w:val="0060522B"/>
    <w:rsid w:val="00605718"/>
    <w:rsid w:val="0060580E"/>
    <w:rsid w:val="00605B7C"/>
    <w:rsid w:val="00605D2A"/>
    <w:rsid w:val="00605FBD"/>
    <w:rsid w:val="006064A5"/>
    <w:rsid w:val="00606A2A"/>
    <w:rsid w:val="00607100"/>
    <w:rsid w:val="00607267"/>
    <w:rsid w:val="006072EB"/>
    <w:rsid w:val="00607425"/>
    <w:rsid w:val="00607FEA"/>
    <w:rsid w:val="00610D97"/>
    <w:rsid w:val="00610DCA"/>
    <w:rsid w:val="00611B77"/>
    <w:rsid w:val="00611E94"/>
    <w:rsid w:val="00612AE6"/>
    <w:rsid w:val="00613069"/>
    <w:rsid w:val="0061353E"/>
    <w:rsid w:val="006136F6"/>
    <w:rsid w:val="00613BC0"/>
    <w:rsid w:val="00613BFD"/>
    <w:rsid w:val="00614403"/>
    <w:rsid w:val="00614FDE"/>
    <w:rsid w:val="00615060"/>
    <w:rsid w:val="006158F7"/>
    <w:rsid w:val="0061606D"/>
    <w:rsid w:val="006161DA"/>
    <w:rsid w:val="00616641"/>
    <w:rsid w:val="00616AEF"/>
    <w:rsid w:val="006172FA"/>
    <w:rsid w:val="006174C2"/>
    <w:rsid w:val="00617972"/>
    <w:rsid w:val="006203C3"/>
    <w:rsid w:val="00620832"/>
    <w:rsid w:val="00620CF5"/>
    <w:rsid w:val="00620D4D"/>
    <w:rsid w:val="00620FE6"/>
    <w:rsid w:val="006222A6"/>
    <w:rsid w:val="00622C67"/>
    <w:rsid w:val="00623037"/>
    <w:rsid w:val="006231D0"/>
    <w:rsid w:val="006234E6"/>
    <w:rsid w:val="006236D9"/>
    <w:rsid w:val="00623E00"/>
    <w:rsid w:val="00625999"/>
    <w:rsid w:val="00625D7E"/>
    <w:rsid w:val="00626163"/>
    <w:rsid w:val="00626209"/>
    <w:rsid w:val="006264D5"/>
    <w:rsid w:val="00626E67"/>
    <w:rsid w:val="00627208"/>
    <w:rsid w:val="00630270"/>
    <w:rsid w:val="00631CF5"/>
    <w:rsid w:val="00631EF2"/>
    <w:rsid w:val="0063233A"/>
    <w:rsid w:val="006323DA"/>
    <w:rsid w:val="00632626"/>
    <w:rsid w:val="0063390A"/>
    <w:rsid w:val="00633917"/>
    <w:rsid w:val="00633B40"/>
    <w:rsid w:val="00633F58"/>
    <w:rsid w:val="00634CFD"/>
    <w:rsid w:val="006354FC"/>
    <w:rsid w:val="006358E0"/>
    <w:rsid w:val="00636728"/>
    <w:rsid w:val="00637294"/>
    <w:rsid w:val="006400AE"/>
    <w:rsid w:val="006401AC"/>
    <w:rsid w:val="0064090C"/>
    <w:rsid w:val="006413F0"/>
    <w:rsid w:val="00641725"/>
    <w:rsid w:val="006418BB"/>
    <w:rsid w:val="00641DC2"/>
    <w:rsid w:val="00642130"/>
    <w:rsid w:val="00642518"/>
    <w:rsid w:val="0064352A"/>
    <w:rsid w:val="00643579"/>
    <w:rsid w:val="006436BD"/>
    <w:rsid w:val="006437AF"/>
    <w:rsid w:val="00643A13"/>
    <w:rsid w:val="00643C7A"/>
    <w:rsid w:val="006441C4"/>
    <w:rsid w:val="00644649"/>
    <w:rsid w:val="0064487E"/>
    <w:rsid w:val="00644917"/>
    <w:rsid w:val="00644B0B"/>
    <w:rsid w:val="00645698"/>
    <w:rsid w:val="0064571B"/>
    <w:rsid w:val="00646126"/>
    <w:rsid w:val="0064689B"/>
    <w:rsid w:val="00646C4E"/>
    <w:rsid w:val="00646E49"/>
    <w:rsid w:val="00647A17"/>
    <w:rsid w:val="00647D91"/>
    <w:rsid w:val="00647F79"/>
    <w:rsid w:val="00650416"/>
    <w:rsid w:val="0065060A"/>
    <w:rsid w:val="006508F7"/>
    <w:rsid w:val="00651188"/>
    <w:rsid w:val="006512FC"/>
    <w:rsid w:val="00651416"/>
    <w:rsid w:val="00651850"/>
    <w:rsid w:val="00651DFB"/>
    <w:rsid w:val="0065258D"/>
    <w:rsid w:val="00654083"/>
    <w:rsid w:val="00654F7E"/>
    <w:rsid w:val="00655891"/>
    <w:rsid w:val="00655BB2"/>
    <w:rsid w:val="00657761"/>
    <w:rsid w:val="0065789C"/>
    <w:rsid w:val="0066042B"/>
    <w:rsid w:val="006606D4"/>
    <w:rsid w:val="0066092D"/>
    <w:rsid w:val="00660E0C"/>
    <w:rsid w:val="00660FDD"/>
    <w:rsid w:val="00661310"/>
    <w:rsid w:val="00661BCD"/>
    <w:rsid w:val="006624C9"/>
    <w:rsid w:val="006625AB"/>
    <w:rsid w:val="00662873"/>
    <w:rsid w:val="00662B96"/>
    <w:rsid w:val="00663129"/>
    <w:rsid w:val="006635A4"/>
    <w:rsid w:val="006637C0"/>
    <w:rsid w:val="00663BD2"/>
    <w:rsid w:val="00663D33"/>
    <w:rsid w:val="00663ED2"/>
    <w:rsid w:val="00663F33"/>
    <w:rsid w:val="00663FF1"/>
    <w:rsid w:val="0066402B"/>
    <w:rsid w:val="00664765"/>
    <w:rsid w:val="00665198"/>
    <w:rsid w:val="006652B4"/>
    <w:rsid w:val="0066641C"/>
    <w:rsid w:val="006705C5"/>
    <w:rsid w:val="00671284"/>
    <w:rsid w:val="00672372"/>
    <w:rsid w:val="006726DB"/>
    <w:rsid w:val="00672A70"/>
    <w:rsid w:val="00672CD7"/>
    <w:rsid w:val="006735ED"/>
    <w:rsid w:val="006738E4"/>
    <w:rsid w:val="00674D15"/>
    <w:rsid w:val="006756F7"/>
    <w:rsid w:val="006765CA"/>
    <w:rsid w:val="0067697D"/>
    <w:rsid w:val="00676E42"/>
    <w:rsid w:val="00676EDC"/>
    <w:rsid w:val="0067795A"/>
    <w:rsid w:val="00677A0E"/>
    <w:rsid w:val="00677AF4"/>
    <w:rsid w:val="00677F86"/>
    <w:rsid w:val="00681529"/>
    <w:rsid w:val="00681602"/>
    <w:rsid w:val="0068306C"/>
    <w:rsid w:val="00683B75"/>
    <w:rsid w:val="00683F84"/>
    <w:rsid w:val="00684226"/>
    <w:rsid w:val="00685003"/>
    <w:rsid w:val="0068517D"/>
    <w:rsid w:val="006851AE"/>
    <w:rsid w:val="006851C4"/>
    <w:rsid w:val="00685274"/>
    <w:rsid w:val="006855D6"/>
    <w:rsid w:val="006866DB"/>
    <w:rsid w:val="00686C8E"/>
    <w:rsid w:val="00686EC0"/>
    <w:rsid w:val="00687035"/>
    <w:rsid w:val="006878B9"/>
    <w:rsid w:val="0069178B"/>
    <w:rsid w:val="00691CC5"/>
    <w:rsid w:val="00691F99"/>
    <w:rsid w:val="0069235D"/>
    <w:rsid w:val="006930AD"/>
    <w:rsid w:val="006932D5"/>
    <w:rsid w:val="00693520"/>
    <w:rsid w:val="00693E23"/>
    <w:rsid w:val="0069422F"/>
    <w:rsid w:val="006964E2"/>
    <w:rsid w:val="00696D2C"/>
    <w:rsid w:val="00696E28"/>
    <w:rsid w:val="006973D0"/>
    <w:rsid w:val="0069743D"/>
    <w:rsid w:val="00697842"/>
    <w:rsid w:val="00697982"/>
    <w:rsid w:val="00697EC1"/>
    <w:rsid w:val="00697F07"/>
    <w:rsid w:val="006A00FC"/>
    <w:rsid w:val="006A0737"/>
    <w:rsid w:val="006A0929"/>
    <w:rsid w:val="006A12AA"/>
    <w:rsid w:val="006A1937"/>
    <w:rsid w:val="006A220F"/>
    <w:rsid w:val="006A25C3"/>
    <w:rsid w:val="006A2674"/>
    <w:rsid w:val="006A2E41"/>
    <w:rsid w:val="006A3238"/>
    <w:rsid w:val="006A35F7"/>
    <w:rsid w:val="006A3B71"/>
    <w:rsid w:val="006A3BB4"/>
    <w:rsid w:val="006A4A31"/>
    <w:rsid w:val="006A4AA6"/>
    <w:rsid w:val="006A5646"/>
    <w:rsid w:val="006A5AEC"/>
    <w:rsid w:val="006A5E9F"/>
    <w:rsid w:val="006A61AA"/>
    <w:rsid w:val="006A6725"/>
    <w:rsid w:val="006A6A4E"/>
    <w:rsid w:val="006A6B51"/>
    <w:rsid w:val="006A6B74"/>
    <w:rsid w:val="006B0008"/>
    <w:rsid w:val="006B0419"/>
    <w:rsid w:val="006B0763"/>
    <w:rsid w:val="006B13D2"/>
    <w:rsid w:val="006B24F7"/>
    <w:rsid w:val="006B2CCF"/>
    <w:rsid w:val="006B2F32"/>
    <w:rsid w:val="006B38F0"/>
    <w:rsid w:val="006B3929"/>
    <w:rsid w:val="006B39DF"/>
    <w:rsid w:val="006B3E6B"/>
    <w:rsid w:val="006B3EF4"/>
    <w:rsid w:val="006B443A"/>
    <w:rsid w:val="006B47E3"/>
    <w:rsid w:val="006B4F11"/>
    <w:rsid w:val="006B5B26"/>
    <w:rsid w:val="006B5F23"/>
    <w:rsid w:val="006B678B"/>
    <w:rsid w:val="006B69CA"/>
    <w:rsid w:val="006B6CA1"/>
    <w:rsid w:val="006B6F70"/>
    <w:rsid w:val="006B7528"/>
    <w:rsid w:val="006B7AA8"/>
    <w:rsid w:val="006B7B47"/>
    <w:rsid w:val="006B7DA9"/>
    <w:rsid w:val="006C0531"/>
    <w:rsid w:val="006C06EE"/>
    <w:rsid w:val="006C08C7"/>
    <w:rsid w:val="006C10C0"/>
    <w:rsid w:val="006C11E1"/>
    <w:rsid w:val="006C1269"/>
    <w:rsid w:val="006C1402"/>
    <w:rsid w:val="006C1AC0"/>
    <w:rsid w:val="006C2A8F"/>
    <w:rsid w:val="006C2EA5"/>
    <w:rsid w:val="006C3C24"/>
    <w:rsid w:val="006C3E39"/>
    <w:rsid w:val="006C4847"/>
    <w:rsid w:val="006C5079"/>
    <w:rsid w:val="006C525E"/>
    <w:rsid w:val="006C58F3"/>
    <w:rsid w:val="006C5B9A"/>
    <w:rsid w:val="006C6196"/>
    <w:rsid w:val="006C631E"/>
    <w:rsid w:val="006C6467"/>
    <w:rsid w:val="006C6CF5"/>
    <w:rsid w:val="006C73A6"/>
    <w:rsid w:val="006C73CB"/>
    <w:rsid w:val="006D0364"/>
    <w:rsid w:val="006D08E8"/>
    <w:rsid w:val="006D0B9E"/>
    <w:rsid w:val="006D0C11"/>
    <w:rsid w:val="006D0E62"/>
    <w:rsid w:val="006D11AD"/>
    <w:rsid w:val="006D19DF"/>
    <w:rsid w:val="006D21AF"/>
    <w:rsid w:val="006D220B"/>
    <w:rsid w:val="006D2D91"/>
    <w:rsid w:val="006D30E6"/>
    <w:rsid w:val="006D36D1"/>
    <w:rsid w:val="006D43A9"/>
    <w:rsid w:val="006D4C07"/>
    <w:rsid w:val="006D5A05"/>
    <w:rsid w:val="006D612C"/>
    <w:rsid w:val="006D62F0"/>
    <w:rsid w:val="006D66D4"/>
    <w:rsid w:val="006D694B"/>
    <w:rsid w:val="006D6C45"/>
    <w:rsid w:val="006D6FBA"/>
    <w:rsid w:val="006D6FFF"/>
    <w:rsid w:val="006E0D45"/>
    <w:rsid w:val="006E0E64"/>
    <w:rsid w:val="006E101D"/>
    <w:rsid w:val="006E15C6"/>
    <w:rsid w:val="006E1CE8"/>
    <w:rsid w:val="006E2312"/>
    <w:rsid w:val="006E2E7E"/>
    <w:rsid w:val="006E2EA6"/>
    <w:rsid w:val="006E4E8A"/>
    <w:rsid w:val="006E4F30"/>
    <w:rsid w:val="006E5160"/>
    <w:rsid w:val="006E564C"/>
    <w:rsid w:val="006E60B5"/>
    <w:rsid w:val="006E770C"/>
    <w:rsid w:val="006F0163"/>
    <w:rsid w:val="006F0746"/>
    <w:rsid w:val="006F099B"/>
    <w:rsid w:val="006F0C2E"/>
    <w:rsid w:val="006F0F77"/>
    <w:rsid w:val="006F1307"/>
    <w:rsid w:val="006F1560"/>
    <w:rsid w:val="006F15D7"/>
    <w:rsid w:val="006F16B2"/>
    <w:rsid w:val="006F1A28"/>
    <w:rsid w:val="006F1A8F"/>
    <w:rsid w:val="006F1DB5"/>
    <w:rsid w:val="006F1FC7"/>
    <w:rsid w:val="006F23A3"/>
    <w:rsid w:val="006F23D4"/>
    <w:rsid w:val="006F2A78"/>
    <w:rsid w:val="006F2B9B"/>
    <w:rsid w:val="006F30C4"/>
    <w:rsid w:val="006F3995"/>
    <w:rsid w:val="006F3FBA"/>
    <w:rsid w:val="006F4E50"/>
    <w:rsid w:val="006F53A7"/>
    <w:rsid w:val="006F5747"/>
    <w:rsid w:val="006F64DF"/>
    <w:rsid w:val="006F6C43"/>
    <w:rsid w:val="006F72CE"/>
    <w:rsid w:val="006F72D1"/>
    <w:rsid w:val="006F74E6"/>
    <w:rsid w:val="006F756C"/>
    <w:rsid w:val="006F7E91"/>
    <w:rsid w:val="0070028A"/>
    <w:rsid w:val="00700695"/>
    <w:rsid w:val="00700C4B"/>
    <w:rsid w:val="00700FB1"/>
    <w:rsid w:val="00701598"/>
    <w:rsid w:val="0070235D"/>
    <w:rsid w:val="007029F5"/>
    <w:rsid w:val="0070320F"/>
    <w:rsid w:val="0070372A"/>
    <w:rsid w:val="007037C5"/>
    <w:rsid w:val="00704A73"/>
    <w:rsid w:val="00704C73"/>
    <w:rsid w:val="00705073"/>
    <w:rsid w:val="007054DA"/>
    <w:rsid w:val="0070589F"/>
    <w:rsid w:val="0070600D"/>
    <w:rsid w:val="00707921"/>
    <w:rsid w:val="00707A1E"/>
    <w:rsid w:val="00707B9F"/>
    <w:rsid w:val="00707C2A"/>
    <w:rsid w:val="00707F60"/>
    <w:rsid w:val="007118B0"/>
    <w:rsid w:val="00711F3B"/>
    <w:rsid w:val="00712D4B"/>
    <w:rsid w:val="00713314"/>
    <w:rsid w:val="00713A1E"/>
    <w:rsid w:val="00714B11"/>
    <w:rsid w:val="00714E8A"/>
    <w:rsid w:val="007151D0"/>
    <w:rsid w:val="0071544C"/>
    <w:rsid w:val="00716882"/>
    <w:rsid w:val="00717757"/>
    <w:rsid w:val="00717D66"/>
    <w:rsid w:val="00720678"/>
    <w:rsid w:val="00721D59"/>
    <w:rsid w:val="00722BEF"/>
    <w:rsid w:val="00723082"/>
    <w:rsid w:val="007232F6"/>
    <w:rsid w:val="0072373F"/>
    <w:rsid w:val="00723D38"/>
    <w:rsid w:val="00723D42"/>
    <w:rsid w:val="00723E23"/>
    <w:rsid w:val="007245CB"/>
    <w:rsid w:val="00724E1F"/>
    <w:rsid w:val="00725B00"/>
    <w:rsid w:val="00725D32"/>
    <w:rsid w:val="007261DE"/>
    <w:rsid w:val="00726592"/>
    <w:rsid w:val="00726C96"/>
    <w:rsid w:val="00726DD7"/>
    <w:rsid w:val="00727120"/>
    <w:rsid w:val="00727491"/>
    <w:rsid w:val="007274F6"/>
    <w:rsid w:val="0072769D"/>
    <w:rsid w:val="00730B16"/>
    <w:rsid w:val="00731B43"/>
    <w:rsid w:val="00731D6E"/>
    <w:rsid w:val="00731E44"/>
    <w:rsid w:val="007324E1"/>
    <w:rsid w:val="00732911"/>
    <w:rsid w:val="00732D62"/>
    <w:rsid w:val="00732FE6"/>
    <w:rsid w:val="00733E26"/>
    <w:rsid w:val="00733FBD"/>
    <w:rsid w:val="007340AE"/>
    <w:rsid w:val="007349B8"/>
    <w:rsid w:val="00734C80"/>
    <w:rsid w:val="007350F0"/>
    <w:rsid w:val="0073675C"/>
    <w:rsid w:val="007367E9"/>
    <w:rsid w:val="007369F7"/>
    <w:rsid w:val="007375BD"/>
    <w:rsid w:val="007401A7"/>
    <w:rsid w:val="0074029A"/>
    <w:rsid w:val="00740BAA"/>
    <w:rsid w:val="0074135F"/>
    <w:rsid w:val="00741AC9"/>
    <w:rsid w:val="00741D64"/>
    <w:rsid w:val="00742BAB"/>
    <w:rsid w:val="007431FC"/>
    <w:rsid w:val="007432E5"/>
    <w:rsid w:val="00743572"/>
    <w:rsid w:val="00743CFC"/>
    <w:rsid w:val="0074499F"/>
    <w:rsid w:val="00744C85"/>
    <w:rsid w:val="0074523A"/>
    <w:rsid w:val="007456D9"/>
    <w:rsid w:val="00745710"/>
    <w:rsid w:val="007458AF"/>
    <w:rsid w:val="00745B54"/>
    <w:rsid w:val="00745EBE"/>
    <w:rsid w:val="00745F98"/>
    <w:rsid w:val="00746019"/>
    <w:rsid w:val="00746AA8"/>
    <w:rsid w:val="00747412"/>
    <w:rsid w:val="007475E2"/>
    <w:rsid w:val="00747903"/>
    <w:rsid w:val="00747FF1"/>
    <w:rsid w:val="007500FA"/>
    <w:rsid w:val="00750C28"/>
    <w:rsid w:val="00750EB7"/>
    <w:rsid w:val="00751218"/>
    <w:rsid w:val="00751228"/>
    <w:rsid w:val="007517ED"/>
    <w:rsid w:val="00751F67"/>
    <w:rsid w:val="00753170"/>
    <w:rsid w:val="0075339D"/>
    <w:rsid w:val="0075378A"/>
    <w:rsid w:val="00753875"/>
    <w:rsid w:val="00753987"/>
    <w:rsid w:val="00753A98"/>
    <w:rsid w:val="00753ABF"/>
    <w:rsid w:val="00753C52"/>
    <w:rsid w:val="0075400B"/>
    <w:rsid w:val="0075400E"/>
    <w:rsid w:val="007541ED"/>
    <w:rsid w:val="007545E9"/>
    <w:rsid w:val="007547CE"/>
    <w:rsid w:val="007555FF"/>
    <w:rsid w:val="00755A13"/>
    <w:rsid w:val="00755C17"/>
    <w:rsid w:val="007562D2"/>
    <w:rsid w:val="00756596"/>
    <w:rsid w:val="007569A4"/>
    <w:rsid w:val="007569B3"/>
    <w:rsid w:val="00756D36"/>
    <w:rsid w:val="007572A1"/>
    <w:rsid w:val="0075730F"/>
    <w:rsid w:val="007574D3"/>
    <w:rsid w:val="00757756"/>
    <w:rsid w:val="00757ACA"/>
    <w:rsid w:val="00760575"/>
    <w:rsid w:val="00760CCD"/>
    <w:rsid w:val="00761EC4"/>
    <w:rsid w:val="0076240F"/>
    <w:rsid w:val="00762542"/>
    <w:rsid w:val="00762C46"/>
    <w:rsid w:val="00762F84"/>
    <w:rsid w:val="00763601"/>
    <w:rsid w:val="007646F4"/>
    <w:rsid w:val="007647C5"/>
    <w:rsid w:val="00765168"/>
    <w:rsid w:val="00765912"/>
    <w:rsid w:val="00765FF0"/>
    <w:rsid w:val="00767397"/>
    <w:rsid w:val="00770058"/>
    <w:rsid w:val="0077092F"/>
    <w:rsid w:val="0077130C"/>
    <w:rsid w:val="007714DD"/>
    <w:rsid w:val="007715BC"/>
    <w:rsid w:val="00771B73"/>
    <w:rsid w:val="00771BC3"/>
    <w:rsid w:val="00771C2A"/>
    <w:rsid w:val="00771FA2"/>
    <w:rsid w:val="0077208B"/>
    <w:rsid w:val="00773812"/>
    <w:rsid w:val="0077434C"/>
    <w:rsid w:val="007747F8"/>
    <w:rsid w:val="0077480C"/>
    <w:rsid w:val="00774B2C"/>
    <w:rsid w:val="00774BDA"/>
    <w:rsid w:val="00775DA3"/>
    <w:rsid w:val="0077611B"/>
    <w:rsid w:val="007761D5"/>
    <w:rsid w:val="00776397"/>
    <w:rsid w:val="0077660A"/>
    <w:rsid w:val="0077688D"/>
    <w:rsid w:val="00776962"/>
    <w:rsid w:val="00776C74"/>
    <w:rsid w:val="007771A9"/>
    <w:rsid w:val="007776E6"/>
    <w:rsid w:val="007777C3"/>
    <w:rsid w:val="007779EB"/>
    <w:rsid w:val="00777B59"/>
    <w:rsid w:val="00777E52"/>
    <w:rsid w:val="007817BB"/>
    <w:rsid w:val="00781922"/>
    <w:rsid w:val="00781A04"/>
    <w:rsid w:val="00782788"/>
    <w:rsid w:val="00782A55"/>
    <w:rsid w:val="00783352"/>
    <w:rsid w:val="00783D9B"/>
    <w:rsid w:val="0078448E"/>
    <w:rsid w:val="00784CF3"/>
    <w:rsid w:val="00784D0A"/>
    <w:rsid w:val="007852D1"/>
    <w:rsid w:val="007857A7"/>
    <w:rsid w:val="00785E2D"/>
    <w:rsid w:val="0078768E"/>
    <w:rsid w:val="00790244"/>
    <w:rsid w:val="007913E9"/>
    <w:rsid w:val="00791BC1"/>
    <w:rsid w:val="0079235A"/>
    <w:rsid w:val="0079288D"/>
    <w:rsid w:val="007929B2"/>
    <w:rsid w:val="00792D3E"/>
    <w:rsid w:val="00792F3B"/>
    <w:rsid w:val="007931C4"/>
    <w:rsid w:val="007932B0"/>
    <w:rsid w:val="0079541D"/>
    <w:rsid w:val="00795F67"/>
    <w:rsid w:val="0079627E"/>
    <w:rsid w:val="007969B2"/>
    <w:rsid w:val="00796F27"/>
    <w:rsid w:val="0079784E"/>
    <w:rsid w:val="007978D5"/>
    <w:rsid w:val="00797ACD"/>
    <w:rsid w:val="007A09E8"/>
    <w:rsid w:val="007A1068"/>
    <w:rsid w:val="007A11BD"/>
    <w:rsid w:val="007A18DC"/>
    <w:rsid w:val="007A1D5B"/>
    <w:rsid w:val="007A3189"/>
    <w:rsid w:val="007A3ABB"/>
    <w:rsid w:val="007A4004"/>
    <w:rsid w:val="007A4994"/>
    <w:rsid w:val="007A5725"/>
    <w:rsid w:val="007A5976"/>
    <w:rsid w:val="007A59A4"/>
    <w:rsid w:val="007A6AE5"/>
    <w:rsid w:val="007A721A"/>
    <w:rsid w:val="007A7CFF"/>
    <w:rsid w:val="007B0E4F"/>
    <w:rsid w:val="007B16CE"/>
    <w:rsid w:val="007B1827"/>
    <w:rsid w:val="007B2B46"/>
    <w:rsid w:val="007B2D75"/>
    <w:rsid w:val="007B32F3"/>
    <w:rsid w:val="007B350E"/>
    <w:rsid w:val="007B35AA"/>
    <w:rsid w:val="007B3840"/>
    <w:rsid w:val="007B3A8E"/>
    <w:rsid w:val="007B3BCB"/>
    <w:rsid w:val="007B3F4A"/>
    <w:rsid w:val="007B3F4F"/>
    <w:rsid w:val="007B3FE1"/>
    <w:rsid w:val="007B4422"/>
    <w:rsid w:val="007B46EE"/>
    <w:rsid w:val="007B47BE"/>
    <w:rsid w:val="007B48D7"/>
    <w:rsid w:val="007B6801"/>
    <w:rsid w:val="007B6B5E"/>
    <w:rsid w:val="007B6CC1"/>
    <w:rsid w:val="007B6ED2"/>
    <w:rsid w:val="007B6FE9"/>
    <w:rsid w:val="007B7203"/>
    <w:rsid w:val="007C0EE0"/>
    <w:rsid w:val="007C138C"/>
    <w:rsid w:val="007C1956"/>
    <w:rsid w:val="007C1A39"/>
    <w:rsid w:val="007C1B89"/>
    <w:rsid w:val="007C2D67"/>
    <w:rsid w:val="007C3144"/>
    <w:rsid w:val="007C32AB"/>
    <w:rsid w:val="007C4387"/>
    <w:rsid w:val="007C469D"/>
    <w:rsid w:val="007C4D7C"/>
    <w:rsid w:val="007C5649"/>
    <w:rsid w:val="007C5AA2"/>
    <w:rsid w:val="007C5B30"/>
    <w:rsid w:val="007C5F37"/>
    <w:rsid w:val="007C6122"/>
    <w:rsid w:val="007C6413"/>
    <w:rsid w:val="007C70A0"/>
    <w:rsid w:val="007C7988"/>
    <w:rsid w:val="007C7BDC"/>
    <w:rsid w:val="007D0647"/>
    <w:rsid w:val="007D07C9"/>
    <w:rsid w:val="007D099B"/>
    <w:rsid w:val="007D122F"/>
    <w:rsid w:val="007D1FD3"/>
    <w:rsid w:val="007D243D"/>
    <w:rsid w:val="007D27CA"/>
    <w:rsid w:val="007D27D4"/>
    <w:rsid w:val="007D456F"/>
    <w:rsid w:val="007D4B59"/>
    <w:rsid w:val="007D5622"/>
    <w:rsid w:val="007D58A9"/>
    <w:rsid w:val="007D6510"/>
    <w:rsid w:val="007D6FC9"/>
    <w:rsid w:val="007D7335"/>
    <w:rsid w:val="007D78C4"/>
    <w:rsid w:val="007D7ADE"/>
    <w:rsid w:val="007E0310"/>
    <w:rsid w:val="007E1009"/>
    <w:rsid w:val="007E118A"/>
    <w:rsid w:val="007E180E"/>
    <w:rsid w:val="007E23D1"/>
    <w:rsid w:val="007E269F"/>
    <w:rsid w:val="007E31A7"/>
    <w:rsid w:val="007E395D"/>
    <w:rsid w:val="007E3C7E"/>
    <w:rsid w:val="007E3CF2"/>
    <w:rsid w:val="007E51D8"/>
    <w:rsid w:val="007E586F"/>
    <w:rsid w:val="007E6E91"/>
    <w:rsid w:val="007E72AC"/>
    <w:rsid w:val="007E7D16"/>
    <w:rsid w:val="007F034E"/>
    <w:rsid w:val="007F0C96"/>
    <w:rsid w:val="007F10D9"/>
    <w:rsid w:val="007F11DE"/>
    <w:rsid w:val="007F1348"/>
    <w:rsid w:val="007F1F80"/>
    <w:rsid w:val="007F242E"/>
    <w:rsid w:val="007F2506"/>
    <w:rsid w:val="007F2B2A"/>
    <w:rsid w:val="007F2D65"/>
    <w:rsid w:val="007F3294"/>
    <w:rsid w:val="007F3C61"/>
    <w:rsid w:val="007F41FA"/>
    <w:rsid w:val="007F47B9"/>
    <w:rsid w:val="007F5A9D"/>
    <w:rsid w:val="007F6734"/>
    <w:rsid w:val="007F67E4"/>
    <w:rsid w:val="007F7052"/>
    <w:rsid w:val="007F7677"/>
    <w:rsid w:val="007F7CEB"/>
    <w:rsid w:val="00800835"/>
    <w:rsid w:val="008008CB"/>
    <w:rsid w:val="00800E91"/>
    <w:rsid w:val="00801692"/>
    <w:rsid w:val="00802170"/>
    <w:rsid w:val="008022B5"/>
    <w:rsid w:val="0080238D"/>
    <w:rsid w:val="008023A8"/>
    <w:rsid w:val="0080255A"/>
    <w:rsid w:val="0080371C"/>
    <w:rsid w:val="00803CD8"/>
    <w:rsid w:val="00803D5E"/>
    <w:rsid w:val="008045D5"/>
    <w:rsid w:val="00804672"/>
    <w:rsid w:val="0080469F"/>
    <w:rsid w:val="00804964"/>
    <w:rsid w:val="00804F4F"/>
    <w:rsid w:val="008051C3"/>
    <w:rsid w:val="008056B2"/>
    <w:rsid w:val="00805D53"/>
    <w:rsid w:val="00806882"/>
    <w:rsid w:val="008069FD"/>
    <w:rsid w:val="00807032"/>
    <w:rsid w:val="00807CC2"/>
    <w:rsid w:val="00811960"/>
    <w:rsid w:val="00812BA1"/>
    <w:rsid w:val="008130E8"/>
    <w:rsid w:val="00813309"/>
    <w:rsid w:val="00813820"/>
    <w:rsid w:val="008138CA"/>
    <w:rsid w:val="00813A8C"/>
    <w:rsid w:val="00813D39"/>
    <w:rsid w:val="00813EC1"/>
    <w:rsid w:val="00814F1C"/>
    <w:rsid w:val="00815ADB"/>
    <w:rsid w:val="008163ED"/>
    <w:rsid w:val="00816766"/>
    <w:rsid w:val="00816BF0"/>
    <w:rsid w:val="00820406"/>
    <w:rsid w:val="008216F0"/>
    <w:rsid w:val="008219A2"/>
    <w:rsid w:val="00822775"/>
    <w:rsid w:val="00822E2E"/>
    <w:rsid w:val="0082309E"/>
    <w:rsid w:val="008234A1"/>
    <w:rsid w:val="00823E06"/>
    <w:rsid w:val="0082489B"/>
    <w:rsid w:val="0082509E"/>
    <w:rsid w:val="00825C5A"/>
    <w:rsid w:val="008267F4"/>
    <w:rsid w:val="00826B37"/>
    <w:rsid w:val="00826DD1"/>
    <w:rsid w:val="0082704B"/>
    <w:rsid w:val="00827271"/>
    <w:rsid w:val="008275A3"/>
    <w:rsid w:val="008276BF"/>
    <w:rsid w:val="008278D8"/>
    <w:rsid w:val="00827E93"/>
    <w:rsid w:val="00830207"/>
    <w:rsid w:val="00830A96"/>
    <w:rsid w:val="00830B6F"/>
    <w:rsid w:val="008310C2"/>
    <w:rsid w:val="008314B8"/>
    <w:rsid w:val="00831770"/>
    <w:rsid w:val="00831A95"/>
    <w:rsid w:val="00831F76"/>
    <w:rsid w:val="008323E2"/>
    <w:rsid w:val="008330C1"/>
    <w:rsid w:val="0083332E"/>
    <w:rsid w:val="0083384B"/>
    <w:rsid w:val="00834061"/>
    <w:rsid w:val="008347FA"/>
    <w:rsid w:val="00834E6D"/>
    <w:rsid w:val="00835553"/>
    <w:rsid w:val="0083617D"/>
    <w:rsid w:val="00836A80"/>
    <w:rsid w:val="00836BB3"/>
    <w:rsid w:val="00836CE1"/>
    <w:rsid w:val="00836E6C"/>
    <w:rsid w:val="008372F5"/>
    <w:rsid w:val="008373BA"/>
    <w:rsid w:val="0084025F"/>
    <w:rsid w:val="00840875"/>
    <w:rsid w:val="00841255"/>
    <w:rsid w:val="008413C1"/>
    <w:rsid w:val="008415DC"/>
    <w:rsid w:val="008426AC"/>
    <w:rsid w:val="00842875"/>
    <w:rsid w:val="00842960"/>
    <w:rsid w:val="00842A88"/>
    <w:rsid w:val="00842AE7"/>
    <w:rsid w:val="00842D88"/>
    <w:rsid w:val="00843611"/>
    <w:rsid w:val="00843D0D"/>
    <w:rsid w:val="0084402C"/>
    <w:rsid w:val="008441DF"/>
    <w:rsid w:val="0084430A"/>
    <w:rsid w:val="00844AAD"/>
    <w:rsid w:val="00844D47"/>
    <w:rsid w:val="00844F0D"/>
    <w:rsid w:val="0084517D"/>
    <w:rsid w:val="008456B3"/>
    <w:rsid w:val="008457C6"/>
    <w:rsid w:val="00845EC2"/>
    <w:rsid w:val="00845F98"/>
    <w:rsid w:val="00845FA3"/>
    <w:rsid w:val="00846E67"/>
    <w:rsid w:val="0084700B"/>
    <w:rsid w:val="00847291"/>
    <w:rsid w:val="00847B60"/>
    <w:rsid w:val="00847DFD"/>
    <w:rsid w:val="00847E88"/>
    <w:rsid w:val="00850510"/>
    <w:rsid w:val="008512BD"/>
    <w:rsid w:val="008513EA"/>
    <w:rsid w:val="008516D5"/>
    <w:rsid w:val="008519C7"/>
    <w:rsid w:val="00852365"/>
    <w:rsid w:val="00852762"/>
    <w:rsid w:val="008529CA"/>
    <w:rsid w:val="00853659"/>
    <w:rsid w:val="00853677"/>
    <w:rsid w:val="00854A89"/>
    <w:rsid w:val="00855108"/>
    <w:rsid w:val="0085529C"/>
    <w:rsid w:val="0085582C"/>
    <w:rsid w:val="00855B12"/>
    <w:rsid w:val="00855F99"/>
    <w:rsid w:val="00856244"/>
    <w:rsid w:val="00856CCA"/>
    <w:rsid w:val="008578BD"/>
    <w:rsid w:val="008609F3"/>
    <w:rsid w:val="00860D2F"/>
    <w:rsid w:val="008616DF"/>
    <w:rsid w:val="00861867"/>
    <w:rsid w:val="008620C5"/>
    <w:rsid w:val="00862E67"/>
    <w:rsid w:val="00862EC2"/>
    <w:rsid w:val="00862F1F"/>
    <w:rsid w:val="00863830"/>
    <w:rsid w:val="008638F0"/>
    <w:rsid w:val="00863986"/>
    <w:rsid w:val="00863AB4"/>
    <w:rsid w:val="008647C0"/>
    <w:rsid w:val="00864CDD"/>
    <w:rsid w:val="00864E56"/>
    <w:rsid w:val="00866AAB"/>
    <w:rsid w:val="00866DBC"/>
    <w:rsid w:val="00867B90"/>
    <w:rsid w:val="008700AC"/>
    <w:rsid w:val="008708D3"/>
    <w:rsid w:val="00870AB0"/>
    <w:rsid w:val="00871A37"/>
    <w:rsid w:val="00871A65"/>
    <w:rsid w:val="00872144"/>
    <w:rsid w:val="0087235C"/>
    <w:rsid w:val="00872873"/>
    <w:rsid w:val="00872ECF"/>
    <w:rsid w:val="00872FA7"/>
    <w:rsid w:val="008752DF"/>
    <w:rsid w:val="00876057"/>
    <w:rsid w:val="008762EE"/>
    <w:rsid w:val="00876B44"/>
    <w:rsid w:val="0087782B"/>
    <w:rsid w:val="00877B34"/>
    <w:rsid w:val="00880AB8"/>
    <w:rsid w:val="00880B21"/>
    <w:rsid w:val="00882230"/>
    <w:rsid w:val="00883D13"/>
    <w:rsid w:val="00885004"/>
    <w:rsid w:val="0088506B"/>
    <w:rsid w:val="00885287"/>
    <w:rsid w:val="008853B1"/>
    <w:rsid w:val="00885400"/>
    <w:rsid w:val="00885412"/>
    <w:rsid w:val="00885B22"/>
    <w:rsid w:val="00885D5A"/>
    <w:rsid w:val="00885E1B"/>
    <w:rsid w:val="00886170"/>
    <w:rsid w:val="00886D8E"/>
    <w:rsid w:val="00887483"/>
    <w:rsid w:val="00887EE7"/>
    <w:rsid w:val="0089076D"/>
    <w:rsid w:val="00891085"/>
    <w:rsid w:val="0089117C"/>
    <w:rsid w:val="0089268F"/>
    <w:rsid w:val="00892AE3"/>
    <w:rsid w:val="00892F1B"/>
    <w:rsid w:val="00892F2D"/>
    <w:rsid w:val="008932A3"/>
    <w:rsid w:val="00893971"/>
    <w:rsid w:val="00893ED8"/>
    <w:rsid w:val="00894330"/>
    <w:rsid w:val="0089473B"/>
    <w:rsid w:val="00894C63"/>
    <w:rsid w:val="00894E94"/>
    <w:rsid w:val="00895048"/>
    <w:rsid w:val="008950EA"/>
    <w:rsid w:val="008951BD"/>
    <w:rsid w:val="00896C70"/>
    <w:rsid w:val="008974F8"/>
    <w:rsid w:val="00897BCC"/>
    <w:rsid w:val="008A09D4"/>
    <w:rsid w:val="008A0AC8"/>
    <w:rsid w:val="008A116D"/>
    <w:rsid w:val="008A171D"/>
    <w:rsid w:val="008A180B"/>
    <w:rsid w:val="008A1A9F"/>
    <w:rsid w:val="008A1C0C"/>
    <w:rsid w:val="008A2BF4"/>
    <w:rsid w:val="008A2F7B"/>
    <w:rsid w:val="008A3C6A"/>
    <w:rsid w:val="008A4604"/>
    <w:rsid w:val="008A4F10"/>
    <w:rsid w:val="008A5A9C"/>
    <w:rsid w:val="008A5C12"/>
    <w:rsid w:val="008A5D65"/>
    <w:rsid w:val="008A660E"/>
    <w:rsid w:val="008A678B"/>
    <w:rsid w:val="008A6E19"/>
    <w:rsid w:val="008A722E"/>
    <w:rsid w:val="008A724D"/>
    <w:rsid w:val="008A72D5"/>
    <w:rsid w:val="008B1111"/>
    <w:rsid w:val="008B215D"/>
    <w:rsid w:val="008B23FE"/>
    <w:rsid w:val="008B4011"/>
    <w:rsid w:val="008B44D4"/>
    <w:rsid w:val="008B47A7"/>
    <w:rsid w:val="008B4B81"/>
    <w:rsid w:val="008B4C0D"/>
    <w:rsid w:val="008B4D81"/>
    <w:rsid w:val="008B5F22"/>
    <w:rsid w:val="008B5FAA"/>
    <w:rsid w:val="008B6133"/>
    <w:rsid w:val="008B67D8"/>
    <w:rsid w:val="008B6AF5"/>
    <w:rsid w:val="008B6F8F"/>
    <w:rsid w:val="008B6FAD"/>
    <w:rsid w:val="008B73C2"/>
    <w:rsid w:val="008B7C92"/>
    <w:rsid w:val="008B7DE5"/>
    <w:rsid w:val="008B7F7F"/>
    <w:rsid w:val="008C0013"/>
    <w:rsid w:val="008C00CC"/>
    <w:rsid w:val="008C1379"/>
    <w:rsid w:val="008C1442"/>
    <w:rsid w:val="008C1911"/>
    <w:rsid w:val="008C1A00"/>
    <w:rsid w:val="008C24C1"/>
    <w:rsid w:val="008C3157"/>
    <w:rsid w:val="008C3199"/>
    <w:rsid w:val="008C3827"/>
    <w:rsid w:val="008C4D6A"/>
    <w:rsid w:val="008C60B8"/>
    <w:rsid w:val="008D105A"/>
    <w:rsid w:val="008D1500"/>
    <w:rsid w:val="008D27F8"/>
    <w:rsid w:val="008D2A3E"/>
    <w:rsid w:val="008D3025"/>
    <w:rsid w:val="008D3CB2"/>
    <w:rsid w:val="008D3D0F"/>
    <w:rsid w:val="008D4652"/>
    <w:rsid w:val="008D477F"/>
    <w:rsid w:val="008D4BA8"/>
    <w:rsid w:val="008D608A"/>
    <w:rsid w:val="008D6D5A"/>
    <w:rsid w:val="008D6EF5"/>
    <w:rsid w:val="008D6F7C"/>
    <w:rsid w:val="008D736F"/>
    <w:rsid w:val="008E054C"/>
    <w:rsid w:val="008E0EA1"/>
    <w:rsid w:val="008E1023"/>
    <w:rsid w:val="008E137F"/>
    <w:rsid w:val="008E1D79"/>
    <w:rsid w:val="008E2280"/>
    <w:rsid w:val="008E27C8"/>
    <w:rsid w:val="008E29E7"/>
    <w:rsid w:val="008E2ADE"/>
    <w:rsid w:val="008E2CA4"/>
    <w:rsid w:val="008E2E86"/>
    <w:rsid w:val="008E36DE"/>
    <w:rsid w:val="008E3BD4"/>
    <w:rsid w:val="008E3E46"/>
    <w:rsid w:val="008E3EF5"/>
    <w:rsid w:val="008E40B2"/>
    <w:rsid w:val="008E4D27"/>
    <w:rsid w:val="008E500D"/>
    <w:rsid w:val="008E6223"/>
    <w:rsid w:val="008E69A2"/>
    <w:rsid w:val="008E6B6C"/>
    <w:rsid w:val="008E6DBA"/>
    <w:rsid w:val="008E7122"/>
    <w:rsid w:val="008F0324"/>
    <w:rsid w:val="008F06D1"/>
    <w:rsid w:val="008F097F"/>
    <w:rsid w:val="008F1244"/>
    <w:rsid w:val="008F127B"/>
    <w:rsid w:val="008F141F"/>
    <w:rsid w:val="008F1910"/>
    <w:rsid w:val="008F3568"/>
    <w:rsid w:val="008F37F3"/>
    <w:rsid w:val="008F3FEF"/>
    <w:rsid w:val="008F49F1"/>
    <w:rsid w:val="008F5041"/>
    <w:rsid w:val="008F578E"/>
    <w:rsid w:val="008F5CBF"/>
    <w:rsid w:val="008F62C8"/>
    <w:rsid w:val="008F6349"/>
    <w:rsid w:val="008F6460"/>
    <w:rsid w:val="008F6715"/>
    <w:rsid w:val="00900647"/>
    <w:rsid w:val="0090064D"/>
    <w:rsid w:val="00900B80"/>
    <w:rsid w:val="00901132"/>
    <w:rsid w:val="0090246A"/>
    <w:rsid w:val="00902E52"/>
    <w:rsid w:val="009030F6"/>
    <w:rsid w:val="0090366C"/>
    <w:rsid w:val="009037A3"/>
    <w:rsid w:val="00903B91"/>
    <w:rsid w:val="0090415D"/>
    <w:rsid w:val="009047BF"/>
    <w:rsid w:val="00904920"/>
    <w:rsid w:val="00904AEE"/>
    <w:rsid w:val="00904AF0"/>
    <w:rsid w:val="009052C8"/>
    <w:rsid w:val="00905F4D"/>
    <w:rsid w:val="0090622A"/>
    <w:rsid w:val="009065E0"/>
    <w:rsid w:val="00906768"/>
    <w:rsid w:val="0090677F"/>
    <w:rsid w:val="0090679B"/>
    <w:rsid w:val="00906DAF"/>
    <w:rsid w:val="0090786C"/>
    <w:rsid w:val="00907CDA"/>
    <w:rsid w:val="00910079"/>
    <w:rsid w:val="00910996"/>
    <w:rsid w:val="0091164E"/>
    <w:rsid w:val="00912130"/>
    <w:rsid w:val="00912C4E"/>
    <w:rsid w:val="00913133"/>
    <w:rsid w:val="00913A4B"/>
    <w:rsid w:val="00914FA0"/>
    <w:rsid w:val="00915050"/>
    <w:rsid w:val="009158AF"/>
    <w:rsid w:val="00915EAB"/>
    <w:rsid w:val="00916166"/>
    <w:rsid w:val="00916188"/>
    <w:rsid w:val="00916452"/>
    <w:rsid w:val="009172FA"/>
    <w:rsid w:val="009174C0"/>
    <w:rsid w:val="00917D37"/>
    <w:rsid w:val="00917D66"/>
    <w:rsid w:val="00917DFE"/>
    <w:rsid w:val="00920F87"/>
    <w:rsid w:val="009219EE"/>
    <w:rsid w:val="00921EB3"/>
    <w:rsid w:val="00921ED5"/>
    <w:rsid w:val="00922006"/>
    <w:rsid w:val="00922B26"/>
    <w:rsid w:val="00922B3D"/>
    <w:rsid w:val="009232A3"/>
    <w:rsid w:val="0092360E"/>
    <w:rsid w:val="00923746"/>
    <w:rsid w:val="009238C8"/>
    <w:rsid w:val="0092390A"/>
    <w:rsid w:val="00923EA3"/>
    <w:rsid w:val="00924CB6"/>
    <w:rsid w:val="0092502C"/>
    <w:rsid w:val="00925DF8"/>
    <w:rsid w:val="00925F16"/>
    <w:rsid w:val="00926310"/>
    <w:rsid w:val="00926C8E"/>
    <w:rsid w:val="009300AD"/>
    <w:rsid w:val="00930342"/>
    <w:rsid w:val="00930867"/>
    <w:rsid w:val="00930A57"/>
    <w:rsid w:val="00930F25"/>
    <w:rsid w:val="0093148F"/>
    <w:rsid w:val="009321D8"/>
    <w:rsid w:val="0093223F"/>
    <w:rsid w:val="0093238A"/>
    <w:rsid w:val="00932395"/>
    <w:rsid w:val="0093240C"/>
    <w:rsid w:val="009325A4"/>
    <w:rsid w:val="00932E84"/>
    <w:rsid w:val="00933354"/>
    <w:rsid w:val="00934013"/>
    <w:rsid w:val="00934088"/>
    <w:rsid w:val="009341F7"/>
    <w:rsid w:val="00934D02"/>
    <w:rsid w:val="00935A23"/>
    <w:rsid w:val="00935E07"/>
    <w:rsid w:val="00935E0C"/>
    <w:rsid w:val="0093679F"/>
    <w:rsid w:val="00937619"/>
    <w:rsid w:val="00937625"/>
    <w:rsid w:val="009408BC"/>
    <w:rsid w:val="00940FD8"/>
    <w:rsid w:val="009411D9"/>
    <w:rsid w:val="00941923"/>
    <w:rsid w:val="00942337"/>
    <w:rsid w:val="009424B5"/>
    <w:rsid w:val="00942752"/>
    <w:rsid w:val="00942EBF"/>
    <w:rsid w:val="00943A2C"/>
    <w:rsid w:val="009447F3"/>
    <w:rsid w:val="00944872"/>
    <w:rsid w:val="00944882"/>
    <w:rsid w:val="00945977"/>
    <w:rsid w:val="0094599B"/>
    <w:rsid w:val="009477EF"/>
    <w:rsid w:val="00947A41"/>
    <w:rsid w:val="00947C39"/>
    <w:rsid w:val="00947D5D"/>
    <w:rsid w:val="00950181"/>
    <w:rsid w:val="009505BB"/>
    <w:rsid w:val="00950AA2"/>
    <w:rsid w:val="00950F43"/>
    <w:rsid w:val="009516EA"/>
    <w:rsid w:val="00951A9F"/>
    <w:rsid w:val="00952DF6"/>
    <w:rsid w:val="00953270"/>
    <w:rsid w:val="0095341E"/>
    <w:rsid w:val="0095367E"/>
    <w:rsid w:val="0095449C"/>
    <w:rsid w:val="009547EC"/>
    <w:rsid w:val="00954FEE"/>
    <w:rsid w:val="00955377"/>
    <w:rsid w:val="00955E5F"/>
    <w:rsid w:val="00955E97"/>
    <w:rsid w:val="009561FE"/>
    <w:rsid w:val="00956333"/>
    <w:rsid w:val="009568FD"/>
    <w:rsid w:val="009569E4"/>
    <w:rsid w:val="009569FC"/>
    <w:rsid w:val="00960023"/>
    <w:rsid w:val="0096049B"/>
    <w:rsid w:val="00960536"/>
    <w:rsid w:val="00960809"/>
    <w:rsid w:val="009609B7"/>
    <w:rsid w:val="00960A97"/>
    <w:rsid w:val="00961274"/>
    <w:rsid w:val="009613EB"/>
    <w:rsid w:val="0096147F"/>
    <w:rsid w:val="0096204F"/>
    <w:rsid w:val="00962604"/>
    <w:rsid w:val="00962973"/>
    <w:rsid w:val="009633C5"/>
    <w:rsid w:val="0096373E"/>
    <w:rsid w:val="009637B6"/>
    <w:rsid w:val="00963BB5"/>
    <w:rsid w:val="00964103"/>
    <w:rsid w:val="009644F8"/>
    <w:rsid w:val="00964AE4"/>
    <w:rsid w:val="0096654A"/>
    <w:rsid w:val="00966E4D"/>
    <w:rsid w:val="009671EB"/>
    <w:rsid w:val="00967483"/>
    <w:rsid w:val="00967914"/>
    <w:rsid w:val="009703E9"/>
    <w:rsid w:val="00970861"/>
    <w:rsid w:val="00970A19"/>
    <w:rsid w:val="00970B83"/>
    <w:rsid w:val="00970DBC"/>
    <w:rsid w:val="00971625"/>
    <w:rsid w:val="00971C23"/>
    <w:rsid w:val="00971D15"/>
    <w:rsid w:val="0097206F"/>
    <w:rsid w:val="0097282F"/>
    <w:rsid w:val="00972A23"/>
    <w:rsid w:val="00972B6F"/>
    <w:rsid w:val="00973590"/>
    <w:rsid w:val="0097395C"/>
    <w:rsid w:val="00973A36"/>
    <w:rsid w:val="00973F6F"/>
    <w:rsid w:val="0097408A"/>
    <w:rsid w:val="0097443A"/>
    <w:rsid w:val="0097474B"/>
    <w:rsid w:val="00975172"/>
    <w:rsid w:val="00975285"/>
    <w:rsid w:val="0097537F"/>
    <w:rsid w:val="00975D4D"/>
    <w:rsid w:val="00976BCD"/>
    <w:rsid w:val="00977080"/>
    <w:rsid w:val="0097715D"/>
    <w:rsid w:val="0097741D"/>
    <w:rsid w:val="0097792B"/>
    <w:rsid w:val="00977EDE"/>
    <w:rsid w:val="00980EDF"/>
    <w:rsid w:val="00980EE3"/>
    <w:rsid w:val="00980FEB"/>
    <w:rsid w:val="0098130B"/>
    <w:rsid w:val="0098224E"/>
    <w:rsid w:val="00982D07"/>
    <w:rsid w:val="009830B3"/>
    <w:rsid w:val="00983A45"/>
    <w:rsid w:val="00983AAF"/>
    <w:rsid w:val="00983AF6"/>
    <w:rsid w:val="00983FDE"/>
    <w:rsid w:val="009845A4"/>
    <w:rsid w:val="00984FB6"/>
    <w:rsid w:val="00985AAB"/>
    <w:rsid w:val="00986037"/>
    <w:rsid w:val="00986259"/>
    <w:rsid w:val="009865A1"/>
    <w:rsid w:val="00986745"/>
    <w:rsid w:val="009867D1"/>
    <w:rsid w:val="009871AE"/>
    <w:rsid w:val="009877B2"/>
    <w:rsid w:val="00987C3A"/>
    <w:rsid w:val="00990249"/>
    <w:rsid w:val="00992213"/>
    <w:rsid w:val="00992C2A"/>
    <w:rsid w:val="00992E27"/>
    <w:rsid w:val="009931CB"/>
    <w:rsid w:val="00993425"/>
    <w:rsid w:val="009941EC"/>
    <w:rsid w:val="0099498F"/>
    <w:rsid w:val="00994ABE"/>
    <w:rsid w:val="00994BEA"/>
    <w:rsid w:val="00994F29"/>
    <w:rsid w:val="00994FE8"/>
    <w:rsid w:val="009953AC"/>
    <w:rsid w:val="009957A6"/>
    <w:rsid w:val="00995F0C"/>
    <w:rsid w:val="00996DFE"/>
    <w:rsid w:val="00997A92"/>
    <w:rsid w:val="00997D32"/>
    <w:rsid w:val="009A0483"/>
    <w:rsid w:val="009A07D4"/>
    <w:rsid w:val="009A0F1A"/>
    <w:rsid w:val="009A1011"/>
    <w:rsid w:val="009A112F"/>
    <w:rsid w:val="009A26C7"/>
    <w:rsid w:val="009A32B2"/>
    <w:rsid w:val="009A330C"/>
    <w:rsid w:val="009A34C6"/>
    <w:rsid w:val="009A3A24"/>
    <w:rsid w:val="009A4455"/>
    <w:rsid w:val="009A44CF"/>
    <w:rsid w:val="009A4759"/>
    <w:rsid w:val="009A4B57"/>
    <w:rsid w:val="009A4E0C"/>
    <w:rsid w:val="009A63E7"/>
    <w:rsid w:val="009A696E"/>
    <w:rsid w:val="009B30AF"/>
    <w:rsid w:val="009B4177"/>
    <w:rsid w:val="009B4E9B"/>
    <w:rsid w:val="009B53A2"/>
    <w:rsid w:val="009B5BA8"/>
    <w:rsid w:val="009B62FB"/>
    <w:rsid w:val="009B6579"/>
    <w:rsid w:val="009B6908"/>
    <w:rsid w:val="009B714A"/>
    <w:rsid w:val="009B7E34"/>
    <w:rsid w:val="009C00E4"/>
    <w:rsid w:val="009C08D1"/>
    <w:rsid w:val="009C0AD8"/>
    <w:rsid w:val="009C0C30"/>
    <w:rsid w:val="009C0F21"/>
    <w:rsid w:val="009C0FC9"/>
    <w:rsid w:val="009C113D"/>
    <w:rsid w:val="009C1438"/>
    <w:rsid w:val="009C149E"/>
    <w:rsid w:val="009C2210"/>
    <w:rsid w:val="009C28C1"/>
    <w:rsid w:val="009C2DA4"/>
    <w:rsid w:val="009C2DFF"/>
    <w:rsid w:val="009C389D"/>
    <w:rsid w:val="009C3DE4"/>
    <w:rsid w:val="009C4282"/>
    <w:rsid w:val="009C50E6"/>
    <w:rsid w:val="009C54DB"/>
    <w:rsid w:val="009C56B6"/>
    <w:rsid w:val="009C5B4C"/>
    <w:rsid w:val="009C6424"/>
    <w:rsid w:val="009C6D6D"/>
    <w:rsid w:val="009C6DAE"/>
    <w:rsid w:val="009C6F45"/>
    <w:rsid w:val="009C7EF6"/>
    <w:rsid w:val="009D02FA"/>
    <w:rsid w:val="009D038D"/>
    <w:rsid w:val="009D0D44"/>
    <w:rsid w:val="009D169E"/>
    <w:rsid w:val="009D1BBF"/>
    <w:rsid w:val="009D1F1B"/>
    <w:rsid w:val="009D1F5E"/>
    <w:rsid w:val="009D227E"/>
    <w:rsid w:val="009D361A"/>
    <w:rsid w:val="009D3CE1"/>
    <w:rsid w:val="009D3DF4"/>
    <w:rsid w:val="009D3F04"/>
    <w:rsid w:val="009D407B"/>
    <w:rsid w:val="009D4160"/>
    <w:rsid w:val="009D4392"/>
    <w:rsid w:val="009D45E9"/>
    <w:rsid w:val="009D4F6A"/>
    <w:rsid w:val="009D5810"/>
    <w:rsid w:val="009D5B7A"/>
    <w:rsid w:val="009D67CC"/>
    <w:rsid w:val="009D6C73"/>
    <w:rsid w:val="009D784E"/>
    <w:rsid w:val="009E0272"/>
    <w:rsid w:val="009E0499"/>
    <w:rsid w:val="009E0DC6"/>
    <w:rsid w:val="009E12CF"/>
    <w:rsid w:val="009E16B3"/>
    <w:rsid w:val="009E1C0F"/>
    <w:rsid w:val="009E22E9"/>
    <w:rsid w:val="009E2713"/>
    <w:rsid w:val="009E2DE0"/>
    <w:rsid w:val="009E2E52"/>
    <w:rsid w:val="009E3FCD"/>
    <w:rsid w:val="009E4216"/>
    <w:rsid w:val="009E4CCD"/>
    <w:rsid w:val="009E4CEB"/>
    <w:rsid w:val="009E4EB3"/>
    <w:rsid w:val="009E510F"/>
    <w:rsid w:val="009E5656"/>
    <w:rsid w:val="009E57B6"/>
    <w:rsid w:val="009E5A57"/>
    <w:rsid w:val="009E6721"/>
    <w:rsid w:val="009E67A8"/>
    <w:rsid w:val="009E6944"/>
    <w:rsid w:val="009E73AA"/>
    <w:rsid w:val="009E76E7"/>
    <w:rsid w:val="009E7C94"/>
    <w:rsid w:val="009E7F9B"/>
    <w:rsid w:val="009F0232"/>
    <w:rsid w:val="009F0748"/>
    <w:rsid w:val="009F0D22"/>
    <w:rsid w:val="009F1268"/>
    <w:rsid w:val="009F16A1"/>
    <w:rsid w:val="009F1B64"/>
    <w:rsid w:val="009F1E79"/>
    <w:rsid w:val="009F2530"/>
    <w:rsid w:val="009F27AE"/>
    <w:rsid w:val="009F2B87"/>
    <w:rsid w:val="009F305E"/>
    <w:rsid w:val="009F3762"/>
    <w:rsid w:val="009F3B2B"/>
    <w:rsid w:val="009F3EE2"/>
    <w:rsid w:val="009F3F4B"/>
    <w:rsid w:val="009F45AE"/>
    <w:rsid w:val="009F50F2"/>
    <w:rsid w:val="009F52D0"/>
    <w:rsid w:val="009F64B8"/>
    <w:rsid w:val="009F65F2"/>
    <w:rsid w:val="009F7078"/>
    <w:rsid w:val="00A00289"/>
    <w:rsid w:val="00A00C9E"/>
    <w:rsid w:val="00A016D5"/>
    <w:rsid w:val="00A0183B"/>
    <w:rsid w:val="00A0208F"/>
    <w:rsid w:val="00A02838"/>
    <w:rsid w:val="00A02A80"/>
    <w:rsid w:val="00A02CAA"/>
    <w:rsid w:val="00A03002"/>
    <w:rsid w:val="00A03231"/>
    <w:rsid w:val="00A03337"/>
    <w:rsid w:val="00A034CE"/>
    <w:rsid w:val="00A03653"/>
    <w:rsid w:val="00A038FD"/>
    <w:rsid w:val="00A03F94"/>
    <w:rsid w:val="00A0423F"/>
    <w:rsid w:val="00A04432"/>
    <w:rsid w:val="00A049BB"/>
    <w:rsid w:val="00A052A3"/>
    <w:rsid w:val="00A052D9"/>
    <w:rsid w:val="00A05B38"/>
    <w:rsid w:val="00A062D9"/>
    <w:rsid w:val="00A062DB"/>
    <w:rsid w:val="00A069B5"/>
    <w:rsid w:val="00A06B9F"/>
    <w:rsid w:val="00A06E46"/>
    <w:rsid w:val="00A06F95"/>
    <w:rsid w:val="00A079B4"/>
    <w:rsid w:val="00A07AEE"/>
    <w:rsid w:val="00A07D57"/>
    <w:rsid w:val="00A07DE1"/>
    <w:rsid w:val="00A10256"/>
    <w:rsid w:val="00A106DB"/>
    <w:rsid w:val="00A10759"/>
    <w:rsid w:val="00A107FC"/>
    <w:rsid w:val="00A11395"/>
    <w:rsid w:val="00A113BB"/>
    <w:rsid w:val="00A11E7D"/>
    <w:rsid w:val="00A11F0B"/>
    <w:rsid w:val="00A1271A"/>
    <w:rsid w:val="00A13077"/>
    <w:rsid w:val="00A137A4"/>
    <w:rsid w:val="00A14C51"/>
    <w:rsid w:val="00A15438"/>
    <w:rsid w:val="00A15925"/>
    <w:rsid w:val="00A15C6B"/>
    <w:rsid w:val="00A16013"/>
    <w:rsid w:val="00A1611D"/>
    <w:rsid w:val="00A16319"/>
    <w:rsid w:val="00A16AC9"/>
    <w:rsid w:val="00A17627"/>
    <w:rsid w:val="00A17743"/>
    <w:rsid w:val="00A21290"/>
    <w:rsid w:val="00A21314"/>
    <w:rsid w:val="00A2223A"/>
    <w:rsid w:val="00A2231B"/>
    <w:rsid w:val="00A224E3"/>
    <w:rsid w:val="00A2278A"/>
    <w:rsid w:val="00A22B29"/>
    <w:rsid w:val="00A2334D"/>
    <w:rsid w:val="00A2378B"/>
    <w:rsid w:val="00A24373"/>
    <w:rsid w:val="00A254EE"/>
    <w:rsid w:val="00A258AF"/>
    <w:rsid w:val="00A25E4B"/>
    <w:rsid w:val="00A260D4"/>
    <w:rsid w:val="00A26325"/>
    <w:rsid w:val="00A263EB"/>
    <w:rsid w:val="00A2653C"/>
    <w:rsid w:val="00A26B08"/>
    <w:rsid w:val="00A26E10"/>
    <w:rsid w:val="00A27126"/>
    <w:rsid w:val="00A27506"/>
    <w:rsid w:val="00A2751D"/>
    <w:rsid w:val="00A2786D"/>
    <w:rsid w:val="00A278C6"/>
    <w:rsid w:val="00A30574"/>
    <w:rsid w:val="00A30933"/>
    <w:rsid w:val="00A316F0"/>
    <w:rsid w:val="00A31D8D"/>
    <w:rsid w:val="00A327DB"/>
    <w:rsid w:val="00A32CFC"/>
    <w:rsid w:val="00A32FAB"/>
    <w:rsid w:val="00A33839"/>
    <w:rsid w:val="00A34218"/>
    <w:rsid w:val="00A342BD"/>
    <w:rsid w:val="00A34EA3"/>
    <w:rsid w:val="00A35273"/>
    <w:rsid w:val="00A356FB"/>
    <w:rsid w:val="00A36478"/>
    <w:rsid w:val="00A364A7"/>
    <w:rsid w:val="00A364B1"/>
    <w:rsid w:val="00A37BEE"/>
    <w:rsid w:val="00A37FFE"/>
    <w:rsid w:val="00A40381"/>
    <w:rsid w:val="00A4049F"/>
    <w:rsid w:val="00A404F6"/>
    <w:rsid w:val="00A40E00"/>
    <w:rsid w:val="00A41F8C"/>
    <w:rsid w:val="00A42036"/>
    <w:rsid w:val="00A42B4A"/>
    <w:rsid w:val="00A437F4"/>
    <w:rsid w:val="00A44194"/>
    <w:rsid w:val="00A45362"/>
    <w:rsid w:val="00A46024"/>
    <w:rsid w:val="00A46795"/>
    <w:rsid w:val="00A469CD"/>
    <w:rsid w:val="00A46E6A"/>
    <w:rsid w:val="00A476BE"/>
    <w:rsid w:val="00A47A16"/>
    <w:rsid w:val="00A47DCC"/>
    <w:rsid w:val="00A47E39"/>
    <w:rsid w:val="00A50165"/>
    <w:rsid w:val="00A5037B"/>
    <w:rsid w:val="00A50E14"/>
    <w:rsid w:val="00A51470"/>
    <w:rsid w:val="00A5195E"/>
    <w:rsid w:val="00A51CAE"/>
    <w:rsid w:val="00A520ED"/>
    <w:rsid w:val="00A52834"/>
    <w:rsid w:val="00A530DF"/>
    <w:rsid w:val="00A5347D"/>
    <w:rsid w:val="00A53A89"/>
    <w:rsid w:val="00A5427A"/>
    <w:rsid w:val="00A548A6"/>
    <w:rsid w:val="00A54ABA"/>
    <w:rsid w:val="00A55F40"/>
    <w:rsid w:val="00A561D1"/>
    <w:rsid w:val="00A603ED"/>
    <w:rsid w:val="00A60941"/>
    <w:rsid w:val="00A60ED7"/>
    <w:rsid w:val="00A61C00"/>
    <w:rsid w:val="00A623A4"/>
    <w:rsid w:val="00A62D59"/>
    <w:rsid w:val="00A62E30"/>
    <w:rsid w:val="00A62EB1"/>
    <w:rsid w:val="00A63BF4"/>
    <w:rsid w:val="00A64B56"/>
    <w:rsid w:val="00A64BBE"/>
    <w:rsid w:val="00A64BD9"/>
    <w:rsid w:val="00A64DCD"/>
    <w:rsid w:val="00A65680"/>
    <w:rsid w:val="00A65700"/>
    <w:rsid w:val="00A657FE"/>
    <w:rsid w:val="00A65885"/>
    <w:rsid w:val="00A65B80"/>
    <w:rsid w:val="00A66D22"/>
    <w:rsid w:val="00A66F93"/>
    <w:rsid w:val="00A674F4"/>
    <w:rsid w:val="00A702B2"/>
    <w:rsid w:val="00A7084D"/>
    <w:rsid w:val="00A70F32"/>
    <w:rsid w:val="00A71704"/>
    <w:rsid w:val="00A71922"/>
    <w:rsid w:val="00A71C83"/>
    <w:rsid w:val="00A72185"/>
    <w:rsid w:val="00A73076"/>
    <w:rsid w:val="00A73A3B"/>
    <w:rsid w:val="00A73B81"/>
    <w:rsid w:val="00A745B7"/>
    <w:rsid w:val="00A74661"/>
    <w:rsid w:val="00A746BF"/>
    <w:rsid w:val="00A76619"/>
    <w:rsid w:val="00A76D2C"/>
    <w:rsid w:val="00A77054"/>
    <w:rsid w:val="00A77455"/>
    <w:rsid w:val="00A7748A"/>
    <w:rsid w:val="00A809A7"/>
    <w:rsid w:val="00A80B74"/>
    <w:rsid w:val="00A80B89"/>
    <w:rsid w:val="00A80CD2"/>
    <w:rsid w:val="00A8120C"/>
    <w:rsid w:val="00A8179C"/>
    <w:rsid w:val="00A81D99"/>
    <w:rsid w:val="00A8224C"/>
    <w:rsid w:val="00A823CA"/>
    <w:rsid w:val="00A8247F"/>
    <w:rsid w:val="00A82665"/>
    <w:rsid w:val="00A82A49"/>
    <w:rsid w:val="00A82EC3"/>
    <w:rsid w:val="00A83F4C"/>
    <w:rsid w:val="00A848BC"/>
    <w:rsid w:val="00A85716"/>
    <w:rsid w:val="00A85D38"/>
    <w:rsid w:val="00A86060"/>
    <w:rsid w:val="00A8644B"/>
    <w:rsid w:val="00A86CA1"/>
    <w:rsid w:val="00A87180"/>
    <w:rsid w:val="00A874D7"/>
    <w:rsid w:val="00A87974"/>
    <w:rsid w:val="00A87D48"/>
    <w:rsid w:val="00A90055"/>
    <w:rsid w:val="00A901CF"/>
    <w:rsid w:val="00A913A5"/>
    <w:rsid w:val="00A91E1C"/>
    <w:rsid w:val="00A929EA"/>
    <w:rsid w:val="00A930C9"/>
    <w:rsid w:val="00A9318A"/>
    <w:rsid w:val="00A93429"/>
    <w:rsid w:val="00A93B17"/>
    <w:rsid w:val="00A93BD4"/>
    <w:rsid w:val="00A944BF"/>
    <w:rsid w:val="00A95083"/>
    <w:rsid w:val="00A951AE"/>
    <w:rsid w:val="00A95717"/>
    <w:rsid w:val="00A95839"/>
    <w:rsid w:val="00A96061"/>
    <w:rsid w:val="00A96225"/>
    <w:rsid w:val="00A963F9"/>
    <w:rsid w:val="00A96DEA"/>
    <w:rsid w:val="00A97237"/>
    <w:rsid w:val="00A973E6"/>
    <w:rsid w:val="00AA0035"/>
    <w:rsid w:val="00AA0201"/>
    <w:rsid w:val="00AA03C5"/>
    <w:rsid w:val="00AA17B4"/>
    <w:rsid w:val="00AA1A3D"/>
    <w:rsid w:val="00AA1AE6"/>
    <w:rsid w:val="00AA1FE7"/>
    <w:rsid w:val="00AA213B"/>
    <w:rsid w:val="00AA280E"/>
    <w:rsid w:val="00AA2F20"/>
    <w:rsid w:val="00AA2FC9"/>
    <w:rsid w:val="00AA34A8"/>
    <w:rsid w:val="00AA3C26"/>
    <w:rsid w:val="00AA3CEC"/>
    <w:rsid w:val="00AA3E84"/>
    <w:rsid w:val="00AA4136"/>
    <w:rsid w:val="00AA5163"/>
    <w:rsid w:val="00AA5AEC"/>
    <w:rsid w:val="00AA5BFF"/>
    <w:rsid w:val="00AA5C7A"/>
    <w:rsid w:val="00AA5F33"/>
    <w:rsid w:val="00AA6289"/>
    <w:rsid w:val="00AA63D4"/>
    <w:rsid w:val="00AA6C48"/>
    <w:rsid w:val="00AA6F2F"/>
    <w:rsid w:val="00AA78E6"/>
    <w:rsid w:val="00AA79D1"/>
    <w:rsid w:val="00AA7D97"/>
    <w:rsid w:val="00AB038C"/>
    <w:rsid w:val="00AB0506"/>
    <w:rsid w:val="00AB0762"/>
    <w:rsid w:val="00AB0BE3"/>
    <w:rsid w:val="00AB270B"/>
    <w:rsid w:val="00AB2F26"/>
    <w:rsid w:val="00AB326F"/>
    <w:rsid w:val="00AB458A"/>
    <w:rsid w:val="00AB4A2F"/>
    <w:rsid w:val="00AB5124"/>
    <w:rsid w:val="00AB5A59"/>
    <w:rsid w:val="00AB60A7"/>
    <w:rsid w:val="00AB7169"/>
    <w:rsid w:val="00AB7184"/>
    <w:rsid w:val="00AB7922"/>
    <w:rsid w:val="00AB7A7E"/>
    <w:rsid w:val="00AC04DB"/>
    <w:rsid w:val="00AC0F2B"/>
    <w:rsid w:val="00AC0FC7"/>
    <w:rsid w:val="00AC1123"/>
    <w:rsid w:val="00AC1577"/>
    <w:rsid w:val="00AC1970"/>
    <w:rsid w:val="00AC1B40"/>
    <w:rsid w:val="00AC3674"/>
    <w:rsid w:val="00AC5170"/>
    <w:rsid w:val="00AC51B9"/>
    <w:rsid w:val="00AC5765"/>
    <w:rsid w:val="00AC5CA5"/>
    <w:rsid w:val="00AC733C"/>
    <w:rsid w:val="00AD033A"/>
    <w:rsid w:val="00AD046F"/>
    <w:rsid w:val="00AD09A7"/>
    <w:rsid w:val="00AD0E2D"/>
    <w:rsid w:val="00AD1270"/>
    <w:rsid w:val="00AD1651"/>
    <w:rsid w:val="00AD165D"/>
    <w:rsid w:val="00AD21E1"/>
    <w:rsid w:val="00AD2784"/>
    <w:rsid w:val="00AD3460"/>
    <w:rsid w:val="00AD4325"/>
    <w:rsid w:val="00AD43A1"/>
    <w:rsid w:val="00AD479D"/>
    <w:rsid w:val="00AD525C"/>
    <w:rsid w:val="00AD5669"/>
    <w:rsid w:val="00AD5AC1"/>
    <w:rsid w:val="00AD5D94"/>
    <w:rsid w:val="00AD5E00"/>
    <w:rsid w:val="00AD5E1C"/>
    <w:rsid w:val="00AD6593"/>
    <w:rsid w:val="00AD6598"/>
    <w:rsid w:val="00AD7046"/>
    <w:rsid w:val="00AD7500"/>
    <w:rsid w:val="00AD7C51"/>
    <w:rsid w:val="00AD7FE1"/>
    <w:rsid w:val="00AE0253"/>
    <w:rsid w:val="00AE02F8"/>
    <w:rsid w:val="00AE02FA"/>
    <w:rsid w:val="00AE0565"/>
    <w:rsid w:val="00AE0A39"/>
    <w:rsid w:val="00AE1B51"/>
    <w:rsid w:val="00AE1F9E"/>
    <w:rsid w:val="00AE2AF4"/>
    <w:rsid w:val="00AE2F13"/>
    <w:rsid w:val="00AE369C"/>
    <w:rsid w:val="00AE4759"/>
    <w:rsid w:val="00AE47A6"/>
    <w:rsid w:val="00AE4B01"/>
    <w:rsid w:val="00AE5517"/>
    <w:rsid w:val="00AE5552"/>
    <w:rsid w:val="00AE60AB"/>
    <w:rsid w:val="00AE6682"/>
    <w:rsid w:val="00AE6C0E"/>
    <w:rsid w:val="00AF08C2"/>
    <w:rsid w:val="00AF0BCB"/>
    <w:rsid w:val="00AF12C0"/>
    <w:rsid w:val="00AF1C92"/>
    <w:rsid w:val="00AF1DE1"/>
    <w:rsid w:val="00AF1F53"/>
    <w:rsid w:val="00AF32AA"/>
    <w:rsid w:val="00AF39FC"/>
    <w:rsid w:val="00AF3E6B"/>
    <w:rsid w:val="00AF45EA"/>
    <w:rsid w:val="00AF6AE9"/>
    <w:rsid w:val="00AF6D92"/>
    <w:rsid w:val="00AF7396"/>
    <w:rsid w:val="00AF78EB"/>
    <w:rsid w:val="00B022BF"/>
    <w:rsid w:val="00B02F35"/>
    <w:rsid w:val="00B03CC0"/>
    <w:rsid w:val="00B04442"/>
    <w:rsid w:val="00B04BBB"/>
    <w:rsid w:val="00B05031"/>
    <w:rsid w:val="00B0610C"/>
    <w:rsid w:val="00B06F33"/>
    <w:rsid w:val="00B06F92"/>
    <w:rsid w:val="00B072E1"/>
    <w:rsid w:val="00B07328"/>
    <w:rsid w:val="00B0761F"/>
    <w:rsid w:val="00B07782"/>
    <w:rsid w:val="00B103FD"/>
    <w:rsid w:val="00B10BC3"/>
    <w:rsid w:val="00B11369"/>
    <w:rsid w:val="00B115FE"/>
    <w:rsid w:val="00B11B87"/>
    <w:rsid w:val="00B1207E"/>
    <w:rsid w:val="00B13446"/>
    <w:rsid w:val="00B13C64"/>
    <w:rsid w:val="00B147CC"/>
    <w:rsid w:val="00B14B6E"/>
    <w:rsid w:val="00B14EBF"/>
    <w:rsid w:val="00B1519E"/>
    <w:rsid w:val="00B15758"/>
    <w:rsid w:val="00B15A8D"/>
    <w:rsid w:val="00B15D1E"/>
    <w:rsid w:val="00B15D7E"/>
    <w:rsid w:val="00B1612A"/>
    <w:rsid w:val="00B166E9"/>
    <w:rsid w:val="00B169DA"/>
    <w:rsid w:val="00B16B7B"/>
    <w:rsid w:val="00B16CE4"/>
    <w:rsid w:val="00B171B3"/>
    <w:rsid w:val="00B17204"/>
    <w:rsid w:val="00B1741D"/>
    <w:rsid w:val="00B17BCA"/>
    <w:rsid w:val="00B17C6C"/>
    <w:rsid w:val="00B17CCE"/>
    <w:rsid w:val="00B17D6E"/>
    <w:rsid w:val="00B2036A"/>
    <w:rsid w:val="00B21CBD"/>
    <w:rsid w:val="00B21CF7"/>
    <w:rsid w:val="00B232E4"/>
    <w:rsid w:val="00B23942"/>
    <w:rsid w:val="00B24301"/>
    <w:rsid w:val="00B246B6"/>
    <w:rsid w:val="00B250B7"/>
    <w:rsid w:val="00B25203"/>
    <w:rsid w:val="00B25468"/>
    <w:rsid w:val="00B255F7"/>
    <w:rsid w:val="00B2593C"/>
    <w:rsid w:val="00B27618"/>
    <w:rsid w:val="00B2771A"/>
    <w:rsid w:val="00B305AB"/>
    <w:rsid w:val="00B318FD"/>
    <w:rsid w:val="00B31CBD"/>
    <w:rsid w:val="00B31D32"/>
    <w:rsid w:val="00B31D59"/>
    <w:rsid w:val="00B31D74"/>
    <w:rsid w:val="00B31FF8"/>
    <w:rsid w:val="00B32043"/>
    <w:rsid w:val="00B3241F"/>
    <w:rsid w:val="00B32891"/>
    <w:rsid w:val="00B342BA"/>
    <w:rsid w:val="00B34B8D"/>
    <w:rsid w:val="00B351DB"/>
    <w:rsid w:val="00B358BE"/>
    <w:rsid w:val="00B35B36"/>
    <w:rsid w:val="00B35FB5"/>
    <w:rsid w:val="00B371E0"/>
    <w:rsid w:val="00B377C9"/>
    <w:rsid w:val="00B40081"/>
    <w:rsid w:val="00B4055B"/>
    <w:rsid w:val="00B405FA"/>
    <w:rsid w:val="00B40643"/>
    <w:rsid w:val="00B40CEF"/>
    <w:rsid w:val="00B40DF2"/>
    <w:rsid w:val="00B4173B"/>
    <w:rsid w:val="00B42828"/>
    <w:rsid w:val="00B42DAA"/>
    <w:rsid w:val="00B43007"/>
    <w:rsid w:val="00B435F8"/>
    <w:rsid w:val="00B43F92"/>
    <w:rsid w:val="00B44F3A"/>
    <w:rsid w:val="00B44FD9"/>
    <w:rsid w:val="00B4501F"/>
    <w:rsid w:val="00B45D13"/>
    <w:rsid w:val="00B45D4C"/>
    <w:rsid w:val="00B463EE"/>
    <w:rsid w:val="00B46B3C"/>
    <w:rsid w:val="00B46C8B"/>
    <w:rsid w:val="00B46CD6"/>
    <w:rsid w:val="00B46D81"/>
    <w:rsid w:val="00B47471"/>
    <w:rsid w:val="00B47B52"/>
    <w:rsid w:val="00B501C4"/>
    <w:rsid w:val="00B504A7"/>
    <w:rsid w:val="00B50E1B"/>
    <w:rsid w:val="00B50F7A"/>
    <w:rsid w:val="00B51121"/>
    <w:rsid w:val="00B51F80"/>
    <w:rsid w:val="00B520A2"/>
    <w:rsid w:val="00B5226B"/>
    <w:rsid w:val="00B52333"/>
    <w:rsid w:val="00B524D1"/>
    <w:rsid w:val="00B5354D"/>
    <w:rsid w:val="00B537FD"/>
    <w:rsid w:val="00B53ABD"/>
    <w:rsid w:val="00B53D12"/>
    <w:rsid w:val="00B5418E"/>
    <w:rsid w:val="00B543FD"/>
    <w:rsid w:val="00B54CCE"/>
    <w:rsid w:val="00B54D03"/>
    <w:rsid w:val="00B556D9"/>
    <w:rsid w:val="00B55BAB"/>
    <w:rsid w:val="00B55F52"/>
    <w:rsid w:val="00B55FEF"/>
    <w:rsid w:val="00B5659F"/>
    <w:rsid w:val="00B56F99"/>
    <w:rsid w:val="00B57E5F"/>
    <w:rsid w:val="00B600E1"/>
    <w:rsid w:val="00B6043D"/>
    <w:rsid w:val="00B6093E"/>
    <w:rsid w:val="00B60F4A"/>
    <w:rsid w:val="00B60FA7"/>
    <w:rsid w:val="00B615E8"/>
    <w:rsid w:val="00B62309"/>
    <w:rsid w:val="00B6255C"/>
    <w:rsid w:val="00B62877"/>
    <w:rsid w:val="00B629E1"/>
    <w:rsid w:val="00B63E2C"/>
    <w:rsid w:val="00B646A2"/>
    <w:rsid w:val="00B64813"/>
    <w:rsid w:val="00B648C2"/>
    <w:rsid w:val="00B649A1"/>
    <w:rsid w:val="00B65018"/>
    <w:rsid w:val="00B650F5"/>
    <w:rsid w:val="00B6524A"/>
    <w:rsid w:val="00B653C3"/>
    <w:rsid w:val="00B6627A"/>
    <w:rsid w:val="00B66EA3"/>
    <w:rsid w:val="00B6745A"/>
    <w:rsid w:val="00B67F8C"/>
    <w:rsid w:val="00B7000F"/>
    <w:rsid w:val="00B7126F"/>
    <w:rsid w:val="00B7162A"/>
    <w:rsid w:val="00B7176B"/>
    <w:rsid w:val="00B718C2"/>
    <w:rsid w:val="00B727BE"/>
    <w:rsid w:val="00B73629"/>
    <w:rsid w:val="00B73DEA"/>
    <w:rsid w:val="00B746CA"/>
    <w:rsid w:val="00B74A98"/>
    <w:rsid w:val="00B752B4"/>
    <w:rsid w:val="00B75D4B"/>
    <w:rsid w:val="00B75D87"/>
    <w:rsid w:val="00B76220"/>
    <w:rsid w:val="00B76712"/>
    <w:rsid w:val="00B76919"/>
    <w:rsid w:val="00B76922"/>
    <w:rsid w:val="00B77A9B"/>
    <w:rsid w:val="00B77C61"/>
    <w:rsid w:val="00B80B74"/>
    <w:rsid w:val="00B8187A"/>
    <w:rsid w:val="00B81A1D"/>
    <w:rsid w:val="00B81D1F"/>
    <w:rsid w:val="00B823F5"/>
    <w:rsid w:val="00B82540"/>
    <w:rsid w:val="00B82544"/>
    <w:rsid w:val="00B8258A"/>
    <w:rsid w:val="00B82A38"/>
    <w:rsid w:val="00B82D1B"/>
    <w:rsid w:val="00B83018"/>
    <w:rsid w:val="00B83074"/>
    <w:rsid w:val="00B84003"/>
    <w:rsid w:val="00B8477D"/>
    <w:rsid w:val="00B84C5D"/>
    <w:rsid w:val="00B864C1"/>
    <w:rsid w:val="00B869E5"/>
    <w:rsid w:val="00B86A1D"/>
    <w:rsid w:val="00B87337"/>
    <w:rsid w:val="00B9005E"/>
    <w:rsid w:val="00B90738"/>
    <w:rsid w:val="00B9079F"/>
    <w:rsid w:val="00B9092D"/>
    <w:rsid w:val="00B912CE"/>
    <w:rsid w:val="00B9147A"/>
    <w:rsid w:val="00B91804"/>
    <w:rsid w:val="00B93012"/>
    <w:rsid w:val="00B93336"/>
    <w:rsid w:val="00B93364"/>
    <w:rsid w:val="00B93895"/>
    <w:rsid w:val="00B94159"/>
    <w:rsid w:val="00B944B7"/>
    <w:rsid w:val="00B94563"/>
    <w:rsid w:val="00B946A4"/>
    <w:rsid w:val="00B949D1"/>
    <w:rsid w:val="00B95104"/>
    <w:rsid w:val="00B9537A"/>
    <w:rsid w:val="00B9652D"/>
    <w:rsid w:val="00B969EC"/>
    <w:rsid w:val="00B97CE8"/>
    <w:rsid w:val="00BA0009"/>
    <w:rsid w:val="00BA058C"/>
    <w:rsid w:val="00BA089F"/>
    <w:rsid w:val="00BA0C9E"/>
    <w:rsid w:val="00BA17B3"/>
    <w:rsid w:val="00BA21C9"/>
    <w:rsid w:val="00BA3B42"/>
    <w:rsid w:val="00BA3FC2"/>
    <w:rsid w:val="00BA5274"/>
    <w:rsid w:val="00BA5EC7"/>
    <w:rsid w:val="00BA60CE"/>
    <w:rsid w:val="00BA6B25"/>
    <w:rsid w:val="00BA6F65"/>
    <w:rsid w:val="00BA71CE"/>
    <w:rsid w:val="00BB034C"/>
    <w:rsid w:val="00BB1110"/>
    <w:rsid w:val="00BB1913"/>
    <w:rsid w:val="00BB1F1D"/>
    <w:rsid w:val="00BB21BA"/>
    <w:rsid w:val="00BB2292"/>
    <w:rsid w:val="00BB2C6A"/>
    <w:rsid w:val="00BB3B39"/>
    <w:rsid w:val="00BB3CAA"/>
    <w:rsid w:val="00BB3D63"/>
    <w:rsid w:val="00BB4016"/>
    <w:rsid w:val="00BB472B"/>
    <w:rsid w:val="00BB511D"/>
    <w:rsid w:val="00BB5AB7"/>
    <w:rsid w:val="00BB627C"/>
    <w:rsid w:val="00BB6808"/>
    <w:rsid w:val="00BC0CC7"/>
    <w:rsid w:val="00BC1EAD"/>
    <w:rsid w:val="00BC2260"/>
    <w:rsid w:val="00BC2B72"/>
    <w:rsid w:val="00BC2E90"/>
    <w:rsid w:val="00BC39E6"/>
    <w:rsid w:val="00BC3EC2"/>
    <w:rsid w:val="00BC46B0"/>
    <w:rsid w:val="00BC5104"/>
    <w:rsid w:val="00BC5887"/>
    <w:rsid w:val="00BC5DFC"/>
    <w:rsid w:val="00BC609B"/>
    <w:rsid w:val="00BC6687"/>
    <w:rsid w:val="00BC6CA7"/>
    <w:rsid w:val="00BC75D8"/>
    <w:rsid w:val="00BC7C6A"/>
    <w:rsid w:val="00BD0775"/>
    <w:rsid w:val="00BD0942"/>
    <w:rsid w:val="00BD101B"/>
    <w:rsid w:val="00BD1B22"/>
    <w:rsid w:val="00BD2D70"/>
    <w:rsid w:val="00BD309A"/>
    <w:rsid w:val="00BD3839"/>
    <w:rsid w:val="00BD4444"/>
    <w:rsid w:val="00BD4AED"/>
    <w:rsid w:val="00BD4C73"/>
    <w:rsid w:val="00BD505B"/>
    <w:rsid w:val="00BD524D"/>
    <w:rsid w:val="00BD54E3"/>
    <w:rsid w:val="00BD54E9"/>
    <w:rsid w:val="00BD552F"/>
    <w:rsid w:val="00BD56B8"/>
    <w:rsid w:val="00BD580B"/>
    <w:rsid w:val="00BD58ED"/>
    <w:rsid w:val="00BD5D1D"/>
    <w:rsid w:val="00BD64B5"/>
    <w:rsid w:val="00BD6965"/>
    <w:rsid w:val="00BD6B30"/>
    <w:rsid w:val="00BD6CE9"/>
    <w:rsid w:val="00BD7223"/>
    <w:rsid w:val="00BD7BC9"/>
    <w:rsid w:val="00BD7E10"/>
    <w:rsid w:val="00BE0B35"/>
    <w:rsid w:val="00BE1393"/>
    <w:rsid w:val="00BE2809"/>
    <w:rsid w:val="00BE2868"/>
    <w:rsid w:val="00BE4263"/>
    <w:rsid w:val="00BE480F"/>
    <w:rsid w:val="00BE4AA7"/>
    <w:rsid w:val="00BE503E"/>
    <w:rsid w:val="00BE5B3D"/>
    <w:rsid w:val="00BE636F"/>
    <w:rsid w:val="00BE63DD"/>
    <w:rsid w:val="00BE6609"/>
    <w:rsid w:val="00BE677D"/>
    <w:rsid w:val="00BE67B8"/>
    <w:rsid w:val="00BE757F"/>
    <w:rsid w:val="00BE7929"/>
    <w:rsid w:val="00BE7F35"/>
    <w:rsid w:val="00BF1587"/>
    <w:rsid w:val="00BF1B12"/>
    <w:rsid w:val="00BF1C16"/>
    <w:rsid w:val="00BF22CD"/>
    <w:rsid w:val="00BF25D8"/>
    <w:rsid w:val="00BF2E9E"/>
    <w:rsid w:val="00BF3418"/>
    <w:rsid w:val="00BF4875"/>
    <w:rsid w:val="00BF4AAF"/>
    <w:rsid w:val="00BF4E1F"/>
    <w:rsid w:val="00BF5480"/>
    <w:rsid w:val="00BF59DC"/>
    <w:rsid w:val="00BF6786"/>
    <w:rsid w:val="00BF7874"/>
    <w:rsid w:val="00C0059C"/>
    <w:rsid w:val="00C006EC"/>
    <w:rsid w:val="00C008D0"/>
    <w:rsid w:val="00C00A0A"/>
    <w:rsid w:val="00C01178"/>
    <w:rsid w:val="00C01E58"/>
    <w:rsid w:val="00C01FAF"/>
    <w:rsid w:val="00C02F6F"/>
    <w:rsid w:val="00C0302A"/>
    <w:rsid w:val="00C032E4"/>
    <w:rsid w:val="00C03BE0"/>
    <w:rsid w:val="00C03F1D"/>
    <w:rsid w:val="00C04247"/>
    <w:rsid w:val="00C042AB"/>
    <w:rsid w:val="00C05E06"/>
    <w:rsid w:val="00C05E27"/>
    <w:rsid w:val="00C07505"/>
    <w:rsid w:val="00C07783"/>
    <w:rsid w:val="00C07C0D"/>
    <w:rsid w:val="00C07DBB"/>
    <w:rsid w:val="00C10B0E"/>
    <w:rsid w:val="00C10E20"/>
    <w:rsid w:val="00C115AA"/>
    <w:rsid w:val="00C117EE"/>
    <w:rsid w:val="00C11A94"/>
    <w:rsid w:val="00C129FD"/>
    <w:rsid w:val="00C13764"/>
    <w:rsid w:val="00C138ED"/>
    <w:rsid w:val="00C13976"/>
    <w:rsid w:val="00C13F0B"/>
    <w:rsid w:val="00C146C6"/>
    <w:rsid w:val="00C1544F"/>
    <w:rsid w:val="00C155BF"/>
    <w:rsid w:val="00C15DAE"/>
    <w:rsid w:val="00C15E0A"/>
    <w:rsid w:val="00C16481"/>
    <w:rsid w:val="00C16B40"/>
    <w:rsid w:val="00C20CBF"/>
    <w:rsid w:val="00C20EB9"/>
    <w:rsid w:val="00C219C4"/>
    <w:rsid w:val="00C222E7"/>
    <w:rsid w:val="00C225DF"/>
    <w:rsid w:val="00C22786"/>
    <w:rsid w:val="00C22C25"/>
    <w:rsid w:val="00C22CF9"/>
    <w:rsid w:val="00C22F7F"/>
    <w:rsid w:val="00C233A1"/>
    <w:rsid w:val="00C236A9"/>
    <w:rsid w:val="00C2386D"/>
    <w:rsid w:val="00C23A10"/>
    <w:rsid w:val="00C23AA7"/>
    <w:rsid w:val="00C23BD0"/>
    <w:rsid w:val="00C24107"/>
    <w:rsid w:val="00C241C0"/>
    <w:rsid w:val="00C24A86"/>
    <w:rsid w:val="00C24A99"/>
    <w:rsid w:val="00C25236"/>
    <w:rsid w:val="00C256EC"/>
    <w:rsid w:val="00C258A5"/>
    <w:rsid w:val="00C25A85"/>
    <w:rsid w:val="00C25C0C"/>
    <w:rsid w:val="00C26229"/>
    <w:rsid w:val="00C26579"/>
    <w:rsid w:val="00C268DE"/>
    <w:rsid w:val="00C276C8"/>
    <w:rsid w:val="00C27906"/>
    <w:rsid w:val="00C30311"/>
    <w:rsid w:val="00C30E75"/>
    <w:rsid w:val="00C31734"/>
    <w:rsid w:val="00C3205D"/>
    <w:rsid w:val="00C3308C"/>
    <w:rsid w:val="00C33281"/>
    <w:rsid w:val="00C3344D"/>
    <w:rsid w:val="00C33B13"/>
    <w:rsid w:val="00C33D2E"/>
    <w:rsid w:val="00C33DE0"/>
    <w:rsid w:val="00C33F52"/>
    <w:rsid w:val="00C342EA"/>
    <w:rsid w:val="00C34C4F"/>
    <w:rsid w:val="00C34CE1"/>
    <w:rsid w:val="00C34ED8"/>
    <w:rsid w:val="00C35309"/>
    <w:rsid w:val="00C356E9"/>
    <w:rsid w:val="00C3694B"/>
    <w:rsid w:val="00C36974"/>
    <w:rsid w:val="00C36CD1"/>
    <w:rsid w:val="00C36D54"/>
    <w:rsid w:val="00C37686"/>
    <w:rsid w:val="00C376B0"/>
    <w:rsid w:val="00C37893"/>
    <w:rsid w:val="00C379B5"/>
    <w:rsid w:val="00C4020F"/>
    <w:rsid w:val="00C40D60"/>
    <w:rsid w:val="00C40F24"/>
    <w:rsid w:val="00C410A0"/>
    <w:rsid w:val="00C4211E"/>
    <w:rsid w:val="00C4220D"/>
    <w:rsid w:val="00C42931"/>
    <w:rsid w:val="00C42C8C"/>
    <w:rsid w:val="00C434F5"/>
    <w:rsid w:val="00C43C53"/>
    <w:rsid w:val="00C44FB1"/>
    <w:rsid w:val="00C4519A"/>
    <w:rsid w:val="00C45BC6"/>
    <w:rsid w:val="00C46403"/>
    <w:rsid w:val="00C46837"/>
    <w:rsid w:val="00C474D9"/>
    <w:rsid w:val="00C47873"/>
    <w:rsid w:val="00C479FB"/>
    <w:rsid w:val="00C50C9E"/>
    <w:rsid w:val="00C5112E"/>
    <w:rsid w:val="00C51E81"/>
    <w:rsid w:val="00C52B1C"/>
    <w:rsid w:val="00C52EA1"/>
    <w:rsid w:val="00C5309A"/>
    <w:rsid w:val="00C53BF0"/>
    <w:rsid w:val="00C54423"/>
    <w:rsid w:val="00C5455E"/>
    <w:rsid w:val="00C547D2"/>
    <w:rsid w:val="00C54AA2"/>
    <w:rsid w:val="00C55BCA"/>
    <w:rsid w:val="00C56630"/>
    <w:rsid w:val="00C56AB4"/>
    <w:rsid w:val="00C57E57"/>
    <w:rsid w:val="00C606FC"/>
    <w:rsid w:val="00C60BC0"/>
    <w:rsid w:val="00C610F8"/>
    <w:rsid w:val="00C6150B"/>
    <w:rsid w:val="00C6167A"/>
    <w:rsid w:val="00C61A0F"/>
    <w:rsid w:val="00C62382"/>
    <w:rsid w:val="00C62F2B"/>
    <w:rsid w:val="00C64578"/>
    <w:rsid w:val="00C65980"/>
    <w:rsid w:val="00C65B1A"/>
    <w:rsid w:val="00C65DCE"/>
    <w:rsid w:val="00C65E3C"/>
    <w:rsid w:val="00C65FC9"/>
    <w:rsid w:val="00C66694"/>
    <w:rsid w:val="00C6766C"/>
    <w:rsid w:val="00C70C99"/>
    <w:rsid w:val="00C71580"/>
    <w:rsid w:val="00C71BE2"/>
    <w:rsid w:val="00C725C0"/>
    <w:rsid w:val="00C726E1"/>
    <w:rsid w:val="00C727B0"/>
    <w:rsid w:val="00C72A75"/>
    <w:rsid w:val="00C73F6E"/>
    <w:rsid w:val="00C74536"/>
    <w:rsid w:val="00C766DF"/>
    <w:rsid w:val="00C76DBB"/>
    <w:rsid w:val="00C771AF"/>
    <w:rsid w:val="00C77471"/>
    <w:rsid w:val="00C77769"/>
    <w:rsid w:val="00C777D6"/>
    <w:rsid w:val="00C77895"/>
    <w:rsid w:val="00C80847"/>
    <w:rsid w:val="00C81813"/>
    <w:rsid w:val="00C82470"/>
    <w:rsid w:val="00C826D2"/>
    <w:rsid w:val="00C829A7"/>
    <w:rsid w:val="00C83439"/>
    <w:rsid w:val="00C83510"/>
    <w:rsid w:val="00C83AA2"/>
    <w:rsid w:val="00C860DD"/>
    <w:rsid w:val="00C86179"/>
    <w:rsid w:val="00C863B7"/>
    <w:rsid w:val="00C86875"/>
    <w:rsid w:val="00C87CA7"/>
    <w:rsid w:val="00C905CB"/>
    <w:rsid w:val="00C91C0E"/>
    <w:rsid w:val="00C91E15"/>
    <w:rsid w:val="00C920FA"/>
    <w:rsid w:val="00C92BA9"/>
    <w:rsid w:val="00C92E3D"/>
    <w:rsid w:val="00C937EC"/>
    <w:rsid w:val="00C93A90"/>
    <w:rsid w:val="00C93E45"/>
    <w:rsid w:val="00C946AB"/>
    <w:rsid w:val="00C94E46"/>
    <w:rsid w:val="00C950B4"/>
    <w:rsid w:val="00C9564C"/>
    <w:rsid w:val="00C95834"/>
    <w:rsid w:val="00C96EC5"/>
    <w:rsid w:val="00C975A7"/>
    <w:rsid w:val="00C975F6"/>
    <w:rsid w:val="00C97E82"/>
    <w:rsid w:val="00CA0287"/>
    <w:rsid w:val="00CA0476"/>
    <w:rsid w:val="00CA0C32"/>
    <w:rsid w:val="00CA1276"/>
    <w:rsid w:val="00CA1292"/>
    <w:rsid w:val="00CA1816"/>
    <w:rsid w:val="00CA198B"/>
    <w:rsid w:val="00CA22B0"/>
    <w:rsid w:val="00CA23C1"/>
    <w:rsid w:val="00CA25F8"/>
    <w:rsid w:val="00CA2D47"/>
    <w:rsid w:val="00CA40CD"/>
    <w:rsid w:val="00CA4942"/>
    <w:rsid w:val="00CA5396"/>
    <w:rsid w:val="00CA55BF"/>
    <w:rsid w:val="00CA5A23"/>
    <w:rsid w:val="00CA67A3"/>
    <w:rsid w:val="00CA6ED5"/>
    <w:rsid w:val="00CA7461"/>
    <w:rsid w:val="00CA7849"/>
    <w:rsid w:val="00CB0177"/>
    <w:rsid w:val="00CB161F"/>
    <w:rsid w:val="00CB1783"/>
    <w:rsid w:val="00CB17DF"/>
    <w:rsid w:val="00CB18BE"/>
    <w:rsid w:val="00CB1C2A"/>
    <w:rsid w:val="00CB2332"/>
    <w:rsid w:val="00CB2433"/>
    <w:rsid w:val="00CB26EB"/>
    <w:rsid w:val="00CB27DB"/>
    <w:rsid w:val="00CB2A8F"/>
    <w:rsid w:val="00CB3979"/>
    <w:rsid w:val="00CB45E2"/>
    <w:rsid w:val="00CB4853"/>
    <w:rsid w:val="00CB4AC1"/>
    <w:rsid w:val="00CB4DD7"/>
    <w:rsid w:val="00CB4F30"/>
    <w:rsid w:val="00CB5F76"/>
    <w:rsid w:val="00CB67BF"/>
    <w:rsid w:val="00CB69E6"/>
    <w:rsid w:val="00CB7E36"/>
    <w:rsid w:val="00CC0A14"/>
    <w:rsid w:val="00CC0B91"/>
    <w:rsid w:val="00CC0F25"/>
    <w:rsid w:val="00CC1077"/>
    <w:rsid w:val="00CC17DD"/>
    <w:rsid w:val="00CC2251"/>
    <w:rsid w:val="00CC28E9"/>
    <w:rsid w:val="00CC2E80"/>
    <w:rsid w:val="00CC300F"/>
    <w:rsid w:val="00CC302D"/>
    <w:rsid w:val="00CC31B6"/>
    <w:rsid w:val="00CC3683"/>
    <w:rsid w:val="00CC3A0B"/>
    <w:rsid w:val="00CC416D"/>
    <w:rsid w:val="00CC4518"/>
    <w:rsid w:val="00CC49AD"/>
    <w:rsid w:val="00CC4C68"/>
    <w:rsid w:val="00CC5FA9"/>
    <w:rsid w:val="00CC6782"/>
    <w:rsid w:val="00CC67DD"/>
    <w:rsid w:val="00CC6B3E"/>
    <w:rsid w:val="00CC7044"/>
    <w:rsid w:val="00CC74AA"/>
    <w:rsid w:val="00CD024E"/>
    <w:rsid w:val="00CD0265"/>
    <w:rsid w:val="00CD088E"/>
    <w:rsid w:val="00CD20EB"/>
    <w:rsid w:val="00CD23BF"/>
    <w:rsid w:val="00CD2578"/>
    <w:rsid w:val="00CD26B4"/>
    <w:rsid w:val="00CD2E6F"/>
    <w:rsid w:val="00CD2F58"/>
    <w:rsid w:val="00CD33A6"/>
    <w:rsid w:val="00CD4423"/>
    <w:rsid w:val="00CD44F1"/>
    <w:rsid w:val="00CD4773"/>
    <w:rsid w:val="00CD491E"/>
    <w:rsid w:val="00CD52E5"/>
    <w:rsid w:val="00CD5950"/>
    <w:rsid w:val="00CD6197"/>
    <w:rsid w:val="00CD7153"/>
    <w:rsid w:val="00CD72E9"/>
    <w:rsid w:val="00CD7A6C"/>
    <w:rsid w:val="00CE06E2"/>
    <w:rsid w:val="00CE0AF4"/>
    <w:rsid w:val="00CE1446"/>
    <w:rsid w:val="00CE17B7"/>
    <w:rsid w:val="00CE1B6C"/>
    <w:rsid w:val="00CE28F9"/>
    <w:rsid w:val="00CE2B99"/>
    <w:rsid w:val="00CE2EBD"/>
    <w:rsid w:val="00CE35FF"/>
    <w:rsid w:val="00CE363F"/>
    <w:rsid w:val="00CE374D"/>
    <w:rsid w:val="00CE380E"/>
    <w:rsid w:val="00CE4353"/>
    <w:rsid w:val="00CE4C3F"/>
    <w:rsid w:val="00CE505C"/>
    <w:rsid w:val="00CE51B1"/>
    <w:rsid w:val="00CE5978"/>
    <w:rsid w:val="00CE5FD5"/>
    <w:rsid w:val="00CE62A6"/>
    <w:rsid w:val="00CE67AC"/>
    <w:rsid w:val="00CE6E97"/>
    <w:rsid w:val="00CE71A9"/>
    <w:rsid w:val="00CE7723"/>
    <w:rsid w:val="00CE792C"/>
    <w:rsid w:val="00CF0696"/>
    <w:rsid w:val="00CF0980"/>
    <w:rsid w:val="00CF169A"/>
    <w:rsid w:val="00CF2051"/>
    <w:rsid w:val="00CF2E00"/>
    <w:rsid w:val="00CF2EEE"/>
    <w:rsid w:val="00CF37B6"/>
    <w:rsid w:val="00CF380A"/>
    <w:rsid w:val="00CF3F7A"/>
    <w:rsid w:val="00CF4102"/>
    <w:rsid w:val="00CF4337"/>
    <w:rsid w:val="00CF449A"/>
    <w:rsid w:val="00CF4F20"/>
    <w:rsid w:val="00CF4FE7"/>
    <w:rsid w:val="00CF5D34"/>
    <w:rsid w:val="00CF627E"/>
    <w:rsid w:val="00CF754D"/>
    <w:rsid w:val="00CF7655"/>
    <w:rsid w:val="00CF78DD"/>
    <w:rsid w:val="00CF7943"/>
    <w:rsid w:val="00D016C0"/>
    <w:rsid w:val="00D017AC"/>
    <w:rsid w:val="00D019FB"/>
    <w:rsid w:val="00D02318"/>
    <w:rsid w:val="00D0237A"/>
    <w:rsid w:val="00D02407"/>
    <w:rsid w:val="00D02C96"/>
    <w:rsid w:val="00D0381A"/>
    <w:rsid w:val="00D04B4E"/>
    <w:rsid w:val="00D051DA"/>
    <w:rsid w:val="00D06383"/>
    <w:rsid w:val="00D06564"/>
    <w:rsid w:val="00D06F70"/>
    <w:rsid w:val="00D0726F"/>
    <w:rsid w:val="00D07611"/>
    <w:rsid w:val="00D07E1A"/>
    <w:rsid w:val="00D10422"/>
    <w:rsid w:val="00D10D0A"/>
    <w:rsid w:val="00D11449"/>
    <w:rsid w:val="00D1199F"/>
    <w:rsid w:val="00D12DAB"/>
    <w:rsid w:val="00D13175"/>
    <w:rsid w:val="00D13228"/>
    <w:rsid w:val="00D1357A"/>
    <w:rsid w:val="00D137C9"/>
    <w:rsid w:val="00D13CB0"/>
    <w:rsid w:val="00D13EFE"/>
    <w:rsid w:val="00D140C4"/>
    <w:rsid w:val="00D14423"/>
    <w:rsid w:val="00D14438"/>
    <w:rsid w:val="00D15158"/>
    <w:rsid w:val="00D15978"/>
    <w:rsid w:val="00D15BB9"/>
    <w:rsid w:val="00D16C4D"/>
    <w:rsid w:val="00D20CBA"/>
    <w:rsid w:val="00D20D24"/>
    <w:rsid w:val="00D20E61"/>
    <w:rsid w:val="00D213B6"/>
    <w:rsid w:val="00D21479"/>
    <w:rsid w:val="00D2150E"/>
    <w:rsid w:val="00D217FC"/>
    <w:rsid w:val="00D22397"/>
    <w:rsid w:val="00D224D8"/>
    <w:rsid w:val="00D22E3E"/>
    <w:rsid w:val="00D23610"/>
    <w:rsid w:val="00D240FA"/>
    <w:rsid w:val="00D251FE"/>
    <w:rsid w:val="00D25243"/>
    <w:rsid w:val="00D261AA"/>
    <w:rsid w:val="00D261D7"/>
    <w:rsid w:val="00D263C9"/>
    <w:rsid w:val="00D26AEB"/>
    <w:rsid w:val="00D27084"/>
    <w:rsid w:val="00D27AD7"/>
    <w:rsid w:val="00D27DC7"/>
    <w:rsid w:val="00D27E57"/>
    <w:rsid w:val="00D30558"/>
    <w:rsid w:val="00D307FB"/>
    <w:rsid w:val="00D31FA2"/>
    <w:rsid w:val="00D32675"/>
    <w:rsid w:val="00D32BEA"/>
    <w:rsid w:val="00D334F5"/>
    <w:rsid w:val="00D33706"/>
    <w:rsid w:val="00D33CF6"/>
    <w:rsid w:val="00D345C1"/>
    <w:rsid w:val="00D34AD0"/>
    <w:rsid w:val="00D34E8E"/>
    <w:rsid w:val="00D365DB"/>
    <w:rsid w:val="00D3679F"/>
    <w:rsid w:val="00D36D16"/>
    <w:rsid w:val="00D36F66"/>
    <w:rsid w:val="00D37569"/>
    <w:rsid w:val="00D3796A"/>
    <w:rsid w:val="00D37B0B"/>
    <w:rsid w:val="00D37D32"/>
    <w:rsid w:val="00D37D75"/>
    <w:rsid w:val="00D4034F"/>
    <w:rsid w:val="00D4055B"/>
    <w:rsid w:val="00D406F6"/>
    <w:rsid w:val="00D4098F"/>
    <w:rsid w:val="00D40AD2"/>
    <w:rsid w:val="00D40D56"/>
    <w:rsid w:val="00D40E72"/>
    <w:rsid w:val="00D4138A"/>
    <w:rsid w:val="00D41F82"/>
    <w:rsid w:val="00D42D6F"/>
    <w:rsid w:val="00D4307F"/>
    <w:rsid w:val="00D431B2"/>
    <w:rsid w:val="00D43247"/>
    <w:rsid w:val="00D43356"/>
    <w:rsid w:val="00D433F6"/>
    <w:rsid w:val="00D445BE"/>
    <w:rsid w:val="00D45E8B"/>
    <w:rsid w:val="00D464FF"/>
    <w:rsid w:val="00D468B1"/>
    <w:rsid w:val="00D46CBD"/>
    <w:rsid w:val="00D46F45"/>
    <w:rsid w:val="00D47077"/>
    <w:rsid w:val="00D470E8"/>
    <w:rsid w:val="00D4795D"/>
    <w:rsid w:val="00D479A0"/>
    <w:rsid w:val="00D47B77"/>
    <w:rsid w:val="00D47CFE"/>
    <w:rsid w:val="00D47D28"/>
    <w:rsid w:val="00D50334"/>
    <w:rsid w:val="00D50D46"/>
    <w:rsid w:val="00D50FC8"/>
    <w:rsid w:val="00D511B7"/>
    <w:rsid w:val="00D516E1"/>
    <w:rsid w:val="00D5199C"/>
    <w:rsid w:val="00D51AFA"/>
    <w:rsid w:val="00D52CB2"/>
    <w:rsid w:val="00D53130"/>
    <w:rsid w:val="00D53296"/>
    <w:rsid w:val="00D533F4"/>
    <w:rsid w:val="00D53494"/>
    <w:rsid w:val="00D53CB5"/>
    <w:rsid w:val="00D54600"/>
    <w:rsid w:val="00D55153"/>
    <w:rsid w:val="00D55B0C"/>
    <w:rsid w:val="00D56387"/>
    <w:rsid w:val="00D56C7A"/>
    <w:rsid w:val="00D57BA2"/>
    <w:rsid w:val="00D57D8F"/>
    <w:rsid w:val="00D6034A"/>
    <w:rsid w:val="00D60A4A"/>
    <w:rsid w:val="00D60C85"/>
    <w:rsid w:val="00D60E90"/>
    <w:rsid w:val="00D610B9"/>
    <w:rsid w:val="00D61ED4"/>
    <w:rsid w:val="00D62B05"/>
    <w:rsid w:val="00D62E07"/>
    <w:rsid w:val="00D62EC6"/>
    <w:rsid w:val="00D654E9"/>
    <w:rsid w:val="00D6570F"/>
    <w:rsid w:val="00D65D5F"/>
    <w:rsid w:val="00D666BA"/>
    <w:rsid w:val="00D67569"/>
    <w:rsid w:val="00D70889"/>
    <w:rsid w:val="00D7137F"/>
    <w:rsid w:val="00D71394"/>
    <w:rsid w:val="00D72D1A"/>
    <w:rsid w:val="00D73201"/>
    <w:rsid w:val="00D73A2E"/>
    <w:rsid w:val="00D74324"/>
    <w:rsid w:val="00D751A4"/>
    <w:rsid w:val="00D76DA1"/>
    <w:rsid w:val="00D76F7F"/>
    <w:rsid w:val="00D809FA"/>
    <w:rsid w:val="00D81112"/>
    <w:rsid w:val="00D81458"/>
    <w:rsid w:val="00D820C8"/>
    <w:rsid w:val="00D82551"/>
    <w:rsid w:val="00D82A72"/>
    <w:rsid w:val="00D82D75"/>
    <w:rsid w:val="00D837BD"/>
    <w:rsid w:val="00D83D87"/>
    <w:rsid w:val="00D8581A"/>
    <w:rsid w:val="00D85887"/>
    <w:rsid w:val="00D86161"/>
    <w:rsid w:val="00D86D72"/>
    <w:rsid w:val="00D86EF9"/>
    <w:rsid w:val="00D87085"/>
    <w:rsid w:val="00D87161"/>
    <w:rsid w:val="00D872CB"/>
    <w:rsid w:val="00D87DBF"/>
    <w:rsid w:val="00D87E29"/>
    <w:rsid w:val="00D87F26"/>
    <w:rsid w:val="00D90D61"/>
    <w:rsid w:val="00D90D67"/>
    <w:rsid w:val="00D91033"/>
    <w:rsid w:val="00D9110E"/>
    <w:rsid w:val="00D91872"/>
    <w:rsid w:val="00D91FA2"/>
    <w:rsid w:val="00D926AF"/>
    <w:rsid w:val="00D93525"/>
    <w:rsid w:val="00D9443D"/>
    <w:rsid w:val="00D94460"/>
    <w:rsid w:val="00D958AF"/>
    <w:rsid w:val="00D95BC2"/>
    <w:rsid w:val="00D95FEA"/>
    <w:rsid w:val="00D9604C"/>
    <w:rsid w:val="00D9668F"/>
    <w:rsid w:val="00D967DA"/>
    <w:rsid w:val="00D96A01"/>
    <w:rsid w:val="00D97083"/>
    <w:rsid w:val="00D974CC"/>
    <w:rsid w:val="00D97696"/>
    <w:rsid w:val="00D97B1A"/>
    <w:rsid w:val="00D97D4E"/>
    <w:rsid w:val="00DA03F1"/>
    <w:rsid w:val="00DA1A86"/>
    <w:rsid w:val="00DA1B03"/>
    <w:rsid w:val="00DA1CC6"/>
    <w:rsid w:val="00DA30BF"/>
    <w:rsid w:val="00DA3558"/>
    <w:rsid w:val="00DA3FB7"/>
    <w:rsid w:val="00DA4488"/>
    <w:rsid w:val="00DA4B48"/>
    <w:rsid w:val="00DA4F2E"/>
    <w:rsid w:val="00DA55B3"/>
    <w:rsid w:val="00DA5BA2"/>
    <w:rsid w:val="00DA5E78"/>
    <w:rsid w:val="00DA5FE7"/>
    <w:rsid w:val="00DA6169"/>
    <w:rsid w:val="00DA68CF"/>
    <w:rsid w:val="00DA6A16"/>
    <w:rsid w:val="00DA6CD9"/>
    <w:rsid w:val="00DA6D46"/>
    <w:rsid w:val="00DA7161"/>
    <w:rsid w:val="00DA781D"/>
    <w:rsid w:val="00DB002E"/>
    <w:rsid w:val="00DB0222"/>
    <w:rsid w:val="00DB02EF"/>
    <w:rsid w:val="00DB0752"/>
    <w:rsid w:val="00DB109D"/>
    <w:rsid w:val="00DB10DF"/>
    <w:rsid w:val="00DB12B1"/>
    <w:rsid w:val="00DB1A97"/>
    <w:rsid w:val="00DB1B5F"/>
    <w:rsid w:val="00DB1EED"/>
    <w:rsid w:val="00DB2088"/>
    <w:rsid w:val="00DB2473"/>
    <w:rsid w:val="00DB3B31"/>
    <w:rsid w:val="00DB4F08"/>
    <w:rsid w:val="00DB5000"/>
    <w:rsid w:val="00DB5B19"/>
    <w:rsid w:val="00DB7800"/>
    <w:rsid w:val="00DB7C95"/>
    <w:rsid w:val="00DB7FD2"/>
    <w:rsid w:val="00DC0CD8"/>
    <w:rsid w:val="00DC10D0"/>
    <w:rsid w:val="00DC17EA"/>
    <w:rsid w:val="00DC21A4"/>
    <w:rsid w:val="00DC2906"/>
    <w:rsid w:val="00DC30EE"/>
    <w:rsid w:val="00DC3548"/>
    <w:rsid w:val="00DC46AE"/>
    <w:rsid w:val="00DC47C3"/>
    <w:rsid w:val="00DC4999"/>
    <w:rsid w:val="00DC4ADA"/>
    <w:rsid w:val="00DC4FA2"/>
    <w:rsid w:val="00DC585B"/>
    <w:rsid w:val="00DC5BDB"/>
    <w:rsid w:val="00DC5E6F"/>
    <w:rsid w:val="00DC6A4D"/>
    <w:rsid w:val="00DC7060"/>
    <w:rsid w:val="00DC72A1"/>
    <w:rsid w:val="00DC73A8"/>
    <w:rsid w:val="00DC7B50"/>
    <w:rsid w:val="00DC7D8A"/>
    <w:rsid w:val="00DD02F9"/>
    <w:rsid w:val="00DD073C"/>
    <w:rsid w:val="00DD0AF6"/>
    <w:rsid w:val="00DD1B23"/>
    <w:rsid w:val="00DD1BE3"/>
    <w:rsid w:val="00DD1F20"/>
    <w:rsid w:val="00DD1F66"/>
    <w:rsid w:val="00DD248B"/>
    <w:rsid w:val="00DD24B6"/>
    <w:rsid w:val="00DD24F5"/>
    <w:rsid w:val="00DD2FB1"/>
    <w:rsid w:val="00DD31CD"/>
    <w:rsid w:val="00DD3208"/>
    <w:rsid w:val="00DD36F7"/>
    <w:rsid w:val="00DD38EA"/>
    <w:rsid w:val="00DD4F7F"/>
    <w:rsid w:val="00DD501A"/>
    <w:rsid w:val="00DD5E20"/>
    <w:rsid w:val="00DD5F54"/>
    <w:rsid w:val="00DD614B"/>
    <w:rsid w:val="00DD6856"/>
    <w:rsid w:val="00DD6F8B"/>
    <w:rsid w:val="00DD70D5"/>
    <w:rsid w:val="00DE040B"/>
    <w:rsid w:val="00DE14C5"/>
    <w:rsid w:val="00DE2A35"/>
    <w:rsid w:val="00DE2E5B"/>
    <w:rsid w:val="00DE343F"/>
    <w:rsid w:val="00DE41DB"/>
    <w:rsid w:val="00DE49DE"/>
    <w:rsid w:val="00DE50D6"/>
    <w:rsid w:val="00DE5384"/>
    <w:rsid w:val="00DE649B"/>
    <w:rsid w:val="00DE650B"/>
    <w:rsid w:val="00DE6C06"/>
    <w:rsid w:val="00DE7154"/>
    <w:rsid w:val="00DE75CA"/>
    <w:rsid w:val="00DE7798"/>
    <w:rsid w:val="00DE7806"/>
    <w:rsid w:val="00DF01A5"/>
    <w:rsid w:val="00DF0D63"/>
    <w:rsid w:val="00DF0E45"/>
    <w:rsid w:val="00DF0F74"/>
    <w:rsid w:val="00DF14AB"/>
    <w:rsid w:val="00DF211C"/>
    <w:rsid w:val="00DF2797"/>
    <w:rsid w:val="00DF28FE"/>
    <w:rsid w:val="00DF2DD4"/>
    <w:rsid w:val="00DF30AA"/>
    <w:rsid w:val="00DF3849"/>
    <w:rsid w:val="00DF44D4"/>
    <w:rsid w:val="00DF4591"/>
    <w:rsid w:val="00DF4E9A"/>
    <w:rsid w:val="00DF52FD"/>
    <w:rsid w:val="00DF5BCD"/>
    <w:rsid w:val="00DF6882"/>
    <w:rsid w:val="00DF6FA8"/>
    <w:rsid w:val="00DF74BA"/>
    <w:rsid w:val="00DF7E30"/>
    <w:rsid w:val="00E007B7"/>
    <w:rsid w:val="00E00DF7"/>
    <w:rsid w:val="00E01308"/>
    <w:rsid w:val="00E0281E"/>
    <w:rsid w:val="00E03733"/>
    <w:rsid w:val="00E04A32"/>
    <w:rsid w:val="00E04B5C"/>
    <w:rsid w:val="00E04DD0"/>
    <w:rsid w:val="00E04E8C"/>
    <w:rsid w:val="00E04EB8"/>
    <w:rsid w:val="00E05154"/>
    <w:rsid w:val="00E05188"/>
    <w:rsid w:val="00E05302"/>
    <w:rsid w:val="00E0541C"/>
    <w:rsid w:val="00E06D5A"/>
    <w:rsid w:val="00E07BC9"/>
    <w:rsid w:val="00E10090"/>
    <w:rsid w:val="00E115ED"/>
    <w:rsid w:val="00E11FD2"/>
    <w:rsid w:val="00E12944"/>
    <w:rsid w:val="00E12EA8"/>
    <w:rsid w:val="00E130E1"/>
    <w:rsid w:val="00E14939"/>
    <w:rsid w:val="00E14D02"/>
    <w:rsid w:val="00E14D5E"/>
    <w:rsid w:val="00E15136"/>
    <w:rsid w:val="00E155BA"/>
    <w:rsid w:val="00E15B9B"/>
    <w:rsid w:val="00E16209"/>
    <w:rsid w:val="00E16238"/>
    <w:rsid w:val="00E16BD8"/>
    <w:rsid w:val="00E1743D"/>
    <w:rsid w:val="00E17440"/>
    <w:rsid w:val="00E1787D"/>
    <w:rsid w:val="00E17939"/>
    <w:rsid w:val="00E17BF5"/>
    <w:rsid w:val="00E17DF2"/>
    <w:rsid w:val="00E22293"/>
    <w:rsid w:val="00E2274A"/>
    <w:rsid w:val="00E22EDC"/>
    <w:rsid w:val="00E2345D"/>
    <w:rsid w:val="00E23A78"/>
    <w:rsid w:val="00E23EF3"/>
    <w:rsid w:val="00E242BE"/>
    <w:rsid w:val="00E25491"/>
    <w:rsid w:val="00E259FC"/>
    <w:rsid w:val="00E2684B"/>
    <w:rsid w:val="00E26C27"/>
    <w:rsid w:val="00E27005"/>
    <w:rsid w:val="00E270BE"/>
    <w:rsid w:val="00E27715"/>
    <w:rsid w:val="00E31834"/>
    <w:rsid w:val="00E31A70"/>
    <w:rsid w:val="00E31F1D"/>
    <w:rsid w:val="00E3224D"/>
    <w:rsid w:val="00E323DE"/>
    <w:rsid w:val="00E32F47"/>
    <w:rsid w:val="00E33B51"/>
    <w:rsid w:val="00E33C79"/>
    <w:rsid w:val="00E33DA4"/>
    <w:rsid w:val="00E33DE4"/>
    <w:rsid w:val="00E33EFB"/>
    <w:rsid w:val="00E34221"/>
    <w:rsid w:val="00E3597A"/>
    <w:rsid w:val="00E36B4D"/>
    <w:rsid w:val="00E372D8"/>
    <w:rsid w:val="00E37E7F"/>
    <w:rsid w:val="00E406CA"/>
    <w:rsid w:val="00E407AD"/>
    <w:rsid w:val="00E418DB"/>
    <w:rsid w:val="00E4231C"/>
    <w:rsid w:val="00E427AB"/>
    <w:rsid w:val="00E428FA"/>
    <w:rsid w:val="00E4292F"/>
    <w:rsid w:val="00E4294C"/>
    <w:rsid w:val="00E42DD4"/>
    <w:rsid w:val="00E431DA"/>
    <w:rsid w:val="00E43B45"/>
    <w:rsid w:val="00E449EF"/>
    <w:rsid w:val="00E44AF3"/>
    <w:rsid w:val="00E451D7"/>
    <w:rsid w:val="00E45BE8"/>
    <w:rsid w:val="00E46BA9"/>
    <w:rsid w:val="00E500B2"/>
    <w:rsid w:val="00E502D7"/>
    <w:rsid w:val="00E50532"/>
    <w:rsid w:val="00E51430"/>
    <w:rsid w:val="00E51596"/>
    <w:rsid w:val="00E51C3A"/>
    <w:rsid w:val="00E51E43"/>
    <w:rsid w:val="00E51E9F"/>
    <w:rsid w:val="00E52983"/>
    <w:rsid w:val="00E529E9"/>
    <w:rsid w:val="00E52D95"/>
    <w:rsid w:val="00E539C0"/>
    <w:rsid w:val="00E53AAC"/>
    <w:rsid w:val="00E5425E"/>
    <w:rsid w:val="00E5479D"/>
    <w:rsid w:val="00E54A8A"/>
    <w:rsid w:val="00E551CE"/>
    <w:rsid w:val="00E55497"/>
    <w:rsid w:val="00E55725"/>
    <w:rsid w:val="00E55C57"/>
    <w:rsid w:val="00E5613F"/>
    <w:rsid w:val="00E56261"/>
    <w:rsid w:val="00E56AFF"/>
    <w:rsid w:val="00E57284"/>
    <w:rsid w:val="00E57B62"/>
    <w:rsid w:val="00E6011C"/>
    <w:rsid w:val="00E60265"/>
    <w:rsid w:val="00E6044D"/>
    <w:rsid w:val="00E604AF"/>
    <w:rsid w:val="00E607CF"/>
    <w:rsid w:val="00E60A8D"/>
    <w:rsid w:val="00E60E4C"/>
    <w:rsid w:val="00E622A5"/>
    <w:rsid w:val="00E62DBE"/>
    <w:rsid w:val="00E62DEE"/>
    <w:rsid w:val="00E631D5"/>
    <w:rsid w:val="00E63225"/>
    <w:rsid w:val="00E63245"/>
    <w:rsid w:val="00E63333"/>
    <w:rsid w:val="00E63C4C"/>
    <w:rsid w:val="00E64636"/>
    <w:rsid w:val="00E6518C"/>
    <w:rsid w:val="00E65A33"/>
    <w:rsid w:val="00E65F06"/>
    <w:rsid w:val="00E665B0"/>
    <w:rsid w:val="00E66AC2"/>
    <w:rsid w:val="00E6704F"/>
    <w:rsid w:val="00E674C2"/>
    <w:rsid w:val="00E67654"/>
    <w:rsid w:val="00E67D0A"/>
    <w:rsid w:val="00E67D89"/>
    <w:rsid w:val="00E716C6"/>
    <w:rsid w:val="00E71755"/>
    <w:rsid w:val="00E71B71"/>
    <w:rsid w:val="00E720F3"/>
    <w:rsid w:val="00E72BCD"/>
    <w:rsid w:val="00E7375F"/>
    <w:rsid w:val="00E7437D"/>
    <w:rsid w:val="00E74E75"/>
    <w:rsid w:val="00E757D4"/>
    <w:rsid w:val="00E75CEF"/>
    <w:rsid w:val="00E75E2F"/>
    <w:rsid w:val="00E76533"/>
    <w:rsid w:val="00E767EE"/>
    <w:rsid w:val="00E76855"/>
    <w:rsid w:val="00E76A27"/>
    <w:rsid w:val="00E774FD"/>
    <w:rsid w:val="00E77773"/>
    <w:rsid w:val="00E77F22"/>
    <w:rsid w:val="00E8005B"/>
    <w:rsid w:val="00E80269"/>
    <w:rsid w:val="00E8085A"/>
    <w:rsid w:val="00E81260"/>
    <w:rsid w:val="00E81261"/>
    <w:rsid w:val="00E813E6"/>
    <w:rsid w:val="00E81F48"/>
    <w:rsid w:val="00E828AD"/>
    <w:rsid w:val="00E829CE"/>
    <w:rsid w:val="00E83E23"/>
    <w:rsid w:val="00E8401E"/>
    <w:rsid w:val="00E8422F"/>
    <w:rsid w:val="00E84A76"/>
    <w:rsid w:val="00E85041"/>
    <w:rsid w:val="00E85821"/>
    <w:rsid w:val="00E858AB"/>
    <w:rsid w:val="00E85D91"/>
    <w:rsid w:val="00E85EF0"/>
    <w:rsid w:val="00E86BE1"/>
    <w:rsid w:val="00E87651"/>
    <w:rsid w:val="00E87B3D"/>
    <w:rsid w:val="00E90083"/>
    <w:rsid w:val="00E906F1"/>
    <w:rsid w:val="00E90D41"/>
    <w:rsid w:val="00E90E13"/>
    <w:rsid w:val="00E90FDD"/>
    <w:rsid w:val="00E91400"/>
    <w:rsid w:val="00E9186E"/>
    <w:rsid w:val="00E91D99"/>
    <w:rsid w:val="00E91EBB"/>
    <w:rsid w:val="00E92127"/>
    <w:rsid w:val="00E92721"/>
    <w:rsid w:val="00E92C24"/>
    <w:rsid w:val="00E9354C"/>
    <w:rsid w:val="00E9367F"/>
    <w:rsid w:val="00E94157"/>
    <w:rsid w:val="00E94229"/>
    <w:rsid w:val="00E947C6"/>
    <w:rsid w:val="00E9537D"/>
    <w:rsid w:val="00E96D7F"/>
    <w:rsid w:val="00E9743D"/>
    <w:rsid w:val="00E97559"/>
    <w:rsid w:val="00E97C36"/>
    <w:rsid w:val="00E97EB3"/>
    <w:rsid w:val="00EA03A8"/>
    <w:rsid w:val="00EA0DFE"/>
    <w:rsid w:val="00EA1C2C"/>
    <w:rsid w:val="00EA23FD"/>
    <w:rsid w:val="00EA2408"/>
    <w:rsid w:val="00EA28C6"/>
    <w:rsid w:val="00EA2AE7"/>
    <w:rsid w:val="00EA2B7E"/>
    <w:rsid w:val="00EA2E1F"/>
    <w:rsid w:val="00EA3A6A"/>
    <w:rsid w:val="00EA3B0B"/>
    <w:rsid w:val="00EA4050"/>
    <w:rsid w:val="00EA47BC"/>
    <w:rsid w:val="00EA5C60"/>
    <w:rsid w:val="00EA5E71"/>
    <w:rsid w:val="00EA5F03"/>
    <w:rsid w:val="00EA6565"/>
    <w:rsid w:val="00EA6862"/>
    <w:rsid w:val="00EA6910"/>
    <w:rsid w:val="00EA72A7"/>
    <w:rsid w:val="00EA73F5"/>
    <w:rsid w:val="00EA7736"/>
    <w:rsid w:val="00EA7A65"/>
    <w:rsid w:val="00EB0245"/>
    <w:rsid w:val="00EB03EF"/>
    <w:rsid w:val="00EB0B29"/>
    <w:rsid w:val="00EB0BE5"/>
    <w:rsid w:val="00EB0D2B"/>
    <w:rsid w:val="00EB1136"/>
    <w:rsid w:val="00EB15D2"/>
    <w:rsid w:val="00EB1B9A"/>
    <w:rsid w:val="00EB212D"/>
    <w:rsid w:val="00EB281A"/>
    <w:rsid w:val="00EB2CD0"/>
    <w:rsid w:val="00EB3AA3"/>
    <w:rsid w:val="00EB3AB7"/>
    <w:rsid w:val="00EB3B0B"/>
    <w:rsid w:val="00EB3F18"/>
    <w:rsid w:val="00EB4054"/>
    <w:rsid w:val="00EB43CC"/>
    <w:rsid w:val="00EB471A"/>
    <w:rsid w:val="00EB47E9"/>
    <w:rsid w:val="00EB5009"/>
    <w:rsid w:val="00EB50C2"/>
    <w:rsid w:val="00EB552C"/>
    <w:rsid w:val="00EB5A76"/>
    <w:rsid w:val="00EB5F9D"/>
    <w:rsid w:val="00EB66B1"/>
    <w:rsid w:val="00EB67B0"/>
    <w:rsid w:val="00EB6CF9"/>
    <w:rsid w:val="00EB718C"/>
    <w:rsid w:val="00EB7613"/>
    <w:rsid w:val="00EC0353"/>
    <w:rsid w:val="00EC056A"/>
    <w:rsid w:val="00EC09FD"/>
    <w:rsid w:val="00EC0CE1"/>
    <w:rsid w:val="00EC13F8"/>
    <w:rsid w:val="00EC19EC"/>
    <w:rsid w:val="00EC1E52"/>
    <w:rsid w:val="00EC2B19"/>
    <w:rsid w:val="00EC2D0B"/>
    <w:rsid w:val="00EC2E02"/>
    <w:rsid w:val="00EC2FAC"/>
    <w:rsid w:val="00EC3077"/>
    <w:rsid w:val="00EC3387"/>
    <w:rsid w:val="00EC4393"/>
    <w:rsid w:val="00EC46FA"/>
    <w:rsid w:val="00EC4C15"/>
    <w:rsid w:val="00EC5605"/>
    <w:rsid w:val="00EC5817"/>
    <w:rsid w:val="00EC5952"/>
    <w:rsid w:val="00EC5BFB"/>
    <w:rsid w:val="00EC5C11"/>
    <w:rsid w:val="00EC5E28"/>
    <w:rsid w:val="00EC5EC0"/>
    <w:rsid w:val="00EC6491"/>
    <w:rsid w:val="00EC6706"/>
    <w:rsid w:val="00EC686D"/>
    <w:rsid w:val="00EC6922"/>
    <w:rsid w:val="00EC784A"/>
    <w:rsid w:val="00ED08B4"/>
    <w:rsid w:val="00ED18FD"/>
    <w:rsid w:val="00ED1FC8"/>
    <w:rsid w:val="00ED2D71"/>
    <w:rsid w:val="00ED3062"/>
    <w:rsid w:val="00ED34DB"/>
    <w:rsid w:val="00ED3723"/>
    <w:rsid w:val="00ED39E5"/>
    <w:rsid w:val="00ED3A6C"/>
    <w:rsid w:val="00ED402C"/>
    <w:rsid w:val="00ED4180"/>
    <w:rsid w:val="00ED4280"/>
    <w:rsid w:val="00ED5E8A"/>
    <w:rsid w:val="00ED6BAC"/>
    <w:rsid w:val="00ED6CDD"/>
    <w:rsid w:val="00ED6E9F"/>
    <w:rsid w:val="00ED7093"/>
    <w:rsid w:val="00ED79A3"/>
    <w:rsid w:val="00ED7E27"/>
    <w:rsid w:val="00EE015B"/>
    <w:rsid w:val="00EE0474"/>
    <w:rsid w:val="00EE0B27"/>
    <w:rsid w:val="00EE10D2"/>
    <w:rsid w:val="00EE140D"/>
    <w:rsid w:val="00EE1995"/>
    <w:rsid w:val="00EE343E"/>
    <w:rsid w:val="00EE3614"/>
    <w:rsid w:val="00EE4133"/>
    <w:rsid w:val="00EE47E7"/>
    <w:rsid w:val="00EE4B26"/>
    <w:rsid w:val="00EE4C1F"/>
    <w:rsid w:val="00EE4E1F"/>
    <w:rsid w:val="00EE4FE1"/>
    <w:rsid w:val="00EE5605"/>
    <w:rsid w:val="00EE5B1C"/>
    <w:rsid w:val="00EE6310"/>
    <w:rsid w:val="00EE69A9"/>
    <w:rsid w:val="00EE7362"/>
    <w:rsid w:val="00EE7D9E"/>
    <w:rsid w:val="00EF0479"/>
    <w:rsid w:val="00EF0EBF"/>
    <w:rsid w:val="00EF115D"/>
    <w:rsid w:val="00EF1618"/>
    <w:rsid w:val="00EF1662"/>
    <w:rsid w:val="00EF187B"/>
    <w:rsid w:val="00EF30FA"/>
    <w:rsid w:val="00EF3990"/>
    <w:rsid w:val="00EF3A33"/>
    <w:rsid w:val="00EF484F"/>
    <w:rsid w:val="00EF4DE6"/>
    <w:rsid w:val="00EF4E93"/>
    <w:rsid w:val="00EF4FBE"/>
    <w:rsid w:val="00EF4FE9"/>
    <w:rsid w:val="00EF55B7"/>
    <w:rsid w:val="00EF649A"/>
    <w:rsid w:val="00EF6C75"/>
    <w:rsid w:val="00F00134"/>
    <w:rsid w:val="00F005CB"/>
    <w:rsid w:val="00F00652"/>
    <w:rsid w:val="00F01214"/>
    <w:rsid w:val="00F0147C"/>
    <w:rsid w:val="00F01915"/>
    <w:rsid w:val="00F01C36"/>
    <w:rsid w:val="00F01D85"/>
    <w:rsid w:val="00F01F00"/>
    <w:rsid w:val="00F02298"/>
    <w:rsid w:val="00F02AB2"/>
    <w:rsid w:val="00F02AF0"/>
    <w:rsid w:val="00F0417D"/>
    <w:rsid w:val="00F051C7"/>
    <w:rsid w:val="00F0537A"/>
    <w:rsid w:val="00F05614"/>
    <w:rsid w:val="00F05977"/>
    <w:rsid w:val="00F05F82"/>
    <w:rsid w:val="00F062A7"/>
    <w:rsid w:val="00F06963"/>
    <w:rsid w:val="00F070BD"/>
    <w:rsid w:val="00F074A4"/>
    <w:rsid w:val="00F07758"/>
    <w:rsid w:val="00F078AC"/>
    <w:rsid w:val="00F12B81"/>
    <w:rsid w:val="00F12B90"/>
    <w:rsid w:val="00F12CB2"/>
    <w:rsid w:val="00F12DEB"/>
    <w:rsid w:val="00F12F21"/>
    <w:rsid w:val="00F1305A"/>
    <w:rsid w:val="00F13176"/>
    <w:rsid w:val="00F133B1"/>
    <w:rsid w:val="00F134AF"/>
    <w:rsid w:val="00F144B1"/>
    <w:rsid w:val="00F1571C"/>
    <w:rsid w:val="00F164BB"/>
    <w:rsid w:val="00F166D2"/>
    <w:rsid w:val="00F171EE"/>
    <w:rsid w:val="00F17400"/>
    <w:rsid w:val="00F17530"/>
    <w:rsid w:val="00F17CE4"/>
    <w:rsid w:val="00F20B83"/>
    <w:rsid w:val="00F2109C"/>
    <w:rsid w:val="00F21319"/>
    <w:rsid w:val="00F216AB"/>
    <w:rsid w:val="00F21D7F"/>
    <w:rsid w:val="00F21FD7"/>
    <w:rsid w:val="00F225B6"/>
    <w:rsid w:val="00F22905"/>
    <w:rsid w:val="00F232A6"/>
    <w:rsid w:val="00F23597"/>
    <w:rsid w:val="00F237C3"/>
    <w:rsid w:val="00F2401D"/>
    <w:rsid w:val="00F24177"/>
    <w:rsid w:val="00F244FA"/>
    <w:rsid w:val="00F24527"/>
    <w:rsid w:val="00F248A6"/>
    <w:rsid w:val="00F25E4B"/>
    <w:rsid w:val="00F2644D"/>
    <w:rsid w:val="00F26A45"/>
    <w:rsid w:val="00F26DAE"/>
    <w:rsid w:val="00F27904"/>
    <w:rsid w:val="00F30CFE"/>
    <w:rsid w:val="00F313A7"/>
    <w:rsid w:val="00F31A4A"/>
    <w:rsid w:val="00F3357D"/>
    <w:rsid w:val="00F33A38"/>
    <w:rsid w:val="00F33C6F"/>
    <w:rsid w:val="00F343EF"/>
    <w:rsid w:val="00F346CE"/>
    <w:rsid w:val="00F34F17"/>
    <w:rsid w:val="00F35AEE"/>
    <w:rsid w:val="00F35CE6"/>
    <w:rsid w:val="00F36461"/>
    <w:rsid w:val="00F36766"/>
    <w:rsid w:val="00F36978"/>
    <w:rsid w:val="00F36D57"/>
    <w:rsid w:val="00F372BE"/>
    <w:rsid w:val="00F372CD"/>
    <w:rsid w:val="00F376E5"/>
    <w:rsid w:val="00F37A7F"/>
    <w:rsid w:val="00F37E3C"/>
    <w:rsid w:val="00F4079B"/>
    <w:rsid w:val="00F41580"/>
    <w:rsid w:val="00F41707"/>
    <w:rsid w:val="00F41A2D"/>
    <w:rsid w:val="00F4202B"/>
    <w:rsid w:val="00F43E6B"/>
    <w:rsid w:val="00F440C6"/>
    <w:rsid w:val="00F44384"/>
    <w:rsid w:val="00F445B6"/>
    <w:rsid w:val="00F449FB"/>
    <w:rsid w:val="00F456CB"/>
    <w:rsid w:val="00F46DC1"/>
    <w:rsid w:val="00F470EE"/>
    <w:rsid w:val="00F473D4"/>
    <w:rsid w:val="00F474C3"/>
    <w:rsid w:val="00F475BE"/>
    <w:rsid w:val="00F47652"/>
    <w:rsid w:val="00F47C98"/>
    <w:rsid w:val="00F509F4"/>
    <w:rsid w:val="00F50CD9"/>
    <w:rsid w:val="00F514F2"/>
    <w:rsid w:val="00F521EA"/>
    <w:rsid w:val="00F52364"/>
    <w:rsid w:val="00F5245F"/>
    <w:rsid w:val="00F52663"/>
    <w:rsid w:val="00F52848"/>
    <w:rsid w:val="00F534B8"/>
    <w:rsid w:val="00F5374D"/>
    <w:rsid w:val="00F538B1"/>
    <w:rsid w:val="00F538F1"/>
    <w:rsid w:val="00F53F3E"/>
    <w:rsid w:val="00F540ED"/>
    <w:rsid w:val="00F54298"/>
    <w:rsid w:val="00F54D42"/>
    <w:rsid w:val="00F5573A"/>
    <w:rsid w:val="00F55A16"/>
    <w:rsid w:val="00F55A63"/>
    <w:rsid w:val="00F55FA7"/>
    <w:rsid w:val="00F56772"/>
    <w:rsid w:val="00F56838"/>
    <w:rsid w:val="00F56AF0"/>
    <w:rsid w:val="00F56D4E"/>
    <w:rsid w:val="00F57A38"/>
    <w:rsid w:val="00F60000"/>
    <w:rsid w:val="00F60666"/>
    <w:rsid w:val="00F606CF"/>
    <w:rsid w:val="00F60EC6"/>
    <w:rsid w:val="00F611D8"/>
    <w:rsid w:val="00F61325"/>
    <w:rsid w:val="00F6189F"/>
    <w:rsid w:val="00F61C0E"/>
    <w:rsid w:val="00F61CDE"/>
    <w:rsid w:val="00F621DA"/>
    <w:rsid w:val="00F62210"/>
    <w:rsid w:val="00F62919"/>
    <w:rsid w:val="00F62D84"/>
    <w:rsid w:val="00F633FB"/>
    <w:rsid w:val="00F636D8"/>
    <w:rsid w:val="00F64C06"/>
    <w:rsid w:val="00F66187"/>
    <w:rsid w:val="00F66709"/>
    <w:rsid w:val="00F66768"/>
    <w:rsid w:val="00F67701"/>
    <w:rsid w:val="00F677A1"/>
    <w:rsid w:val="00F67BF9"/>
    <w:rsid w:val="00F70123"/>
    <w:rsid w:val="00F704AB"/>
    <w:rsid w:val="00F70E29"/>
    <w:rsid w:val="00F70E9E"/>
    <w:rsid w:val="00F70F0E"/>
    <w:rsid w:val="00F71B23"/>
    <w:rsid w:val="00F724B7"/>
    <w:rsid w:val="00F727FF"/>
    <w:rsid w:val="00F7347D"/>
    <w:rsid w:val="00F73B1B"/>
    <w:rsid w:val="00F744F4"/>
    <w:rsid w:val="00F74ED0"/>
    <w:rsid w:val="00F75501"/>
    <w:rsid w:val="00F75A56"/>
    <w:rsid w:val="00F75D6A"/>
    <w:rsid w:val="00F766A7"/>
    <w:rsid w:val="00F76DEB"/>
    <w:rsid w:val="00F7775F"/>
    <w:rsid w:val="00F77D06"/>
    <w:rsid w:val="00F80AF5"/>
    <w:rsid w:val="00F80FF1"/>
    <w:rsid w:val="00F816D7"/>
    <w:rsid w:val="00F8242C"/>
    <w:rsid w:val="00F82DF3"/>
    <w:rsid w:val="00F82EDE"/>
    <w:rsid w:val="00F8302F"/>
    <w:rsid w:val="00F83577"/>
    <w:rsid w:val="00F83B55"/>
    <w:rsid w:val="00F8487C"/>
    <w:rsid w:val="00F85020"/>
    <w:rsid w:val="00F85B5C"/>
    <w:rsid w:val="00F862AA"/>
    <w:rsid w:val="00F86A57"/>
    <w:rsid w:val="00F9167A"/>
    <w:rsid w:val="00F9244F"/>
    <w:rsid w:val="00F931A2"/>
    <w:rsid w:val="00F93495"/>
    <w:rsid w:val="00F93759"/>
    <w:rsid w:val="00F939B9"/>
    <w:rsid w:val="00F939ED"/>
    <w:rsid w:val="00F94C76"/>
    <w:rsid w:val="00F95534"/>
    <w:rsid w:val="00F9597A"/>
    <w:rsid w:val="00F96485"/>
    <w:rsid w:val="00F96DBC"/>
    <w:rsid w:val="00F9703F"/>
    <w:rsid w:val="00F9757F"/>
    <w:rsid w:val="00F979A4"/>
    <w:rsid w:val="00FA060A"/>
    <w:rsid w:val="00FA176E"/>
    <w:rsid w:val="00FA17A1"/>
    <w:rsid w:val="00FA1ACB"/>
    <w:rsid w:val="00FA205F"/>
    <w:rsid w:val="00FA28A1"/>
    <w:rsid w:val="00FA3CAE"/>
    <w:rsid w:val="00FA3F1D"/>
    <w:rsid w:val="00FA4550"/>
    <w:rsid w:val="00FA4AD3"/>
    <w:rsid w:val="00FA4C76"/>
    <w:rsid w:val="00FA503D"/>
    <w:rsid w:val="00FA51B4"/>
    <w:rsid w:val="00FA6205"/>
    <w:rsid w:val="00FA6326"/>
    <w:rsid w:val="00FA6648"/>
    <w:rsid w:val="00FA7770"/>
    <w:rsid w:val="00FB0953"/>
    <w:rsid w:val="00FB0DA8"/>
    <w:rsid w:val="00FB113A"/>
    <w:rsid w:val="00FB207E"/>
    <w:rsid w:val="00FB2226"/>
    <w:rsid w:val="00FB25BA"/>
    <w:rsid w:val="00FB28DD"/>
    <w:rsid w:val="00FB33AA"/>
    <w:rsid w:val="00FB33FE"/>
    <w:rsid w:val="00FB4326"/>
    <w:rsid w:val="00FB4724"/>
    <w:rsid w:val="00FB50BC"/>
    <w:rsid w:val="00FB5BAD"/>
    <w:rsid w:val="00FB606E"/>
    <w:rsid w:val="00FB72E0"/>
    <w:rsid w:val="00FC0DF1"/>
    <w:rsid w:val="00FC1780"/>
    <w:rsid w:val="00FC1810"/>
    <w:rsid w:val="00FC1D36"/>
    <w:rsid w:val="00FC2052"/>
    <w:rsid w:val="00FC244B"/>
    <w:rsid w:val="00FC2881"/>
    <w:rsid w:val="00FC2958"/>
    <w:rsid w:val="00FC2BD5"/>
    <w:rsid w:val="00FC3614"/>
    <w:rsid w:val="00FC3F16"/>
    <w:rsid w:val="00FC493E"/>
    <w:rsid w:val="00FC494C"/>
    <w:rsid w:val="00FC4BE4"/>
    <w:rsid w:val="00FC5875"/>
    <w:rsid w:val="00FC6565"/>
    <w:rsid w:val="00FC6942"/>
    <w:rsid w:val="00FC718E"/>
    <w:rsid w:val="00FC7CDD"/>
    <w:rsid w:val="00FC7D89"/>
    <w:rsid w:val="00FD0275"/>
    <w:rsid w:val="00FD078A"/>
    <w:rsid w:val="00FD0855"/>
    <w:rsid w:val="00FD16FE"/>
    <w:rsid w:val="00FD19A7"/>
    <w:rsid w:val="00FD1A2F"/>
    <w:rsid w:val="00FD1A79"/>
    <w:rsid w:val="00FD1A87"/>
    <w:rsid w:val="00FD1D0A"/>
    <w:rsid w:val="00FD26F8"/>
    <w:rsid w:val="00FD2860"/>
    <w:rsid w:val="00FD2E77"/>
    <w:rsid w:val="00FD30A4"/>
    <w:rsid w:val="00FD4401"/>
    <w:rsid w:val="00FD475F"/>
    <w:rsid w:val="00FD531D"/>
    <w:rsid w:val="00FD58D5"/>
    <w:rsid w:val="00FD5B08"/>
    <w:rsid w:val="00FD5BF3"/>
    <w:rsid w:val="00FD6073"/>
    <w:rsid w:val="00FD71CA"/>
    <w:rsid w:val="00FD739E"/>
    <w:rsid w:val="00FD75CD"/>
    <w:rsid w:val="00FE0078"/>
    <w:rsid w:val="00FE00B2"/>
    <w:rsid w:val="00FE0BCB"/>
    <w:rsid w:val="00FE1311"/>
    <w:rsid w:val="00FE1530"/>
    <w:rsid w:val="00FE1942"/>
    <w:rsid w:val="00FE1D17"/>
    <w:rsid w:val="00FE2488"/>
    <w:rsid w:val="00FE2639"/>
    <w:rsid w:val="00FE2AA4"/>
    <w:rsid w:val="00FE2AA5"/>
    <w:rsid w:val="00FE5371"/>
    <w:rsid w:val="00FE5A49"/>
    <w:rsid w:val="00FE6583"/>
    <w:rsid w:val="00FE6693"/>
    <w:rsid w:val="00FE66CB"/>
    <w:rsid w:val="00FF0924"/>
    <w:rsid w:val="00FF0B2A"/>
    <w:rsid w:val="00FF0C52"/>
    <w:rsid w:val="00FF1554"/>
    <w:rsid w:val="00FF162C"/>
    <w:rsid w:val="00FF19AA"/>
    <w:rsid w:val="00FF1B7C"/>
    <w:rsid w:val="00FF1E6A"/>
    <w:rsid w:val="00FF2611"/>
    <w:rsid w:val="00FF2D66"/>
    <w:rsid w:val="00FF2E6E"/>
    <w:rsid w:val="00FF37AE"/>
    <w:rsid w:val="00FF5BE0"/>
    <w:rsid w:val="00FF5D38"/>
    <w:rsid w:val="00FF618E"/>
    <w:rsid w:val="00FF6202"/>
    <w:rsid w:val="00FF6462"/>
    <w:rsid w:val="00FF6649"/>
    <w:rsid w:val="00FF75B6"/>
    <w:rsid w:val="00FF77F0"/>
    <w:rsid w:val="00FF7B0C"/>
    <w:rsid w:val="01037767"/>
    <w:rsid w:val="010B5DFE"/>
    <w:rsid w:val="01121A3B"/>
    <w:rsid w:val="012E3DA7"/>
    <w:rsid w:val="01396E1E"/>
    <w:rsid w:val="01457908"/>
    <w:rsid w:val="0147276F"/>
    <w:rsid w:val="01555557"/>
    <w:rsid w:val="015941EB"/>
    <w:rsid w:val="015D6BAC"/>
    <w:rsid w:val="015E0835"/>
    <w:rsid w:val="015F2BC9"/>
    <w:rsid w:val="01610122"/>
    <w:rsid w:val="01611F53"/>
    <w:rsid w:val="016568CD"/>
    <w:rsid w:val="017716F4"/>
    <w:rsid w:val="017B7322"/>
    <w:rsid w:val="018362EB"/>
    <w:rsid w:val="01907A55"/>
    <w:rsid w:val="01910A08"/>
    <w:rsid w:val="019825EC"/>
    <w:rsid w:val="019C0D87"/>
    <w:rsid w:val="01A03554"/>
    <w:rsid w:val="01A3073B"/>
    <w:rsid w:val="01A61B7B"/>
    <w:rsid w:val="01AB223D"/>
    <w:rsid w:val="01B127DA"/>
    <w:rsid w:val="01CC5F5E"/>
    <w:rsid w:val="01CD70E4"/>
    <w:rsid w:val="01D06248"/>
    <w:rsid w:val="01D12314"/>
    <w:rsid w:val="01D152A8"/>
    <w:rsid w:val="01D53A3B"/>
    <w:rsid w:val="01D84888"/>
    <w:rsid w:val="01F565AF"/>
    <w:rsid w:val="01FD42EF"/>
    <w:rsid w:val="02024EA0"/>
    <w:rsid w:val="02041684"/>
    <w:rsid w:val="020909F5"/>
    <w:rsid w:val="020C2612"/>
    <w:rsid w:val="021F1EBB"/>
    <w:rsid w:val="023B210A"/>
    <w:rsid w:val="023B6BC5"/>
    <w:rsid w:val="024141DC"/>
    <w:rsid w:val="02586CD5"/>
    <w:rsid w:val="025A6F12"/>
    <w:rsid w:val="025F2991"/>
    <w:rsid w:val="0261789F"/>
    <w:rsid w:val="026C4DEC"/>
    <w:rsid w:val="02753E85"/>
    <w:rsid w:val="02806579"/>
    <w:rsid w:val="02A27092"/>
    <w:rsid w:val="02CA5DBD"/>
    <w:rsid w:val="02CC321D"/>
    <w:rsid w:val="02CD68A0"/>
    <w:rsid w:val="02D212D8"/>
    <w:rsid w:val="02D27B3A"/>
    <w:rsid w:val="02D3276B"/>
    <w:rsid w:val="02D3350D"/>
    <w:rsid w:val="030342BE"/>
    <w:rsid w:val="03157416"/>
    <w:rsid w:val="031B3FF8"/>
    <w:rsid w:val="031C0410"/>
    <w:rsid w:val="03220367"/>
    <w:rsid w:val="032B3FEE"/>
    <w:rsid w:val="033771DC"/>
    <w:rsid w:val="03393105"/>
    <w:rsid w:val="033F77AA"/>
    <w:rsid w:val="033F7AFD"/>
    <w:rsid w:val="03427B4E"/>
    <w:rsid w:val="035600C2"/>
    <w:rsid w:val="03690580"/>
    <w:rsid w:val="03944DC7"/>
    <w:rsid w:val="039506F6"/>
    <w:rsid w:val="039612D4"/>
    <w:rsid w:val="03A61B23"/>
    <w:rsid w:val="03AA7B5F"/>
    <w:rsid w:val="03B44E16"/>
    <w:rsid w:val="03B95416"/>
    <w:rsid w:val="03BC7892"/>
    <w:rsid w:val="03BD25D6"/>
    <w:rsid w:val="03BE1472"/>
    <w:rsid w:val="03D97997"/>
    <w:rsid w:val="03EF1A15"/>
    <w:rsid w:val="03EF5CFB"/>
    <w:rsid w:val="03F92894"/>
    <w:rsid w:val="03FC0C80"/>
    <w:rsid w:val="03FC4C25"/>
    <w:rsid w:val="0407357C"/>
    <w:rsid w:val="0434330E"/>
    <w:rsid w:val="0434489F"/>
    <w:rsid w:val="043C0108"/>
    <w:rsid w:val="043C20FA"/>
    <w:rsid w:val="043F1F14"/>
    <w:rsid w:val="04444720"/>
    <w:rsid w:val="044672EE"/>
    <w:rsid w:val="0447227E"/>
    <w:rsid w:val="0451306F"/>
    <w:rsid w:val="045207E1"/>
    <w:rsid w:val="0452324F"/>
    <w:rsid w:val="045556EE"/>
    <w:rsid w:val="045F3A39"/>
    <w:rsid w:val="0462063F"/>
    <w:rsid w:val="04701040"/>
    <w:rsid w:val="04877000"/>
    <w:rsid w:val="04884AC0"/>
    <w:rsid w:val="048B6A71"/>
    <w:rsid w:val="048D4554"/>
    <w:rsid w:val="04944A6A"/>
    <w:rsid w:val="04975458"/>
    <w:rsid w:val="049E4BED"/>
    <w:rsid w:val="049F25B9"/>
    <w:rsid w:val="04A517B1"/>
    <w:rsid w:val="04AD710A"/>
    <w:rsid w:val="04B8274F"/>
    <w:rsid w:val="04C21553"/>
    <w:rsid w:val="04C82215"/>
    <w:rsid w:val="04D704A5"/>
    <w:rsid w:val="04E01F38"/>
    <w:rsid w:val="04E169D3"/>
    <w:rsid w:val="04E85DDD"/>
    <w:rsid w:val="04E96190"/>
    <w:rsid w:val="04EB5887"/>
    <w:rsid w:val="04EF7F4A"/>
    <w:rsid w:val="04F454F1"/>
    <w:rsid w:val="05006D7B"/>
    <w:rsid w:val="0506170D"/>
    <w:rsid w:val="050A4CE4"/>
    <w:rsid w:val="05147E85"/>
    <w:rsid w:val="051A2002"/>
    <w:rsid w:val="05281683"/>
    <w:rsid w:val="05404C1F"/>
    <w:rsid w:val="05500503"/>
    <w:rsid w:val="05657204"/>
    <w:rsid w:val="05663791"/>
    <w:rsid w:val="056905C6"/>
    <w:rsid w:val="056C0C7C"/>
    <w:rsid w:val="056F2418"/>
    <w:rsid w:val="05714984"/>
    <w:rsid w:val="057A5EF7"/>
    <w:rsid w:val="05856AD5"/>
    <w:rsid w:val="058A1AE1"/>
    <w:rsid w:val="058A7C48"/>
    <w:rsid w:val="059071C9"/>
    <w:rsid w:val="059D500D"/>
    <w:rsid w:val="059E5338"/>
    <w:rsid w:val="05AF76AE"/>
    <w:rsid w:val="05C00040"/>
    <w:rsid w:val="05C00DA5"/>
    <w:rsid w:val="05D62085"/>
    <w:rsid w:val="05DD06BF"/>
    <w:rsid w:val="05E14A95"/>
    <w:rsid w:val="05EF595D"/>
    <w:rsid w:val="05F803CD"/>
    <w:rsid w:val="05FE37D9"/>
    <w:rsid w:val="06350C16"/>
    <w:rsid w:val="064660D0"/>
    <w:rsid w:val="064F56ED"/>
    <w:rsid w:val="06550BB2"/>
    <w:rsid w:val="065C244F"/>
    <w:rsid w:val="066A72FC"/>
    <w:rsid w:val="066C6CEA"/>
    <w:rsid w:val="066E3B00"/>
    <w:rsid w:val="0676188F"/>
    <w:rsid w:val="068777A5"/>
    <w:rsid w:val="06915006"/>
    <w:rsid w:val="069952A4"/>
    <w:rsid w:val="06A52547"/>
    <w:rsid w:val="06AF4BEE"/>
    <w:rsid w:val="06B331CE"/>
    <w:rsid w:val="06B92D8C"/>
    <w:rsid w:val="06BD06CE"/>
    <w:rsid w:val="06BD229F"/>
    <w:rsid w:val="06C158EB"/>
    <w:rsid w:val="06CF5B04"/>
    <w:rsid w:val="06D576B7"/>
    <w:rsid w:val="06EE2960"/>
    <w:rsid w:val="06EF1885"/>
    <w:rsid w:val="06F00351"/>
    <w:rsid w:val="06FA2BAB"/>
    <w:rsid w:val="071B0D3B"/>
    <w:rsid w:val="071C2603"/>
    <w:rsid w:val="071C6FC5"/>
    <w:rsid w:val="07290464"/>
    <w:rsid w:val="072916E2"/>
    <w:rsid w:val="075F1D3A"/>
    <w:rsid w:val="077C7A64"/>
    <w:rsid w:val="077E533E"/>
    <w:rsid w:val="07853B29"/>
    <w:rsid w:val="0797489E"/>
    <w:rsid w:val="079B24FB"/>
    <w:rsid w:val="079E7C3D"/>
    <w:rsid w:val="079F7ABD"/>
    <w:rsid w:val="07A52ACF"/>
    <w:rsid w:val="07B26326"/>
    <w:rsid w:val="07B46CDA"/>
    <w:rsid w:val="07B509CE"/>
    <w:rsid w:val="07B651B2"/>
    <w:rsid w:val="07C82F2A"/>
    <w:rsid w:val="07D0607E"/>
    <w:rsid w:val="07D63493"/>
    <w:rsid w:val="07DD0491"/>
    <w:rsid w:val="07E10D19"/>
    <w:rsid w:val="07E51AAD"/>
    <w:rsid w:val="07F17CC7"/>
    <w:rsid w:val="07F81B08"/>
    <w:rsid w:val="07FF1A71"/>
    <w:rsid w:val="0802711A"/>
    <w:rsid w:val="080C528C"/>
    <w:rsid w:val="08150E35"/>
    <w:rsid w:val="08243C87"/>
    <w:rsid w:val="08276B5D"/>
    <w:rsid w:val="08391BAF"/>
    <w:rsid w:val="08526533"/>
    <w:rsid w:val="08585E9A"/>
    <w:rsid w:val="086C67B1"/>
    <w:rsid w:val="0873509B"/>
    <w:rsid w:val="08756168"/>
    <w:rsid w:val="088366D5"/>
    <w:rsid w:val="088626E4"/>
    <w:rsid w:val="0892678F"/>
    <w:rsid w:val="089A6E2A"/>
    <w:rsid w:val="08AB6853"/>
    <w:rsid w:val="08BF012F"/>
    <w:rsid w:val="08D95ADD"/>
    <w:rsid w:val="08DF5620"/>
    <w:rsid w:val="08E004C3"/>
    <w:rsid w:val="08E64921"/>
    <w:rsid w:val="08EF4E64"/>
    <w:rsid w:val="090129D5"/>
    <w:rsid w:val="09231F4C"/>
    <w:rsid w:val="09324455"/>
    <w:rsid w:val="09367B0A"/>
    <w:rsid w:val="093700E7"/>
    <w:rsid w:val="09394EF4"/>
    <w:rsid w:val="094620D8"/>
    <w:rsid w:val="094D6FD5"/>
    <w:rsid w:val="09607EB9"/>
    <w:rsid w:val="0975488B"/>
    <w:rsid w:val="097E6E31"/>
    <w:rsid w:val="0983332C"/>
    <w:rsid w:val="0983540E"/>
    <w:rsid w:val="0986119A"/>
    <w:rsid w:val="09A82D92"/>
    <w:rsid w:val="09AE292C"/>
    <w:rsid w:val="09B278E2"/>
    <w:rsid w:val="09CE5380"/>
    <w:rsid w:val="09DB4A17"/>
    <w:rsid w:val="09EB2C7F"/>
    <w:rsid w:val="09F064E7"/>
    <w:rsid w:val="09F76085"/>
    <w:rsid w:val="0A016B22"/>
    <w:rsid w:val="0A053745"/>
    <w:rsid w:val="0A097B15"/>
    <w:rsid w:val="0A187F18"/>
    <w:rsid w:val="0A261F09"/>
    <w:rsid w:val="0A2C17A5"/>
    <w:rsid w:val="0A374116"/>
    <w:rsid w:val="0A385254"/>
    <w:rsid w:val="0A462A7C"/>
    <w:rsid w:val="0A4A5BF8"/>
    <w:rsid w:val="0A5E2522"/>
    <w:rsid w:val="0A617D3D"/>
    <w:rsid w:val="0A6F05CA"/>
    <w:rsid w:val="0A762E91"/>
    <w:rsid w:val="0A813113"/>
    <w:rsid w:val="0A864510"/>
    <w:rsid w:val="0A876394"/>
    <w:rsid w:val="0A8A698E"/>
    <w:rsid w:val="0A8B7390"/>
    <w:rsid w:val="0A933566"/>
    <w:rsid w:val="0A9450C5"/>
    <w:rsid w:val="0AA24248"/>
    <w:rsid w:val="0AAA48E8"/>
    <w:rsid w:val="0AD91FC9"/>
    <w:rsid w:val="0ADB075F"/>
    <w:rsid w:val="0AE222D4"/>
    <w:rsid w:val="0AF353AB"/>
    <w:rsid w:val="0B0E73C8"/>
    <w:rsid w:val="0B1A381C"/>
    <w:rsid w:val="0B1B14DD"/>
    <w:rsid w:val="0B1C003E"/>
    <w:rsid w:val="0B1D330C"/>
    <w:rsid w:val="0B3E31ED"/>
    <w:rsid w:val="0B424235"/>
    <w:rsid w:val="0B4A6829"/>
    <w:rsid w:val="0B4D4AF4"/>
    <w:rsid w:val="0B4F5AAF"/>
    <w:rsid w:val="0B5104C9"/>
    <w:rsid w:val="0B5C1771"/>
    <w:rsid w:val="0B695BD3"/>
    <w:rsid w:val="0B6C5E87"/>
    <w:rsid w:val="0B6F5CD3"/>
    <w:rsid w:val="0B880938"/>
    <w:rsid w:val="0B8A00AE"/>
    <w:rsid w:val="0B8E1D10"/>
    <w:rsid w:val="0B8E7D66"/>
    <w:rsid w:val="0B981367"/>
    <w:rsid w:val="0B981885"/>
    <w:rsid w:val="0B9C6927"/>
    <w:rsid w:val="0BA94255"/>
    <w:rsid w:val="0BAA618B"/>
    <w:rsid w:val="0BB55669"/>
    <w:rsid w:val="0BBB44B0"/>
    <w:rsid w:val="0BD51A4F"/>
    <w:rsid w:val="0BDC1732"/>
    <w:rsid w:val="0BE054A7"/>
    <w:rsid w:val="0BF04736"/>
    <w:rsid w:val="0BF16E09"/>
    <w:rsid w:val="0BF91214"/>
    <w:rsid w:val="0BFB0479"/>
    <w:rsid w:val="0C02432C"/>
    <w:rsid w:val="0C1465FD"/>
    <w:rsid w:val="0C180307"/>
    <w:rsid w:val="0C1F4542"/>
    <w:rsid w:val="0C220839"/>
    <w:rsid w:val="0C2564DE"/>
    <w:rsid w:val="0C2D4BF7"/>
    <w:rsid w:val="0C2D7F94"/>
    <w:rsid w:val="0C37175E"/>
    <w:rsid w:val="0C3C3C66"/>
    <w:rsid w:val="0C3D7D65"/>
    <w:rsid w:val="0C5C350D"/>
    <w:rsid w:val="0C620CFB"/>
    <w:rsid w:val="0C72397E"/>
    <w:rsid w:val="0C775497"/>
    <w:rsid w:val="0C8A6C76"/>
    <w:rsid w:val="0C8B2D53"/>
    <w:rsid w:val="0C8D60D2"/>
    <w:rsid w:val="0C907E0B"/>
    <w:rsid w:val="0C915D60"/>
    <w:rsid w:val="0C95536B"/>
    <w:rsid w:val="0C9A4E3A"/>
    <w:rsid w:val="0C9B0F02"/>
    <w:rsid w:val="0CA627B7"/>
    <w:rsid w:val="0CA94B6C"/>
    <w:rsid w:val="0CB24DEA"/>
    <w:rsid w:val="0CC10939"/>
    <w:rsid w:val="0CC735CB"/>
    <w:rsid w:val="0CC92211"/>
    <w:rsid w:val="0CD52DC1"/>
    <w:rsid w:val="0CDB33AB"/>
    <w:rsid w:val="0CE340E1"/>
    <w:rsid w:val="0CEB0FAE"/>
    <w:rsid w:val="0CF956B3"/>
    <w:rsid w:val="0D12135B"/>
    <w:rsid w:val="0D1326BA"/>
    <w:rsid w:val="0D1772F4"/>
    <w:rsid w:val="0D211F08"/>
    <w:rsid w:val="0D2304AD"/>
    <w:rsid w:val="0D2B4D22"/>
    <w:rsid w:val="0D3440CE"/>
    <w:rsid w:val="0D470B14"/>
    <w:rsid w:val="0D523741"/>
    <w:rsid w:val="0D5D12BA"/>
    <w:rsid w:val="0D652514"/>
    <w:rsid w:val="0D744AB8"/>
    <w:rsid w:val="0DA11FD2"/>
    <w:rsid w:val="0DA351E8"/>
    <w:rsid w:val="0DA73361"/>
    <w:rsid w:val="0DB42B36"/>
    <w:rsid w:val="0DEA1BCB"/>
    <w:rsid w:val="0DEE215C"/>
    <w:rsid w:val="0DF17BB3"/>
    <w:rsid w:val="0DF465A6"/>
    <w:rsid w:val="0DF5231E"/>
    <w:rsid w:val="0E073E15"/>
    <w:rsid w:val="0E116B3B"/>
    <w:rsid w:val="0E1C25F8"/>
    <w:rsid w:val="0E1F36F5"/>
    <w:rsid w:val="0E214EC1"/>
    <w:rsid w:val="0E230F94"/>
    <w:rsid w:val="0E2A1FC8"/>
    <w:rsid w:val="0E2C3DC4"/>
    <w:rsid w:val="0E3348F0"/>
    <w:rsid w:val="0E370B89"/>
    <w:rsid w:val="0E49061A"/>
    <w:rsid w:val="0E4B01DA"/>
    <w:rsid w:val="0E4E5E22"/>
    <w:rsid w:val="0E5065FE"/>
    <w:rsid w:val="0E527771"/>
    <w:rsid w:val="0E5756DE"/>
    <w:rsid w:val="0E667896"/>
    <w:rsid w:val="0E697251"/>
    <w:rsid w:val="0E760A01"/>
    <w:rsid w:val="0E7A15D0"/>
    <w:rsid w:val="0E841061"/>
    <w:rsid w:val="0E8928D9"/>
    <w:rsid w:val="0E9A06DB"/>
    <w:rsid w:val="0E9B7D48"/>
    <w:rsid w:val="0EB220B4"/>
    <w:rsid w:val="0EB36461"/>
    <w:rsid w:val="0EB647D5"/>
    <w:rsid w:val="0ED35F14"/>
    <w:rsid w:val="0EDE23CA"/>
    <w:rsid w:val="0EEF1A3E"/>
    <w:rsid w:val="0EEF7DB9"/>
    <w:rsid w:val="0F040A6B"/>
    <w:rsid w:val="0F0545AE"/>
    <w:rsid w:val="0F0A3BA7"/>
    <w:rsid w:val="0F0F431C"/>
    <w:rsid w:val="0F17354D"/>
    <w:rsid w:val="0F2672BB"/>
    <w:rsid w:val="0F2D1010"/>
    <w:rsid w:val="0F3A43F7"/>
    <w:rsid w:val="0F3C6C40"/>
    <w:rsid w:val="0F3E4809"/>
    <w:rsid w:val="0F473A14"/>
    <w:rsid w:val="0F4B64AC"/>
    <w:rsid w:val="0F54351E"/>
    <w:rsid w:val="0F5A05C7"/>
    <w:rsid w:val="0F645140"/>
    <w:rsid w:val="0F6A3BFB"/>
    <w:rsid w:val="0F6C5371"/>
    <w:rsid w:val="0F706CF2"/>
    <w:rsid w:val="0F790C4B"/>
    <w:rsid w:val="0F7C59D4"/>
    <w:rsid w:val="0F801D2C"/>
    <w:rsid w:val="0F873C06"/>
    <w:rsid w:val="0F8C1996"/>
    <w:rsid w:val="0F8E2A2A"/>
    <w:rsid w:val="0F941DDC"/>
    <w:rsid w:val="0F98145F"/>
    <w:rsid w:val="0FA73596"/>
    <w:rsid w:val="0FAB1309"/>
    <w:rsid w:val="0FB41BCB"/>
    <w:rsid w:val="0FBB0EF3"/>
    <w:rsid w:val="0FBC139E"/>
    <w:rsid w:val="0FD31486"/>
    <w:rsid w:val="0FE61E3D"/>
    <w:rsid w:val="0FEF6A66"/>
    <w:rsid w:val="0FF02D9D"/>
    <w:rsid w:val="0FFC1742"/>
    <w:rsid w:val="0FFE2130"/>
    <w:rsid w:val="10260EB5"/>
    <w:rsid w:val="102A39F0"/>
    <w:rsid w:val="103449ED"/>
    <w:rsid w:val="10367DFD"/>
    <w:rsid w:val="103C2486"/>
    <w:rsid w:val="104C7B89"/>
    <w:rsid w:val="1057106E"/>
    <w:rsid w:val="106D155F"/>
    <w:rsid w:val="10775B6E"/>
    <w:rsid w:val="107F35A6"/>
    <w:rsid w:val="10831E63"/>
    <w:rsid w:val="108E5678"/>
    <w:rsid w:val="1092654A"/>
    <w:rsid w:val="1094028B"/>
    <w:rsid w:val="10B55501"/>
    <w:rsid w:val="10B97633"/>
    <w:rsid w:val="10BA762B"/>
    <w:rsid w:val="10BF1F0B"/>
    <w:rsid w:val="10C0777A"/>
    <w:rsid w:val="10C36704"/>
    <w:rsid w:val="10C80E1B"/>
    <w:rsid w:val="10C92E76"/>
    <w:rsid w:val="10CF22C6"/>
    <w:rsid w:val="10DA4084"/>
    <w:rsid w:val="10DF7C4B"/>
    <w:rsid w:val="10F662F8"/>
    <w:rsid w:val="10F674A5"/>
    <w:rsid w:val="111134DD"/>
    <w:rsid w:val="112108ED"/>
    <w:rsid w:val="11234289"/>
    <w:rsid w:val="11292E3F"/>
    <w:rsid w:val="113151B7"/>
    <w:rsid w:val="11366ED6"/>
    <w:rsid w:val="11394FC4"/>
    <w:rsid w:val="113969C6"/>
    <w:rsid w:val="11472E91"/>
    <w:rsid w:val="114E32FC"/>
    <w:rsid w:val="11532397"/>
    <w:rsid w:val="11647E94"/>
    <w:rsid w:val="116B5C81"/>
    <w:rsid w:val="116F23E8"/>
    <w:rsid w:val="11772E7B"/>
    <w:rsid w:val="117D68B3"/>
    <w:rsid w:val="118908CC"/>
    <w:rsid w:val="118A451F"/>
    <w:rsid w:val="118C1040"/>
    <w:rsid w:val="118F194B"/>
    <w:rsid w:val="119039FF"/>
    <w:rsid w:val="11965BC6"/>
    <w:rsid w:val="11AC7268"/>
    <w:rsid w:val="11AE2E68"/>
    <w:rsid w:val="11B148DB"/>
    <w:rsid w:val="11B84D73"/>
    <w:rsid w:val="11BA18B5"/>
    <w:rsid w:val="11DF7443"/>
    <w:rsid w:val="11E56DF3"/>
    <w:rsid w:val="11E66BE4"/>
    <w:rsid w:val="11EB795B"/>
    <w:rsid w:val="11F35801"/>
    <w:rsid w:val="11F97327"/>
    <w:rsid w:val="11FC5678"/>
    <w:rsid w:val="11FE3E97"/>
    <w:rsid w:val="121508E7"/>
    <w:rsid w:val="12396910"/>
    <w:rsid w:val="12396A15"/>
    <w:rsid w:val="12422B59"/>
    <w:rsid w:val="124F770E"/>
    <w:rsid w:val="125455B6"/>
    <w:rsid w:val="12652E2F"/>
    <w:rsid w:val="12774495"/>
    <w:rsid w:val="12B72298"/>
    <w:rsid w:val="12B92B80"/>
    <w:rsid w:val="12C434C0"/>
    <w:rsid w:val="12CC5D44"/>
    <w:rsid w:val="12DA262E"/>
    <w:rsid w:val="12E4182F"/>
    <w:rsid w:val="12EA49F9"/>
    <w:rsid w:val="12F808F3"/>
    <w:rsid w:val="12FE5880"/>
    <w:rsid w:val="130C6140"/>
    <w:rsid w:val="133236CD"/>
    <w:rsid w:val="133B6A25"/>
    <w:rsid w:val="1342014B"/>
    <w:rsid w:val="134A0A16"/>
    <w:rsid w:val="135A7AEB"/>
    <w:rsid w:val="135E0C2E"/>
    <w:rsid w:val="135F3508"/>
    <w:rsid w:val="136070E5"/>
    <w:rsid w:val="136E6DFB"/>
    <w:rsid w:val="137D2B9A"/>
    <w:rsid w:val="138133C6"/>
    <w:rsid w:val="138C13B1"/>
    <w:rsid w:val="13994D5D"/>
    <w:rsid w:val="139E6C49"/>
    <w:rsid w:val="13B34C36"/>
    <w:rsid w:val="13B642FE"/>
    <w:rsid w:val="13CA7CC7"/>
    <w:rsid w:val="13CB7DA9"/>
    <w:rsid w:val="13CF0B97"/>
    <w:rsid w:val="13F60B9E"/>
    <w:rsid w:val="13F839D7"/>
    <w:rsid w:val="13FA1A5D"/>
    <w:rsid w:val="13FC512B"/>
    <w:rsid w:val="14003282"/>
    <w:rsid w:val="140943F6"/>
    <w:rsid w:val="1429755F"/>
    <w:rsid w:val="14435F96"/>
    <w:rsid w:val="14501FA4"/>
    <w:rsid w:val="14513B72"/>
    <w:rsid w:val="146A7D9B"/>
    <w:rsid w:val="14731E5F"/>
    <w:rsid w:val="147D1D63"/>
    <w:rsid w:val="147F0970"/>
    <w:rsid w:val="1484494A"/>
    <w:rsid w:val="148B30F7"/>
    <w:rsid w:val="148D1503"/>
    <w:rsid w:val="148D37AA"/>
    <w:rsid w:val="149163FC"/>
    <w:rsid w:val="14962D01"/>
    <w:rsid w:val="14A7513C"/>
    <w:rsid w:val="14AB3737"/>
    <w:rsid w:val="14B940A6"/>
    <w:rsid w:val="14C11485"/>
    <w:rsid w:val="14CF4A48"/>
    <w:rsid w:val="14E33FBF"/>
    <w:rsid w:val="14EB7FD7"/>
    <w:rsid w:val="14F11A91"/>
    <w:rsid w:val="15074784"/>
    <w:rsid w:val="1513199B"/>
    <w:rsid w:val="151E23E8"/>
    <w:rsid w:val="152139F9"/>
    <w:rsid w:val="152754B3"/>
    <w:rsid w:val="15472243"/>
    <w:rsid w:val="15557DE4"/>
    <w:rsid w:val="155B33AF"/>
    <w:rsid w:val="1565422D"/>
    <w:rsid w:val="156A3166"/>
    <w:rsid w:val="157D192A"/>
    <w:rsid w:val="15870523"/>
    <w:rsid w:val="159E5049"/>
    <w:rsid w:val="15AC0A22"/>
    <w:rsid w:val="15AF7257"/>
    <w:rsid w:val="15D31197"/>
    <w:rsid w:val="15D62521"/>
    <w:rsid w:val="15D64B56"/>
    <w:rsid w:val="15DA080F"/>
    <w:rsid w:val="15E06DB6"/>
    <w:rsid w:val="15E21718"/>
    <w:rsid w:val="15E75D82"/>
    <w:rsid w:val="16012162"/>
    <w:rsid w:val="1603392A"/>
    <w:rsid w:val="1605186D"/>
    <w:rsid w:val="16090816"/>
    <w:rsid w:val="161C49D4"/>
    <w:rsid w:val="161D0E57"/>
    <w:rsid w:val="161E1BC6"/>
    <w:rsid w:val="162E7C07"/>
    <w:rsid w:val="16311B18"/>
    <w:rsid w:val="16323620"/>
    <w:rsid w:val="163760FB"/>
    <w:rsid w:val="16387FD6"/>
    <w:rsid w:val="16474F8E"/>
    <w:rsid w:val="164A1D9F"/>
    <w:rsid w:val="165335C0"/>
    <w:rsid w:val="1658646E"/>
    <w:rsid w:val="165A5414"/>
    <w:rsid w:val="16692743"/>
    <w:rsid w:val="166A1403"/>
    <w:rsid w:val="166A3BE5"/>
    <w:rsid w:val="16895CFA"/>
    <w:rsid w:val="168D57EA"/>
    <w:rsid w:val="1690466C"/>
    <w:rsid w:val="169A69F5"/>
    <w:rsid w:val="169C2629"/>
    <w:rsid w:val="169D7266"/>
    <w:rsid w:val="169F72CB"/>
    <w:rsid w:val="16A160FA"/>
    <w:rsid w:val="16A427CF"/>
    <w:rsid w:val="16B56AEF"/>
    <w:rsid w:val="16BB1883"/>
    <w:rsid w:val="16C319BF"/>
    <w:rsid w:val="16C513D3"/>
    <w:rsid w:val="16C64858"/>
    <w:rsid w:val="16D13612"/>
    <w:rsid w:val="16D915D3"/>
    <w:rsid w:val="16E017E8"/>
    <w:rsid w:val="16E903D0"/>
    <w:rsid w:val="16F2564D"/>
    <w:rsid w:val="16F5513D"/>
    <w:rsid w:val="17381B99"/>
    <w:rsid w:val="174621FF"/>
    <w:rsid w:val="174725DF"/>
    <w:rsid w:val="175F2179"/>
    <w:rsid w:val="17680005"/>
    <w:rsid w:val="17722790"/>
    <w:rsid w:val="17762D24"/>
    <w:rsid w:val="177F1E52"/>
    <w:rsid w:val="1784290A"/>
    <w:rsid w:val="17866A41"/>
    <w:rsid w:val="17CA6C70"/>
    <w:rsid w:val="17D55482"/>
    <w:rsid w:val="17D86F39"/>
    <w:rsid w:val="17F65882"/>
    <w:rsid w:val="17FC7499"/>
    <w:rsid w:val="181101FF"/>
    <w:rsid w:val="18137996"/>
    <w:rsid w:val="18147845"/>
    <w:rsid w:val="18193B31"/>
    <w:rsid w:val="18290AAD"/>
    <w:rsid w:val="183A54FD"/>
    <w:rsid w:val="183A72AB"/>
    <w:rsid w:val="183E1ADB"/>
    <w:rsid w:val="1843148F"/>
    <w:rsid w:val="18484256"/>
    <w:rsid w:val="185741D4"/>
    <w:rsid w:val="18672B7C"/>
    <w:rsid w:val="18707E15"/>
    <w:rsid w:val="188643B8"/>
    <w:rsid w:val="188B2D6D"/>
    <w:rsid w:val="188F3C2E"/>
    <w:rsid w:val="18914013"/>
    <w:rsid w:val="18A33803"/>
    <w:rsid w:val="18A77AFD"/>
    <w:rsid w:val="18AA1733"/>
    <w:rsid w:val="18B43502"/>
    <w:rsid w:val="18C94A94"/>
    <w:rsid w:val="18D13129"/>
    <w:rsid w:val="18D8162B"/>
    <w:rsid w:val="18E4316D"/>
    <w:rsid w:val="18E746E8"/>
    <w:rsid w:val="18EE1F18"/>
    <w:rsid w:val="18F6792A"/>
    <w:rsid w:val="18FE5C8D"/>
    <w:rsid w:val="19064FCB"/>
    <w:rsid w:val="190855FC"/>
    <w:rsid w:val="19167A45"/>
    <w:rsid w:val="19185547"/>
    <w:rsid w:val="1921046B"/>
    <w:rsid w:val="192D5062"/>
    <w:rsid w:val="193077D1"/>
    <w:rsid w:val="1936516B"/>
    <w:rsid w:val="19375678"/>
    <w:rsid w:val="19392019"/>
    <w:rsid w:val="194C1F56"/>
    <w:rsid w:val="194F5817"/>
    <w:rsid w:val="19546DE4"/>
    <w:rsid w:val="195D0620"/>
    <w:rsid w:val="195F114E"/>
    <w:rsid w:val="196824B5"/>
    <w:rsid w:val="196C0C16"/>
    <w:rsid w:val="196F4417"/>
    <w:rsid w:val="197026AE"/>
    <w:rsid w:val="1973764E"/>
    <w:rsid w:val="19744227"/>
    <w:rsid w:val="19774F60"/>
    <w:rsid w:val="19866520"/>
    <w:rsid w:val="198B4F01"/>
    <w:rsid w:val="198C766F"/>
    <w:rsid w:val="198D0147"/>
    <w:rsid w:val="19AC3396"/>
    <w:rsid w:val="19B337B9"/>
    <w:rsid w:val="19B62DA2"/>
    <w:rsid w:val="19BA26F0"/>
    <w:rsid w:val="19C10E2A"/>
    <w:rsid w:val="19C45664"/>
    <w:rsid w:val="19C92F06"/>
    <w:rsid w:val="19E140B3"/>
    <w:rsid w:val="19E27BFB"/>
    <w:rsid w:val="19ED659F"/>
    <w:rsid w:val="19EF40C6"/>
    <w:rsid w:val="19F7757A"/>
    <w:rsid w:val="1A007276"/>
    <w:rsid w:val="1A17021F"/>
    <w:rsid w:val="1A1726E0"/>
    <w:rsid w:val="1A1F7543"/>
    <w:rsid w:val="1A210CDC"/>
    <w:rsid w:val="1A295829"/>
    <w:rsid w:val="1A376341"/>
    <w:rsid w:val="1A4014F0"/>
    <w:rsid w:val="1A5534F5"/>
    <w:rsid w:val="1A5712FD"/>
    <w:rsid w:val="1A581A4E"/>
    <w:rsid w:val="1A5959E3"/>
    <w:rsid w:val="1A597989"/>
    <w:rsid w:val="1A711ED2"/>
    <w:rsid w:val="1A71207C"/>
    <w:rsid w:val="1A7D0DA6"/>
    <w:rsid w:val="1A8C5DB8"/>
    <w:rsid w:val="1AA05880"/>
    <w:rsid w:val="1AD4162A"/>
    <w:rsid w:val="1AFC1190"/>
    <w:rsid w:val="1B0510F1"/>
    <w:rsid w:val="1B0644E6"/>
    <w:rsid w:val="1B1335AE"/>
    <w:rsid w:val="1B1A33C4"/>
    <w:rsid w:val="1B2D1349"/>
    <w:rsid w:val="1B2F1017"/>
    <w:rsid w:val="1B5E59A7"/>
    <w:rsid w:val="1B652F97"/>
    <w:rsid w:val="1B72386C"/>
    <w:rsid w:val="1B7E0BB8"/>
    <w:rsid w:val="1B8545F0"/>
    <w:rsid w:val="1B9149E2"/>
    <w:rsid w:val="1B99078D"/>
    <w:rsid w:val="1BAC0824"/>
    <w:rsid w:val="1BB65948"/>
    <w:rsid w:val="1BB87F9B"/>
    <w:rsid w:val="1BB9409A"/>
    <w:rsid w:val="1BC22D4C"/>
    <w:rsid w:val="1BCB05A7"/>
    <w:rsid w:val="1BDA39E6"/>
    <w:rsid w:val="1BE22984"/>
    <w:rsid w:val="1BE53E44"/>
    <w:rsid w:val="1BE6191F"/>
    <w:rsid w:val="1BEF65FF"/>
    <w:rsid w:val="1BF86B72"/>
    <w:rsid w:val="1C006382"/>
    <w:rsid w:val="1C093B64"/>
    <w:rsid w:val="1C1036BB"/>
    <w:rsid w:val="1C103880"/>
    <w:rsid w:val="1C1C4F1A"/>
    <w:rsid w:val="1C1F5136"/>
    <w:rsid w:val="1C2362A8"/>
    <w:rsid w:val="1C2A2048"/>
    <w:rsid w:val="1C2C7853"/>
    <w:rsid w:val="1C2E7544"/>
    <w:rsid w:val="1C2F491A"/>
    <w:rsid w:val="1C350E83"/>
    <w:rsid w:val="1C462D86"/>
    <w:rsid w:val="1C4C1CA3"/>
    <w:rsid w:val="1C4F3051"/>
    <w:rsid w:val="1C5076C5"/>
    <w:rsid w:val="1C5446B4"/>
    <w:rsid w:val="1C553CD8"/>
    <w:rsid w:val="1C780873"/>
    <w:rsid w:val="1C7B60E4"/>
    <w:rsid w:val="1C7C31B7"/>
    <w:rsid w:val="1C846981"/>
    <w:rsid w:val="1C960319"/>
    <w:rsid w:val="1C9B1C69"/>
    <w:rsid w:val="1CB22E40"/>
    <w:rsid w:val="1CBD3FBA"/>
    <w:rsid w:val="1CBF45C8"/>
    <w:rsid w:val="1CCA206E"/>
    <w:rsid w:val="1CCE3D5B"/>
    <w:rsid w:val="1CCF317C"/>
    <w:rsid w:val="1CD01614"/>
    <w:rsid w:val="1CDB0CDC"/>
    <w:rsid w:val="1CF02081"/>
    <w:rsid w:val="1CF223DC"/>
    <w:rsid w:val="1CFD17BE"/>
    <w:rsid w:val="1CFD4D4B"/>
    <w:rsid w:val="1D036806"/>
    <w:rsid w:val="1D0B31FB"/>
    <w:rsid w:val="1D0B3DEB"/>
    <w:rsid w:val="1D1D751F"/>
    <w:rsid w:val="1D1E6250"/>
    <w:rsid w:val="1D284372"/>
    <w:rsid w:val="1D2F3092"/>
    <w:rsid w:val="1D373BB2"/>
    <w:rsid w:val="1D38707E"/>
    <w:rsid w:val="1D4750A4"/>
    <w:rsid w:val="1D4C50E7"/>
    <w:rsid w:val="1D5460C4"/>
    <w:rsid w:val="1D6A0633"/>
    <w:rsid w:val="1D6B7F07"/>
    <w:rsid w:val="1D7148B5"/>
    <w:rsid w:val="1D9D1099"/>
    <w:rsid w:val="1DA376A1"/>
    <w:rsid w:val="1DA80455"/>
    <w:rsid w:val="1DB55626"/>
    <w:rsid w:val="1DBC67DD"/>
    <w:rsid w:val="1DBD319E"/>
    <w:rsid w:val="1DC13FCB"/>
    <w:rsid w:val="1DC51D0D"/>
    <w:rsid w:val="1DCD7725"/>
    <w:rsid w:val="1DCE749D"/>
    <w:rsid w:val="1DD12460"/>
    <w:rsid w:val="1DD66FB0"/>
    <w:rsid w:val="1DDF4451"/>
    <w:rsid w:val="1DE657E0"/>
    <w:rsid w:val="1DFE3F85"/>
    <w:rsid w:val="1E075E82"/>
    <w:rsid w:val="1E206E4E"/>
    <w:rsid w:val="1E2320A1"/>
    <w:rsid w:val="1E236A34"/>
    <w:rsid w:val="1E292F94"/>
    <w:rsid w:val="1E3173A3"/>
    <w:rsid w:val="1E371DB2"/>
    <w:rsid w:val="1E454BFC"/>
    <w:rsid w:val="1E480DAA"/>
    <w:rsid w:val="1E4B75FF"/>
    <w:rsid w:val="1E5834BE"/>
    <w:rsid w:val="1E591A59"/>
    <w:rsid w:val="1E5E6EE1"/>
    <w:rsid w:val="1E700AAC"/>
    <w:rsid w:val="1E7255DB"/>
    <w:rsid w:val="1E7601F6"/>
    <w:rsid w:val="1E8C6387"/>
    <w:rsid w:val="1EA01C75"/>
    <w:rsid w:val="1EA25BAA"/>
    <w:rsid w:val="1EA37B56"/>
    <w:rsid w:val="1EA72CFA"/>
    <w:rsid w:val="1EA82513"/>
    <w:rsid w:val="1EAE249B"/>
    <w:rsid w:val="1EBF050A"/>
    <w:rsid w:val="1EC37970"/>
    <w:rsid w:val="1ED55F80"/>
    <w:rsid w:val="1EDC7F5E"/>
    <w:rsid w:val="1EDD01B6"/>
    <w:rsid w:val="1EE3736F"/>
    <w:rsid w:val="1EEB1387"/>
    <w:rsid w:val="1EF02DBA"/>
    <w:rsid w:val="1EF1171F"/>
    <w:rsid w:val="1F0028D1"/>
    <w:rsid w:val="1F053515"/>
    <w:rsid w:val="1F0B4CBD"/>
    <w:rsid w:val="1F0C1361"/>
    <w:rsid w:val="1F0C571A"/>
    <w:rsid w:val="1F183083"/>
    <w:rsid w:val="1F2F1202"/>
    <w:rsid w:val="1F560242"/>
    <w:rsid w:val="1F5A5F92"/>
    <w:rsid w:val="1F774E07"/>
    <w:rsid w:val="1F7B0185"/>
    <w:rsid w:val="1F841218"/>
    <w:rsid w:val="1F8C2DA5"/>
    <w:rsid w:val="1F9B302D"/>
    <w:rsid w:val="1FAA740D"/>
    <w:rsid w:val="1FC1749E"/>
    <w:rsid w:val="1FC21D84"/>
    <w:rsid w:val="1FC429AC"/>
    <w:rsid w:val="1FDF7539"/>
    <w:rsid w:val="1FEF4E1F"/>
    <w:rsid w:val="2000078A"/>
    <w:rsid w:val="20121912"/>
    <w:rsid w:val="20340448"/>
    <w:rsid w:val="20345AE3"/>
    <w:rsid w:val="205D0771"/>
    <w:rsid w:val="205F064C"/>
    <w:rsid w:val="20743577"/>
    <w:rsid w:val="207B2B57"/>
    <w:rsid w:val="20823EE5"/>
    <w:rsid w:val="208677AD"/>
    <w:rsid w:val="208A0F4A"/>
    <w:rsid w:val="20951127"/>
    <w:rsid w:val="209E1271"/>
    <w:rsid w:val="209F588A"/>
    <w:rsid w:val="20A977A1"/>
    <w:rsid w:val="20AC2D10"/>
    <w:rsid w:val="20AC4A64"/>
    <w:rsid w:val="20B05AB9"/>
    <w:rsid w:val="20C92CE4"/>
    <w:rsid w:val="20CE2199"/>
    <w:rsid w:val="20D01EB7"/>
    <w:rsid w:val="20D02EA3"/>
    <w:rsid w:val="20D22ECB"/>
    <w:rsid w:val="20F22122"/>
    <w:rsid w:val="20F557A1"/>
    <w:rsid w:val="20FE424D"/>
    <w:rsid w:val="210303E4"/>
    <w:rsid w:val="21240098"/>
    <w:rsid w:val="21244F9D"/>
    <w:rsid w:val="213749DC"/>
    <w:rsid w:val="21416D41"/>
    <w:rsid w:val="2142426F"/>
    <w:rsid w:val="21431371"/>
    <w:rsid w:val="214A2426"/>
    <w:rsid w:val="214C33EF"/>
    <w:rsid w:val="21546160"/>
    <w:rsid w:val="215525E8"/>
    <w:rsid w:val="2156204B"/>
    <w:rsid w:val="215C4E9A"/>
    <w:rsid w:val="216457A9"/>
    <w:rsid w:val="217C1192"/>
    <w:rsid w:val="219537A4"/>
    <w:rsid w:val="21962AAA"/>
    <w:rsid w:val="219A6D4B"/>
    <w:rsid w:val="21AB495F"/>
    <w:rsid w:val="21C43C75"/>
    <w:rsid w:val="21C97EEF"/>
    <w:rsid w:val="21DE514B"/>
    <w:rsid w:val="21DF2C72"/>
    <w:rsid w:val="21E07116"/>
    <w:rsid w:val="21ED35E0"/>
    <w:rsid w:val="221A354A"/>
    <w:rsid w:val="221C3EC6"/>
    <w:rsid w:val="221D1672"/>
    <w:rsid w:val="2224062C"/>
    <w:rsid w:val="224920B4"/>
    <w:rsid w:val="224F015E"/>
    <w:rsid w:val="22571BA5"/>
    <w:rsid w:val="22573150"/>
    <w:rsid w:val="225C2514"/>
    <w:rsid w:val="22617D92"/>
    <w:rsid w:val="22804455"/>
    <w:rsid w:val="228A7943"/>
    <w:rsid w:val="228D5ABB"/>
    <w:rsid w:val="22944E93"/>
    <w:rsid w:val="229756C3"/>
    <w:rsid w:val="229B6703"/>
    <w:rsid w:val="229D6A37"/>
    <w:rsid w:val="229E48DB"/>
    <w:rsid w:val="22A939AB"/>
    <w:rsid w:val="22B8599C"/>
    <w:rsid w:val="22B962A9"/>
    <w:rsid w:val="22DF5A44"/>
    <w:rsid w:val="22EE5862"/>
    <w:rsid w:val="23007343"/>
    <w:rsid w:val="230B73C5"/>
    <w:rsid w:val="231565F6"/>
    <w:rsid w:val="23407CCF"/>
    <w:rsid w:val="23443B5F"/>
    <w:rsid w:val="234E7A9A"/>
    <w:rsid w:val="23503E27"/>
    <w:rsid w:val="23592C41"/>
    <w:rsid w:val="23627FFE"/>
    <w:rsid w:val="236773C3"/>
    <w:rsid w:val="236E0751"/>
    <w:rsid w:val="2375458A"/>
    <w:rsid w:val="2378337E"/>
    <w:rsid w:val="239D405B"/>
    <w:rsid w:val="239D5ED0"/>
    <w:rsid w:val="23B3034A"/>
    <w:rsid w:val="23B32618"/>
    <w:rsid w:val="23B64E06"/>
    <w:rsid w:val="23D40C4E"/>
    <w:rsid w:val="23D87661"/>
    <w:rsid w:val="23E97DD8"/>
    <w:rsid w:val="23F25E4D"/>
    <w:rsid w:val="240011DA"/>
    <w:rsid w:val="24004AB2"/>
    <w:rsid w:val="24005895"/>
    <w:rsid w:val="240626FC"/>
    <w:rsid w:val="24085CFA"/>
    <w:rsid w:val="240943E8"/>
    <w:rsid w:val="240E302D"/>
    <w:rsid w:val="242A1D2C"/>
    <w:rsid w:val="245C2990"/>
    <w:rsid w:val="24625EFC"/>
    <w:rsid w:val="246A53BC"/>
    <w:rsid w:val="246F1D58"/>
    <w:rsid w:val="247F7103"/>
    <w:rsid w:val="249A5382"/>
    <w:rsid w:val="24AB6A8D"/>
    <w:rsid w:val="24BB6E43"/>
    <w:rsid w:val="24CA1218"/>
    <w:rsid w:val="24CB66FB"/>
    <w:rsid w:val="24D069BE"/>
    <w:rsid w:val="25027E6E"/>
    <w:rsid w:val="250B573A"/>
    <w:rsid w:val="25102563"/>
    <w:rsid w:val="2512232E"/>
    <w:rsid w:val="252B2250"/>
    <w:rsid w:val="25310FEB"/>
    <w:rsid w:val="253121B6"/>
    <w:rsid w:val="25556B4E"/>
    <w:rsid w:val="255B6AB3"/>
    <w:rsid w:val="255B6BAA"/>
    <w:rsid w:val="255C4BD2"/>
    <w:rsid w:val="256245E1"/>
    <w:rsid w:val="257D4278"/>
    <w:rsid w:val="25947C91"/>
    <w:rsid w:val="259B0FC8"/>
    <w:rsid w:val="25A4389E"/>
    <w:rsid w:val="25AB180A"/>
    <w:rsid w:val="25B81297"/>
    <w:rsid w:val="25C26294"/>
    <w:rsid w:val="25DE0ABB"/>
    <w:rsid w:val="25E940BF"/>
    <w:rsid w:val="25EA227D"/>
    <w:rsid w:val="25EE2F6B"/>
    <w:rsid w:val="25EE5AEF"/>
    <w:rsid w:val="25F03B65"/>
    <w:rsid w:val="25F95A76"/>
    <w:rsid w:val="260C7B9A"/>
    <w:rsid w:val="2615143E"/>
    <w:rsid w:val="262B6A8F"/>
    <w:rsid w:val="262F4A23"/>
    <w:rsid w:val="263A387F"/>
    <w:rsid w:val="265D1D80"/>
    <w:rsid w:val="2663431E"/>
    <w:rsid w:val="2674607E"/>
    <w:rsid w:val="2675613B"/>
    <w:rsid w:val="26767765"/>
    <w:rsid w:val="267C068B"/>
    <w:rsid w:val="268362C1"/>
    <w:rsid w:val="26A66673"/>
    <w:rsid w:val="26BA31BD"/>
    <w:rsid w:val="26BD66A2"/>
    <w:rsid w:val="26C03072"/>
    <w:rsid w:val="26D14496"/>
    <w:rsid w:val="26D3299D"/>
    <w:rsid w:val="26DD6079"/>
    <w:rsid w:val="26E72745"/>
    <w:rsid w:val="26EA4A00"/>
    <w:rsid w:val="26EB5D00"/>
    <w:rsid w:val="26EC20B9"/>
    <w:rsid w:val="26EF3957"/>
    <w:rsid w:val="26F81983"/>
    <w:rsid w:val="26F939DD"/>
    <w:rsid w:val="270105C5"/>
    <w:rsid w:val="27342D76"/>
    <w:rsid w:val="27351CB2"/>
    <w:rsid w:val="274C190F"/>
    <w:rsid w:val="27516892"/>
    <w:rsid w:val="27561AA7"/>
    <w:rsid w:val="27571BFA"/>
    <w:rsid w:val="27583E1A"/>
    <w:rsid w:val="275F4269"/>
    <w:rsid w:val="27743E5C"/>
    <w:rsid w:val="27893644"/>
    <w:rsid w:val="2793478A"/>
    <w:rsid w:val="2796423F"/>
    <w:rsid w:val="279A1B15"/>
    <w:rsid w:val="27A235A3"/>
    <w:rsid w:val="27A573C1"/>
    <w:rsid w:val="27AC73AE"/>
    <w:rsid w:val="27B119B4"/>
    <w:rsid w:val="27B64475"/>
    <w:rsid w:val="27BE5369"/>
    <w:rsid w:val="27BF04E9"/>
    <w:rsid w:val="27C13545"/>
    <w:rsid w:val="27CB4AE3"/>
    <w:rsid w:val="27CF2074"/>
    <w:rsid w:val="27D55855"/>
    <w:rsid w:val="27DF6C4E"/>
    <w:rsid w:val="27EC7E96"/>
    <w:rsid w:val="27F516EA"/>
    <w:rsid w:val="27F70F16"/>
    <w:rsid w:val="280E2503"/>
    <w:rsid w:val="281573ED"/>
    <w:rsid w:val="28232C8D"/>
    <w:rsid w:val="28254BAA"/>
    <w:rsid w:val="28267B00"/>
    <w:rsid w:val="283E2902"/>
    <w:rsid w:val="284F3F9D"/>
    <w:rsid w:val="285664CE"/>
    <w:rsid w:val="28583914"/>
    <w:rsid w:val="2859377E"/>
    <w:rsid w:val="285A5748"/>
    <w:rsid w:val="285B36CF"/>
    <w:rsid w:val="286616EB"/>
    <w:rsid w:val="28681C13"/>
    <w:rsid w:val="286B06DC"/>
    <w:rsid w:val="286D1437"/>
    <w:rsid w:val="28795561"/>
    <w:rsid w:val="287E31E4"/>
    <w:rsid w:val="288167BA"/>
    <w:rsid w:val="288818EE"/>
    <w:rsid w:val="288D39AB"/>
    <w:rsid w:val="2899A4CA"/>
    <w:rsid w:val="28A17421"/>
    <w:rsid w:val="28A83F9A"/>
    <w:rsid w:val="28B22E8E"/>
    <w:rsid w:val="28C130D1"/>
    <w:rsid w:val="28C40F66"/>
    <w:rsid w:val="28C606E7"/>
    <w:rsid w:val="28D1534A"/>
    <w:rsid w:val="28D15A0A"/>
    <w:rsid w:val="28D64DCE"/>
    <w:rsid w:val="28D70B46"/>
    <w:rsid w:val="28E371D6"/>
    <w:rsid w:val="28E514B5"/>
    <w:rsid w:val="28EE67DC"/>
    <w:rsid w:val="28F039B6"/>
    <w:rsid w:val="28F53AF3"/>
    <w:rsid w:val="28F8498E"/>
    <w:rsid w:val="28F95255"/>
    <w:rsid w:val="290225D3"/>
    <w:rsid w:val="2904200E"/>
    <w:rsid w:val="29077494"/>
    <w:rsid w:val="29154E41"/>
    <w:rsid w:val="29251E56"/>
    <w:rsid w:val="292E69B5"/>
    <w:rsid w:val="29347D47"/>
    <w:rsid w:val="293561BF"/>
    <w:rsid w:val="29385A89"/>
    <w:rsid w:val="29390A1F"/>
    <w:rsid w:val="293D7A97"/>
    <w:rsid w:val="294303EE"/>
    <w:rsid w:val="29435A91"/>
    <w:rsid w:val="29487EC4"/>
    <w:rsid w:val="295108F9"/>
    <w:rsid w:val="29526E23"/>
    <w:rsid w:val="29574C3C"/>
    <w:rsid w:val="29646E76"/>
    <w:rsid w:val="29687D5A"/>
    <w:rsid w:val="296D5007"/>
    <w:rsid w:val="29826D04"/>
    <w:rsid w:val="298C7522"/>
    <w:rsid w:val="298E4130"/>
    <w:rsid w:val="298F15DF"/>
    <w:rsid w:val="29A70519"/>
    <w:rsid w:val="29C22246"/>
    <w:rsid w:val="29CB6B8E"/>
    <w:rsid w:val="29EC2C27"/>
    <w:rsid w:val="29F41A85"/>
    <w:rsid w:val="29F973AE"/>
    <w:rsid w:val="2A0D7A79"/>
    <w:rsid w:val="2A0E4EF5"/>
    <w:rsid w:val="2A230902"/>
    <w:rsid w:val="2A3C5105"/>
    <w:rsid w:val="2A500BB0"/>
    <w:rsid w:val="2A50295E"/>
    <w:rsid w:val="2A612324"/>
    <w:rsid w:val="2A7A3E7F"/>
    <w:rsid w:val="2A841049"/>
    <w:rsid w:val="2A87448F"/>
    <w:rsid w:val="2A9E55B4"/>
    <w:rsid w:val="2AA03146"/>
    <w:rsid w:val="2AA723FA"/>
    <w:rsid w:val="2AA9206F"/>
    <w:rsid w:val="2AAB6F8C"/>
    <w:rsid w:val="2AAC4934"/>
    <w:rsid w:val="2AB351AD"/>
    <w:rsid w:val="2ABB2A2D"/>
    <w:rsid w:val="2ABC7FF4"/>
    <w:rsid w:val="2AC450FA"/>
    <w:rsid w:val="2ACE4B67"/>
    <w:rsid w:val="2AD633B7"/>
    <w:rsid w:val="2AEC425A"/>
    <w:rsid w:val="2B055E43"/>
    <w:rsid w:val="2B3129C7"/>
    <w:rsid w:val="2B3E30FF"/>
    <w:rsid w:val="2B3E4F87"/>
    <w:rsid w:val="2B403A25"/>
    <w:rsid w:val="2B414A8B"/>
    <w:rsid w:val="2B414ADB"/>
    <w:rsid w:val="2B491899"/>
    <w:rsid w:val="2B5706F9"/>
    <w:rsid w:val="2B670B65"/>
    <w:rsid w:val="2B68109E"/>
    <w:rsid w:val="2B6D51F0"/>
    <w:rsid w:val="2B724B56"/>
    <w:rsid w:val="2B97183A"/>
    <w:rsid w:val="2B9B5E5B"/>
    <w:rsid w:val="2BAB3053"/>
    <w:rsid w:val="2BAC0068"/>
    <w:rsid w:val="2BBE65D9"/>
    <w:rsid w:val="2BD15D21"/>
    <w:rsid w:val="2BD50067"/>
    <w:rsid w:val="2BD63337"/>
    <w:rsid w:val="2BE55033"/>
    <w:rsid w:val="2BF043F9"/>
    <w:rsid w:val="2BF2576A"/>
    <w:rsid w:val="2BFB2D9E"/>
    <w:rsid w:val="2C0A417D"/>
    <w:rsid w:val="2C0B4465"/>
    <w:rsid w:val="2C1B755F"/>
    <w:rsid w:val="2C231077"/>
    <w:rsid w:val="2C2E0A7D"/>
    <w:rsid w:val="2C330EDB"/>
    <w:rsid w:val="2C3A1B18"/>
    <w:rsid w:val="2C574478"/>
    <w:rsid w:val="2C5C119F"/>
    <w:rsid w:val="2C5F157F"/>
    <w:rsid w:val="2C651983"/>
    <w:rsid w:val="2C66214F"/>
    <w:rsid w:val="2C7C7A3B"/>
    <w:rsid w:val="2C8330C3"/>
    <w:rsid w:val="2C8903AA"/>
    <w:rsid w:val="2C8C5944"/>
    <w:rsid w:val="2C8D7546"/>
    <w:rsid w:val="2C9C61E9"/>
    <w:rsid w:val="2CA31736"/>
    <w:rsid w:val="2CA945A8"/>
    <w:rsid w:val="2CB750DB"/>
    <w:rsid w:val="2CBD363E"/>
    <w:rsid w:val="2CC24314"/>
    <w:rsid w:val="2CC31AA1"/>
    <w:rsid w:val="2CCA7E8A"/>
    <w:rsid w:val="2CCE59C2"/>
    <w:rsid w:val="2CD11CE3"/>
    <w:rsid w:val="2CF63C91"/>
    <w:rsid w:val="2CF73D3E"/>
    <w:rsid w:val="2D052228"/>
    <w:rsid w:val="2D26387C"/>
    <w:rsid w:val="2D2638BF"/>
    <w:rsid w:val="2D264FE2"/>
    <w:rsid w:val="2D266A1B"/>
    <w:rsid w:val="2D2C63EA"/>
    <w:rsid w:val="2D2E53F9"/>
    <w:rsid w:val="2D580189"/>
    <w:rsid w:val="2D661B27"/>
    <w:rsid w:val="2D704DDE"/>
    <w:rsid w:val="2D843A07"/>
    <w:rsid w:val="2D8E5D85"/>
    <w:rsid w:val="2D9B4CAF"/>
    <w:rsid w:val="2D9E0A23"/>
    <w:rsid w:val="2DB45B6D"/>
    <w:rsid w:val="2DBD619E"/>
    <w:rsid w:val="2DBF6224"/>
    <w:rsid w:val="2DC70C24"/>
    <w:rsid w:val="2DCB3B49"/>
    <w:rsid w:val="2DCC67A0"/>
    <w:rsid w:val="2DCE7077"/>
    <w:rsid w:val="2DD02A6D"/>
    <w:rsid w:val="2DDA3990"/>
    <w:rsid w:val="2DDF7346"/>
    <w:rsid w:val="2DF66EF4"/>
    <w:rsid w:val="2DFA2E0B"/>
    <w:rsid w:val="2DFC41AD"/>
    <w:rsid w:val="2E180085"/>
    <w:rsid w:val="2E25717B"/>
    <w:rsid w:val="2E3713DB"/>
    <w:rsid w:val="2E4171C4"/>
    <w:rsid w:val="2E426A62"/>
    <w:rsid w:val="2E4511F3"/>
    <w:rsid w:val="2E525C15"/>
    <w:rsid w:val="2E767899"/>
    <w:rsid w:val="2E78452B"/>
    <w:rsid w:val="2E9E2CED"/>
    <w:rsid w:val="2EAC037F"/>
    <w:rsid w:val="2EAE5EA6"/>
    <w:rsid w:val="2EAF3A22"/>
    <w:rsid w:val="2EBC5D7C"/>
    <w:rsid w:val="2EBE6558"/>
    <w:rsid w:val="2EC03D09"/>
    <w:rsid w:val="2EC35DF5"/>
    <w:rsid w:val="2EC50B0C"/>
    <w:rsid w:val="2ECC0AC3"/>
    <w:rsid w:val="2ED85923"/>
    <w:rsid w:val="2EDA313F"/>
    <w:rsid w:val="2EDA4F22"/>
    <w:rsid w:val="2EE46E94"/>
    <w:rsid w:val="2EF25DF1"/>
    <w:rsid w:val="2EF8508B"/>
    <w:rsid w:val="2EFE6E2D"/>
    <w:rsid w:val="2F103E04"/>
    <w:rsid w:val="2F1155C8"/>
    <w:rsid w:val="2F1C13BF"/>
    <w:rsid w:val="2F2D62E8"/>
    <w:rsid w:val="2F4702A4"/>
    <w:rsid w:val="2F5073FF"/>
    <w:rsid w:val="2F535D43"/>
    <w:rsid w:val="2F6A1782"/>
    <w:rsid w:val="2F741918"/>
    <w:rsid w:val="2F870719"/>
    <w:rsid w:val="2F875A04"/>
    <w:rsid w:val="2F8A10C6"/>
    <w:rsid w:val="2F9F555F"/>
    <w:rsid w:val="2FA26C38"/>
    <w:rsid w:val="2FA411C4"/>
    <w:rsid w:val="2FAC14F3"/>
    <w:rsid w:val="2FAE160A"/>
    <w:rsid w:val="2FB11482"/>
    <w:rsid w:val="2FB378CE"/>
    <w:rsid w:val="2FB41BE1"/>
    <w:rsid w:val="2FC75471"/>
    <w:rsid w:val="2FCE2CA3"/>
    <w:rsid w:val="2FD11E32"/>
    <w:rsid w:val="2FDB75C4"/>
    <w:rsid w:val="2FE94E0F"/>
    <w:rsid w:val="30062D56"/>
    <w:rsid w:val="300A35B0"/>
    <w:rsid w:val="300C7328"/>
    <w:rsid w:val="300F0BC6"/>
    <w:rsid w:val="30297EDA"/>
    <w:rsid w:val="302A3CFD"/>
    <w:rsid w:val="302C542E"/>
    <w:rsid w:val="30370BDD"/>
    <w:rsid w:val="303F5EC2"/>
    <w:rsid w:val="30405223"/>
    <w:rsid w:val="304549CB"/>
    <w:rsid w:val="3046174E"/>
    <w:rsid w:val="30605AFF"/>
    <w:rsid w:val="3060766D"/>
    <w:rsid w:val="306E4143"/>
    <w:rsid w:val="30760C45"/>
    <w:rsid w:val="30823C5E"/>
    <w:rsid w:val="30916B3D"/>
    <w:rsid w:val="30A023CD"/>
    <w:rsid w:val="30A43B3C"/>
    <w:rsid w:val="30B023A9"/>
    <w:rsid w:val="30BF77A8"/>
    <w:rsid w:val="30C85944"/>
    <w:rsid w:val="30C916BD"/>
    <w:rsid w:val="30D4575F"/>
    <w:rsid w:val="31142A42"/>
    <w:rsid w:val="31171594"/>
    <w:rsid w:val="31271309"/>
    <w:rsid w:val="312879CF"/>
    <w:rsid w:val="312B7651"/>
    <w:rsid w:val="312E5233"/>
    <w:rsid w:val="31390163"/>
    <w:rsid w:val="313930CC"/>
    <w:rsid w:val="313A4199"/>
    <w:rsid w:val="317038E6"/>
    <w:rsid w:val="31723B02"/>
    <w:rsid w:val="31761E03"/>
    <w:rsid w:val="3179279B"/>
    <w:rsid w:val="317C3D05"/>
    <w:rsid w:val="3180527D"/>
    <w:rsid w:val="31905D79"/>
    <w:rsid w:val="319121DA"/>
    <w:rsid w:val="319D0FFC"/>
    <w:rsid w:val="31A733A7"/>
    <w:rsid w:val="31AB2B70"/>
    <w:rsid w:val="31BD77D8"/>
    <w:rsid w:val="31BE1AEF"/>
    <w:rsid w:val="31C0661C"/>
    <w:rsid w:val="31CA024B"/>
    <w:rsid w:val="31CD7626"/>
    <w:rsid w:val="31D04385"/>
    <w:rsid w:val="31ED40DA"/>
    <w:rsid w:val="31F462C5"/>
    <w:rsid w:val="31FB7BDC"/>
    <w:rsid w:val="320321A9"/>
    <w:rsid w:val="3203475A"/>
    <w:rsid w:val="32222A49"/>
    <w:rsid w:val="322E75B6"/>
    <w:rsid w:val="323C4484"/>
    <w:rsid w:val="323E5820"/>
    <w:rsid w:val="3246664A"/>
    <w:rsid w:val="324E6261"/>
    <w:rsid w:val="32532BFB"/>
    <w:rsid w:val="32543208"/>
    <w:rsid w:val="325624F0"/>
    <w:rsid w:val="32582E60"/>
    <w:rsid w:val="32623251"/>
    <w:rsid w:val="326C2300"/>
    <w:rsid w:val="32770E1D"/>
    <w:rsid w:val="32794A1C"/>
    <w:rsid w:val="327C6702"/>
    <w:rsid w:val="32802295"/>
    <w:rsid w:val="328754F4"/>
    <w:rsid w:val="32970E77"/>
    <w:rsid w:val="329E2C41"/>
    <w:rsid w:val="32A963D1"/>
    <w:rsid w:val="32AB3732"/>
    <w:rsid w:val="32AF043E"/>
    <w:rsid w:val="32B933B5"/>
    <w:rsid w:val="32BB4322"/>
    <w:rsid w:val="32CC0B3A"/>
    <w:rsid w:val="32D00AE0"/>
    <w:rsid w:val="32DD144F"/>
    <w:rsid w:val="32E9446A"/>
    <w:rsid w:val="32ED6D0D"/>
    <w:rsid w:val="32EE21EF"/>
    <w:rsid w:val="32FB6F3A"/>
    <w:rsid w:val="32FE403C"/>
    <w:rsid w:val="3301516C"/>
    <w:rsid w:val="330847A6"/>
    <w:rsid w:val="330E3473"/>
    <w:rsid w:val="331D6515"/>
    <w:rsid w:val="332445D4"/>
    <w:rsid w:val="333452A3"/>
    <w:rsid w:val="33374A05"/>
    <w:rsid w:val="333F7A14"/>
    <w:rsid w:val="33420DD0"/>
    <w:rsid w:val="33462B51"/>
    <w:rsid w:val="33527478"/>
    <w:rsid w:val="336D3CCC"/>
    <w:rsid w:val="337B723F"/>
    <w:rsid w:val="338D4C76"/>
    <w:rsid w:val="33A930DF"/>
    <w:rsid w:val="33AA2812"/>
    <w:rsid w:val="33AC25F0"/>
    <w:rsid w:val="33B9293B"/>
    <w:rsid w:val="33CB37C6"/>
    <w:rsid w:val="33D01002"/>
    <w:rsid w:val="33D313E6"/>
    <w:rsid w:val="33D840F1"/>
    <w:rsid w:val="33DE1462"/>
    <w:rsid w:val="33E11AF8"/>
    <w:rsid w:val="33F018FF"/>
    <w:rsid w:val="33F144DC"/>
    <w:rsid w:val="340D641C"/>
    <w:rsid w:val="341474EF"/>
    <w:rsid w:val="341D2DE6"/>
    <w:rsid w:val="341D45AF"/>
    <w:rsid w:val="3428494C"/>
    <w:rsid w:val="343435C9"/>
    <w:rsid w:val="344A39D0"/>
    <w:rsid w:val="344A75CC"/>
    <w:rsid w:val="345707EA"/>
    <w:rsid w:val="345E036E"/>
    <w:rsid w:val="346317C9"/>
    <w:rsid w:val="34656B85"/>
    <w:rsid w:val="3470037B"/>
    <w:rsid w:val="348619E3"/>
    <w:rsid w:val="34A25937"/>
    <w:rsid w:val="34C54FA6"/>
    <w:rsid w:val="34C77DC9"/>
    <w:rsid w:val="34CD416D"/>
    <w:rsid w:val="34D40752"/>
    <w:rsid w:val="34DD4868"/>
    <w:rsid w:val="34E24AFB"/>
    <w:rsid w:val="34FB21A1"/>
    <w:rsid w:val="350031D3"/>
    <w:rsid w:val="35172D6D"/>
    <w:rsid w:val="351B1ECF"/>
    <w:rsid w:val="352801D7"/>
    <w:rsid w:val="352E1B9C"/>
    <w:rsid w:val="353E4427"/>
    <w:rsid w:val="354268E3"/>
    <w:rsid w:val="354C1621"/>
    <w:rsid w:val="354D3607"/>
    <w:rsid w:val="35513745"/>
    <w:rsid w:val="35521CDA"/>
    <w:rsid w:val="35590BCC"/>
    <w:rsid w:val="355D23D3"/>
    <w:rsid w:val="35797275"/>
    <w:rsid w:val="357C0AAC"/>
    <w:rsid w:val="35900175"/>
    <w:rsid w:val="359C56FD"/>
    <w:rsid w:val="35AD5FDE"/>
    <w:rsid w:val="35AF3C99"/>
    <w:rsid w:val="35B244CD"/>
    <w:rsid w:val="35B30245"/>
    <w:rsid w:val="35B91D00"/>
    <w:rsid w:val="35BD4675"/>
    <w:rsid w:val="35BF0570"/>
    <w:rsid w:val="35C94A7D"/>
    <w:rsid w:val="35D24B6F"/>
    <w:rsid w:val="35D31D82"/>
    <w:rsid w:val="35DC59EE"/>
    <w:rsid w:val="35F3196D"/>
    <w:rsid w:val="35F66D7E"/>
    <w:rsid w:val="36010FB1"/>
    <w:rsid w:val="36071834"/>
    <w:rsid w:val="3615268B"/>
    <w:rsid w:val="362C71B5"/>
    <w:rsid w:val="363E5073"/>
    <w:rsid w:val="366531FD"/>
    <w:rsid w:val="366559E4"/>
    <w:rsid w:val="36674365"/>
    <w:rsid w:val="36807AC2"/>
    <w:rsid w:val="36862126"/>
    <w:rsid w:val="36862B8B"/>
    <w:rsid w:val="368F2A60"/>
    <w:rsid w:val="369260AD"/>
    <w:rsid w:val="36965FCE"/>
    <w:rsid w:val="36AC2B28"/>
    <w:rsid w:val="36AF4EB1"/>
    <w:rsid w:val="36B145FE"/>
    <w:rsid w:val="36BD3E66"/>
    <w:rsid w:val="36C459FB"/>
    <w:rsid w:val="36CE073F"/>
    <w:rsid w:val="36D51124"/>
    <w:rsid w:val="36D74020"/>
    <w:rsid w:val="36DA1F2E"/>
    <w:rsid w:val="36E87115"/>
    <w:rsid w:val="370160A4"/>
    <w:rsid w:val="37195C0B"/>
    <w:rsid w:val="372F1B4E"/>
    <w:rsid w:val="374240D8"/>
    <w:rsid w:val="37461371"/>
    <w:rsid w:val="37511E8F"/>
    <w:rsid w:val="375178F7"/>
    <w:rsid w:val="375422E1"/>
    <w:rsid w:val="375A785C"/>
    <w:rsid w:val="375B33C6"/>
    <w:rsid w:val="3764637B"/>
    <w:rsid w:val="37681A16"/>
    <w:rsid w:val="377D4E3C"/>
    <w:rsid w:val="37837F08"/>
    <w:rsid w:val="37856B99"/>
    <w:rsid w:val="37870664"/>
    <w:rsid w:val="37956DFA"/>
    <w:rsid w:val="3797437B"/>
    <w:rsid w:val="379B5B54"/>
    <w:rsid w:val="379F4F25"/>
    <w:rsid w:val="37B02C8E"/>
    <w:rsid w:val="37BD5263"/>
    <w:rsid w:val="37BDBCE1"/>
    <w:rsid w:val="37BE5BCC"/>
    <w:rsid w:val="37BF2ED1"/>
    <w:rsid w:val="37C624B2"/>
    <w:rsid w:val="37DC25AF"/>
    <w:rsid w:val="37DD2E3D"/>
    <w:rsid w:val="37E42D93"/>
    <w:rsid w:val="37E82C91"/>
    <w:rsid w:val="37F92688"/>
    <w:rsid w:val="381E7E41"/>
    <w:rsid w:val="382611A3"/>
    <w:rsid w:val="38273C4A"/>
    <w:rsid w:val="3838318A"/>
    <w:rsid w:val="384E540B"/>
    <w:rsid w:val="3855218C"/>
    <w:rsid w:val="385666B5"/>
    <w:rsid w:val="38571C47"/>
    <w:rsid w:val="38877CA4"/>
    <w:rsid w:val="388806A8"/>
    <w:rsid w:val="389468ED"/>
    <w:rsid w:val="38975BFC"/>
    <w:rsid w:val="38991974"/>
    <w:rsid w:val="38993C8D"/>
    <w:rsid w:val="38B55CBD"/>
    <w:rsid w:val="38C24929"/>
    <w:rsid w:val="38C74D5D"/>
    <w:rsid w:val="38CA08B7"/>
    <w:rsid w:val="38DC2EF1"/>
    <w:rsid w:val="38F848ED"/>
    <w:rsid w:val="390019F4"/>
    <w:rsid w:val="39003169"/>
    <w:rsid w:val="390239BE"/>
    <w:rsid w:val="39046C4D"/>
    <w:rsid w:val="390E11E4"/>
    <w:rsid w:val="393954F1"/>
    <w:rsid w:val="393E58F7"/>
    <w:rsid w:val="394E1922"/>
    <w:rsid w:val="39522A4F"/>
    <w:rsid w:val="395B30CE"/>
    <w:rsid w:val="395B4E39"/>
    <w:rsid w:val="395F1F56"/>
    <w:rsid w:val="396E4BAF"/>
    <w:rsid w:val="397A49D1"/>
    <w:rsid w:val="397F1A05"/>
    <w:rsid w:val="398114C3"/>
    <w:rsid w:val="398A3F16"/>
    <w:rsid w:val="398A4385"/>
    <w:rsid w:val="398D62E7"/>
    <w:rsid w:val="39900FC9"/>
    <w:rsid w:val="399D5C12"/>
    <w:rsid w:val="399F3CA4"/>
    <w:rsid w:val="39A3590E"/>
    <w:rsid w:val="39AF31ED"/>
    <w:rsid w:val="39BE3241"/>
    <w:rsid w:val="39BE4608"/>
    <w:rsid w:val="39C26CA9"/>
    <w:rsid w:val="39E84962"/>
    <w:rsid w:val="39F134B3"/>
    <w:rsid w:val="3A041E9E"/>
    <w:rsid w:val="3A047516"/>
    <w:rsid w:val="3A051129"/>
    <w:rsid w:val="3A0B3F2D"/>
    <w:rsid w:val="3A1F6829"/>
    <w:rsid w:val="3A26548A"/>
    <w:rsid w:val="3A287497"/>
    <w:rsid w:val="3A296D28"/>
    <w:rsid w:val="3A384A7C"/>
    <w:rsid w:val="3A3A6426"/>
    <w:rsid w:val="3A471399"/>
    <w:rsid w:val="3A485400"/>
    <w:rsid w:val="3A4B6C9E"/>
    <w:rsid w:val="3A543DA5"/>
    <w:rsid w:val="3A60099C"/>
    <w:rsid w:val="3A6B7AC9"/>
    <w:rsid w:val="3A6C4ACA"/>
    <w:rsid w:val="3A6C5593"/>
    <w:rsid w:val="3A6C6A34"/>
    <w:rsid w:val="3A6F47C2"/>
    <w:rsid w:val="3A726421"/>
    <w:rsid w:val="3A895611"/>
    <w:rsid w:val="3A8F302F"/>
    <w:rsid w:val="3A9E7716"/>
    <w:rsid w:val="3AA264A5"/>
    <w:rsid w:val="3AA83F11"/>
    <w:rsid w:val="3AC76C6D"/>
    <w:rsid w:val="3AD43398"/>
    <w:rsid w:val="3ADC026A"/>
    <w:rsid w:val="3AE14933"/>
    <w:rsid w:val="3AE50EA1"/>
    <w:rsid w:val="3AE96BE3"/>
    <w:rsid w:val="3AF2795A"/>
    <w:rsid w:val="3B062751"/>
    <w:rsid w:val="3B0D47DE"/>
    <w:rsid w:val="3B14556E"/>
    <w:rsid w:val="3B253993"/>
    <w:rsid w:val="3B28000C"/>
    <w:rsid w:val="3B2B6869"/>
    <w:rsid w:val="3B5249B8"/>
    <w:rsid w:val="3B5C71EE"/>
    <w:rsid w:val="3B64395D"/>
    <w:rsid w:val="3B6444BC"/>
    <w:rsid w:val="3B7874EE"/>
    <w:rsid w:val="3B8D4555"/>
    <w:rsid w:val="3BAD6EF5"/>
    <w:rsid w:val="3BC14FB6"/>
    <w:rsid w:val="3BC35686"/>
    <w:rsid w:val="3BD34E26"/>
    <w:rsid w:val="3BD42C9A"/>
    <w:rsid w:val="3BD5712E"/>
    <w:rsid w:val="3BD853D7"/>
    <w:rsid w:val="3BDD601C"/>
    <w:rsid w:val="3BEF68BF"/>
    <w:rsid w:val="3BF55AB2"/>
    <w:rsid w:val="3BF84CC8"/>
    <w:rsid w:val="3BFA01D4"/>
    <w:rsid w:val="3C0A7798"/>
    <w:rsid w:val="3C20177D"/>
    <w:rsid w:val="3C30439E"/>
    <w:rsid w:val="3C31796A"/>
    <w:rsid w:val="3C3814A4"/>
    <w:rsid w:val="3C3F2599"/>
    <w:rsid w:val="3C447E49"/>
    <w:rsid w:val="3C553845"/>
    <w:rsid w:val="3C587E92"/>
    <w:rsid w:val="3C6C2271"/>
    <w:rsid w:val="3C747B2E"/>
    <w:rsid w:val="3C8B5A78"/>
    <w:rsid w:val="3C926B1E"/>
    <w:rsid w:val="3C9708C1"/>
    <w:rsid w:val="3CA01523"/>
    <w:rsid w:val="3CA31CBF"/>
    <w:rsid w:val="3CA50E5E"/>
    <w:rsid w:val="3CBD40AC"/>
    <w:rsid w:val="3CBF0D95"/>
    <w:rsid w:val="3CBF53C0"/>
    <w:rsid w:val="3CC36B35"/>
    <w:rsid w:val="3CE84D04"/>
    <w:rsid w:val="3CF74DDB"/>
    <w:rsid w:val="3D093F1F"/>
    <w:rsid w:val="3D0C6484"/>
    <w:rsid w:val="3D2008B6"/>
    <w:rsid w:val="3D2C1009"/>
    <w:rsid w:val="3D2D072D"/>
    <w:rsid w:val="3D38472D"/>
    <w:rsid w:val="3D4445A5"/>
    <w:rsid w:val="3D463A9A"/>
    <w:rsid w:val="3D5135A3"/>
    <w:rsid w:val="3D60664C"/>
    <w:rsid w:val="3D6D0EC7"/>
    <w:rsid w:val="3D711112"/>
    <w:rsid w:val="3D74475E"/>
    <w:rsid w:val="3D982628"/>
    <w:rsid w:val="3DA407DA"/>
    <w:rsid w:val="3DC456E6"/>
    <w:rsid w:val="3DCA0ECE"/>
    <w:rsid w:val="3DCC6120"/>
    <w:rsid w:val="3DD700F5"/>
    <w:rsid w:val="3DDA529F"/>
    <w:rsid w:val="3DDC7181"/>
    <w:rsid w:val="3DEE62BF"/>
    <w:rsid w:val="3DFB5797"/>
    <w:rsid w:val="3DFD4754"/>
    <w:rsid w:val="3E123215"/>
    <w:rsid w:val="3E146DC6"/>
    <w:rsid w:val="3E147D6A"/>
    <w:rsid w:val="3E2A0839"/>
    <w:rsid w:val="3E412892"/>
    <w:rsid w:val="3E432AAE"/>
    <w:rsid w:val="3E5500EC"/>
    <w:rsid w:val="3E565B39"/>
    <w:rsid w:val="3E5B4912"/>
    <w:rsid w:val="3E6B102B"/>
    <w:rsid w:val="3E6F7351"/>
    <w:rsid w:val="3E70175E"/>
    <w:rsid w:val="3E73608E"/>
    <w:rsid w:val="3E74386C"/>
    <w:rsid w:val="3E872BA6"/>
    <w:rsid w:val="3E932B34"/>
    <w:rsid w:val="3EA01CAF"/>
    <w:rsid w:val="3EA868C2"/>
    <w:rsid w:val="3EBF1103"/>
    <w:rsid w:val="3EDC1B47"/>
    <w:rsid w:val="3EEC0950"/>
    <w:rsid w:val="3EED62EC"/>
    <w:rsid w:val="3EFA69B7"/>
    <w:rsid w:val="3EFB138B"/>
    <w:rsid w:val="3EFF5646"/>
    <w:rsid w:val="3EFF6564"/>
    <w:rsid w:val="3F0F30F4"/>
    <w:rsid w:val="3F0F4A6B"/>
    <w:rsid w:val="3F132EDE"/>
    <w:rsid w:val="3F1C34BB"/>
    <w:rsid w:val="3F262A14"/>
    <w:rsid w:val="3F2A357E"/>
    <w:rsid w:val="3F3917B9"/>
    <w:rsid w:val="3F3B0DB0"/>
    <w:rsid w:val="3F3E1957"/>
    <w:rsid w:val="3F446F74"/>
    <w:rsid w:val="3F660D80"/>
    <w:rsid w:val="3F730DBF"/>
    <w:rsid w:val="3F7647BE"/>
    <w:rsid w:val="3F765972"/>
    <w:rsid w:val="3F7D5653"/>
    <w:rsid w:val="3F7FD2E1"/>
    <w:rsid w:val="3F887C54"/>
    <w:rsid w:val="3FB85499"/>
    <w:rsid w:val="3FBB501D"/>
    <w:rsid w:val="3FBC62ED"/>
    <w:rsid w:val="3FC1012F"/>
    <w:rsid w:val="3FD17C46"/>
    <w:rsid w:val="3FD40E2F"/>
    <w:rsid w:val="3FDF2363"/>
    <w:rsid w:val="3FE71217"/>
    <w:rsid w:val="3FE931E1"/>
    <w:rsid w:val="3FEC4DF3"/>
    <w:rsid w:val="400F50C7"/>
    <w:rsid w:val="401144E6"/>
    <w:rsid w:val="40165819"/>
    <w:rsid w:val="40182F4B"/>
    <w:rsid w:val="40194644"/>
    <w:rsid w:val="402874E5"/>
    <w:rsid w:val="403368E6"/>
    <w:rsid w:val="40404565"/>
    <w:rsid w:val="40406474"/>
    <w:rsid w:val="40430B3B"/>
    <w:rsid w:val="404E1296"/>
    <w:rsid w:val="4056247D"/>
    <w:rsid w:val="405745EF"/>
    <w:rsid w:val="4058616F"/>
    <w:rsid w:val="405A7C3B"/>
    <w:rsid w:val="406263B6"/>
    <w:rsid w:val="40662A84"/>
    <w:rsid w:val="406C13E9"/>
    <w:rsid w:val="406E643E"/>
    <w:rsid w:val="40773485"/>
    <w:rsid w:val="407D1B7C"/>
    <w:rsid w:val="407F3B46"/>
    <w:rsid w:val="408152AE"/>
    <w:rsid w:val="40851229"/>
    <w:rsid w:val="408B6047"/>
    <w:rsid w:val="40901E8C"/>
    <w:rsid w:val="409B4B92"/>
    <w:rsid w:val="409C08A5"/>
    <w:rsid w:val="409C64A6"/>
    <w:rsid w:val="409D4190"/>
    <w:rsid w:val="40A1586A"/>
    <w:rsid w:val="40AE3AB9"/>
    <w:rsid w:val="40AE482F"/>
    <w:rsid w:val="40B00A00"/>
    <w:rsid w:val="40C201B4"/>
    <w:rsid w:val="40C80836"/>
    <w:rsid w:val="40D11392"/>
    <w:rsid w:val="40D81185"/>
    <w:rsid w:val="40D81790"/>
    <w:rsid w:val="40E436BC"/>
    <w:rsid w:val="410451A7"/>
    <w:rsid w:val="410F42BC"/>
    <w:rsid w:val="412B7F18"/>
    <w:rsid w:val="414122F0"/>
    <w:rsid w:val="414157F3"/>
    <w:rsid w:val="4151103E"/>
    <w:rsid w:val="41551F82"/>
    <w:rsid w:val="41555F3F"/>
    <w:rsid w:val="4156184A"/>
    <w:rsid w:val="4160525C"/>
    <w:rsid w:val="41735578"/>
    <w:rsid w:val="41764F49"/>
    <w:rsid w:val="41855CA4"/>
    <w:rsid w:val="418D7E57"/>
    <w:rsid w:val="41AC56F4"/>
    <w:rsid w:val="41AF1F3C"/>
    <w:rsid w:val="41B4616B"/>
    <w:rsid w:val="41C304DF"/>
    <w:rsid w:val="41C87E4F"/>
    <w:rsid w:val="41CE77BD"/>
    <w:rsid w:val="41CF6C2B"/>
    <w:rsid w:val="41CF7FC1"/>
    <w:rsid w:val="41DC09B4"/>
    <w:rsid w:val="41EF2605"/>
    <w:rsid w:val="41F25DF7"/>
    <w:rsid w:val="41F560D9"/>
    <w:rsid w:val="42044568"/>
    <w:rsid w:val="42057EE3"/>
    <w:rsid w:val="420A7CC6"/>
    <w:rsid w:val="42154762"/>
    <w:rsid w:val="42175FB4"/>
    <w:rsid w:val="42441D7B"/>
    <w:rsid w:val="424B2350"/>
    <w:rsid w:val="4251506E"/>
    <w:rsid w:val="42541790"/>
    <w:rsid w:val="425608D6"/>
    <w:rsid w:val="42576B28"/>
    <w:rsid w:val="426D50E1"/>
    <w:rsid w:val="427A6373"/>
    <w:rsid w:val="42870F07"/>
    <w:rsid w:val="429064A2"/>
    <w:rsid w:val="429F20A7"/>
    <w:rsid w:val="42A258CA"/>
    <w:rsid w:val="42B13CAF"/>
    <w:rsid w:val="42B84ABA"/>
    <w:rsid w:val="42BC698B"/>
    <w:rsid w:val="42BF5744"/>
    <w:rsid w:val="42C1615C"/>
    <w:rsid w:val="42C43F3A"/>
    <w:rsid w:val="42C837D2"/>
    <w:rsid w:val="43193DDE"/>
    <w:rsid w:val="431E7646"/>
    <w:rsid w:val="43331167"/>
    <w:rsid w:val="433504EC"/>
    <w:rsid w:val="43376BDC"/>
    <w:rsid w:val="43380329"/>
    <w:rsid w:val="433A5FD6"/>
    <w:rsid w:val="433B3283"/>
    <w:rsid w:val="43470D71"/>
    <w:rsid w:val="434927BA"/>
    <w:rsid w:val="4355293C"/>
    <w:rsid w:val="437F0F91"/>
    <w:rsid w:val="43A46436"/>
    <w:rsid w:val="43BA59BD"/>
    <w:rsid w:val="43C63B0B"/>
    <w:rsid w:val="43DF729C"/>
    <w:rsid w:val="43EA39CC"/>
    <w:rsid w:val="44031929"/>
    <w:rsid w:val="44124CF1"/>
    <w:rsid w:val="441A7E0D"/>
    <w:rsid w:val="44386DC7"/>
    <w:rsid w:val="444B0AB7"/>
    <w:rsid w:val="44546674"/>
    <w:rsid w:val="446A779D"/>
    <w:rsid w:val="446B06FF"/>
    <w:rsid w:val="446C5274"/>
    <w:rsid w:val="44843DC2"/>
    <w:rsid w:val="448D5A66"/>
    <w:rsid w:val="449474CF"/>
    <w:rsid w:val="44953938"/>
    <w:rsid w:val="44A410C8"/>
    <w:rsid w:val="44A616A1"/>
    <w:rsid w:val="44AA25B1"/>
    <w:rsid w:val="44B35568"/>
    <w:rsid w:val="44BE4BE2"/>
    <w:rsid w:val="44CA5540"/>
    <w:rsid w:val="44CB55AC"/>
    <w:rsid w:val="44CE6E4A"/>
    <w:rsid w:val="44E26451"/>
    <w:rsid w:val="44E61C88"/>
    <w:rsid w:val="44F81AEE"/>
    <w:rsid w:val="44FA76E5"/>
    <w:rsid w:val="450A088A"/>
    <w:rsid w:val="450B59A8"/>
    <w:rsid w:val="451323E3"/>
    <w:rsid w:val="45356B84"/>
    <w:rsid w:val="454B5917"/>
    <w:rsid w:val="454D7D6F"/>
    <w:rsid w:val="455603DA"/>
    <w:rsid w:val="455C26A8"/>
    <w:rsid w:val="4562080B"/>
    <w:rsid w:val="457A48DC"/>
    <w:rsid w:val="457E261E"/>
    <w:rsid w:val="457E2CE0"/>
    <w:rsid w:val="457F0578"/>
    <w:rsid w:val="45911C42"/>
    <w:rsid w:val="45927E77"/>
    <w:rsid w:val="45966550"/>
    <w:rsid w:val="45A44293"/>
    <w:rsid w:val="45A71A97"/>
    <w:rsid w:val="45B11820"/>
    <w:rsid w:val="45B17333"/>
    <w:rsid w:val="45B20519"/>
    <w:rsid w:val="45B40A62"/>
    <w:rsid w:val="45B66687"/>
    <w:rsid w:val="45BC5BBE"/>
    <w:rsid w:val="45C5024D"/>
    <w:rsid w:val="45DF7A91"/>
    <w:rsid w:val="45ED221F"/>
    <w:rsid w:val="45F17051"/>
    <w:rsid w:val="45F662B5"/>
    <w:rsid w:val="46072173"/>
    <w:rsid w:val="46112EC5"/>
    <w:rsid w:val="46267C9B"/>
    <w:rsid w:val="463A1088"/>
    <w:rsid w:val="463F4E04"/>
    <w:rsid w:val="4640787B"/>
    <w:rsid w:val="46443B98"/>
    <w:rsid w:val="4653372D"/>
    <w:rsid w:val="465503CA"/>
    <w:rsid w:val="465E0296"/>
    <w:rsid w:val="4660794F"/>
    <w:rsid w:val="46757F48"/>
    <w:rsid w:val="467F21AA"/>
    <w:rsid w:val="46832EC4"/>
    <w:rsid w:val="46874AF7"/>
    <w:rsid w:val="469D7C7D"/>
    <w:rsid w:val="46A2546A"/>
    <w:rsid w:val="46A626BE"/>
    <w:rsid w:val="46C358F2"/>
    <w:rsid w:val="46E84189"/>
    <w:rsid w:val="46FB1A26"/>
    <w:rsid w:val="46FB4F0D"/>
    <w:rsid w:val="47013FF5"/>
    <w:rsid w:val="470352B6"/>
    <w:rsid w:val="47064679"/>
    <w:rsid w:val="47174AD8"/>
    <w:rsid w:val="47194124"/>
    <w:rsid w:val="473F5D2E"/>
    <w:rsid w:val="47437DF0"/>
    <w:rsid w:val="474B1D32"/>
    <w:rsid w:val="475C24EB"/>
    <w:rsid w:val="47623D37"/>
    <w:rsid w:val="476A4880"/>
    <w:rsid w:val="476D355D"/>
    <w:rsid w:val="476D46F8"/>
    <w:rsid w:val="477B3F6E"/>
    <w:rsid w:val="477B5067"/>
    <w:rsid w:val="477F1359"/>
    <w:rsid w:val="478163F5"/>
    <w:rsid w:val="47857C94"/>
    <w:rsid w:val="479C778F"/>
    <w:rsid w:val="479F5922"/>
    <w:rsid w:val="47A74F93"/>
    <w:rsid w:val="47B55DC2"/>
    <w:rsid w:val="47B95AE3"/>
    <w:rsid w:val="47C54534"/>
    <w:rsid w:val="47C54635"/>
    <w:rsid w:val="47F22E4F"/>
    <w:rsid w:val="48084775"/>
    <w:rsid w:val="480D4044"/>
    <w:rsid w:val="48117779"/>
    <w:rsid w:val="48284AC3"/>
    <w:rsid w:val="48305B8F"/>
    <w:rsid w:val="48317C01"/>
    <w:rsid w:val="483956BD"/>
    <w:rsid w:val="484B4AC6"/>
    <w:rsid w:val="48567CB8"/>
    <w:rsid w:val="486D6CE9"/>
    <w:rsid w:val="487A3570"/>
    <w:rsid w:val="48833616"/>
    <w:rsid w:val="488439A9"/>
    <w:rsid w:val="48924524"/>
    <w:rsid w:val="489F6228"/>
    <w:rsid w:val="48A42282"/>
    <w:rsid w:val="48BB5B67"/>
    <w:rsid w:val="48BC5937"/>
    <w:rsid w:val="48F63FC2"/>
    <w:rsid w:val="48FA1FBB"/>
    <w:rsid w:val="48FF3281"/>
    <w:rsid w:val="49114990"/>
    <w:rsid w:val="49142B20"/>
    <w:rsid w:val="4923474B"/>
    <w:rsid w:val="49261002"/>
    <w:rsid w:val="493251EE"/>
    <w:rsid w:val="49423962"/>
    <w:rsid w:val="494E1CBC"/>
    <w:rsid w:val="495A6FB4"/>
    <w:rsid w:val="495E4BAF"/>
    <w:rsid w:val="49641B2B"/>
    <w:rsid w:val="497C3DFC"/>
    <w:rsid w:val="497F6965"/>
    <w:rsid w:val="497F7B76"/>
    <w:rsid w:val="498D1081"/>
    <w:rsid w:val="49A017E2"/>
    <w:rsid w:val="49A308A5"/>
    <w:rsid w:val="49A5127B"/>
    <w:rsid w:val="49A63EF1"/>
    <w:rsid w:val="49A93BB4"/>
    <w:rsid w:val="49B434C4"/>
    <w:rsid w:val="49BB6429"/>
    <w:rsid w:val="49CA5E32"/>
    <w:rsid w:val="49F52A74"/>
    <w:rsid w:val="49FE0A9E"/>
    <w:rsid w:val="4A0A1718"/>
    <w:rsid w:val="4A0B5B9B"/>
    <w:rsid w:val="4A0B5CB6"/>
    <w:rsid w:val="4A0F2B90"/>
    <w:rsid w:val="4A1452FF"/>
    <w:rsid w:val="4A175819"/>
    <w:rsid w:val="4A186210"/>
    <w:rsid w:val="4A3622A4"/>
    <w:rsid w:val="4A4200BE"/>
    <w:rsid w:val="4A4C61F3"/>
    <w:rsid w:val="4A595408"/>
    <w:rsid w:val="4A5D78CD"/>
    <w:rsid w:val="4A6B71F5"/>
    <w:rsid w:val="4A6D53AC"/>
    <w:rsid w:val="4A7B678A"/>
    <w:rsid w:val="4A8204BA"/>
    <w:rsid w:val="4A953BED"/>
    <w:rsid w:val="4ABD5996"/>
    <w:rsid w:val="4AC4127E"/>
    <w:rsid w:val="4AC665FA"/>
    <w:rsid w:val="4AD109E2"/>
    <w:rsid w:val="4AD52A4C"/>
    <w:rsid w:val="4AD85F80"/>
    <w:rsid w:val="4AEA6060"/>
    <w:rsid w:val="4AEF5CB3"/>
    <w:rsid w:val="4AF869CF"/>
    <w:rsid w:val="4B176DB6"/>
    <w:rsid w:val="4B1873D3"/>
    <w:rsid w:val="4B2103FF"/>
    <w:rsid w:val="4B252B10"/>
    <w:rsid w:val="4B257098"/>
    <w:rsid w:val="4B271062"/>
    <w:rsid w:val="4B2736D7"/>
    <w:rsid w:val="4B301BE5"/>
    <w:rsid w:val="4B352B76"/>
    <w:rsid w:val="4B39251C"/>
    <w:rsid w:val="4B414168"/>
    <w:rsid w:val="4B5B306C"/>
    <w:rsid w:val="4B663938"/>
    <w:rsid w:val="4B7342A7"/>
    <w:rsid w:val="4B8364F9"/>
    <w:rsid w:val="4B844D22"/>
    <w:rsid w:val="4B9F6E4A"/>
    <w:rsid w:val="4BA426B2"/>
    <w:rsid w:val="4BAA3E90"/>
    <w:rsid w:val="4BBC47D7"/>
    <w:rsid w:val="4BBD5BA9"/>
    <w:rsid w:val="4BC92119"/>
    <w:rsid w:val="4BCD7E5B"/>
    <w:rsid w:val="4BD20495"/>
    <w:rsid w:val="4BDB1843"/>
    <w:rsid w:val="4BDF36EB"/>
    <w:rsid w:val="4BE76E9B"/>
    <w:rsid w:val="4BE853BB"/>
    <w:rsid w:val="4C0324E8"/>
    <w:rsid w:val="4C0A5BDC"/>
    <w:rsid w:val="4C1B0BC7"/>
    <w:rsid w:val="4C2A0855"/>
    <w:rsid w:val="4C455C43"/>
    <w:rsid w:val="4C4F778C"/>
    <w:rsid w:val="4C526A67"/>
    <w:rsid w:val="4C553263"/>
    <w:rsid w:val="4C5D11DF"/>
    <w:rsid w:val="4C62441C"/>
    <w:rsid w:val="4C632BA1"/>
    <w:rsid w:val="4C690F0E"/>
    <w:rsid w:val="4C6E50DF"/>
    <w:rsid w:val="4C6F2693"/>
    <w:rsid w:val="4C881FE0"/>
    <w:rsid w:val="4C89610A"/>
    <w:rsid w:val="4C924C68"/>
    <w:rsid w:val="4C947B7A"/>
    <w:rsid w:val="4CA706AC"/>
    <w:rsid w:val="4CAB1E29"/>
    <w:rsid w:val="4CCB73B3"/>
    <w:rsid w:val="4CD10495"/>
    <w:rsid w:val="4CDC1C99"/>
    <w:rsid w:val="4CDF5F6F"/>
    <w:rsid w:val="4CE93B94"/>
    <w:rsid w:val="4CE94293"/>
    <w:rsid w:val="4CEA61AE"/>
    <w:rsid w:val="4CEE62DB"/>
    <w:rsid w:val="4D0E1AFF"/>
    <w:rsid w:val="4D2360A9"/>
    <w:rsid w:val="4D241CFD"/>
    <w:rsid w:val="4D257701"/>
    <w:rsid w:val="4D2662D4"/>
    <w:rsid w:val="4D2E492A"/>
    <w:rsid w:val="4D3A5285"/>
    <w:rsid w:val="4D3B7679"/>
    <w:rsid w:val="4D4C6CD2"/>
    <w:rsid w:val="4D4D1254"/>
    <w:rsid w:val="4D4E514B"/>
    <w:rsid w:val="4D62033D"/>
    <w:rsid w:val="4D646943"/>
    <w:rsid w:val="4D69341E"/>
    <w:rsid w:val="4D6F132D"/>
    <w:rsid w:val="4D76AE4D"/>
    <w:rsid w:val="4D775994"/>
    <w:rsid w:val="4D7E786E"/>
    <w:rsid w:val="4D826A23"/>
    <w:rsid w:val="4D8E5785"/>
    <w:rsid w:val="4D920DA6"/>
    <w:rsid w:val="4D9C5154"/>
    <w:rsid w:val="4DA22C22"/>
    <w:rsid w:val="4DAD1CF2"/>
    <w:rsid w:val="4DD77BB3"/>
    <w:rsid w:val="4DE00987"/>
    <w:rsid w:val="4DE17531"/>
    <w:rsid w:val="4DE80F7C"/>
    <w:rsid w:val="4DFE254E"/>
    <w:rsid w:val="4E0263E8"/>
    <w:rsid w:val="4E03137F"/>
    <w:rsid w:val="4E092CA1"/>
    <w:rsid w:val="4E102763"/>
    <w:rsid w:val="4E12250E"/>
    <w:rsid w:val="4E2234FC"/>
    <w:rsid w:val="4E4B776F"/>
    <w:rsid w:val="4E4B79C1"/>
    <w:rsid w:val="4E4D2943"/>
    <w:rsid w:val="4E50267E"/>
    <w:rsid w:val="4E5505A3"/>
    <w:rsid w:val="4E573A0C"/>
    <w:rsid w:val="4E5B352D"/>
    <w:rsid w:val="4E5B6A13"/>
    <w:rsid w:val="4E6459A5"/>
    <w:rsid w:val="4E66005F"/>
    <w:rsid w:val="4E673904"/>
    <w:rsid w:val="4E6974F8"/>
    <w:rsid w:val="4E6D72F7"/>
    <w:rsid w:val="4E961608"/>
    <w:rsid w:val="4EB91DBD"/>
    <w:rsid w:val="4EBB5DFE"/>
    <w:rsid w:val="4EE447E9"/>
    <w:rsid w:val="4EE500CD"/>
    <w:rsid w:val="4EE51484"/>
    <w:rsid w:val="4EFD45B3"/>
    <w:rsid w:val="4F0B4A9B"/>
    <w:rsid w:val="4F0B7A65"/>
    <w:rsid w:val="4F2C2527"/>
    <w:rsid w:val="4F2E5057"/>
    <w:rsid w:val="4F31680E"/>
    <w:rsid w:val="4F3828E8"/>
    <w:rsid w:val="4F3F3667"/>
    <w:rsid w:val="4F5276F9"/>
    <w:rsid w:val="4F551A63"/>
    <w:rsid w:val="4F602D94"/>
    <w:rsid w:val="4F604B42"/>
    <w:rsid w:val="4F645207"/>
    <w:rsid w:val="4F6B59C1"/>
    <w:rsid w:val="4F715FC6"/>
    <w:rsid w:val="4F8D1DDB"/>
    <w:rsid w:val="4F8F1FBF"/>
    <w:rsid w:val="4F9E0730"/>
    <w:rsid w:val="4F9F5E45"/>
    <w:rsid w:val="4FA13207"/>
    <w:rsid w:val="4FA84DFE"/>
    <w:rsid w:val="4FBB66C9"/>
    <w:rsid w:val="4FBE01E7"/>
    <w:rsid w:val="4FC47B85"/>
    <w:rsid w:val="4FCB19E7"/>
    <w:rsid w:val="4FD277EE"/>
    <w:rsid w:val="4FE15C83"/>
    <w:rsid w:val="4FE93093"/>
    <w:rsid w:val="4FFF6109"/>
    <w:rsid w:val="500951DA"/>
    <w:rsid w:val="50142635"/>
    <w:rsid w:val="5015592D"/>
    <w:rsid w:val="501C315F"/>
    <w:rsid w:val="50256401"/>
    <w:rsid w:val="502C0884"/>
    <w:rsid w:val="503C0079"/>
    <w:rsid w:val="50493828"/>
    <w:rsid w:val="50534547"/>
    <w:rsid w:val="505B1395"/>
    <w:rsid w:val="506A7D8E"/>
    <w:rsid w:val="5076626F"/>
    <w:rsid w:val="507C325B"/>
    <w:rsid w:val="50B67F4C"/>
    <w:rsid w:val="50C20F92"/>
    <w:rsid w:val="50C406E4"/>
    <w:rsid w:val="50C86E43"/>
    <w:rsid w:val="50D1743D"/>
    <w:rsid w:val="50D542AA"/>
    <w:rsid w:val="50DE3161"/>
    <w:rsid w:val="50E05C89"/>
    <w:rsid w:val="50E347CC"/>
    <w:rsid w:val="50E579F5"/>
    <w:rsid w:val="50EF2A50"/>
    <w:rsid w:val="510F05CE"/>
    <w:rsid w:val="510F3243"/>
    <w:rsid w:val="511E12FF"/>
    <w:rsid w:val="5157604D"/>
    <w:rsid w:val="515A3289"/>
    <w:rsid w:val="515D758B"/>
    <w:rsid w:val="51676DFF"/>
    <w:rsid w:val="51682F45"/>
    <w:rsid w:val="516C1749"/>
    <w:rsid w:val="5178039D"/>
    <w:rsid w:val="51870AAC"/>
    <w:rsid w:val="51915487"/>
    <w:rsid w:val="51932FAD"/>
    <w:rsid w:val="51A80E8A"/>
    <w:rsid w:val="51B03B5F"/>
    <w:rsid w:val="51B46176"/>
    <w:rsid w:val="51DA4DD6"/>
    <w:rsid w:val="51E41A5B"/>
    <w:rsid w:val="51E657D3"/>
    <w:rsid w:val="51F4103D"/>
    <w:rsid w:val="52170C48"/>
    <w:rsid w:val="522C2F95"/>
    <w:rsid w:val="52412887"/>
    <w:rsid w:val="5244074B"/>
    <w:rsid w:val="52657A5E"/>
    <w:rsid w:val="526861E8"/>
    <w:rsid w:val="526A522E"/>
    <w:rsid w:val="52770B21"/>
    <w:rsid w:val="527C6403"/>
    <w:rsid w:val="527D0E27"/>
    <w:rsid w:val="528F264B"/>
    <w:rsid w:val="52AB0F09"/>
    <w:rsid w:val="52B95F1B"/>
    <w:rsid w:val="52C31430"/>
    <w:rsid w:val="52C33D66"/>
    <w:rsid w:val="52E965CA"/>
    <w:rsid w:val="52EB0BC7"/>
    <w:rsid w:val="52F07080"/>
    <w:rsid w:val="52F932E4"/>
    <w:rsid w:val="530D2D1D"/>
    <w:rsid w:val="53174884"/>
    <w:rsid w:val="53191D2D"/>
    <w:rsid w:val="532669BF"/>
    <w:rsid w:val="532A610A"/>
    <w:rsid w:val="532C6CA9"/>
    <w:rsid w:val="532D3760"/>
    <w:rsid w:val="533627B3"/>
    <w:rsid w:val="5344231C"/>
    <w:rsid w:val="53482049"/>
    <w:rsid w:val="534B1422"/>
    <w:rsid w:val="53501784"/>
    <w:rsid w:val="53504691"/>
    <w:rsid w:val="535A2807"/>
    <w:rsid w:val="5371368E"/>
    <w:rsid w:val="539453CB"/>
    <w:rsid w:val="5398626F"/>
    <w:rsid w:val="53AB7A47"/>
    <w:rsid w:val="53BD2563"/>
    <w:rsid w:val="53C83519"/>
    <w:rsid w:val="53C83B27"/>
    <w:rsid w:val="53DB0C3B"/>
    <w:rsid w:val="53E31850"/>
    <w:rsid w:val="53E358E6"/>
    <w:rsid w:val="53E37A74"/>
    <w:rsid w:val="53E41CC6"/>
    <w:rsid w:val="53EC4BF7"/>
    <w:rsid w:val="53F14249"/>
    <w:rsid w:val="53FE5A45"/>
    <w:rsid w:val="540006A2"/>
    <w:rsid w:val="5409241A"/>
    <w:rsid w:val="5410392E"/>
    <w:rsid w:val="54104AE0"/>
    <w:rsid w:val="541A3896"/>
    <w:rsid w:val="542E5F01"/>
    <w:rsid w:val="54307C7C"/>
    <w:rsid w:val="543C4499"/>
    <w:rsid w:val="54443B93"/>
    <w:rsid w:val="54466F4E"/>
    <w:rsid w:val="544F31B6"/>
    <w:rsid w:val="54553DD5"/>
    <w:rsid w:val="545F67C6"/>
    <w:rsid w:val="54652C7D"/>
    <w:rsid w:val="548E2449"/>
    <w:rsid w:val="549223AF"/>
    <w:rsid w:val="5493595D"/>
    <w:rsid w:val="549945E6"/>
    <w:rsid w:val="54A51975"/>
    <w:rsid w:val="54AB2899"/>
    <w:rsid w:val="54B1270D"/>
    <w:rsid w:val="54C563D4"/>
    <w:rsid w:val="54D046EA"/>
    <w:rsid w:val="54D90F94"/>
    <w:rsid w:val="54DD7595"/>
    <w:rsid w:val="54ED0C26"/>
    <w:rsid w:val="54F643C7"/>
    <w:rsid w:val="54F82522"/>
    <w:rsid w:val="54FA491E"/>
    <w:rsid w:val="54FC460A"/>
    <w:rsid w:val="54FC70BB"/>
    <w:rsid w:val="54FD4587"/>
    <w:rsid w:val="5501609C"/>
    <w:rsid w:val="55083AC5"/>
    <w:rsid w:val="550D12C8"/>
    <w:rsid w:val="55144E68"/>
    <w:rsid w:val="551A0DF0"/>
    <w:rsid w:val="5520724E"/>
    <w:rsid w:val="552161A3"/>
    <w:rsid w:val="55257691"/>
    <w:rsid w:val="5526343F"/>
    <w:rsid w:val="55282272"/>
    <w:rsid w:val="553C4B75"/>
    <w:rsid w:val="55471912"/>
    <w:rsid w:val="5549231F"/>
    <w:rsid w:val="554C38EC"/>
    <w:rsid w:val="555F0079"/>
    <w:rsid w:val="556E135C"/>
    <w:rsid w:val="556F3D31"/>
    <w:rsid w:val="557D13E4"/>
    <w:rsid w:val="558F6181"/>
    <w:rsid w:val="55985036"/>
    <w:rsid w:val="55997B55"/>
    <w:rsid w:val="559C6102"/>
    <w:rsid w:val="559F4374"/>
    <w:rsid w:val="55A3219F"/>
    <w:rsid w:val="55A47ABE"/>
    <w:rsid w:val="55AC6D33"/>
    <w:rsid w:val="55BF1099"/>
    <w:rsid w:val="55C7591B"/>
    <w:rsid w:val="55C93441"/>
    <w:rsid w:val="55DB70F4"/>
    <w:rsid w:val="55DC0E95"/>
    <w:rsid w:val="55E05A6D"/>
    <w:rsid w:val="55E262B1"/>
    <w:rsid w:val="55E33803"/>
    <w:rsid w:val="55E62245"/>
    <w:rsid w:val="55E71B19"/>
    <w:rsid w:val="55F14746"/>
    <w:rsid w:val="55FD3EB8"/>
    <w:rsid w:val="55FD758F"/>
    <w:rsid w:val="56024BA5"/>
    <w:rsid w:val="56060267"/>
    <w:rsid w:val="56072347"/>
    <w:rsid w:val="56114DE8"/>
    <w:rsid w:val="561C5C67"/>
    <w:rsid w:val="5624246F"/>
    <w:rsid w:val="563A60ED"/>
    <w:rsid w:val="56417A91"/>
    <w:rsid w:val="564C2FCF"/>
    <w:rsid w:val="564C7BCE"/>
    <w:rsid w:val="56573BBA"/>
    <w:rsid w:val="565C42B5"/>
    <w:rsid w:val="5660229D"/>
    <w:rsid w:val="566C1BF1"/>
    <w:rsid w:val="567B6C57"/>
    <w:rsid w:val="5680580A"/>
    <w:rsid w:val="56833BAA"/>
    <w:rsid w:val="5687140B"/>
    <w:rsid w:val="56881729"/>
    <w:rsid w:val="568E6439"/>
    <w:rsid w:val="56A1616C"/>
    <w:rsid w:val="56A65531"/>
    <w:rsid w:val="56BA4857"/>
    <w:rsid w:val="56BD31B2"/>
    <w:rsid w:val="56CE6835"/>
    <w:rsid w:val="56F35FB8"/>
    <w:rsid w:val="56F633BD"/>
    <w:rsid w:val="56FFD4A1"/>
    <w:rsid w:val="570C30CE"/>
    <w:rsid w:val="570E692B"/>
    <w:rsid w:val="57135739"/>
    <w:rsid w:val="571561ED"/>
    <w:rsid w:val="571D2E11"/>
    <w:rsid w:val="572B33D4"/>
    <w:rsid w:val="57317A5F"/>
    <w:rsid w:val="57356F9D"/>
    <w:rsid w:val="57453512"/>
    <w:rsid w:val="574D477B"/>
    <w:rsid w:val="574F2403"/>
    <w:rsid w:val="57501F13"/>
    <w:rsid w:val="57560D05"/>
    <w:rsid w:val="5761171A"/>
    <w:rsid w:val="576378C6"/>
    <w:rsid w:val="576A47B0"/>
    <w:rsid w:val="576B5C93"/>
    <w:rsid w:val="577C0F04"/>
    <w:rsid w:val="577F432C"/>
    <w:rsid w:val="57825BF6"/>
    <w:rsid w:val="57833F8D"/>
    <w:rsid w:val="5785381A"/>
    <w:rsid w:val="57B40731"/>
    <w:rsid w:val="57BD0238"/>
    <w:rsid w:val="57CA583D"/>
    <w:rsid w:val="57F553A3"/>
    <w:rsid w:val="58005114"/>
    <w:rsid w:val="5801432C"/>
    <w:rsid w:val="58076E2A"/>
    <w:rsid w:val="580A7FCA"/>
    <w:rsid w:val="580E4305"/>
    <w:rsid w:val="581346E7"/>
    <w:rsid w:val="58150BC0"/>
    <w:rsid w:val="582744CB"/>
    <w:rsid w:val="583472EB"/>
    <w:rsid w:val="58567A67"/>
    <w:rsid w:val="58584A76"/>
    <w:rsid w:val="585F78AA"/>
    <w:rsid w:val="58657CC1"/>
    <w:rsid w:val="587C45E8"/>
    <w:rsid w:val="58883DB7"/>
    <w:rsid w:val="588A3951"/>
    <w:rsid w:val="588C5ECE"/>
    <w:rsid w:val="58903C89"/>
    <w:rsid w:val="58951D01"/>
    <w:rsid w:val="589917F1"/>
    <w:rsid w:val="58BA328F"/>
    <w:rsid w:val="58CB7D26"/>
    <w:rsid w:val="58CF4E95"/>
    <w:rsid w:val="58D02986"/>
    <w:rsid w:val="58D81BED"/>
    <w:rsid w:val="58DD4061"/>
    <w:rsid w:val="58F06F37"/>
    <w:rsid w:val="58F26BBE"/>
    <w:rsid w:val="58F967EE"/>
    <w:rsid w:val="59004E1D"/>
    <w:rsid w:val="590B26D8"/>
    <w:rsid w:val="59122C0C"/>
    <w:rsid w:val="59162E41"/>
    <w:rsid w:val="59262959"/>
    <w:rsid w:val="593474A8"/>
    <w:rsid w:val="593901D6"/>
    <w:rsid w:val="59456494"/>
    <w:rsid w:val="594F0101"/>
    <w:rsid w:val="59505C28"/>
    <w:rsid w:val="595D2642"/>
    <w:rsid w:val="59656FE0"/>
    <w:rsid w:val="596C0ADC"/>
    <w:rsid w:val="596D0588"/>
    <w:rsid w:val="598B43C7"/>
    <w:rsid w:val="599B15D3"/>
    <w:rsid w:val="599B3347"/>
    <w:rsid w:val="59A07809"/>
    <w:rsid w:val="59B57DE8"/>
    <w:rsid w:val="59B87FA6"/>
    <w:rsid w:val="59BC2414"/>
    <w:rsid w:val="59C83A10"/>
    <w:rsid w:val="59D32AE1"/>
    <w:rsid w:val="59D92DF0"/>
    <w:rsid w:val="59E174CA"/>
    <w:rsid w:val="59E21D3F"/>
    <w:rsid w:val="59E630B3"/>
    <w:rsid w:val="59E95D8A"/>
    <w:rsid w:val="59F21769"/>
    <w:rsid w:val="59FF18E5"/>
    <w:rsid w:val="5A045182"/>
    <w:rsid w:val="5A0F4C79"/>
    <w:rsid w:val="5A111763"/>
    <w:rsid w:val="5A141C15"/>
    <w:rsid w:val="5A386AC4"/>
    <w:rsid w:val="5A3B1633"/>
    <w:rsid w:val="5A614EC3"/>
    <w:rsid w:val="5A6A4473"/>
    <w:rsid w:val="5A822C6B"/>
    <w:rsid w:val="5A822CB6"/>
    <w:rsid w:val="5A883ACC"/>
    <w:rsid w:val="5A89170D"/>
    <w:rsid w:val="5A951B44"/>
    <w:rsid w:val="5A9E4652"/>
    <w:rsid w:val="5AA34820"/>
    <w:rsid w:val="5ABA5DFE"/>
    <w:rsid w:val="5AC46702"/>
    <w:rsid w:val="5ACA752C"/>
    <w:rsid w:val="5ADB4989"/>
    <w:rsid w:val="5ADD12F1"/>
    <w:rsid w:val="5ADD678A"/>
    <w:rsid w:val="5AE52C20"/>
    <w:rsid w:val="5AFC6067"/>
    <w:rsid w:val="5AFF2821"/>
    <w:rsid w:val="5AFF3964"/>
    <w:rsid w:val="5B2722C6"/>
    <w:rsid w:val="5B3475AF"/>
    <w:rsid w:val="5B4672E2"/>
    <w:rsid w:val="5B473724"/>
    <w:rsid w:val="5B5045A9"/>
    <w:rsid w:val="5B511702"/>
    <w:rsid w:val="5B584F7A"/>
    <w:rsid w:val="5B631C42"/>
    <w:rsid w:val="5B6F0A06"/>
    <w:rsid w:val="5B741FBF"/>
    <w:rsid w:val="5B981697"/>
    <w:rsid w:val="5B9B1222"/>
    <w:rsid w:val="5BA54009"/>
    <w:rsid w:val="5BA65FD3"/>
    <w:rsid w:val="5BAD55B3"/>
    <w:rsid w:val="5BB243EA"/>
    <w:rsid w:val="5BBB716B"/>
    <w:rsid w:val="5BC9758F"/>
    <w:rsid w:val="5BD364CA"/>
    <w:rsid w:val="5BD62312"/>
    <w:rsid w:val="5BDA4944"/>
    <w:rsid w:val="5BE734D2"/>
    <w:rsid w:val="5BEA4A79"/>
    <w:rsid w:val="5BEA61EE"/>
    <w:rsid w:val="5BEF1728"/>
    <w:rsid w:val="5BF364A2"/>
    <w:rsid w:val="5BFA1EAE"/>
    <w:rsid w:val="5BFC5BF3"/>
    <w:rsid w:val="5BFF6384"/>
    <w:rsid w:val="5C0D1933"/>
    <w:rsid w:val="5C0F1DCA"/>
    <w:rsid w:val="5C1A0858"/>
    <w:rsid w:val="5C2A26DE"/>
    <w:rsid w:val="5C2B3FA9"/>
    <w:rsid w:val="5C300706"/>
    <w:rsid w:val="5C366F03"/>
    <w:rsid w:val="5C3837BA"/>
    <w:rsid w:val="5C4C5669"/>
    <w:rsid w:val="5C4E28F2"/>
    <w:rsid w:val="5C590532"/>
    <w:rsid w:val="5C5C7650"/>
    <w:rsid w:val="5C6235A3"/>
    <w:rsid w:val="5C753B31"/>
    <w:rsid w:val="5C763BF7"/>
    <w:rsid w:val="5C7B5B76"/>
    <w:rsid w:val="5C8F33CA"/>
    <w:rsid w:val="5C984715"/>
    <w:rsid w:val="5CA729BF"/>
    <w:rsid w:val="5CB564CD"/>
    <w:rsid w:val="5CB64996"/>
    <w:rsid w:val="5CBB441E"/>
    <w:rsid w:val="5CC06FDD"/>
    <w:rsid w:val="5CC77769"/>
    <w:rsid w:val="5CD21947"/>
    <w:rsid w:val="5CDD4955"/>
    <w:rsid w:val="5CF45BDC"/>
    <w:rsid w:val="5CF647CF"/>
    <w:rsid w:val="5D043136"/>
    <w:rsid w:val="5D0B433F"/>
    <w:rsid w:val="5D1137F6"/>
    <w:rsid w:val="5D216076"/>
    <w:rsid w:val="5D275F5F"/>
    <w:rsid w:val="5D2B15D9"/>
    <w:rsid w:val="5D316639"/>
    <w:rsid w:val="5D3457D3"/>
    <w:rsid w:val="5D377DCB"/>
    <w:rsid w:val="5D39025A"/>
    <w:rsid w:val="5D451B0B"/>
    <w:rsid w:val="5D4A6B09"/>
    <w:rsid w:val="5D5E19FF"/>
    <w:rsid w:val="5D642DEA"/>
    <w:rsid w:val="5D663C6C"/>
    <w:rsid w:val="5D794CE4"/>
    <w:rsid w:val="5D7E7207"/>
    <w:rsid w:val="5D801225"/>
    <w:rsid w:val="5D8B15BF"/>
    <w:rsid w:val="5D8F6D1E"/>
    <w:rsid w:val="5D9500AD"/>
    <w:rsid w:val="5D9C768D"/>
    <w:rsid w:val="5DA51A05"/>
    <w:rsid w:val="5DA867CA"/>
    <w:rsid w:val="5DB030C9"/>
    <w:rsid w:val="5DB36315"/>
    <w:rsid w:val="5DC170F4"/>
    <w:rsid w:val="5DCC5E35"/>
    <w:rsid w:val="5DDD62DB"/>
    <w:rsid w:val="5DE24FC9"/>
    <w:rsid w:val="5DF47BDD"/>
    <w:rsid w:val="5DFF79B1"/>
    <w:rsid w:val="5E0E3444"/>
    <w:rsid w:val="5E20588D"/>
    <w:rsid w:val="5E2A4C99"/>
    <w:rsid w:val="5E341674"/>
    <w:rsid w:val="5E364C03"/>
    <w:rsid w:val="5E366D66"/>
    <w:rsid w:val="5E413D47"/>
    <w:rsid w:val="5E446EBF"/>
    <w:rsid w:val="5E56038E"/>
    <w:rsid w:val="5E5A2091"/>
    <w:rsid w:val="5E5F3342"/>
    <w:rsid w:val="5E7073D8"/>
    <w:rsid w:val="5E7554D9"/>
    <w:rsid w:val="5E7B7D35"/>
    <w:rsid w:val="5E7D74BF"/>
    <w:rsid w:val="5E8F086F"/>
    <w:rsid w:val="5E95260C"/>
    <w:rsid w:val="5E972FFA"/>
    <w:rsid w:val="5EA234F0"/>
    <w:rsid w:val="5EAF306B"/>
    <w:rsid w:val="5EB91416"/>
    <w:rsid w:val="5EBD78BB"/>
    <w:rsid w:val="5ECE13BF"/>
    <w:rsid w:val="5EDB4A3D"/>
    <w:rsid w:val="5EDD61AF"/>
    <w:rsid w:val="5EE75AC7"/>
    <w:rsid w:val="5EE920F4"/>
    <w:rsid w:val="5EEC01A1"/>
    <w:rsid w:val="5EF4074C"/>
    <w:rsid w:val="5EFA466C"/>
    <w:rsid w:val="5EFD0859"/>
    <w:rsid w:val="5F0E0117"/>
    <w:rsid w:val="5F1540E6"/>
    <w:rsid w:val="5F262F0E"/>
    <w:rsid w:val="5F2B0CC9"/>
    <w:rsid w:val="5F3B3043"/>
    <w:rsid w:val="5F4A65CE"/>
    <w:rsid w:val="5F4C0C3F"/>
    <w:rsid w:val="5F5475FA"/>
    <w:rsid w:val="5F567D9F"/>
    <w:rsid w:val="5F622211"/>
    <w:rsid w:val="5F650A27"/>
    <w:rsid w:val="5F785718"/>
    <w:rsid w:val="5F794626"/>
    <w:rsid w:val="5F840C68"/>
    <w:rsid w:val="5F8779E8"/>
    <w:rsid w:val="5F8C3EEF"/>
    <w:rsid w:val="5FC133DB"/>
    <w:rsid w:val="5FC32D89"/>
    <w:rsid w:val="5FC50612"/>
    <w:rsid w:val="5FC722E8"/>
    <w:rsid w:val="5FEA370B"/>
    <w:rsid w:val="60110153"/>
    <w:rsid w:val="60127BDB"/>
    <w:rsid w:val="601338BB"/>
    <w:rsid w:val="60150D5F"/>
    <w:rsid w:val="60161979"/>
    <w:rsid w:val="601B1A18"/>
    <w:rsid w:val="60252943"/>
    <w:rsid w:val="60386277"/>
    <w:rsid w:val="604A517F"/>
    <w:rsid w:val="6051241D"/>
    <w:rsid w:val="6051351A"/>
    <w:rsid w:val="605204D7"/>
    <w:rsid w:val="605777C8"/>
    <w:rsid w:val="605E7FF4"/>
    <w:rsid w:val="607217A0"/>
    <w:rsid w:val="60744060"/>
    <w:rsid w:val="60936B26"/>
    <w:rsid w:val="60AA7040"/>
    <w:rsid w:val="60B265A9"/>
    <w:rsid w:val="60B35150"/>
    <w:rsid w:val="60C90022"/>
    <w:rsid w:val="60CC5A1D"/>
    <w:rsid w:val="60E16138"/>
    <w:rsid w:val="60E60496"/>
    <w:rsid w:val="60E929AC"/>
    <w:rsid w:val="60EC7F1C"/>
    <w:rsid w:val="60ED424F"/>
    <w:rsid w:val="60FE7313"/>
    <w:rsid w:val="61035669"/>
    <w:rsid w:val="6104195F"/>
    <w:rsid w:val="610F5D0D"/>
    <w:rsid w:val="611066BB"/>
    <w:rsid w:val="611F54AC"/>
    <w:rsid w:val="612658E7"/>
    <w:rsid w:val="61303C96"/>
    <w:rsid w:val="6138591F"/>
    <w:rsid w:val="61392356"/>
    <w:rsid w:val="61425A64"/>
    <w:rsid w:val="614A7CF5"/>
    <w:rsid w:val="61511ED9"/>
    <w:rsid w:val="61614E76"/>
    <w:rsid w:val="6170523F"/>
    <w:rsid w:val="61743F0C"/>
    <w:rsid w:val="617550F8"/>
    <w:rsid w:val="61893C1F"/>
    <w:rsid w:val="61985951"/>
    <w:rsid w:val="619E79D2"/>
    <w:rsid w:val="61A134C4"/>
    <w:rsid w:val="61A4124C"/>
    <w:rsid w:val="61AB4343"/>
    <w:rsid w:val="61B55943"/>
    <w:rsid w:val="61B956A8"/>
    <w:rsid w:val="61D94A0C"/>
    <w:rsid w:val="61DE554E"/>
    <w:rsid w:val="61E863CA"/>
    <w:rsid w:val="61F20BC2"/>
    <w:rsid w:val="61F47A98"/>
    <w:rsid w:val="61FC5629"/>
    <w:rsid w:val="620360F1"/>
    <w:rsid w:val="622561F5"/>
    <w:rsid w:val="622814F0"/>
    <w:rsid w:val="623065F6"/>
    <w:rsid w:val="623978A4"/>
    <w:rsid w:val="62523E11"/>
    <w:rsid w:val="62687396"/>
    <w:rsid w:val="62782DE1"/>
    <w:rsid w:val="6278463C"/>
    <w:rsid w:val="62817D43"/>
    <w:rsid w:val="62832BCA"/>
    <w:rsid w:val="629056F6"/>
    <w:rsid w:val="629E7A04"/>
    <w:rsid w:val="62AF67D8"/>
    <w:rsid w:val="62BA0940"/>
    <w:rsid w:val="62BC7D94"/>
    <w:rsid w:val="62C1013E"/>
    <w:rsid w:val="62C236F2"/>
    <w:rsid w:val="62E0608F"/>
    <w:rsid w:val="62EC4C13"/>
    <w:rsid w:val="62EE51D2"/>
    <w:rsid w:val="63061B43"/>
    <w:rsid w:val="630E3768"/>
    <w:rsid w:val="63235316"/>
    <w:rsid w:val="63380193"/>
    <w:rsid w:val="634100AB"/>
    <w:rsid w:val="63426970"/>
    <w:rsid w:val="63437437"/>
    <w:rsid w:val="63542CE7"/>
    <w:rsid w:val="63616586"/>
    <w:rsid w:val="63754AB6"/>
    <w:rsid w:val="637B2502"/>
    <w:rsid w:val="638135AD"/>
    <w:rsid w:val="639A2F45"/>
    <w:rsid w:val="639D271F"/>
    <w:rsid w:val="63A32DDF"/>
    <w:rsid w:val="63A86D8C"/>
    <w:rsid w:val="63AB23D8"/>
    <w:rsid w:val="63AE1B87"/>
    <w:rsid w:val="63C03DF0"/>
    <w:rsid w:val="63CD1750"/>
    <w:rsid w:val="63D01DBD"/>
    <w:rsid w:val="63D168CC"/>
    <w:rsid w:val="63D857E3"/>
    <w:rsid w:val="63D87BF4"/>
    <w:rsid w:val="63DF2D0A"/>
    <w:rsid w:val="63E23618"/>
    <w:rsid w:val="63E678B4"/>
    <w:rsid w:val="63EA7C71"/>
    <w:rsid w:val="63EB0C9B"/>
    <w:rsid w:val="63EB129B"/>
    <w:rsid w:val="63F02AD4"/>
    <w:rsid w:val="63F77FDF"/>
    <w:rsid w:val="63FF44D2"/>
    <w:rsid w:val="64033FC2"/>
    <w:rsid w:val="640B2E77"/>
    <w:rsid w:val="640D39DE"/>
    <w:rsid w:val="6414138E"/>
    <w:rsid w:val="641A59AB"/>
    <w:rsid w:val="642F6192"/>
    <w:rsid w:val="644005A9"/>
    <w:rsid w:val="64432A21"/>
    <w:rsid w:val="645B0332"/>
    <w:rsid w:val="646507D9"/>
    <w:rsid w:val="646B37CD"/>
    <w:rsid w:val="646E691E"/>
    <w:rsid w:val="648226C8"/>
    <w:rsid w:val="64882719"/>
    <w:rsid w:val="648C220A"/>
    <w:rsid w:val="649317EA"/>
    <w:rsid w:val="64963088"/>
    <w:rsid w:val="649C6ACA"/>
    <w:rsid w:val="64AA6B34"/>
    <w:rsid w:val="64B516F2"/>
    <w:rsid w:val="64C14A81"/>
    <w:rsid w:val="64D23842"/>
    <w:rsid w:val="64E016B4"/>
    <w:rsid w:val="64E36309"/>
    <w:rsid w:val="64F53BCB"/>
    <w:rsid w:val="651641C9"/>
    <w:rsid w:val="65355D7F"/>
    <w:rsid w:val="656D0D62"/>
    <w:rsid w:val="657F3B1C"/>
    <w:rsid w:val="65992C34"/>
    <w:rsid w:val="659A2704"/>
    <w:rsid w:val="659A5AE5"/>
    <w:rsid w:val="659C0330"/>
    <w:rsid w:val="65C95A3A"/>
    <w:rsid w:val="65DC39BC"/>
    <w:rsid w:val="65E13C28"/>
    <w:rsid w:val="65F00C5B"/>
    <w:rsid w:val="660D1128"/>
    <w:rsid w:val="661F0E5C"/>
    <w:rsid w:val="661F2DD4"/>
    <w:rsid w:val="662126B9"/>
    <w:rsid w:val="66247B53"/>
    <w:rsid w:val="66251A13"/>
    <w:rsid w:val="662F72F1"/>
    <w:rsid w:val="6631468C"/>
    <w:rsid w:val="66361DB9"/>
    <w:rsid w:val="664C2D08"/>
    <w:rsid w:val="664D6D4E"/>
    <w:rsid w:val="665455AE"/>
    <w:rsid w:val="66567C51"/>
    <w:rsid w:val="665F7C4A"/>
    <w:rsid w:val="66640EF9"/>
    <w:rsid w:val="66730073"/>
    <w:rsid w:val="667411A7"/>
    <w:rsid w:val="6683720B"/>
    <w:rsid w:val="668B2CBD"/>
    <w:rsid w:val="669435F8"/>
    <w:rsid w:val="66970D48"/>
    <w:rsid w:val="66BB08C3"/>
    <w:rsid w:val="66C242EE"/>
    <w:rsid w:val="66DE2AC5"/>
    <w:rsid w:val="66F35AF0"/>
    <w:rsid w:val="66F516DF"/>
    <w:rsid w:val="670A1B0C"/>
    <w:rsid w:val="67126A1B"/>
    <w:rsid w:val="671E7365"/>
    <w:rsid w:val="67213C63"/>
    <w:rsid w:val="672F3CC3"/>
    <w:rsid w:val="673F0A07"/>
    <w:rsid w:val="674C78D2"/>
    <w:rsid w:val="67584625"/>
    <w:rsid w:val="67784B3D"/>
    <w:rsid w:val="677A041A"/>
    <w:rsid w:val="677A2E38"/>
    <w:rsid w:val="677B5744"/>
    <w:rsid w:val="677B7F6E"/>
    <w:rsid w:val="677F0D9A"/>
    <w:rsid w:val="67892EB2"/>
    <w:rsid w:val="679D0C3E"/>
    <w:rsid w:val="67A24EC6"/>
    <w:rsid w:val="67B30601"/>
    <w:rsid w:val="67B30D5A"/>
    <w:rsid w:val="67BA708E"/>
    <w:rsid w:val="67C021CA"/>
    <w:rsid w:val="67C92B33"/>
    <w:rsid w:val="67CC2981"/>
    <w:rsid w:val="67D512D3"/>
    <w:rsid w:val="67D73A7C"/>
    <w:rsid w:val="67FF0C5F"/>
    <w:rsid w:val="67FF8B64"/>
    <w:rsid w:val="680C49B6"/>
    <w:rsid w:val="680C5410"/>
    <w:rsid w:val="680D7763"/>
    <w:rsid w:val="682162F1"/>
    <w:rsid w:val="68262975"/>
    <w:rsid w:val="682E6D63"/>
    <w:rsid w:val="684C2BD7"/>
    <w:rsid w:val="68500F50"/>
    <w:rsid w:val="68533339"/>
    <w:rsid w:val="685C0145"/>
    <w:rsid w:val="68680898"/>
    <w:rsid w:val="68685893"/>
    <w:rsid w:val="686F00CC"/>
    <w:rsid w:val="68721717"/>
    <w:rsid w:val="68762BDA"/>
    <w:rsid w:val="68770F26"/>
    <w:rsid w:val="688E486E"/>
    <w:rsid w:val="68953657"/>
    <w:rsid w:val="68A94636"/>
    <w:rsid w:val="68B43ADD"/>
    <w:rsid w:val="68C47A98"/>
    <w:rsid w:val="68C64D5F"/>
    <w:rsid w:val="68E73BBC"/>
    <w:rsid w:val="68E8348B"/>
    <w:rsid w:val="68F16ADF"/>
    <w:rsid w:val="68FD3526"/>
    <w:rsid w:val="69020CEC"/>
    <w:rsid w:val="690D0FD5"/>
    <w:rsid w:val="692100FE"/>
    <w:rsid w:val="69350587"/>
    <w:rsid w:val="693747D7"/>
    <w:rsid w:val="693900F9"/>
    <w:rsid w:val="694E2184"/>
    <w:rsid w:val="695603C1"/>
    <w:rsid w:val="69574C91"/>
    <w:rsid w:val="69584DB0"/>
    <w:rsid w:val="695D0F42"/>
    <w:rsid w:val="69674A06"/>
    <w:rsid w:val="69690D6B"/>
    <w:rsid w:val="69692A09"/>
    <w:rsid w:val="696D3650"/>
    <w:rsid w:val="69783CF9"/>
    <w:rsid w:val="698B79BC"/>
    <w:rsid w:val="698C4311"/>
    <w:rsid w:val="698C7C1D"/>
    <w:rsid w:val="69937975"/>
    <w:rsid w:val="69A022B3"/>
    <w:rsid w:val="69AE6E30"/>
    <w:rsid w:val="69B7215C"/>
    <w:rsid w:val="69D73FE1"/>
    <w:rsid w:val="69DA7573"/>
    <w:rsid w:val="69E72ABB"/>
    <w:rsid w:val="69F309C8"/>
    <w:rsid w:val="69F83E9D"/>
    <w:rsid w:val="69FC5BA7"/>
    <w:rsid w:val="6A0015C5"/>
    <w:rsid w:val="6A056DA2"/>
    <w:rsid w:val="6A114ABE"/>
    <w:rsid w:val="6A1330E9"/>
    <w:rsid w:val="6A372C18"/>
    <w:rsid w:val="6A382CF7"/>
    <w:rsid w:val="6A4B0118"/>
    <w:rsid w:val="6A5B6F47"/>
    <w:rsid w:val="6A60610D"/>
    <w:rsid w:val="6A6207B2"/>
    <w:rsid w:val="6A733103"/>
    <w:rsid w:val="6A8670F7"/>
    <w:rsid w:val="6A99268D"/>
    <w:rsid w:val="6AA162E3"/>
    <w:rsid w:val="6AA33502"/>
    <w:rsid w:val="6AA6074F"/>
    <w:rsid w:val="6AA65FF6"/>
    <w:rsid w:val="6AA7598B"/>
    <w:rsid w:val="6AA8059C"/>
    <w:rsid w:val="6AAB53B4"/>
    <w:rsid w:val="6AC12A02"/>
    <w:rsid w:val="6AC41FD2"/>
    <w:rsid w:val="6AC86B84"/>
    <w:rsid w:val="6AD00976"/>
    <w:rsid w:val="6ADC7A1E"/>
    <w:rsid w:val="6AE4298E"/>
    <w:rsid w:val="6AF0599D"/>
    <w:rsid w:val="6AF35F9A"/>
    <w:rsid w:val="6AF66935"/>
    <w:rsid w:val="6B1116BB"/>
    <w:rsid w:val="6B1F050D"/>
    <w:rsid w:val="6B223D01"/>
    <w:rsid w:val="6B224456"/>
    <w:rsid w:val="6B2F4B01"/>
    <w:rsid w:val="6B3771FD"/>
    <w:rsid w:val="6B491AE3"/>
    <w:rsid w:val="6B5B3F6B"/>
    <w:rsid w:val="6B5C045C"/>
    <w:rsid w:val="6B64664A"/>
    <w:rsid w:val="6B690C1F"/>
    <w:rsid w:val="6B841E74"/>
    <w:rsid w:val="6B8600C3"/>
    <w:rsid w:val="6B862C3A"/>
    <w:rsid w:val="6B8A608B"/>
    <w:rsid w:val="6B8B2D6C"/>
    <w:rsid w:val="6B941482"/>
    <w:rsid w:val="6BA918F3"/>
    <w:rsid w:val="6BB92B8F"/>
    <w:rsid w:val="6BBA26E8"/>
    <w:rsid w:val="6BBEAF0D"/>
    <w:rsid w:val="6BC4419C"/>
    <w:rsid w:val="6BCF0C2E"/>
    <w:rsid w:val="6BD63F74"/>
    <w:rsid w:val="6BE91E36"/>
    <w:rsid w:val="6BF23772"/>
    <w:rsid w:val="6C0001D3"/>
    <w:rsid w:val="6C05469A"/>
    <w:rsid w:val="6C0C006C"/>
    <w:rsid w:val="6C137DF3"/>
    <w:rsid w:val="6C2A02D2"/>
    <w:rsid w:val="6C3A3D49"/>
    <w:rsid w:val="6C4338D0"/>
    <w:rsid w:val="6C472EBA"/>
    <w:rsid w:val="6C594B3B"/>
    <w:rsid w:val="6C676BAF"/>
    <w:rsid w:val="6C693058"/>
    <w:rsid w:val="6C71409B"/>
    <w:rsid w:val="6C7524C4"/>
    <w:rsid w:val="6C790046"/>
    <w:rsid w:val="6C823EF2"/>
    <w:rsid w:val="6CA07FF2"/>
    <w:rsid w:val="6CAA6341"/>
    <w:rsid w:val="6CAC0708"/>
    <w:rsid w:val="6CB21200"/>
    <w:rsid w:val="6CB433CC"/>
    <w:rsid w:val="6CCD093A"/>
    <w:rsid w:val="6CE15B1C"/>
    <w:rsid w:val="6CE31D43"/>
    <w:rsid w:val="6CE37E0C"/>
    <w:rsid w:val="6CEA14D9"/>
    <w:rsid w:val="6CEB2BB2"/>
    <w:rsid w:val="6CF91BA2"/>
    <w:rsid w:val="6CFD7CAA"/>
    <w:rsid w:val="6D0D4A41"/>
    <w:rsid w:val="6D1234C8"/>
    <w:rsid w:val="6D13477B"/>
    <w:rsid w:val="6D153134"/>
    <w:rsid w:val="6D154D66"/>
    <w:rsid w:val="6D3011E3"/>
    <w:rsid w:val="6D3921C4"/>
    <w:rsid w:val="6D3F7E3F"/>
    <w:rsid w:val="6D472138"/>
    <w:rsid w:val="6D57537F"/>
    <w:rsid w:val="6D60154F"/>
    <w:rsid w:val="6D6E3F3E"/>
    <w:rsid w:val="6D7101EF"/>
    <w:rsid w:val="6D72327D"/>
    <w:rsid w:val="6D8575C8"/>
    <w:rsid w:val="6D8B55D6"/>
    <w:rsid w:val="6D8F3301"/>
    <w:rsid w:val="6D9E4D5C"/>
    <w:rsid w:val="6DA43F0A"/>
    <w:rsid w:val="6DA92C65"/>
    <w:rsid w:val="6DB528F4"/>
    <w:rsid w:val="6DCC18C9"/>
    <w:rsid w:val="6DD42CD4"/>
    <w:rsid w:val="6DDA7221"/>
    <w:rsid w:val="6DDD5981"/>
    <w:rsid w:val="6DDD787C"/>
    <w:rsid w:val="6DE0582C"/>
    <w:rsid w:val="6DE1694E"/>
    <w:rsid w:val="6DE64844"/>
    <w:rsid w:val="6DE75249"/>
    <w:rsid w:val="6DF901E4"/>
    <w:rsid w:val="6DFB0400"/>
    <w:rsid w:val="6DFD555D"/>
    <w:rsid w:val="6E001CCB"/>
    <w:rsid w:val="6E041556"/>
    <w:rsid w:val="6E0659AC"/>
    <w:rsid w:val="6E1E4E82"/>
    <w:rsid w:val="6E253230"/>
    <w:rsid w:val="6E2A5D31"/>
    <w:rsid w:val="6E345A09"/>
    <w:rsid w:val="6E54021C"/>
    <w:rsid w:val="6E57552D"/>
    <w:rsid w:val="6E587601"/>
    <w:rsid w:val="6E870278"/>
    <w:rsid w:val="6E900803"/>
    <w:rsid w:val="6E980103"/>
    <w:rsid w:val="6E9879FD"/>
    <w:rsid w:val="6EA436DE"/>
    <w:rsid w:val="6EC85C7C"/>
    <w:rsid w:val="6ECE01AD"/>
    <w:rsid w:val="6ED352DA"/>
    <w:rsid w:val="6ED77105"/>
    <w:rsid w:val="6EDF1132"/>
    <w:rsid w:val="6EDF562C"/>
    <w:rsid w:val="6EEA46FD"/>
    <w:rsid w:val="6EEB5D7F"/>
    <w:rsid w:val="6EED5F9B"/>
    <w:rsid w:val="6EF929BB"/>
    <w:rsid w:val="6EFA06B8"/>
    <w:rsid w:val="6EFC1D3A"/>
    <w:rsid w:val="6EFF612B"/>
    <w:rsid w:val="6F125A01"/>
    <w:rsid w:val="6F1333D9"/>
    <w:rsid w:val="6F1B0514"/>
    <w:rsid w:val="6F1D7A2C"/>
    <w:rsid w:val="6F2F0361"/>
    <w:rsid w:val="6F3B6D06"/>
    <w:rsid w:val="6F3C65DA"/>
    <w:rsid w:val="6F4B2CC1"/>
    <w:rsid w:val="6F4B556B"/>
    <w:rsid w:val="6F521DA8"/>
    <w:rsid w:val="6F56268D"/>
    <w:rsid w:val="6F5738DB"/>
    <w:rsid w:val="6F7524D3"/>
    <w:rsid w:val="6F7A3AB1"/>
    <w:rsid w:val="6F7E0E20"/>
    <w:rsid w:val="6F8B5EDC"/>
    <w:rsid w:val="6F933826"/>
    <w:rsid w:val="6FA44B57"/>
    <w:rsid w:val="6FAD7B35"/>
    <w:rsid w:val="6FB2669E"/>
    <w:rsid w:val="6FBD68AC"/>
    <w:rsid w:val="6FD54DBD"/>
    <w:rsid w:val="6FDE149A"/>
    <w:rsid w:val="6FEC6252"/>
    <w:rsid w:val="6FF12EB6"/>
    <w:rsid w:val="6FF473E6"/>
    <w:rsid w:val="6FFB6E51"/>
    <w:rsid w:val="6FFE5E10"/>
    <w:rsid w:val="70011C6F"/>
    <w:rsid w:val="70133FED"/>
    <w:rsid w:val="70150DEC"/>
    <w:rsid w:val="702E0619"/>
    <w:rsid w:val="702F03DE"/>
    <w:rsid w:val="703629B8"/>
    <w:rsid w:val="704E3157"/>
    <w:rsid w:val="7067653C"/>
    <w:rsid w:val="706C6E5E"/>
    <w:rsid w:val="70817FDC"/>
    <w:rsid w:val="70840239"/>
    <w:rsid w:val="708F6D10"/>
    <w:rsid w:val="70A938A1"/>
    <w:rsid w:val="70A94752"/>
    <w:rsid w:val="70C24848"/>
    <w:rsid w:val="70CD1EA1"/>
    <w:rsid w:val="70D16D5B"/>
    <w:rsid w:val="70E65F31"/>
    <w:rsid w:val="70EA4D0B"/>
    <w:rsid w:val="70F3310B"/>
    <w:rsid w:val="70F529D8"/>
    <w:rsid w:val="70FD1E74"/>
    <w:rsid w:val="71025602"/>
    <w:rsid w:val="7103039C"/>
    <w:rsid w:val="71094EE1"/>
    <w:rsid w:val="711E68DF"/>
    <w:rsid w:val="71234381"/>
    <w:rsid w:val="712D6B22"/>
    <w:rsid w:val="71324139"/>
    <w:rsid w:val="71493231"/>
    <w:rsid w:val="714E07E0"/>
    <w:rsid w:val="71535F0A"/>
    <w:rsid w:val="71566C84"/>
    <w:rsid w:val="7176589D"/>
    <w:rsid w:val="71890F4E"/>
    <w:rsid w:val="719E2D77"/>
    <w:rsid w:val="71AD269A"/>
    <w:rsid w:val="71B1003D"/>
    <w:rsid w:val="71B26D02"/>
    <w:rsid w:val="71B87331"/>
    <w:rsid w:val="71D7083C"/>
    <w:rsid w:val="71DB25B0"/>
    <w:rsid w:val="71DD262A"/>
    <w:rsid w:val="71E56C44"/>
    <w:rsid w:val="720D7234"/>
    <w:rsid w:val="720F76A2"/>
    <w:rsid w:val="72150491"/>
    <w:rsid w:val="721533B7"/>
    <w:rsid w:val="722270B4"/>
    <w:rsid w:val="724063E2"/>
    <w:rsid w:val="72442376"/>
    <w:rsid w:val="725400DF"/>
    <w:rsid w:val="72745768"/>
    <w:rsid w:val="727A5D97"/>
    <w:rsid w:val="727C7059"/>
    <w:rsid w:val="727D5191"/>
    <w:rsid w:val="72816160"/>
    <w:rsid w:val="729130E1"/>
    <w:rsid w:val="72927344"/>
    <w:rsid w:val="7295156C"/>
    <w:rsid w:val="729D2580"/>
    <w:rsid w:val="72A67B87"/>
    <w:rsid w:val="72AC3A77"/>
    <w:rsid w:val="72B4208D"/>
    <w:rsid w:val="72BD2528"/>
    <w:rsid w:val="72BD74AB"/>
    <w:rsid w:val="72CC2F73"/>
    <w:rsid w:val="72D045AE"/>
    <w:rsid w:val="72D30170"/>
    <w:rsid w:val="72DE56EC"/>
    <w:rsid w:val="72F84F0E"/>
    <w:rsid w:val="731531D0"/>
    <w:rsid w:val="731D1288"/>
    <w:rsid w:val="73263829"/>
    <w:rsid w:val="7342148F"/>
    <w:rsid w:val="734B09AB"/>
    <w:rsid w:val="735569E4"/>
    <w:rsid w:val="735D6F92"/>
    <w:rsid w:val="736F5970"/>
    <w:rsid w:val="737D29E8"/>
    <w:rsid w:val="73835463"/>
    <w:rsid w:val="738E752A"/>
    <w:rsid w:val="73A20B1D"/>
    <w:rsid w:val="73AD5DF1"/>
    <w:rsid w:val="73B13A3B"/>
    <w:rsid w:val="73B330F9"/>
    <w:rsid w:val="73C23B2B"/>
    <w:rsid w:val="73C44CED"/>
    <w:rsid w:val="73D0510F"/>
    <w:rsid w:val="73ED31EC"/>
    <w:rsid w:val="73EF0526"/>
    <w:rsid w:val="73FB2F08"/>
    <w:rsid w:val="740D2F81"/>
    <w:rsid w:val="740F42BD"/>
    <w:rsid w:val="74303CED"/>
    <w:rsid w:val="74314888"/>
    <w:rsid w:val="743D52CE"/>
    <w:rsid w:val="7458018C"/>
    <w:rsid w:val="745919DD"/>
    <w:rsid w:val="745B1793"/>
    <w:rsid w:val="7461241C"/>
    <w:rsid w:val="746820E1"/>
    <w:rsid w:val="747431F1"/>
    <w:rsid w:val="7475083E"/>
    <w:rsid w:val="747800B5"/>
    <w:rsid w:val="74794E04"/>
    <w:rsid w:val="7497700C"/>
    <w:rsid w:val="749869A9"/>
    <w:rsid w:val="749E606B"/>
    <w:rsid w:val="74A108C3"/>
    <w:rsid w:val="74A51618"/>
    <w:rsid w:val="74A761E5"/>
    <w:rsid w:val="74B84955"/>
    <w:rsid w:val="74BA06CD"/>
    <w:rsid w:val="74C039E8"/>
    <w:rsid w:val="74C257D4"/>
    <w:rsid w:val="74D82307"/>
    <w:rsid w:val="74DD2099"/>
    <w:rsid w:val="74EB19F9"/>
    <w:rsid w:val="74FA3218"/>
    <w:rsid w:val="75014144"/>
    <w:rsid w:val="75063912"/>
    <w:rsid w:val="750712FE"/>
    <w:rsid w:val="75086702"/>
    <w:rsid w:val="75137C89"/>
    <w:rsid w:val="7530273D"/>
    <w:rsid w:val="753078C7"/>
    <w:rsid w:val="753164B5"/>
    <w:rsid w:val="7537210A"/>
    <w:rsid w:val="753D0242"/>
    <w:rsid w:val="75405EF4"/>
    <w:rsid w:val="75461F61"/>
    <w:rsid w:val="75591E6C"/>
    <w:rsid w:val="755F74C6"/>
    <w:rsid w:val="75653843"/>
    <w:rsid w:val="75666F53"/>
    <w:rsid w:val="756A393F"/>
    <w:rsid w:val="756D6C3E"/>
    <w:rsid w:val="757836DE"/>
    <w:rsid w:val="75792336"/>
    <w:rsid w:val="758E6C35"/>
    <w:rsid w:val="759233F8"/>
    <w:rsid w:val="759A2644"/>
    <w:rsid w:val="75A53176"/>
    <w:rsid w:val="75AD78D6"/>
    <w:rsid w:val="75B3143C"/>
    <w:rsid w:val="75D237F5"/>
    <w:rsid w:val="75DA6B3A"/>
    <w:rsid w:val="75DE663D"/>
    <w:rsid w:val="76045978"/>
    <w:rsid w:val="76050685"/>
    <w:rsid w:val="761D147A"/>
    <w:rsid w:val="76487F5B"/>
    <w:rsid w:val="764C7A4B"/>
    <w:rsid w:val="765650F3"/>
    <w:rsid w:val="765661D4"/>
    <w:rsid w:val="765B3C33"/>
    <w:rsid w:val="76633D26"/>
    <w:rsid w:val="76793527"/>
    <w:rsid w:val="768A50AF"/>
    <w:rsid w:val="768E0063"/>
    <w:rsid w:val="768E761F"/>
    <w:rsid w:val="76967DBD"/>
    <w:rsid w:val="76992BAC"/>
    <w:rsid w:val="769F7459"/>
    <w:rsid w:val="76A95843"/>
    <w:rsid w:val="76B50711"/>
    <w:rsid w:val="76B70072"/>
    <w:rsid w:val="76C01B52"/>
    <w:rsid w:val="76C94F71"/>
    <w:rsid w:val="76DE322C"/>
    <w:rsid w:val="76E23F0B"/>
    <w:rsid w:val="76EA5F76"/>
    <w:rsid w:val="76F118C6"/>
    <w:rsid w:val="76F53C3E"/>
    <w:rsid w:val="77040325"/>
    <w:rsid w:val="77040389"/>
    <w:rsid w:val="77106BD5"/>
    <w:rsid w:val="7714385F"/>
    <w:rsid w:val="771845F1"/>
    <w:rsid w:val="77204693"/>
    <w:rsid w:val="7730377C"/>
    <w:rsid w:val="77335A41"/>
    <w:rsid w:val="77336CB1"/>
    <w:rsid w:val="773B0311"/>
    <w:rsid w:val="77471FC0"/>
    <w:rsid w:val="77516E88"/>
    <w:rsid w:val="77527177"/>
    <w:rsid w:val="77545751"/>
    <w:rsid w:val="775A7F45"/>
    <w:rsid w:val="776246DD"/>
    <w:rsid w:val="776430D3"/>
    <w:rsid w:val="776B5480"/>
    <w:rsid w:val="776E7C54"/>
    <w:rsid w:val="77756FCF"/>
    <w:rsid w:val="777C4360"/>
    <w:rsid w:val="77886598"/>
    <w:rsid w:val="779237CF"/>
    <w:rsid w:val="779248CF"/>
    <w:rsid w:val="77A260E5"/>
    <w:rsid w:val="77A40805"/>
    <w:rsid w:val="77A63824"/>
    <w:rsid w:val="77AF17F8"/>
    <w:rsid w:val="77B05DB7"/>
    <w:rsid w:val="77B42334"/>
    <w:rsid w:val="77BC0420"/>
    <w:rsid w:val="77BF37F2"/>
    <w:rsid w:val="77C52F73"/>
    <w:rsid w:val="77CB0341"/>
    <w:rsid w:val="77CB2A11"/>
    <w:rsid w:val="77D80280"/>
    <w:rsid w:val="77DD2CDB"/>
    <w:rsid w:val="77DE2925"/>
    <w:rsid w:val="77E3618D"/>
    <w:rsid w:val="77ED781B"/>
    <w:rsid w:val="77F379D0"/>
    <w:rsid w:val="77FC0FFD"/>
    <w:rsid w:val="77FC3263"/>
    <w:rsid w:val="78054D4B"/>
    <w:rsid w:val="78076869"/>
    <w:rsid w:val="780E632E"/>
    <w:rsid w:val="78234AAC"/>
    <w:rsid w:val="782C7B34"/>
    <w:rsid w:val="782F3180"/>
    <w:rsid w:val="78320EC2"/>
    <w:rsid w:val="7840713B"/>
    <w:rsid w:val="78551A1C"/>
    <w:rsid w:val="7856575F"/>
    <w:rsid w:val="786156A0"/>
    <w:rsid w:val="7869772C"/>
    <w:rsid w:val="787827BA"/>
    <w:rsid w:val="787C3EEC"/>
    <w:rsid w:val="78A43B6E"/>
    <w:rsid w:val="78AE246B"/>
    <w:rsid w:val="78BF34D3"/>
    <w:rsid w:val="78C0202A"/>
    <w:rsid w:val="78C40B07"/>
    <w:rsid w:val="78DD498A"/>
    <w:rsid w:val="79013F9E"/>
    <w:rsid w:val="790463BB"/>
    <w:rsid w:val="79053EE1"/>
    <w:rsid w:val="79117683"/>
    <w:rsid w:val="7915055D"/>
    <w:rsid w:val="794C5FB4"/>
    <w:rsid w:val="794D0488"/>
    <w:rsid w:val="79516F21"/>
    <w:rsid w:val="7956040C"/>
    <w:rsid w:val="795D45C7"/>
    <w:rsid w:val="79694470"/>
    <w:rsid w:val="797C23F5"/>
    <w:rsid w:val="79882989"/>
    <w:rsid w:val="798E1D1D"/>
    <w:rsid w:val="799B1284"/>
    <w:rsid w:val="79A13C0A"/>
    <w:rsid w:val="79AF131A"/>
    <w:rsid w:val="79BF008C"/>
    <w:rsid w:val="79BF0534"/>
    <w:rsid w:val="79DB07EA"/>
    <w:rsid w:val="79E104AA"/>
    <w:rsid w:val="79F46118"/>
    <w:rsid w:val="79F8AD8E"/>
    <w:rsid w:val="7A0A5C53"/>
    <w:rsid w:val="7A2D5DFC"/>
    <w:rsid w:val="7A385FB5"/>
    <w:rsid w:val="7A49604F"/>
    <w:rsid w:val="7A5A0928"/>
    <w:rsid w:val="7A634B02"/>
    <w:rsid w:val="7A8A6D94"/>
    <w:rsid w:val="7A8A7BB0"/>
    <w:rsid w:val="7A8EDC86"/>
    <w:rsid w:val="7A9279C8"/>
    <w:rsid w:val="7A934189"/>
    <w:rsid w:val="7A980376"/>
    <w:rsid w:val="7A992B33"/>
    <w:rsid w:val="7A9B1DC0"/>
    <w:rsid w:val="7AA91468"/>
    <w:rsid w:val="7AAA55F3"/>
    <w:rsid w:val="7AB7745D"/>
    <w:rsid w:val="7ABD6E12"/>
    <w:rsid w:val="7ABE01A3"/>
    <w:rsid w:val="7AC74251"/>
    <w:rsid w:val="7ACA56C9"/>
    <w:rsid w:val="7ACE6CE4"/>
    <w:rsid w:val="7AF10BC1"/>
    <w:rsid w:val="7AF145FC"/>
    <w:rsid w:val="7AF719DB"/>
    <w:rsid w:val="7B002BB2"/>
    <w:rsid w:val="7B0E669F"/>
    <w:rsid w:val="7B1A7811"/>
    <w:rsid w:val="7B1C45FD"/>
    <w:rsid w:val="7B2C1BF9"/>
    <w:rsid w:val="7B302ED7"/>
    <w:rsid w:val="7B3D3E06"/>
    <w:rsid w:val="7B4B2CA9"/>
    <w:rsid w:val="7B5F17E9"/>
    <w:rsid w:val="7B74F02E"/>
    <w:rsid w:val="7B840910"/>
    <w:rsid w:val="7B8437E3"/>
    <w:rsid w:val="7B913AEA"/>
    <w:rsid w:val="7B95779E"/>
    <w:rsid w:val="7BBF481B"/>
    <w:rsid w:val="7BC77A59"/>
    <w:rsid w:val="7BDA3403"/>
    <w:rsid w:val="7BE05AFD"/>
    <w:rsid w:val="7BE74879"/>
    <w:rsid w:val="7BF30969"/>
    <w:rsid w:val="7BF658F4"/>
    <w:rsid w:val="7C0861C2"/>
    <w:rsid w:val="7C121D64"/>
    <w:rsid w:val="7C1558B6"/>
    <w:rsid w:val="7C294018"/>
    <w:rsid w:val="7C2D37DB"/>
    <w:rsid w:val="7C3920FC"/>
    <w:rsid w:val="7C400DC2"/>
    <w:rsid w:val="7C4B7CC8"/>
    <w:rsid w:val="7C65738C"/>
    <w:rsid w:val="7C6C0C4F"/>
    <w:rsid w:val="7C741AA9"/>
    <w:rsid w:val="7CAF663E"/>
    <w:rsid w:val="7CB3005B"/>
    <w:rsid w:val="7CC252DC"/>
    <w:rsid w:val="7CC42849"/>
    <w:rsid w:val="7CC55E61"/>
    <w:rsid w:val="7CF871E2"/>
    <w:rsid w:val="7CFA491C"/>
    <w:rsid w:val="7CFB0594"/>
    <w:rsid w:val="7D0413E5"/>
    <w:rsid w:val="7D052883"/>
    <w:rsid w:val="7D080444"/>
    <w:rsid w:val="7D0E6933"/>
    <w:rsid w:val="7D0F3580"/>
    <w:rsid w:val="7D1E73C7"/>
    <w:rsid w:val="7D1F5041"/>
    <w:rsid w:val="7D254B52"/>
    <w:rsid w:val="7D276975"/>
    <w:rsid w:val="7D3C048A"/>
    <w:rsid w:val="7D6F401F"/>
    <w:rsid w:val="7D727A60"/>
    <w:rsid w:val="7DA37F52"/>
    <w:rsid w:val="7DC72148"/>
    <w:rsid w:val="7DC9A4E1"/>
    <w:rsid w:val="7DCA0002"/>
    <w:rsid w:val="7DCA350D"/>
    <w:rsid w:val="7DCA6913"/>
    <w:rsid w:val="7DCE03A6"/>
    <w:rsid w:val="7DD000A3"/>
    <w:rsid w:val="7DD7598F"/>
    <w:rsid w:val="7DDA1DE0"/>
    <w:rsid w:val="7DDA3B8E"/>
    <w:rsid w:val="7DF95AC7"/>
    <w:rsid w:val="7DFA5FDE"/>
    <w:rsid w:val="7E024E93"/>
    <w:rsid w:val="7E17093E"/>
    <w:rsid w:val="7E1F0343"/>
    <w:rsid w:val="7E1F289D"/>
    <w:rsid w:val="7E244E09"/>
    <w:rsid w:val="7E296D49"/>
    <w:rsid w:val="7E30659C"/>
    <w:rsid w:val="7E322BF0"/>
    <w:rsid w:val="7E3D55AC"/>
    <w:rsid w:val="7E414101"/>
    <w:rsid w:val="7E507730"/>
    <w:rsid w:val="7E5A6722"/>
    <w:rsid w:val="7E6025CA"/>
    <w:rsid w:val="7E7FDD25"/>
    <w:rsid w:val="7E851D4C"/>
    <w:rsid w:val="7E8719CA"/>
    <w:rsid w:val="7E8A42B4"/>
    <w:rsid w:val="7E9F45EB"/>
    <w:rsid w:val="7EA63A70"/>
    <w:rsid w:val="7EAB1087"/>
    <w:rsid w:val="7EAF0B77"/>
    <w:rsid w:val="7ECB2067"/>
    <w:rsid w:val="7ED312A7"/>
    <w:rsid w:val="7EDA0145"/>
    <w:rsid w:val="7EDC3936"/>
    <w:rsid w:val="7EEF469E"/>
    <w:rsid w:val="7EF0118F"/>
    <w:rsid w:val="7EF016CC"/>
    <w:rsid w:val="7F080287"/>
    <w:rsid w:val="7F0D5C54"/>
    <w:rsid w:val="7F0E644A"/>
    <w:rsid w:val="7F126400"/>
    <w:rsid w:val="7F14234B"/>
    <w:rsid w:val="7F2922B9"/>
    <w:rsid w:val="7F3A03DA"/>
    <w:rsid w:val="7F3E1EFB"/>
    <w:rsid w:val="7F3F5381"/>
    <w:rsid w:val="7F4219EB"/>
    <w:rsid w:val="7F4D4962"/>
    <w:rsid w:val="7F4F2A7D"/>
    <w:rsid w:val="7F660E38"/>
    <w:rsid w:val="7F6E2ADE"/>
    <w:rsid w:val="7F6F0306"/>
    <w:rsid w:val="7F70652D"/>
    <w:rsid w:val="7F7ED6A3"/>
    <w:rsid w:val="7F820039"/>
    <w:rsid w:val="7F887292"/>
    <w:rsid w:val="7F894774"/>
    <w:rsid w:val="7F8B66A8"/>
    <w:rsid w:val="7F912B25"/>
    <w:rsid w:val="7F934B69"/>
    <w:rsid w:val="7FA3626C"/>
    <w:rsid w:val="7FAC1D15"/>
    <w:rsid w:val="7FAF335E"/>
    <w:rsid w:val="7FB15DDC"/>
    <w:rsid w:val="7FBA4D31"/>
    <w:rsid w:val="7FBE3098"/>
    <w:rsid w:val="7FC570A6"/>
    <w:rsid w:val="7FC67B8E"/>
    <w:rsid w:val="7FCD25AE"/>
    <w:rsid w:val="7FD50102"/>
    <w:rsid w:val="7FD67A6A"/>
    <w:rsid w:val="7FDC07EC"/>
    <w:rsid w:val="7FE51165"/>
    <w:rsid w:val="7FED7D83"/>
    <w:rsid w:val="A1B5417D"/>
    <w:rsid w:val="A75759BD"/>
    <w:rsid w:val="BBDBC45D"/>
    <w:rsid w:val="E67ED451"/>
    <w:rsid w:val="EFF72FDD"/>
    <w:rsid w:val="FBFF553D"/>
    <w:rsid w:val="FEEBF544"/>
    <w:rsid w:val="FEFF74B1"/>
    <w:rsid w:val="FFA9F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4"/>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5" w:lineRule="auto"/>
      <w:outlineLvl w:val="2"/>
    </w:pPr>
    <w:rPr>
      <w:b/>
      <w:bCs/>
      <w:sz w:val="32"/>
      <w:szCs w:val="32"/>
    </w:rPr>
  </w:style>
  <w:style w:type="paragraph" w:styleId="5">
    <w:name w:val="heading 9"/>
    <w:basedOn w:val="1"/>
    <w:next w:val="1"/>
    <w:autoRedefine/>
    <w:qFormat/>
    <w:uiPriority w:val="0"/>
    <w:pPr>
      <w:keepNext/>
      <w:keepLines/>
      <w:spacing w:before="240" w:after="64" w:line="320" w:lineRule="auto"/>
      <w:outlineLvl w:val="8"/>
    </w:pPr>
    <w:rPr>
      <w:rFonts w:ascii="Arial" w:hAnsi="Arial" w:eastAsia="黑体"/>
      <w:szCs w:val="21"/>
    </w:rPr>
  </w:style>
  <w:style w:type="character" w:default="1" w:styleId="34">
    <w:name w:val="Default Paragraph Font"/>
    <w:autoRedefine/>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semiHidden/>
    <w:qFormat/>
    <w:uiPriority w:val="0"/>
    <w:pPr>
      <w:ind w:left="1260"/>
      <w:jc w:val="left"/>
    </w:pPr>
    <w:rPr>
      <w:sz w:val="18"/>
      <w:szCs w:val="18"/>
    </w:rPr>
  </w:style>
  <w:style w:type="paragraph" w:styleId="7">
    <w:name w:val="Normal Indent"/>
    <w:basedOn w:val="1"/>
    <w:autoRedefine/>
    <w:qFormat/>
    <w:uiPriority w:val="0"/>
    <w:pPr>
      <w:ind w:firstLine="420"/>
    </w:pPr>
    <w:rPr>
      <w:szCs w:val="20"/>
    </w:rPr>
  </w:style>
  <w:style w:type="paragraph" w:styleId="8">
    <w:name w:val="annotation text"/>
    <w:basedOn w:val="1"/>
    <w:link w:val="45"/>
    <w:autoRedefine/>
    <w:semiHidden/>
    <w:qFormat/>
    <w:uiPriority w:val="0"/>
    <w:pPr>
      <w:jc w:val="left"/>
    </w:pPr>
  </w:style>
  <w:style w:type="paragraph" w:styleId="9">
    <w:name w:val="Body Text 3"/>
    <w:basedOn w:val="1"/>
    <w:autoRedefine/>
    <w:qFormat/>
    <w:uiPriority w:val="0"/>
    <w:rPr>
      <w:rFonts w:ascii="宋体"/>
      <w:sz w:val="24"/>
      <w:szCs w:val="20"/>
    </w:rPr>
  </w:style>
  <w:style w:type="paragraph" w:styleId="10">
    <w:name w:val="Body Text"/>
    <w:basedOn w:val="1"/>
    <w:next w:val="11"/>
    <w:link w:val="46"/>
    <w:autoRedefine/>
    <w:qFormat/>
    <w:uiPriority w:val="0"/>
    <w:pPr>
      <w:spacing w:after="120"/>
    </w:pPr>
  </w:style>
  <w:style w:type="paragraph" w:styleId="11">
    <w:name w:val="Date"/>
    <w:basedOn w:val="1"/>
    <w:next w:val="1"/>
    <w:autoRedefine/>
    <w:qFormat/>
    <w:uiPriority w:val="0"/>
    <w:pPr>
      <w:ind w:left="100" w:leftChars="2500"/>
    </w:pPr>
  </w:style>
  <w:style w:type="paragraph" w:styleId="12">
    <w:name w:val="Body Text Indent"/>
    <w:basedOn w:val="1"/>
    <w:next w:val="10"/>
    <w:autoRedefine/>
    <w:unhideWhenUsed/>
    <w:qFormat/>
    <w:uiPriority w:val="99"/>
    <w:pPr>
      <w:spacing w:after="120"/>
      <w:ind w:left="420" w:leftChars="200"/>
    </w:pPr>
    <w:rPr>
      <w:kern w:val="0"/>
      <w:sz w:val="20"/>
    </w:rPr>
  </w:style>
  <w:style w:type="paragraph" w:styleId="13">
    <w:name w:val="toc 5"/>
    <w:basedOn w:val="1"/>
    <w:next w:val="1"/>
    <w:autoRedefine/>
    <w:semiHidden/>
    <w:qFormat/>
    <w:uiPriority w:val="0"/>
    <w:pPr>
      <w:ind w:left="840"/>
      <w:jc w:val="left"/>
    </w:pPr>
    <w:rPr>
      <w:sz w:val="18"/>
      <w:szCs w:val="18"/>
    </w:rPr>
  </w:style>
  <w:style w:type="paragraph" w:styleId="14">
    <w:name w:val="toc 3"/>
    <w:basedOn w:val="1"/>
    <w:next w:val="1"/>
    <w:autoRedefine/>
    <w:qFormat/>
    <w:uiPriority w:val="0"/>
    <w:pPr>
      <w:ind w:left="420"/>
      <w:jc w:val="left"/>
    </w:pPr>
    <w:rPr>
      <w:i/>
      <w:iCs/>
      <w:sz w:val="20"/>
      <w:szCs w:val="20"/>
    </w:rPr>
  </w:style>
  <w:style w:type="paragraph" w:styleId="15">
    <w:name w:val="Plain Text"/>
    <w:basedOn w:val="1"/>
    <w:autoRedefine/>
    <w:qFormat/>
    <w:uiPriority w:val="0"/>
    <w:rPr>
      <w:rFonts w:ascii="Courier New" w:hAnsi="Courier New"/>
      <w:szCs w:val="20"/>
    </w:rPr>
  </w:style>
  <w:style w:type="paragraph" w:styleId="16">
    <w:name w:val="toc 8"/>
    <w:basedOn w:val="1"/>
    <w:next w:val="1"/>
    <w:autoRedefine/>
    <w:semiHidden/>
    <w:qFormat/>
    <w:uiPriority w:val="0"/>
    <w:pPr>
      <w:ind w:left="1470"/>
      <w:jc w:val="left"/>
    </w:pPr>
    <w:rPr>
      <w:sz w:val="18"/>
      <w:szCs w:val="18"/>
    </w:rPr>
  </w:style>
  <w:style w:type="paragraph" w:styleId="17">
    <w:name w:val="Balloon Text"/>
    <w:basedOn w:val="1"/>
    <w:autoRedefine/>
    <w:semiHidden/>
    <w:qFormat/>
    <w:uiPriority w:val="0"/>
    <w:rPr>
      <w:sz w:val="18"/>
      <w:szCs w:val="18"/>
    </w:rPr>
  </w:style>
  <w:style w:type="paragraph" w:styleId="18">
    <w:name w:val="footer"/>
    <w:basedOn w:val="1"/>
    <w:link w:val="55"/>
    <w:autoRedefine/>
    <w:qFormat/>
    <w:uiPriority w:val="99"/>
    <w:pPr>
      <w:tabs>
        <w:tab w:val="center" w:pos="4153"/>
        <w:tab w:val="right" w:pos="8306"/>
      </w:tabs>
      <w:snapToGrid w:val="0"/>
      <w:jc w:val="left"/>
    </w:pPr>
    <w:rPr>
      <w:sz w:val="18"/>
      <w:szCs w:val="18"/>
    </w:rPr>
  </w:style>
  <w:style w:type="paragraph" w:styleId="19">
    <w:name w:val="envelope return"/>
    <w:basedOn w:val="1"/>
    <w:autoRedefine/>
    <w:qFormat/>
    <w:uiPriority w:val="0"/>
    <w:pPr>
      <w:snapToGrid w:val="0"/>
    </w:pPr>
    <w:rPr>
      <w:rFonts w:ascii="Arial" w:hAnsi="Arial"/>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0"/>
    <w:pPr>
      <w:spacing w:before="120" w:after="120"/>
      <w:jc w:val="left"/>
    </w:pPr>
    <w:rPr>
      <w:b/>
      <w:bCs/>
      <w:caps/>
      <w:sz w:val="20"/>
      <w:szCs w:val="20"/>
    </w:rPr>
  </w:style>
  <w:style w:type="paragraph" w:styleId="22">
    <w:name w:val="toc 4"/>
    <w:basedOn w:val="1"/>
    <w:next w:val="1"/>
    <w:autoRedefine/>
    <w:semiHidden/>
    <w:qFormat/>
    <w:uiPriority w:val="0"/>
    <w:pPr>
      <w:ind w:left="630"/>
      <w:jc w:val="left"/>
    </w:pPr>
    <w:rPr>
      <w:sz w:val="18"/>
      <w:szCs w:val="18"/>
    </w:rPr>
  </w:style>
  <w:style w:type="paragraph" w:styleId="23">
    <w:name w:val="toc 6"/>
    <w:basedOn w:val="1"/>
    <w:next w:val="1"/>
    <w:autoRedefine/>
    <w:semiHidden/>
    <w:qFormat/>
    <w:uiPriority w:val="0"/>
    <w:pPr>
      <w:ind w:left="1050"/>
      <w:jc w:val="left"/>
    </w:pPr>
    <w:rPr>
      <w:sz w:val="18"/>
      <w:szCs w:val="18"/>
    </w:rPr>
  </w:style>
  <w:style w:type="paragraph" w:styleId="24">
    <w:name w:val="toc 2"/>
    <w:basedOn w:val="1"/>
    <w:next w:val="1"/>
    <w:autoRedefine/>
    <w:qFormat/>
    <w:uiPriority w:val="0"/>
    <w:pPr>
      <w:ind w:left="210"/>
      <w:jc w:val="left"/>
    </w:pPr>
    <w:rPr>
      <w:smallCaps/>
      <w:sz w:val="20"/>
      <w:szCs w:val="20"/>
    </w:rPr>
  </w:style>
  <w:style w:type="paragraph" w:styleId="25">
    <w:name w:val="toc 9"/>
    <w:basedOn w:val="1"/>
    <w:next w:val="1"/>
    <w:autoRedefine/>
    <w:semiHidden/>
    <w:qFormat/>
    <w:uiPriority w:val="0"/>
    <w:pPr>
      <w:ind w:left="1680"/>
      <w:jc w:val="left"/>
    </w:pPr>
    <w:rPr>
      <w:sz w:val="18"/>
      <w:szCs w:val="18"/>
    </w:rPr>
  </w:style>
  <w:style w:type="paragraph" w:styleId="26">
    <w:name w:val="Body Text 2"/>
    <w:basedOn w:val="1"/>
    <w:autoRedefine/>
    <w:qFormat/>
    <w:uiPriority w:val="0"/>
    <w:pPr>
      <w:spacing w:line="240" w:lineRule="exact"/>
    </w:pPr>
    <w:rPr>
      <w:rFonts w:eastAsia="仿宋_GB2312"/>
    </w:rPr>
  </w:style>
  <w:style w:type="paragraph" w:styleId="27">
    <w:name w:val="HTML Preformatted"/>
    <w:basedOn w:val="1"/>
    <w:link w:val="47"/>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9">
    <w:name w:val="annotation subject"/>
    <w:basedOn w:val="8"/>
    <w:next w:val="8"/>
    <w:autoRedefine/>
    <w:semiHidden/>
    <w:qFormat/>
    <w:uiPriority w:val="0"/>
    <w:rPr>
      <w:b/>
      <w:bCs/>
    </w:rPr>
  </w:style>
  <w:style w:type="paragraph" w:styleId="30">
    <w:name w:val="Body Text First Indent 2"/>
    <w:basedOn w:val="12"/>
    <w:next w:val="31"/>
    <w:autoRedefine/>
    <w:qFormat/>
    <w:uiPriority w:val="99"/>
    <w:pPr>
      <w:ind w:firstLine="420"/>
    </w:pPr>
    <w:rPr>
      <w:sz w:val="24"/>
    </w:rPr>
  </w:style>
  <w:style w:type="paragraph" w:customStyle="1" w:styleId="31">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page number"/>
    <w:autoRedefine/>
    <w:qFormat/>
    <w:uiPriority w:val="0"/>
  </w:style>
  <w:style w:type="character" w:styleId="37">
    <w:name w:val="FollowedHyperlink"/>
    <w:autoRedefine/>
    <w:qFormat/>
    <w:uiPriority w:val="0"/>
    <w:rPr>
      <w:color w:val="000000"/>
      <w:u w:val="none"/>
    </w:rPr>
  </w:style>
  <w:style w:type="character" w:styleId="38">
    <w:name w:val="Emphasis"/>
    <w:basedOn w:val="34"/>
    <w:qFormat/>
    <w:uiPriority w:val="0"/>
    <w:rPr>
      <w:i/>
    </w:rPr>
  </w:style>
  <w:style w:type="character" w:styleId="39">
    <w:name w:val="line number"/>
    <w:autoRedefine/>
    <w:qFormat/>
    <w:uiPriority w:val="0"/>
  </w:style>
  <w:style w:type="character" w:styleId="40">
    <w:name w:val="Hyperlink"/>
    <w:autoRedefine/>
    <w:qFormat/>
    <w:uiPriority w:val="0"/>
    <w:rPr>
      <w:color w:val="000000"/>
      <w:u w:val="none"/>
    </w:rPr>
  </w:style>
  <w:style w:type="character" w:styleId="41">
    <w:name w:val="annotation reference"/>
    <w:autoRedefine/>
    <w:semiHidden/>
    <w:qFormat/>
    <w:uiPriority w:val="0"/>
    <w:rPr>
      <w:sz w:val="21"/>
      <w:szCs w:val="21"/>
    </w:rPr>
  </w:style>
  <w:style w:type="paragraph" w:styleId="42">
    <w:name w:val="List Paragraph"/>
    <w:basedOn w:val="1"/>
    <w:autoRedefine/>
    <w:qFormat/>
    <w:uiPriority w:val="1"/>
    <w:pPr>
      <w:ind w:left="205" w:right="169" w:firstLine="655"/>
    </w:pPr>
    <w:rPr>
      <w:rFonts w:ascii="仿宋" w:hAnsi="仿宋" w:eastAsia="仿宋" w:cs="仿宋"/>
      <w:u w:val="single" w:color="000000"/>
      <w:lang w:val="zh-CN" w:bidi="zh-CN"/>
    </w:rPr>
  </w:style>
  <w:style w:type="character" w:customStyle="1" w:styleId="43">
    <w:name w:val="标题 1 字符"/>
    <w:link w:val="2"/>
    <w:autoRedefine/>
    <w:qFormat/>
    <w:uiPriority w:val="0"/>
    <w:rPr>
      <w:rFonts w:eastAsia="宋体"/>
      <w:b/>
      <w:bCs/>
      <w:kern w:val="44"/>
      <w:sz w:val="44"/>
      <w:szCs w:val="44"/>
      <w:lang w:val="en-US" w:eastAsia="zh-CN" w:bidi="ar-SA"/>
    </w:rPr>
  </w:style>
  <w:style w:type="character" w:customStyle="1" w:styleId="44">
    <w:name w:val="标题 2 字符"/>
    <w:link w:val="3"/>
    <w:autoRedefine/>
    <w:qFormat/>
    <w:uiPriority w:val="0"/>
    <w:rPr>
      <w:rFonts w:ascii="Arial" w:hAnsi="Arial" w:eastAsia="黑体"/>
      <w:b/>
      <w:bCs/>
      <w:kern w:val="2"/>
      <w:sz w:val="32"/>
      <w:szCs w:val="32"/>
      <w:lang w:val="en-US" w:eastAsia="zh-CN" w:bidi="ar-SA"/>
    </w:rPr>
  </w:style>
  <w:style w:type="character" w:customStyle="1" w:styleId="45">
    <w:name w:val="批注文字 字符"/>
    <w:link w:val="8"/>
    <w:autoRedefine/>
    <w:qFormat/>
    <w:uiPriority w:val="0"/>
    <w:rPr>
      <w:rFonts w:eastAsia="宋体"/>
      <w:kern w:val="2"/>
      <w:sz w:val="21"/>
      <w:szCs w:val="24"/>
      <w:lang w:val="en-US" w:eastAsia="zh-CN" w:bidi="ar-SA"/>
    </w:rPr>
  </w:style>
  <w:style w:type="character" w:customStyle="1" w:styleId="46">
    <w:name w:val="正文文本 字符"/>
    <w:link w:val="10"/>
    <w:autoRedefine/>
    <w:qFormat/>
    <w:uiPriority w:val="0"/>
    <w:rPr>
      <w:kern w:val="2"/>
      <w:sz w:val="21"/>
      <w:szCs w:val="24"/>
    </w:rPr>
  </w:style>
  <w:style w:type="character" w:customStyle="1" w:styleId="47">
    <w:name w:val="HTML 预设格式 字符"/>
    <w:link w:val="27"/>
    <w:autoRedefine/>
    <w:qFormat/>
    <w:uiPriority w:val="99"/>
    <w:rPr>
      <w:rFonts w:ascii="宋体" w:hAnsi="宋体" w:cs="宋体"/>
      <w:sz w:val="24"/>
      <w:szCs w:val="24"/>
    </w:rPr>
  </w:style>
  <w:style w:type="character" w:customStyle="1" w:styleId="48">
    <w:name w:val="Char Char Char"/>
    <w:autoRedefine/>
    <w:qFormat/>
    <w:locked/>
    <w:uiPriority w:val="0"/>
    <w:rPr>
      <w:rFonts w:eastAsia="宋体"/>
      <w:b/>
      <w:bCs/>
      <w:kern w:val="44"/>
      <w:sz w:val="44"/>
      <w:szCs w:val="44"/>
      <w:lang w:val="en-US" w:eastAsia="zh-CN" w:bidi="ar-SA"/>
    </w:rPr>
  </w:style>
  <w:style w:type="character" w:customStyle="1" w:styleId="49">
    <w:name w:val="hover16"/>
    <w:autoRedefine/>
    <w:qFormat/>
    <w:uiPriority w:val="0"/>
  </w:style>
  <w:style w:type="character" w:customStyle="1" w:styleId="50">
    <w:name w:val="明显强调1"/>
    <w:autoRedefine/>
    <w:qFormat/>
    <w:uiPriority w:val="0"/>
    <w:rPr>
      <w:rFonts w:eastAsia="仿宋_GB2312"/>
      <w:bCs/>
      <w:iCs/>
      <w:color w:val="auto"/>
      <w:sz w:val="32"/>
    </w:rPr>
  </w:style>
  <w:style w:type="paragraph" w:customStyle="1" w:styleId="51">
    <w:name w:val="cjk"/>
    <w:basedOn w:val="1"/>
    <w:autoRedefine/>
    <w:qFormat/>
    <w:uiPriority w:val="0"/>
    <w:pPr>
      <w:widowControl/>
      <w:spacing w:line="480" w:lineRule="auto"/>
      <w:jc w:val="left"/>
    </w:pPr>
    <w:rPr>
      <w:rFonts w:ascii="宋体" w:hAnsi="宋体" w:cs="宋体"/>
      <w:kern w:val="0"/>
      <w:sz w:val="24"/>
    </w:rPr>
  </w:style>
  <w:style w:type="paragraph" w:customStyle="1" w:styleId="52">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53">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4">
    <w:name w:val="大标题"/>
    <w:basedOn w:val="1"/>
    <w:next w:val="30"/>
    <w:autoRedefine/>
    <w:qFormat/>
    <w:uiPriority w:val="0"/>
    <w:pPr>
      <w:jc w:val="center"/>
    </w:pPr>
    <w:rPr>
      <w:rFonts w:ascii="Arial" w:hAnsi="Arial"/>
      <w:b/>
    </w:rPr>
  </w:style>
  <w:style w:type="character" w:customStyle="1" w:styleId="55">
    <w:name w:val="页脚 字符"/>
    <w:basedOn w:val="34"/>
    <w:link w:val="18"/>
    <w:autoRedefine/>
    <w:qFormat/>
    <w:uiPriority w:val="99"/>
    <w:rPr>
      <w:kern w:val="2"/>
      <w:sz w:val="18"/>
      <w:szCs w:val="18"/>
    </w:rPr>
  </w:style>
  <w:style w:type="paragraph" w:customStyle="1" w:styleId="56">
    <w:name w:val="样式1"/>
    <w:basedOn w:val="1"/>
    <w:qFormat/>
    <w:uiPriority w:val="0"/>
    <w:pPr>
      <w:spacing w:line="240" w:lineRule="auto"/>
      <w:jc w:val="both"/>
    </w:pPr>
    <w:rPr>
      <w:rFonts w:ascii="宋体"/>
      <w:sz w:val="21"/>
      <w:szCs w:val="21"/>
    </w:rPr>
  </w:style>
  <w:style w:type="paragraph" w:customStyle="1" w:styleId="57">
    <w:name w:val="*正文_0"/>
    <w:basedOn w:val="58"/>
    <w:next w:val="58"/>
    <w:qFormat/>
    <w:uiPriority w:val="0"/>
    <w:pPr>
      <w:widowControl/>
      <w:ind w:firstLine="482"/>
    </w:pPr>
    <w:rPr>
      <w:rFonts w:ascii="微软雅黑" w:hAnsi="微软雅黑" w:eastAsia="微软雅黑"/>
      <w:kern w:val="0"/>
      <w:szCs w:val="20"/>
    </w:rPr>
  </w:style>
  <w:style w:type="paragraph" w:customStyle="1" w:styleId="58">
    <w:name w:val="正文_1_0"/>
    <w:basedOn w:val="59"/>
    <w:next w:val="61"/>
    <w:qFormat/>
    <w:uiPriority w:val="0"/>
  </w:style>
  <w:style w:type="paragraph" w:customStyle="1" w:styleId="59">
    <w:name w:val="正文_2"/>
    <w:next w:val="60"/>
    <w:qFormat/>
    <w:uiPriority w:val="0"/>
    <w:pPr>
      <w:widowControl w:val="0"/>
      <w:jc w:val="both"/>
    </w:pPr>
    <w:rPr>
      <w:rFonts w:ascii="Calibri" w:hAnsi="Calibri" w:eastAsia="宋体" w:cs="Times New Roman"/>
      <w:kern w:val="2"/>
      <w:sz w:val="21"/>
      <w:szCs w:val="22"/>
      <w:lang w:eastAsia="en-US"/>
    </w:rPr>
  </w:style>
  <w:style w:type="paragraph" w:customStyle="1" w:styleId="60">
    <w:name w:val="正文_1_1"/>
    <w:next w:val="61"/>
    <w:qFormat/>
    <w:uiPriority w:val="0"/>
    <w:pPr>
      <w:widowControl w:val="0"/>
      <w:jc w:val="both"/>
    </w:pPr>
    <w:rPr>
      <w:rFonts w:ascii="Calibri" w:hAnsi="Calibri" w:eastAsia="宋体" w:cs="Times New Roman"/>
      <w:kern w:val="2"/>
      <w:sz w:val="21"/>
      <w:szCs w:val="22"/>
      <w:lang w:eastAsia="en-US"/>
    </w:rPr>
  </w:style>
  <w:style w:type="paragraph" w:customStyle="1" w:styleId="61">
    <w:name w:val="Default_1"/>
    <w:next w:val="62"/>
    <w:qFormat/>
    <w:uiPriority w:val="0"/>
    <w:pPr>
      <w:widowControl w:val="0"/>
      <w:autoSpaceDE w:val="0"/>
      <w:autoSpaceDN w:val="0"/>
      <w:adjustRightInd w:val="0"/>
    </w:pPr>
    <w:rPr>
      <w:rFonts w:ascii="Times New Roman" w:hAnsi="Times New Roman" w:eastAsia="宋体" w:cs="Times New Roman"/>
      <w:color w:val="000000"/>
      <w:sz w:val="24"/>
      <w:szCs w:val="24"/>
      <w:lang w:eastAsia="en-US"/>
    </w:rPr>
  </w:style>
  <w:style w:type="paragraph" w:customStyle="1" w:styleId="62">
    <w:name w:val="大标题_1"/>
    <w:basedOn w:val="58"/>
    <w:next w:val="63"/>
    <w:qFormat/>
    <w:uiPriority w:val="0"/>
    <w:pPr>
      <w:jc w:val="center"/>
    </w:pPr>
    <w:rPr>
      <w:rFonts w:ascii="Arial" w:hAnsi="Arial"/>
      <w:b/>
      <w:kern w:val="0"/>
      <w:sz w:val="28"/>
      <w:szCs w:val="24"/>
    </w:rPr>
  </w:style>
  <w:style w:type="paragraph" w:customStyle="1" w:styleId="63">
    <w:name w:val="正文首行缩进 2_1"/>
    <w:basedOn w:val="64"/>
    <w:next w:val="58"/>
    <w:unhideWhenUsed/>
    <w:qFormat/>
    <w:uiPriority w:val="0"/>
    <w:pPr>
      <w:spacing w:after="120" w:line="240" w:lineRule="auto"/>
      <w:ind w:left="420" w:leftChars="200" w:firstLine="420" w:firstLineChars="200"/>
    </w:pPr>
    <w:rPr>
      <w:rFonts w:ascii="Times New Roman" w:hAnsi="Times New Roman"/>
      <w:kern w:val="2"/>
      <w:sz w:val="21"/>
    </w:rPr>
  </w:style>
  <w:style w:type="paragraph" w:customStyle="1" w:styleId="64">
    <w:name w:val="正文文本缩进_1"/>
    <w:basedOn w:val="65"/>
    <w:unhideWhenUsed/>
    <w:qFormat/>
    <w:uiPriority w:val="0"/>
    <w:pPr>
      <w:widowControl/>
      <w:overflowPunct w:val="0"/>
      <w:autoSpaceDE w:val="0"/>
      <w:autoSpaceDN w:val="0"/>
      <w:adjustRightInd w:val="0"/>
      <w:spacing w:line="360" w:lineRule="auto"/>
      <w:ind w:firstLine="540"/>
    </w:pPr>
    <w:rPr>
      <w:rFonts w:ascii="宋体" w:hAnsi="MS Sans Serif"/>
      <w:spacing w:val="12"/>
      <w:szCs w:val="20"/>
    </w:rPr>
  </w:style>
  <w:style w:type="paragraph" w:customStyle="1" w:styleId="65">
    <w:name w:val="正文_1_0_2"/>
    <w:basedOn w:val="66"/>
    <w:next w:val="76"/>
    <w:qFormat/>
    <w:uiPriority w:val="0"/>
    <w:rPr>
      <w:rFonts w:ascii="Calibri" w:hAnsi="Calibri" w:cs="宋体"/>
      <w:sz w:val="24"/>
      <w:szCs w:val="24"/>
    </w:rPr>
  </w:style>
  <w:style w:type="paragraph" w:customStyle="1" w:styleId="66">
    <w:name w:val="正文_2_1_0"/>
    <w:basedOn w:val="67"/>
    <w:next w:val="68"/>
    <w:qFormat/>
    <w:uiPriority w:val="0"/>
  </w:style>
  <w:style w:type="paragraph" w:customStyle="1" w:styleId="67">
    <w:name w:val="正文_2_2"/>
    <w:next w:val="68"/>
    <w:qFormat/>
    <w:uiPriority w:val="0"/>
    <w:pPr>
      <w:widowControl w:val="0"/>
      <w:jc w:val="both"/>
    </w:pPr>
    <w:rPr>
      <w:rFonts w:ascii="Times New Roman" w:hAnsi="Times New Roman" w:eastAsia="宋体" w:cs="Times New Roman"/>
      <w:lang w:eastAsia="en-US"/>
    </w:rPr>
  </w:style>
  <w:style w:type="paragraph" w:customStyle="1" w:styleId="68">
    <w:name w:val="正文文本_1_0_1"/>
    <w:basedOn w:val="67"/>
    <w:next w:val="69"/>
    <w:qFormat/>
    <w:uiPriority w:val="0"/>
    <w:rPr>
      <w:rFonts w:eastAsia="仿宋_GB2312"/>
      <w:kern w:val="2"/>
      <w:sz w:val="28"/>
      <w:szCs w:val="28"/>
    </w:rPr>
  </w:style>
  <w:style w:type="paragraph" w:customStyle="1" w:styleId="69">
    <w:name w:val="Default_1_0_1"/>
    <w:basedOn w:val="70"/>
    <w:next w:val="66"/>
    <w:qFormat/>
    <w:uiPriority w:val="0"/>
    <w:pPr>
      <w:autoSpaceDE w:val="0"/>
      <w:autoSpaceDN w:val="0"/>
      <w:adjustRightInd w:val="0"/>
      <w:jc w:val="left"/>
    </w:pPr>
    <w:rPr>
      <w:rFonts w:ascii="Calibri" w:hAnsi="Calibri" w:cs="宋体"/>
      <w:color w:val="000000"/>
      <w:sz w:val="24"/>
      <w:szCs w:val="24"/>
    </w:rPr>
  </w:style>
  <w:style w:type="paragraph" w:customStyle="1" w:styleId="70">
    <w:name w:val="正文_2_0_1"/>
    <w:basedOn w:val="71"/>
    <w:next w:val="75"/>
    <w:qFormat/>
    <w:uiPriority w:val="0"/>
  </w:style>
  <w:style w:type="paragraph" w:customStyle="1" w:styleId="71">
    <w:name w:val="正文_3_1_0_0"/>
    <w:next w:val="72"/>
    <w:qFormat/>
    <w:uiPriority w:val="0"/>
    <w:pPr>
      <w:widowControl w:val="0"/>
      <w:jc w:val="both"/>
    </w:pPr>
    <w:rPr>
      <w:rFonts w:ascii="Times New Roman" w:hAnsi="Times New Roman" w:eastAsia="宋体" w:cs="Times New Roman"/>
      <w:lang w:eastAsia="en-US"/>
    </w:rPr>
  </w:style>
  <w:style w:type="paragraph" w:customStyle="1" w:styleId="72">
    <w:name w:val="正文文本_1_1_0_0"/>
    <w:basedOn w:val="73"/>
    <w:next w:val="74"/>
    <w:qFormat/>
    <w:uiPriority w:val="0"/>
    <w:rPr>
      <w:rFonts w:eastAsia="仿宋_GB2312"/>
      <w:kern w:val="2"/>
      <w:sz w:val="28"/>
      <w:szCs w:val="28"/>
    </w:rPr>
  </w:style>
  <w:style w:type="paragraph" w:customStyle="1" w:styleId="73">
    <w:name w:val="正文_2_3_1"/>
    <w:next w:val="71"/>
    <w:qFormat/>
    <w:uiPriority w:val="0"/>
    <w:pPr>
      <w:widowControl w:val="0"/>
      <w:jc w:val="both"/>
    </w:pPr>
    <w:rPr>
      <w:rFonts w:ascii="Times New Roman" w:hAnsi="Times New Roman" w:eastAsia="宋体" w:cs="Times New Roman"/>
      <w:lang w:eastAsia="en-US"/>
    </w:rPr>
  </w:style>
  <w:style w:type="paragraph" w:customStyle="1" w:styleId="74">
    <w:name w:val="Default_1_1_0_0"/>
    <w:basedOn w:val="73"/>
    <w:next w:val="71"/>
    <w:qFormat/>
    <w:uiPriority w:val="0"/>
    <w:pPr>
      <w:autoSpaceDE w:val="0"/>
      <w:autoSpaceDN w:val="0"/>
      <w:adjustRightInd w:val="0"/>
      <w:jc w:val="left"/>
    </w:pPr>
    <w:rPr>
      <w:rFonts w:ascii="Calibri" w:hAnsi="Calibri" w:cs="宋体"/>
      <w:color w:val="000000"/>
      <w:sz w:val="24"/>
      <w:szCs w:val="24"/>
    </w:rPr>
  </w:style>
  <w:style w:type="paragraph" w:customStyle="1" w:styleId="75">
    <w:name w:val="正文_3_0_1"/>
    <w:next w:val="68"/>
    <w:qFormat/>
    <w:uiPriority w:val="0"/>
    <w:pPr>
      <w:widowControl w:val="0"/>
      <w:jc w:val="both"/>
    </w:pPr>
    <w:rPr>
      <w:rFonts w:ascii="Times New Roman" w:hAnsi="Times New Roman" w:eastAsia="宋体" w:cs="Times New Roman"/>
      <w:kern w:val="2"/>
      <w:sz w:val="21"/>
      <w:szCs w:val="22"/>
      <w:lang w:eastAsia="en-US"/>
    </w:rPr>
  </w:style>
  <w:style w:type="paragraph" w:customStyle="1" w:styleId="76">
    <w:name w:val="正文文本_0_0_1"/>
    <w:basedOn w:val="77"/>
    <w:next w:val="82"/>
    <w:qFormat/>
    <w:uiPriority w:val="0"/>
    <w:rPr>
      <w:rFonts w:ascii="Calibri" w:hAnsi="Calibri"/>
    </w:rPr>
  </w:style>
  <w:style w:type="paragraph" w:customStyle="1" w:styleId="77">
    <w:name w:val="正文_2_3"/>
    <w:next w:val="78"/>
    <w:qFormat/>
    <w:uiPriority w:val="0"/>
    <w:pPr>
      <w:widowControl w:val="0"/>
      <w:jc w:val="both"/>
    </w:pPr>
    <w:rPr>
      <w:rFonts w:ascii="Times New Roman" w:hAnsi="Times New Roman" w:eastAsia="宋体" w:cs="Times New Roman"/>
      <w:lang w:eastAsia="en-US"/>
    </w:rPr>
  </w:style>
  <w:style w:type="paragraph" w:customStyle="1" w:styleId="78">
    <w:name w:val="正文文本_0_0_0_0_0"/>
    <w:basedOn w:val="79"/>
    <w:next w:val="82"/>
    <w:qFormat/>
    <w:uiPriority w:val="0"/>
    <w:rPr>
      <w:rFonts w:ascii="Calibri" w:hAnsi="Calibri"/>
    </w:rPr>
  </w:style>
  <w:style w:type="paragraph" w:customStyle="1" w:styleId="79">
    <w:name w:val="正文_0_0_1_0_0"/>
    <w:next w:val="80"/>
    <w:qFormat/>
    <w:uiPriority w:val="0"/>
    <w:pPr>
      <w:widowControl w:val="0"/>
      <w:jc w:val="both"/>
    </w:pPr>
    <w:rPr>
      <w:rFonts w:ascii="Times New Roman" w:hAnsi="Times New Roman" w:eastAsia="宋体" w:cs="Times New Roman"/>
      <w:lang w:eastAsia="en-US"/>
    </w:rPr>
  </w:style>
  <w:style w:type="paragraph" w:customStyle="1" w:styleId="80">
    <w:name w:val="Default_0_0_0_0"/>
    <w:basedOn w:val="79"/>
    <w:next w:val="81"/>
    <w:qFormat/>
    <w:uiPriority w:val="0"/>
    <w:pPr>
      <w:autoSpaceDE w:val="0"/>
      <w:autoSpaceDN w:val="0"/>
      <w:adjustRightInd w:val="0"/>
      <w:jc w:val="left"/>
    </w:pPr>
    <w:rPr>
      <w:rFonts w:ascii="Calibri" w:hAnsi="Calibri" w:cs="宋体"/>
      <w:color w:val="000000"/>
      <w:sz w:val="24"/>
      <w:szCs w:val="24"/>
    </w:rPr>
  </w:style>
  <w:style w:type="paragraph" w:customStyle="1" w:styleId="81">
    <w:name w:val="正文_0_0_0_0_0_0"/>
    <w:basedOn w:val="79"/>
    <w:next w:val="78"/>
    <w:qFormat/>
    <w:uiPriority w:val="0"/>
    <w:rPr>
      <w:rFonts w:ascii="Calibri" w:hAnsi="Calibri" w:cs="宋体"/>
      <w:sz w:val="24"/>
      <w:szCs w:val="24"/>
    </w:rPr>
  </w:style>
  <w:style w:type="paragraph" w:customStyle="1" w:styleId="82">
    <w:name w:val="Default_2_0_0"/>
    <w:basedOn w:val="83"/>
    <w:next w:val="93"/>
    <w:qFormat/>
    <w:uiPriority w:val="0"/>
    <w:pPr>
      <w:autoSpaceDE w:val="0"/>
      <w:autoSpaceDN w:val="0"/>
      <w:adjustRightInd w:val="0"/>
      <w:jc w:val="left"/>
    </w:pPr>
    <w:rPr>
      <w:rFonts w:ascii="Calibri" w:hAnsi="Calibri" w:cs="宋体"/>
      <w:color w:val="000000"/>
      <w:sz w:val="24"/>
      <w:szCs w:val="24"/>
    </w:rPr>
  </w:style>
  <w:style w:type="paragraph" w:customStyle="1" w:styleId="83">
    <w:name w:val="正文_3_1_1"/>
    <w:next w:val="84"/>
    <w:qFormat/>
    <w:uiPriority w:val="0"/>
    <w:pPr>
      <w:widowControl w:val="0"/>
      <w:jc w:val="both"/>
    </w:pPr>
    <w:rPr>
      <w:rFonts w:ascii="Times New Roman" w:hAnsi="Times New Roman" w:eastAsia="宋体" w:cs="Times New Roman"/>
      <w:lang w:eastAsia="en-US"/>
    </w:rPr>
  </w:style>
  <w:style w:type="paragraph" w:customStyle="1" w:styleId="84">
    <w:name w:val="正文文本_1_1_1"/>
    <w:basedOn w:val="85"/>
    <w:next w:val="92"/>
    <w:qFormat/>
    <w:uiPriority w:val="0"/>
    <w:rPr>
      <w:rFonts w:eastAsia="仿宋_GB2312"/>
      <w:kern w:val="2"/>
      <w:sz w:val="28"/>
      <w:szCs w:val="28"/>
    </w:rPr>
  </w:style>
  <w:style w:type="paragraph" w:customStyle="1" w:styleId="85">
    <w:name w:val="正文_2_3_0"/>
    <w:next w:val="86"/>
    <w:qFormat/>
    <w:uiPriority w:val="0"/>
    <w:pPr>
      <w:widowControl w:val="0"/>
      <w:jc w:val="both"/>
    </w:pPr>
    <w:rPr>
      <w:rFonts w:ascii="Times New Roman" w:hAnsi="Times New Roman" w:eastAsia="宋体" w:cs="Times New Roman"/>
      <w:lang w:eastAsia="en-US"/>
    </w:rPr>
  </w:style>
  <w:style w:type="paragraph" w:customStyle="1" w:styleId="86">
    <w:name w:val="正文文本_0_0_0_0_0_0"/>
    <w:basedOn w:val="87"/>
    <w:next w:val="90"/>
    <w:qFormat/>
    <w:uiPriority w:val="0"/>
    <w:rPr>
      <w:rFonts w:ascii="Calibri" w:hAnsi="Calibri"/>
    </w:rPr>
  </w:style>
  <w:style w:type="paragraph" w:customStyle="1" w:styleId="87">
    <w:name w:val="正文_0_0_1_0_0_0"/>
    <w:next w:val="88"/>
    <w:qFormat/>
    <w:uiPriority w:val="0"/>
    <w:pPr>
      <w:widowControl w:val="0"/>
      <w:jc w:val="both"/>
    </w:pPr>
    <w:rPr>
      <w:rFonts w:ascii="Times New Roman" w:hAnsi="Times New Roman" w:eastAsia="宋体" w:cs="Times New Roman"/>
      <w:lang w:eastAsia="en-US"/>
    </w:rPr>
  </w:style>
  <w:style w:type="paragraph" w:customStyle="1" w:styleId="88">
    <w:name w:val="Default_0_0_0_0_0"/>
    <w:basedOn w:val="87"/>
    <w:next w:val="89"/>
    <w:qFormat/>
    <w:uiPriority w:val="0"/>
    <w:pPr>
      <w:autoSpaceDE w:val="0"/>
      <w:autoSpaceDN w:val="0"/>
      <w:adjustRightInd w:val="0"/>
      <w:jc w:val="left"/>
    </w:pPr>
    <w:rPr>
      <w:rFonts w:ascii="Calibri" w:hAnsi="Calibri" w:cs="宋体"/>
      <w:color w:val="000000"/>
      <w:sz w:val="24"/>
      <w:szCs w:val="24"/>
    </w:rPr>
  </w:style>
  <w:style w:type="paragraph" w:customStyle="1" w:styleId="89">
    <w:name w:val="正文_0_0_0_0_0_0_0"/>
    <w:basedOn w:val="87"/>
    <w:next w:val="86"/>
    <w:qFormat/>
    <w:uiPriority w:val="0"/>
    <w:rPr>
      <w:rFonts w:ascii="Calibri" w:hAnsi="Calibri" w:cs="宋体"/>
      <w:sz w:val="24"/>
      <w:szCs w:val="24"/>
    </w:rPr>
  </w:style>
  <w:style w:type="paragraph" w:customStyle="1" w:styleId="90">
    <w:name w:val="Default_2_0_0_0"/>
    <w:basedOn w:val="83"/>
    <w:next w:val="91"/>
    <w:qFormat/>
    <w:uiPriority w:val="0"/>
    <w:pPr>
      <w:autoSpaceDE w:val="0"/>
      <w:autoSpaceDN w:val="0"/>
      <w:adjustRightInd w:val="0"/>
      <w:jc w:val="left"/>
    </w:pPr>
    <w:rPr>
      <w:rFonts w:ascii="Calibri" w:hAnsi="Calibri" w:cs="宋体"/>
      <w:color w:val="000000"/>
      <w:sz w:val="24"/>
      <w:szCs w:val="24"/>
    </w:rPr>
  </w:style>
  <w:style w:type="paragraph" w:customStyle="1" w:styleId="91">
    <w:name w:val="正文_14_0_0_0_0"/>
    <w:next w:val="90"/>
    <w:qFormat/>
    <w:uiPriority w:val="0"/>
    <w:pPr>
      <w:widowControl w:val="0"/>
      <w:jc w:val="both"/>
    </w:pPr>
    <w:rPr>
      <w:rFonts w:ascii="Calibri" w:hAnsi="Calibri" w:eastAsia="宋体" w:cs="Times New Roman"/>
      <w:kern w:val="2"/>
      <w:sz w:val="21"/>
      <w:szCs w:val="22"/>
      <w:lang w:eastAsia="en-US"/>
    </w:rPr>
  </w:style>
  <w:style w:type="paragraph" w:customStyle="1" w:styleId="92">
    <w:name w:val="Default_1_1_1"/>
    <w:basedOn w:val="85"/>
    <w:next w:val="83"/>
    <w:qFormat/>
    <w:uiPriority w:val="0"/>
    <w:pPr>
      <w:autoSpaceDE w:val="0"/>
      <w:autoSpaceDN w:val="0"/>
      <w:adjustRightInd w:val="0"/>
      <w:jc w:val="left"/>
    </w:pPr>
    <w:rPr>
      <w:rFonts w:ascii="Calibri" w:hAnsi="Calibri" w:cs="宋体"/>
      <w:color w:val="000000"/>
      <w:sz w:val="24"/>
      <w:szCs w:val="24"/>
    </w:rPr>
  </w:style>
  <w:style w:type="paragraph" w:customStyle="1" w:styleId="93">
    <w:name w:val="正文_14_0_0_0"/>
    <w:next w:val="82"/>
    <w:qFormat/>
    <w:uiPriority w:val="0"/>
    <w:pPr>
      <w:widowControl w:val="0"/>
      <w:jc w:val="both"/>
    </w:pPr>
    <w:rPr>
      <w:rFonts w:ascii="Calibri" w:hAnsi="Calibri" w:eastAsia="宋体" w:cs="Times New Roman"/>
      <w:kern w:val="2"/>
      <w:sz w:val="21"/>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85</Pages>
  <Words>8106</Words>
  <Characters>8947</Characters>
  <Lines>257</Lines>
  <Paragraphs>72</Paragraphs>
  <TotalTime>35</TotalTime>
  <ScaleCrop>false</ScaleCrop>
  <LinksUpToDate>false</LinksUpToDate>
  <CharactersWithSpaces>9231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2024-03-12T06:28:00Z</dcterms:created>
  <dc:creator>微软用户</dc:creator>
  <cp:lastModifiedBy>刘亚</cp:lastModifiedBy>
  <cp:lastPrinted>2020-07-20T15:54:00Z</cp:lastPrinted>
  <dcterms:modified xsi:type="dcterms:W3CDTF">2026-08-04T07:39:35Z</dcterms:modified>
  <dc:title>目   录</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7A2607492A704070BF9F7343A12BDEDB_13</vt:lpwstr>
  </property>
  <property fmtid="{D5CDD505-2E9C-101B-9397-08002B2CF9AE}" pid="4" name="KSOTemplateDocerSaveRecord">
    <vt:lpwstr>eyJoZGlkIjoiODVmN2VmMmZjOGU4OGVhMTBlYmNhYWQ1NTc2NjRkYmEiLCJ1c2VySWQiOiIzNTA5NDMxNTEifQ==</vt:lpwstr>
  </property>
</Properties>
</file>