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F6911">
      <w:pPr>
        <w:pStyle w:val="2"/>
        <w:jc w:val="center"/>
      </w:pPr>
      <w:r>
        <w:rPr>
          <w:rFonts w:hint="eastAsia"/>
          <w:lang w:eastAsia="zh-CN"/>
        </w:rPr>
        <w:t xml:space="preserve">64排 </w:t>
      </w:r>
      <w:r>
        <w:t>球管单一来源采购的理由</w:t>
      </w:r>
    </w:p>
    <w:p w14:paraId="64EEA563">
      <w:pPr>
        <w:pStyle w:val="3"/>
        <w:rPr>
          <w:sz w:val="24"/>
          <w:szCs w:val="24"/>
        </w:rPr>
      </w:pPr>
      <w:r>
        <w:rPr>
          <w:sz w:val="24"/>
          <w:szCs w:val="24"/>
        </w:rPr>
        <w:t>一、球管与设备的精准匹配性</w:t>
      </w:r>
    </w:p>
    <w:p w14:paraId="324BBC9A">
      <w:pPr>
        <w:pStyle w:val="16"/>
        <w:ind w:firstLine="440" w:firstLineChars="200"/>
        <w:rPr>
          <w:rFonts w:hint="eastAsia"/>
        </w:rPr>
      </w:pPr>
      <w:r>
        <w:rPr>
          <w:rFonts w:hint="eastAsia"/>
        </w:rPr>
        <w:t xml:space="preserve">GE </w:t>
      </w:r>
      <w:r>
        <w:t>Revolution ACE</w:t>
      </w:r>
      <w:r>
        <w:rPr>
          <w:rFonts w:hint="eastAsia"/>
        </w:rPr>
        <w:t xml:space="preserve"> CT 作为一款高端的 CT 设备，其球管是影像链中的关键部件，与设备的准直器、探测器、高压发生器及计算机图像处理系统之间需达成完美匹配，才能实现强大的临床应用功能。</w:t>
      </w:r>
    </w:p>
    <w:p w14:paraId="1E8F4088">
      <w:pPr>
        <w:pStyle w:val="16"/>
        <w:ind w:firstLine="440" w:firstLineChars="200"/>
        <w:rPr>
          <w:rFonts w:hint="eastAsia"/>
        </w:rPr>
      </w:pPr>
      <w:r>
        <w:rPr>
          <w:rFonts w:hint="eastAsia"/>
        </w:rPr>
        <w:t>GE 原厂认证的球管均经过与该医疗设备严格的匹配性测试，能够确保质量和使用安全性。第三方球管</w:t>
      </w:r>
      <w:r>
        <w:rPr>
          <w:rFonts w:hint="eastAsia"/>
          <w:lang w:eastAsia="zh-CN"/>
        </w:rPr>
        <w:t>，</w:t>
      </w:r>
      <w:bookmarkStart w:id="0" w:name="_GoBack"/>
      <w:bookmarkEnd w:id="0"/>
      <w:r>
        <w:rPr>
          <w:rFonts w:hint="eastAsia"/>
        </w:rPr>
        <w:t xml:space="preserve">未经原厂认证的球管，未在 GE </w:t>
      </w:r>
      <w:r>
        <w:t>Revolution ACE</w:t>
      </w:r>
      <w:r>
        <w:rPr>
          <w:rFonts w:hint="eastAsia"/>
        </w:rPr>
        <w:t xml:space="preserve"> CT 上进行匹配性测试，也未取得食品药品监督管理部门颁发的整机注册证，无法证明其与整机的匹配程度，极有可能给设备带来安全隐患，直接影响设备的正常运行以及影像的质量，进而对临床诊断造成干扰。</w:t>
      </w:r>
    </w:p>
    <w:p w14:paraId="7DB0F1DF">
      <w:pPr>
        <w:pStyle w:val="16"/>
        <w:ind w:firstLine="440" w:firstLineChars="200"/>
        <w:rPr>
          <w:rFonts w:hint="eastAsia"/>
        </w:rPr>
      </w:pPr>
      <w:r>
        <w:rPr>
          <w:rFonts w:hint="eastAsia"/>
        </w:rPr>
        <w:t>在临床功能上，第三方球管</w:t>
      </w:r>
      <w:r>
        <w:rPr>
          <w:rFonts w:hint="eastAsia"/>
          <w:lang w:eastAsia="zh-CN"/>
        </w:rPr>
        <w:t>，</w:t>
      </w:r>
      <w:r>
        <w:rPr>
          <w:rFonts w:hint="eastAsia"/>
        </w:rPr>
        <w:t>由于未经过整机匹配测试，高级功能无法正常使用。贵州省印江县中医院采购国产兼容球管后出现无法持续扫描病人、高级功能无法正常使用等问题，重新采购成GE原装球管。</w:t>
      </w:r>
    </w:p>
    <w:p w14:paraId="083BFF90">
      <w:pPr>
        <w:pStyle w:val="16"/>
        <w:rPr>
          <w:b/>
          <w:bCs/>
          <w:sz w:val="32"/>
          <w:szCs w:val="32"/>
        </w:rPr>
      </w:pPr>
      <w:r>
        <w:rPr>
          <w:b/>
          <w:bCs/>
          <w:sz w:val="24"/>
          <w:szCs w:val="24"/>
        </w:rPr>
        <w:t>二、医疗器械法规遵循</w:t>
      </w:r>
    </w:p>
    <w:p w14:paraId="00C7DB0F">
      <w:pPr>
        <w:pStyle w:val="16"/>
        <w:ind w:firstLine="440" w:firstLineChars="200"/>
      </w:pPr>
      <w:r>
        <w:rPr>
          <w:rFonts w:hint="eastAsia"/>
        </w:rPr>
        <w:t xml:space="preserve">依据医疗器械监管法规，医疗器械的结构及组成等注册证内容若发生变化，必须申请注册变更。任何国产球管均未在国家食品药品监督管理局进行该设备整机注册变更，在 GE </w:t>
      </w:r>
      <w:r>
        <w:t>Revolution ACE</w:t>
      </w:r>
      <w:r>
        <w:rPr>
          <w:rFonts w:hint="eastAsia"/>
        </w:rPr>
        <w:t xml:space="preserve"> CT 设备上安装和使用非原厂注册认证球管，将直导致设备整机的组成状态与注册证内容出现偏离，这种偏离会让设备用户整机注册证失效，面临使用无证医疗器械的风险，一旦发生医疗纠纷或监管部门检查，医院将处于被动局面，面临法律责任和处罚。因此，为严格遵循法规要求，保障医疗活动合法合规开展，应采购与设备整机注册证匹配的原厂球管。</w:t>
      </w:r>
    </w:p>
    <w:p w14:paraId="0E2B7437">
      <w:pPr>
        <w:pStyle w:val="3"/>
        <w:rPr>
          <w:sz w:val="24"/>
          <w:szCs w:val="24"/>
        </w:rPr>
      </w:pPr>
      <w:r>
        <w:rPr>
          <w:rFonts w:hint="eastAsia"/>
          <w:sz w:val="24"/>
          <w:szCs w:val="24"/>
        </w:rPr>
        <w:t>三</w:t>
      </w:r>
      <w:r>
        <w:rPr>
          <w:sz w:val="24"/>
          <w:szCs w:val="24"/>
        </w:rPr>
        <w:t>、保障临床工作的连续性</w:t>
      </w:r>
    </w:p>
    <w:p w14:paraId="34162A70">
      <w:pPr>
        <w:pStyle w:val="16"/>
        <w:ind w:firstLine="440" w:firstLineChars="200"/>
      </w:pPr>
      <w:r>
        <w:t>CT 设备在医院的临床诊疗工作中扮演着不可或缺的角色，其正常运行直接关系到患者的诊断效率和准确性。若球管出现故障而不能及时得到专业、有效的维修和更换，将导致大量患者检查积压，严重影响医院的日常医疗秩序。GE 原厂及其授权供应商具备专业的技术团队和充足的</w:t>
      </w:r>
      <w:r>
        <w:rPr>
          <w:rFonts w:hint="eastAsia"/>
        </w:rPr>
        <w:t>球管</w:t>
      </w:r>
      <w:r>
        <w:t>储备，能够在球管出现问题时迅速响应，以最快速度完成更换工作，最大程度保障临床工作的连续性，减少对患者就医的影响。</w:t>
      </w:r>
    </w:p>
    <w:p w14:paraId="73C75B4C">
      <w:pPr>
        <w:pStyle w:val="16"/>
        <w:ind w:firstLine="440" w:firstLineChars="200"/>
        <w:rPr>
          <w:rFonts w:hint="eastAsia"/>
        </w:rPr>
      </w:pPr>
      <w:r>
        <w:t>综上所述，为确保 GE Revolution ACE</w:t>
      </w:r>
      <w:r>
        <w:rPr>
          <w:rFonts w:hint="eastAsia"/>
        </w:rPr>
        <w:t xml:space="preserve"> CT</w:t>
      </w:r>
      <w:r>
        <w:t>设备的正常运行、保障医疗安全、遵循法规要求以及满足临床工作的高要求，从 GE 授权供应商处单一来源采购球管是目前最为合理且必要的选择。</w:t>
      </w:r>
    </w:p>
    <w:p w14:paraId="42065E95">
      <w:pPr>
        <w:pStyle w:val="16"/>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等线">
    <w:altName w:val="DengXian"/>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0">
    <w:name w:val="Default Paragraph Font"/>
    <w:unhideWhenUsed/>
    <w:uiPriority w:val="1"/>
  </w:style>
  <w:style w:type="table" w:default="1" w:styleId="13">
    <w:name w:val="Normal Table"/>
    <w:unhideWhenUsed/>
    <w:uiPriority w:val="99"/>
    <w:tblPr>
      <w:tblLayout w:type="fixed"/>
      <w:tblCellMar>
        <w:top w:w="0" w:type="dxa"/>
        <w:left w:w="108" w:type="dxa"/>
        <w:bottom w:w="0" w:type="dxa"/>
        <w:right w:w="108" w:type="dxa"/>
      </w:tblCellMar>
    </w:tblPr>
  </w:style>
  <w:style w:type="paragraph" w:styleId="8">
    <w:name w:val="footnote text"/>
    <w:link w:val="15"/>
    <w:unhideWhenUsed/>
    <w:qFormat/>
    <w:uiPriority w:val="99"/>
    <w:rPr>
      <w:rFonts w:asciiTheme="minorHAnsi" w:hAnsiTheme="minorHAnsi" w:eastAsiaTheme="minorEastAsia" w:cstheme="minorBidi"/>
      <w:lang w:val="en-US" w:eastAsia="zh-CN" w:bidi="ar-SA"/>
    </w:rPr>
  </w:style>
  <w:style w:type="paragraph" w:styleId="9">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1">
    <w:name w:val="Hyperlink"/>
    <w:unhideWhenUsed/>
    <w:qFormat/>
    <w:uiPriority w:val="99"/>
    <w:rPr>
      <w:color w:val="0563C1"/>
      <w:u w:val="single"/>
    </w:rPr>
  </w:style>
  <w:style w:type="character" w:styleId="12">
    <w:name w:val="footnote reference"/>
    <w:unhideWhenUsed/>
    <w:qFormat/>
    <w:uiPriority w:val="99"/>
    <w:rPr>
      <w:vertAlign w:val="superscript"/>
    </w:rPr>
  </w:style>
  <w:style w:type="paragraph" w:customStyle="1" w:styleId="14">
    <w:name w:val="List Paragraph"/>
    <w:qFormat/>
    <w:uiPriority w:val="0"/>
    <w:rPr>
      <w:rFonts w:asciiTheme="minorHAnsi" w:hAnsiTheme="minorHAnsi" w:eastAsiaTheme="minorEastAsia" w:cstheme="minorBidi"/>
      <w:sz w:val="21"/>
      <w:szCs w:val="22"/>
      <w:lang w:val="en-US" w:eastAsia="zh-CN" w:bidi="ar-SA"/>
    </w:rPr>
  </w:style>
  <w:style w:type="character" w:customStyle="1" w:styleId="15">
    <w:name w:val="脚注文本 字符"/>
    <w:link w:val="8"/>
    <w:unhideWhenUsed/>
    <w:qFormat/>
    <w:uiPriority w:val="99"/>
    <w:rPr>
      <w:sz w:val="20"/>
      <w:szCs w:val="20"/>
    </w:rPr>
  </w:style>
  <w:style w:type="paragraph" w:customStyle="1" w:styleId="16">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7">
    <w:name w:val="_Style 14"/>
    <w:qFormat/>
    <w:uiPriority w:val="0"/>
    <w:pPr>
      <w:spacing w:before="120" w:after="120" w:line="288" w:lineRule="auto"/>
    </w:pPr>
    <w:rPr>
      <w:rFonts w:ascii="Arial" w:hAnsi="Arial" w:eastAsia="等线" w:cs="Arial"/>
      <w:color w:val="8F959E"/>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474</Words>
  <Characters>509</Characters>
  <Lines>20</Lines>
  <Paragraphs>12</Paragraphs>
  <ScaleCrop>false</ScaleCrop>
  <LinksUpToDate>false</LinksUpToDate>
  <CharactersWithSpaces>971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2026-01-07T19:03:00Z</dcterms:created>
  <dc:creator>Un-named</dc:creator>
  <cp:lastModifiedBy>iPhone</cp:lastModifiedBy>
  <dcterms:modified xsi:type="dcterms:W3CDTF">2026-08-04T17:29:41Z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eyJoZGlkIjoiYWMxNTgzZDJlMGFlYWU1NzBlNjFiYzU0NDkyYTUyYjUiLCJ1c2VySWQiOiIzNTA3NjE2MDMifQ==</vt:lpwstr>
  </property>
  <property fmtid="{D5CDD505-2E9C-101B-9397-08002B2CF9AE}" pid="3" name="KSOProductBuildVer">
    <vt:lpwstr>2052-26.7.0</vt:lpwstr>
  </property>
  <property fmtid="{D5CDD505-2E9C-101B-9397-08002B2CF9AE}" pid="4" name="ICV">
    <vt:lpwstr>363BDAD66F3A4B07A80F295755814300_13</vt:lpwstr>
  </property>
</Properties>
</file>