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34FDC">
      <w:pPr>
        <w:bidi w:val="0"/>
        <w:rPr>
          <w:rFonts w:hint="eastAsia"/>
          <w:highlight w:val="none"/>
        </w:rPr>
      </w:pPr>
    </w:p>
    <w:p w14:paraId="66AAAF29">
      <w:pPr>
        <w:pStyle w:val="25"/>
        <w:rPr>
          <w:rFonts w:hint="eastAsia"/>
          <w:highlight w:val="none"/>
        </w:rPr>
      </w:pPr>
    </w:p>
    <w:p w14:paraId="3998274D">
      <w:pPr>
        <w:tabs>
          <w:tab w:val="left" w:pos="420"/>
        </w:tabs>
        <w:spacing w:line="1700" w:lineRule="exact"/>
        <w:jc w:val="center"/>
        <w:rPr>
          <w:rFonts w:hint="eastAsia" w:ascii="宋体" w:hAnsi="宋体" w:eastAsia="宋体" w:cs="宋体"/>
          <w:b w:val="0"/>
          <w:bCs w:val="0"/>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10A4E8A">
      <w:pPr>
        <w:tabs>
          <w:tab w:val="left" w:pos="315"/>
          <w:tab w:val="left" w:pos="8820"/>
        </w:tabs>
        <w:spacing w:line="500" w:lineRule="exact"/>
        <w:ind w:right="267" w:rightChars="127"/>
        <w:jc w:val="center"/>
        <w:rPr>
          <w:rFonts w:hint="eastAsia" w:ascii="宋体" w:hAnsi="宋体" w:eastAsia="宋体" w:cs="宋体"/>
          <w:b w:val="0"/>
          <w:bCs w:val="0"/>
          <w:color w:val="000000"/>
          <w:sz w:val="48"/>
          <w:highlight w:val="none"/>
        </w:rPr>
      </w:pPr>
    </w:p>
    <w:p w14:paraId="1C3EAF41">
      <w:pPr>
        <w:tabs>
          <w:tab w:val="left" w:pos="315"/>
          <w:tab w:val="left" w:pos="8820"/>
        </w:tabs>
        <w:spacing w:line="500" w:lineRule="exact"/>
        <w:ind w:right="267" w:rightChars="127"/>
        <w:jc w:val="center"/>
        <w:rPr>
          <w:rFonts w:hint="eastAsia" w:ascii="宋体" w:hAnsi="宋体" w:eastAsia="宋体" w:cs="宋体"/>
          <w:b w:val="0"/>
          <w:bCs w:val="0"/>
          <w:color w:val="000000"/>
          <w:sz w:val="52"/>
          <w:highlight w:val="none"/>
        </w:rPr>
      </w:pPr>
    </w:p>
    <w:p w14:paraId="18EF2314">
      <w:pPr>
        <w:tabs>
          <w:tab w:val="left" w:pos="315"/>
          <w:tab w:val="left" w:pos="8820"/>
        </w:tabs>
        <w:spacing w:line="500" w:lineRule="exact"/>
        <w:ind w:right="267" w:rightChars="127"/>
        <w:jc w:val="center"/>
        <w:rPr>
          <w:rFonts w:hint="eastAsia" w:ascii="宋体" w:hAnsi="宋体" w:eastAsia="宋体" w:cs="宋体"/>
          <w:b w:val="0"/>
          <w:bCs w:val="0"/>
          <w:color w:val="000000"/>
          <w:sz w:val="52"/>
          <w:highlight w:val="none"/>
        </w:rPr>
      </w:pPr>
      <w:r>
        <w:rPr>
          <w:rFonts w:hint="eastAsia" w:ascii="宋体" w:hAnsi="宋体" w:eastAsia="宋体" w:cs="宋体"/>
          <w:b w:val="0"/>
          <w:bCs w:val="0"/>
          <w:color w:val="000000"/>
          <w:sz w:val="52"/>
          <w:highlight w:val="none"/>
        </w:rPr>
        <w:t>政 府 采 购 招 标 文 件</w:t>
      </w:r>
    </w:p>
    <w:p w14:paraId="7821FDDC">
      <w:pPr>
        <w:tabs>
          <w:tab w:val="left" w:pos="315"/>
          <w:tab w:val="left" w:pos="8820"/>
        </w:tabs>
        <w:spacing w:line="500" w:lineRule="exact"/>
        <w:ind w:right="267" w:rightChars="127"/>
        <w:jc w:val="center"/>
        <w:rPr>
          <w:rFonts w:hint="eastAsia" w:ascii="宋体" w:hAnsi="宋体" w:eastAsia="宋体" w:cs="宋体"/>
          <w:b w:val="0"/>
          <w:bCs w:val="0"/>
          <w:color w:val="000000"/>
          <w:sz w:val="44"/>
          <w:highlight w:val="none"/>
        </w:rPr>
      </w:pPr>
    </w:p>
    <w:p w14:paraId="577934BB">
      <w:pPr>
        <w:tabs>
          <w:tab w:val="left" w:pos="315"/>
          <w:tab w:val="left" w:pos="8820"/>
        </w:tabs>
        <w:ind w:right="267" w:rightChars="127"/>
        <w:rPr>
          <w:rFonts w:hint="eastAsia" w:ascii="宋体" w:hAnsi="宋体" w:eastAsia="宋体" w:cs="宋体"/>
          <w:b w:val="0"/>
          <w:bCs w:val="0"/>
          <w:color w:val="000000"/>
          <w:sz w:val="44"/>
          <w:highlight w:val="none"/>
        </w:rPr>
      </w:pPr>
    </w:p>
    <w:p w14:paraId="23497845">
      <w:pPr>
        <w:tabs>
          <w:tab w:val="left" w:pos="315"/>
          <w:tab w:val="left" w:pos="8820"/>
        </w:tabs>
        <w:ind w:right="267" w:rightChars="127"/>
        <w:rPr>
          <w:rFonts w:hint="eastAsia" w:ascii="宋体" w:hAnsi="宋体" w:eastAsia="宋体" w:cs="宋体"/>
          <w:b w:val="0"/>
          <w:bCs w:val="0"/>
          <w:color w:val="000000"/>
          <w:sz w:val="44"/>
          <w:highlight w:val="none"/>
        </w:rPr>
      </w:pPr>
    </w:p>
    <w:p w14:paraId="469BF6A3">
      <w:pPr>
        <w:tabs>
          <w:tab w:val="left" w:pos="315"/>
          <w:tab w:val="left" w:pos="8820"/>
        </w:tabs>
        <w:ind w:right="267" w:rightChars="127"/>
        <w:rPr>
          <w:rFonts w:hint="eastAsia" w:ascii="宋体" w:hAnsi="宋体" w:eastAsia="宋体" w:cs="宋体"/>
          <w:b w:val="0"/>
          <w:bCs w:val="0"/>
          <w:color w:val="000000"/>
          <w:sz w:val="44"/>
          <w:highlight w:val="none"/>
        </w:rPr>
      </w:pPr>
    </w:p>
    <w:p w14:paraId="1471CCE0">
      <w:pPr>
        <w:tabs>
          <w:tab w:val="left" w:pos="315"/>
          <w:tab w:val="left" w:pos="8820"/>
        </w:tabs>
        <w:ind w:right="267" w:rightChars="127"/>
        <w:rPr>
          <w:rFonts w:hint="eastAsia" w:ascii="宋体" w:hAnsi="宋体" w:eastAsia="宋体" w:cs="宋体"/>
          <w:b w:val="0"/>
          <w:bCs w:val="0"/>
          <w:color w:val="000000"/>
          <w:sz w:val="44"/>
          <w:highlight w:val="none"/>
        </w:rPr>
      </w:pPr>
    </w:p>
    <w:p w14:paraId="579B1FC1">
      <w:pPr>
        <w:tabs>
          <w:tab w:val="left" w:pos="315"/>
          <w:tab w:val="left" w:pos="8820"/>
        </w:tabs>
        <w:spacing w:line="500" w:lineRule="exact"/>
        <w:ind w:right="267" w:rightChars="127"/>
        <w:rPr>
          <w:rFonts w:hint="eastAsia" w:ascii="宋体" w:hAnsi="宋体" w:eastAsia="宋体" w:cs="宋体"/>
          <w:b w:val="0"/>
          <w:bCs w:val="0"/>
          <w:sz w:val="36"/>
          <w:highlight w:val="none"/>
        </w:rPr>
      </w:pPr>
    </w:p>
    <w:p w14:paraId="7ECCCC00">
      <w:pPr>
        <w:pStyle w:val="8"/>
        <w:spacing w:line="360" w:lineRule="auto"/>
        <w:ind w:firstLine="640" w:firstLineChars="200"/>
        <w:rPr>
          <w:rFonts w:hint="eastAsia" w:ascii="宋体" w:hAnsi="宋体" w:eastAsia="宋体" w:cs="宋体"/>
          <w:b w:val="0"/>
          <w:bCs w:val="0"/>
          <w:sz w:val="32"/>
          <w:szCs w:val="32"/>
          <w:highlight w:val="none"/>
        </w:rPr>
      </w:pPr>
    </w:p>
    <w:p w14:paraId="7D7E7B97">
      <w:pPr>
        <w:pStyle w:val="8"/>
        <w:spacing w:line="360" w:lineRule="auto"/>
        <w:ind w:firstLine="640" w:firstLineChars="200"/>
        <w:rPr>
          <w:rFonts w:hint="eastAsia" w:ascii="宋体" w:hAnsi="宋体" w:eastAsia="宋体" w:cs="宋体"/>
          <w:b w:val="0"/>
          <w:bCs w:val="0"/>
          <w:sz w:val="32"/>
          <w:szCs w:val="32"/>
          <w:highlight w:val="none"/>
        </w:rPr>
      </w:pPr>
    </w:p>
    <w:p w14:paraId="436DBD79">
      <w:pPr>
        <w:pStyle w:val="8"/>
        <w:spacing w:line="360" w:lineRule="auto"/>
        <w:ind w:firstLine="640" w:firstLineChars="200"/>
        <w:rPr>
          <w:rFonts w:hint="eastAsia" w:ascii="宋体" w:hAnsi="宋体" w:eastAsia="宋体" w:cs="宋体"/>
          <w:b w:val="0"/>
          <w:bCs w:val="0"/>
          <w:sz w:val="32"/>
          <w:szCs w:val="32"/>
          <w:highlight w:val="none"/>
        </w:rPr>
      </w:pPr>
    </w:p>
    <w:p w14:paraId="25BB2BA0">
      <w:pPr>
        <w:pStyle w:val="8"/>
        <w:spacing w:line="360" w:lineRule="auto"/>
        <w:ind w:firstLine="640" w:firstLineChars="200"/>
        <w:rPr>
          <w:rFonts w:hint="eastAsia" w:ascii="宋体" w:hAnsi="宋体" w:eastAsia="宋体" w:cs="宋体"/>
          <w:b w:val="0"/>
          <w:bCs w:val="0"/>
          <w:sz w:val="32"/>
          <w:szCs w:val="32"/>
          <w:highlight w:val="none"/>
        </w:rPr>
      </w:pPr>
    </w:p>
    <w:p w14:paraId="41994ADF">
      <w:pPr>
        <w:pStyle w:val="8"/>
        <w:spacing w:line="360" w:lineRule="auto"/>
        <w:ind w:firstLine="640" w:firstLineChars="200"/>
        <w:rPr>
          <w:rFonts w:hint="eastAsia" w:ascii="宋体" w:hAnsi="宋体" w:eastAsia="宋体" w:cs="宋体"/>
          <w:b w:val="0"/>
          <w:bCs w:val="0"/>
          <w:sz w:val="32"/>
          <w:szCs w:val="32"/>
          <w:highlight w:val="none"/>
        </w:rPr>
      </w:pPr>
    </w:p>
    <w:p w14:paraId="31853B09">
      <w:pPr>
        <w:pStyle w:val="8"/>
        <w:spacing w:line="360" w:lineRule="auto"/>
        <w:ind w:firstLine="640" w:firstLineChars="200"/>
        <w:rPr>
          <w:rFonts w:hint="eastAsia" w:ascii="宋体" w:hAnsi="宋体" w:eastAsia="宋体" w:cs="宋体"/>
          <w:b w:val="0"/>
          <w:bCs w:val="0"/>
          <w:sz w:val="32"/>
          <w:szCs w:val="32"/>
          <w:highlight w:val="none"/>
          <w:lang w:val="en-US" w:eastAsia="zh-CN"/>
        </w:rPr>
      </w:pPr>
      <w:r>
        <w:rPr>
          <w:rFonts w:hint="eastAsia" w:ascii="宋体" w:hAnsi="宋体" w:eastAsia="宋体" w:cs="宋体"/>
          <w:b w:val="0"/>
          <w:bCs w:val="0"/>
          <w:sz w:val="32"/>
          <w:szCs w:val="32"/>
          <w:highlight w:val="none"/>
        </w:rPr>
        <w:t>项目名称</w:t>
      </w:r>
      <w:r>
        <w:rPr>
          <w:rFonts w:hint="eastAsia" w:ascii="宋体" w:hAnsi="宋体" w:eastAsia="宋体" w:cs="宋体"/>
          <w:b w:val="0"/>
          <w:bCs w:val="0"/>
          <w:szCs w:val="28"/>
          <w:highlight w:val="none"/>
        </w:rPr>
        <w:t>：</w:t>
      </w:r>
      <w:r>
        <w:rPr>
          <w:rFonts w:hint="eastAsia" w:ascii="宋体" w:hAnsi="宋体" w:eastAsia="宋体" w:cs="宋体"/>
          <w:b w:val="0"/>
          <w:bCs w:val="0"/>
          <w:sz w:val="32"/>
          <w:szCs w:val="32"/>
          <w:highlight w:val="none"/>
          <w:lang w:val="en-US" w:eastAsia="zh-CN"/>
        </w:rPr>
        <w:t>鹿邑县农业农村局2026年补充耕地质量</w:t>
      </w:r>
    </w:p>
    <w:p w14:paraId="794A56A5">
      <w:pPr>
        <w:pStyle w:val="8"/>
        <w:spacing w:line="360" w:lineRule="auto"/>
        <w:ind w:firstLine="2240" w:firstLineChars="700"/>
        <w:rPr>
          <w:rFonts w:hint="default" w:ascii="宋体" w:hAnsi="宋体" w:eastAsia="宋体" w:cs="宋体"/>
          <w:b w:val="0"/>
          <w:bCs w:val="0"/>
          <w:sz w:val="32"/>
          <w:highlight w:val="none"/>
          <w:lang w:val="en-US" w:eastAsia="zh-CN"/>
        </w:rPr>
      </w:pPr>
      <w:r>
        <w:rPr>
          <w:rFonts w:hint="eastAsia" w:ascii="宋体" w:hAnsi="宋体" w:eastAsia="宋体" w:cs="宋体"/>
          <w:b w:val="0"/>
          <w:bCs w:val="0"/>
          <w:sz w:val="32"/>
          <w:szCs w:val="32"/>
          <w:highlight w:val="none"/>
          <w:lang w:val="en-US" w:eastAsia="zh-CN"/>
        </w:rPr>
        <w:t>鉴定项目</w:t>
      </w:r>
    </w:p>
    <w:p w14:paraId="71F282EC">
      <w:pPr>
        <w:pStyle w:val="8"/>
        <w:spacing w:line="360" w:lineRule="auto"/>
        <w:ind w:firstLine="640" w:firstLineChars="200"/>
        <w:rPr>
          <w:rFonts w:hint="default" w:ascii="宋体" w:hAnsi="宋体" w:eastAsia="宋体" w:cs="宋体"/>
          <w:b w:val="0"/>
          <w:bCs w:val="0"/>
          <w:sz w:val="32"/>
          <w:highlight w:val="none"/>
          <w:lang w:val="en-US" w:eastAsia="zh-CN"/>
        </w:rPr>
      </w:pPr>
      <w:r>
        <w:rPr>
          <w:rFonts w:hint="eastAsia" w:ascii="宋体" w:hAnsi="宋体" w:eastAsia="宋体" w:cs="宋体"/>
          <w:b w:val="0"/>
          <w:bCs w:val="0"/>
          <w:sz w:val="32"/>
          <w:highlight w:val="none"/>
        </w:rPr>
        <w:t>项目编号：</w:t>
      </w:r>
      <w:r>
        <w:rPr>
          <w:rFonts w:hint="eastAsia" w:ascii="宋体" w:hAnsi="宋体" w:eastAsia="宋体" w:cs="宋体"/>
          <w:b w:val="0"/>
          <w:bCs w:val="0"/>
          <w:sz w:val="32"/>
          <w:highlight w:val="none"/>
          <w:lang w:val="en-US" w:eastAsia="zh-CN"/>
        </w:rPr>
        <w:t xml:space="preserve"> 鹿财公开-2026-30     </w:t>
      </w:r>
    </w:p>
    <w:p w14:paraId="724BA333">
      <w:pPr>
        <w:pStyle w:val="8"/>
        <w:rPr>
          <w:rFonts w:hint="eastAsia" w:ascii="宋体" w:hAnsi="宋体" w:eastAsia="宋体" w:cs="宋体"/>
          <w:b w:val="0"/>
          <w:bCs w:val="0"/>
          <w:sz w:val="32"/>
          <w:highlight w:val="none"/>
        </w:rPr>
      </w:pPr>
    </w:p>
    <w:p w14:paraId="3B71840A">
      <w:pPr>
        <w:spacing w:line="360" w:lineRule="auto"/>
        <w:jc w:val="center"/>
        <w:rPr>
          <w:rFonts w:hint="default" w:ascii="宋体" w:hAnsi="宋体" w:eastAsia="宋体" w:cs="宋体"/>
          <w:b w:val="0"/>
          <w:bCs w:val="0"/>
          <w:color w:val="000000"/>
          <w:spacing w:val="-4"/>
          <w:sz w:val="36"/>
          <w:szCs w:val="36"/>
          <w:highlight w:val="none"/>
          <w:lang w:val="en-US" w:eastAsia="zh-CN"/>
        </w:rPr>
      </w:pPr>
      <w:r>
        <w:rPr>
          <w:rFonts w:hint="eastAsia" w:ascii="宋体" w:hAnsi="宋体" w:eastAsia="宋体" w:cs="宋体"/>
          <w:b w:val="0"/>
          <w:bCs w:val="0"/>
          <w:i w:val="0"/>
          <w:iCs w:val="0"/>
          <w:color w:val="000000"/>
          <w:sz w:val="32"/>
          <w:szCs w:val="32"/>
          <w:highlight w:val="none"/>
          <w:shd w:val="clear" w:color="auto" w:fill="FFFFFF"/>
          <w:lang w:val="en-US" w:eastAsia="zh-CN"/>
        </w:rPr>
        <w:t>202</w:t>
      </w:r>
      <w:r>
        <w:rPr>
          <w:rFonts w:hint="eastAsia" w:ascii="宋体" w:hAnsi="宋体" w:cs="宋体"/>
          <w:b w:val="0"/>
          <w:bCs w:val="0"/>
          <w:i w:val="0"/>
          <w:iCs w:val="0"/>
          <w:color w:val="000000"/>
          <w:sz w:val="32"/>
          <w:szCs w:val="32"/>
          <w:highlight w:val="none"/>
          <w:shd w:val="clear" w:color="auto" w:fill="FFFFFF"/>
          <w:lang w:val="en-US" w:eastAsia="zh-CN"/>
        </w:rPr>
        <w:t>6</w:t>
      </w:r>
      <w:r>
        <w:rPr>
          <w:rFonts w:hint="eastAsia" w:ascii="宋体" w:hAnsi="宋体" w:eastAsia="宋体" w:cs="宋体"/>
          <w:b w:val="0"/>
          <w:bCs w:val="0"/>
          <w:i w:val="0"/>
          <w:iCs w:val="0"/>
          <w:color w:val="000000"/>
          <w:spacing w:val="-4"/>
          <w:sz w:val="32"/>
          <w:szCs w:val="32"/>
          <w:highlight w:val="none"/>
        </w:rPr>
        <w:t>年</w:t>
      </w:r>
      <w:r>
        <w:rPr>
          <w:rFonts w:hint="eastAsia" w:ascii="宋体" w:hAnsi="宋体" w:cs="宋体"/>
          <w:b w:val="0"/>
          <w:bCs w:val="0"/>
          <w:i w:val="0"/>
          <w:iCs w:val="0"/>
          <w:color w:val="000000"/>
          <w:sz w:val="32"/>
          <w:szCs w:val="32"/>
          <w:highlight w:val="none"/>
          <w:shd w:val="clear" w:color="auto" w:fill="FFFFFF"/>
          <w:lang w:val="en-US" w:eastAsia="zh-CN"/>
        </w:rPr>
        <w:t xml:space="preserve"> 9</w:t>
      </w:r>
      <w:r>
        <w:rPr>
          <w:rFonts w:hint="eastAsia" w:ascii="宋体" w:hAnsi="宋体" w:eastAsia="宋体" w:cs="宋体"/>
          <w:b w:val="0"/>
          <w:bCs w:val="0"/>
          <w:i w:val="0"/>
          <w:iCs w:val="0"/>
          <w:color w:val="000000"/>
          <w:spacing w:val="-4"/>
          <w:sz w:val="32"/>
          <w:szCs w:val="32"/>
          <w:highlight w:val="none"/>
        </w:rPr>
        <w:t>月</w:t>
      </w:r>
      <w:r>
        <w:rPr>
          <w:rFonts w:hint="eastAsia" w:ascii="宋体" w:hAnsi="宋体" w:cs="宋体"/>
          <w:b w:val="0"/>
          <w:bCs w:val="0"/>
          <w:i w:val="0"/>
          <w:iCs w:val="0"/>
          <w:color w:val="000000"/>
          <w:spacing w:val="-4"/>
          <w:sz w:val="32"/>
          <w:szCs w:val="32"/>
          <w:highlight w:val="none"/>
          <w:lang w:val="en-US" w:eastAsia="zh-CN"/>
        </w:rPr>
        <w:t>15</w:t>
      </w:r>
      <w:bookmarkStart w:id="202" w:name="_GoBack"/>
      <w:bookmarkEnd w:id="202"/>
      <w:r>
        <w:rPr>
          <w:rFonts w:hint="eastAsia" w:ascii="宋体" w:hAnsi="宋体" w:cs="宋体"/>
          <w:b w:val="0"/>
          <w:bCs w:val="0"/>
          <w:i w:val="0"/>
          <w:iCs w:val="0"/>
          <w:color w:val="000000"/>
          <w:spacing w:val="-4"/>
          <w:sz w:val="32"/>
          <w:szCs w:val="32"/>
          <w:highlight w:val="none"/>
          <w:lang w:val="en-US" w:eastAsia="zh-CN"/>
        </w:rPr>
        <w:t>日</w:t>
      </w:r>
    </w:p>
    <w:p w14:paraId="1B74BEB5">
      <w:pPr>
        <w:pStyle w:val="8"/>
        <w:jc w:val="center"/>
        <w:rPr>
          <w:rFonts w:hint="eastAsia" w:ascii="宋体" w:hAnsi="宋体" w:eastAsia="宋体" w:cs="宋体"/>
          <w:b w:val="0"/>
          <w:bCs w:val="0"/>
          <w:highlight w:val="none"/>
        </w:rPr>
      </w:pPr>
    </w:p>
    <w:p w14:paraId="4DDD0E8E">
      <w:pPr>
        <w:pStyle w:val="8"/>
        <w:jc w:val="center"/>
        <w:rPr>
          <w:rFonts w:hint="eastAsia" w:ascii="宋体" w:hAnsi="宋体" w:eastAsia="宋体" w:cs="宋体"/>
          <w:b w:val="0"/>
          <w:bCs w:val="0"/>
          <w:highlight w:val="none"/>
        </w:rPr>
      </w:pPr>
    </w:p>
    <w:p w14:paraId="21C0C194">
      <w:pPr>
        <w:pStyle w:val="8"/>
        <w:jc w:val="both"/>
        <w:rPr>
          <w:rFonts w:hint="eastAsia" w:ascii="宋体" w:hAnsi="宋体" w:eastAsia="宋体" w:cs="宋体"/>
          <w:highlight w:val="none"/>
        </w:rPr>
      </w:pPr>
    </w:p>
    <w:p w14:paraId="08194901">
      <w:pPr>
        <w:tabs>
          <w:tab w:val="left" w:pos="4620"/>
        </w:tabs>
        <w:spacing w:line="500" w:lineRule="exact"/>
        <w:jc w:val="center"/>
        <w:rPr>
          <w:rFonts w:hint="eastAsia" w:ascii="宋体" w:hAnsi="宋体" w:eastAsia="宋体" w:cs="宋体"/>
          <w:b/>
          <w:sz w:val="32"/>
          <w:highlight w:val="none"/>
        </w:rPr>
      </w:pPr>
      <w:r>
        <w:rPr>
          <w:rFonts w:hint="eastAsia" w:ascii="宋体" w:hAnsi="宋体" w:eastAsia="宋体" w:cs="宋体"/>
          <w:b/>
          <w:sz w:val="32"/>
          <w:highlight w:val="none"/>
        </w:rPr>
        <w:t>目  录</w:t>
      </w:r>
    </w:p>
    <w:p w14:paraId="6D35CA15">
      <w:pPr>
        <w:pStyle w:val="16"/>
        <w:tabs>
          <w:tab w:val="right" w:leader="dot" w:pos="8390"/>
        </w:tabs>
        <w:jc w:val="left"/>
        <w:rPr>
          <w:rFonts w:hint="eastAsia" w:ascii="宋体" w:hAnsi="宋体" w:eastAsia="宋体" w:cs="宋体"/>
          <w:bCs/>
          <w:caps/>
          <w:smallCaps/>
          <w:sz w:val="32"/>
          <w:szCs w:val="32"/>
          <w:highlight w:val="none"/>
        </w:rPr>
      </w:pPr>
      <w:bookmarkStart w:id="0" w:name="_Hlt526418134"/>
      <w:bookmarkEnd w:id="0"/>
      <w:bookmarkStart w:id="1" w:name="_Hlt533241375"/>
      <w:bookmarkEnd w:id="1"/>
      <w:bookmarkStart w:id="2" w:name="_Hlt519045295"/>
      <w:bookmarkEnd w:id="2"/>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TOC \o "1-3" \h \z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_Toc20608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第一章  招标公告</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_Toc20608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3</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51803417">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_Toc8586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 xml:space="preserve">第二章 </w:t>
      </w:r>
      <w:r>
        <w:rPr>
          <w:rFonts w:hint="eastAsia" w:ascii="宋体" w:hAnsi="宋体" w:cs="宋体"/>
          <w:bCs/>
          <w:caps/>
          <w:smallCaps/>
          <w:sz w:val="32"/>
          <w:szCs w:val="32"/>
          <w:highlight w:val="none"/>
          <w:lang w:eastAsia="zh-CN"/>
        </w:rPr>
        <w:t>供应商</w:t>
      </w:r>
      <w:r>
        <w:rPr>
          <w:rFonts w:hint="eastAsia" w:ascii="宋体" w:hAnsi="宋体" w:eastAsia="宋体" w:cs="宋体"/>
          <w:bCs/>
          <w:caps/>
          <w:smallCaps/>
          <w:sz w:val="32"/>
          <w:szCs w:val="32"/>
          <w:highlight w:val="none"/>
        </w:rPr>
        <w:t>须知前附表</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_Toc8586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6</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24B97C46">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_Toc22493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第三章</w:t>
      </w:r>
      <w:r>
        <w:rPr>
          <w:rFonts w:hint="eastAsia" w:ascii="宋体" w:hAnsi="宋体" w:eastAsia="宋体" w:cs="宋体"/>
          <w:bCs/>
          <w:caps/>
          <w:smallCaps/>
          <w:sz w:val="32"/>
          <w:szCs w:val="32"/>
          <w:highlight w:val="none"/>
          <w:lang w:eastAsia="zh-CN"/>
        </w:rPr>
        <w:t xml:space="preserve">  </w:t>
      </w:r>
      <w:r>
        <w:rPr>
          <w:rFonts w:hint="eastAsia" w:ascii="宋体" w:hAnsi="宋体" w:eastAsia="宋体" w:cs="宋体"/>
          <w:bCs/>
          <w:caps/>
          <w:smallCaps/>
          <w:sz w:val="32"/>
          <w:szCs w:val="32"/>
          <w:highlight w:val="none"/>
        </w:rPr>
        <w:t>需求一览表</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_Toc22493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8</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76F4CEB1">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_Toc2172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第四章 评标办法</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_Toc2172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11</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08CF68AC">
      <w:pPr>
        <w:pStyle w:val="16"/>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_Toc20612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 xml:space="preserve">第五章 </w:t>
      </w:r>
      <w:r>
        <w:rPr>
          <w:rFonts w:hint="eastAsia" w:ascii="宋体" w:hAnsi="宋体" w:cs="宋体"/>
          <w:bCs/>
          <w:caps/>
          <w:smallCaps/>
          <w:sz w:val="32"/>
          <w:szCs w:val="32"/>
          <w:highlight w:val="none"/>
          <w:lang w:eastAsia="zh-CN"/>
        </w:rPr>
        <w:t>供应商</w:t>
      </w:r>
      <w:r>
        <w:rPr>
          <w:rFonts w:hint="eastAsia" w:ascii="宋体" w:hAnsi="宋体" w:eastAsia="宋体" w:cs="宋体"/>
          <w:bCs/>
          <w:caps/>
          <w:smallCaps/>
          <w:sz w:val="32"/>
          <w:szCs w:val="32"/>
          <w:highlight w:val="none"/>
        </w:rPr>
        <w:t>须知</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_Toc20612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1</w:t>
      </w:r>
      <w:r>
        <w:rPr>
          <w:rFonts w:hint="eastAsia" w:ascii="宋体" w:hAnsi="宋体" w:cs="宋体"/>
          <w:bCs/>
          <w:caps/>
          <w:smallCaps/>
          <w:sz w:val="32"/>
          <w:szCs w:val="32"/>
          <w:highlight w:val="none"/>
          <w:lang w:val="en-US" w:eastAsia="zh-CN"/>
        </w:rPr>
        <w:t>8</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0B2553C3">
      <w:pPr>
        <w:pStyle w:val="16"/>
        <w:tabs>
          <w:tab w:val="right" w:leader="dot" w:pos="8390"/>
        </w:tabs>
        <w:jc w:val="left"/>
        <w:rPr>
          <w:rFonts w:hint="default"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_Toc13590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lang w:val="en-US"/>
        </w:rPr>
        <w:t>第六章 周口市政府采购合同（</w:t>
      </w:r>
      <w:r>
        <w:rPr>
          <w:rFonts w:hint="eastAsia" w:ascii="宋体" w:hAnsi="宋体" w:eastAsia="宋体" w:cs="宋体"/>
          <w:bCs/>
          <w:caps/>
          <w:smallCaps/>
          <w:sz w:val="32"/>
          <w:szCs w:val="32"/>
          <w:highlight w:val="none"/>
          <w:lang w:val="en-US" w:eastAsia="zh-CN"/>
        </w:rPr>
        <w:t>服务</w:t>
      </w:r>
      <w:r>
        <w:rPr>
          <w:rFonts w:hint="eastAsia" w:ascii="宋体" w:hAnsi="宋体" w:eastAsia="宋体" w:cs="宋体"/>
          <w:bCs/>
          <w:caps/>
          <w:smallCaps/>
          <w:sz w:val="32"/>
          <w:szCs w:val="32"/>
          <w:highlight w:val="none"/>
          <w:lang w:val="en-US"/>
        </w:rPr>
        <w:t>类）标准文本</w:t>
      </w:r>
      <w:r>
        <w:rPr>
          <w:rFonts w:hint="eastAsia" w:ascii="宋体" w:hAnsi="宋体" w:eastAsia="宋体" w:cs="宋体"/>
          <w:bCs/>
          <w:caps/>
          <w:smallCaps/>
          <w:sz w:val="32"/>
          <w:szCs w:val="32"/>
          <w:highlight w:val="none"/>
          <w:lang w:val="en-US" w:eastAsia="zh-CN"/>
        </w:rPr>
        <w:t>、</w:t>
      </w:r>
      <w:r>
        <w:rPr>
          <w:rFonts w:hint="eastAsia" w:ascii="宋体" w:hAnsi="宋体" w:eastAsia="宋体" w:cs="宋体"/>
          <w:bCs/>
          <w:caps/>
          <w:smallCaps/>
          <w:sz w:val="32"/>
          <w:szCs w:val="32"/>
          <w:highlight w:val="none"/>
        </w:rPr>
        <w:t>合同签订指引</w:t>
      </w:r>
      <w:r>
        <w:rPr>
          <w:rFonts w:hint="eastAsia" w:ascii="宋体" w:hAnsi="宋体" w:eastAsia="宋体" w:cs="宋体"/>
          <w:bCs/>
          <w:caps/>
          <w:smallCaps/>
          <w:sz w:val="32"/>
          <w:szCs w:val="32"/>
          <w:highlight w:val="none"/>
          <w:lang w:eastAsia="zh-CN"/>
        </w:rPr>
        <w:t>、</w:t>
      </w:r>
      <w:r>
        <w:rPr>
          <w:rFonts w:hint="eastAsia" w:ascii="宋体" w:hAnsi="宋体" w:eastAsia="宋体" w:cs="宋体"/>
          <w:bCs/>
          <w:caps/>
          <w:smallCaps/>
          <w:sz w:val="32"/>
          <w:szCs w:val="32"/>
          <w:highlight w:val="none"/>
        </w:rPr>
        <w:t>供应商履约验收指引</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31</w:t>
      </w:r>
    </w:p>
    <w:p w14:paraId="6F72B5E3">
      <w:pPr>
        <w:pStyle w:val="16"/>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_Toc30673 </w:instrText>
      </w:r>
      <w:r>
        <w:rPr>
          <w:rFonts w:hint="eastAsia" w:ascii="宋体" w:hAnsi="宋体" w:eastAsia="宋体" w:cs="宋体"/>
          <w:bCs/>
          <w:caps/>
          <w:smallCaps/>
          <w:sz w:val="32"/>
          <w:szCs w:val="32"/>
          <w:highlight w:val="none"/>
        </w:rPr>
        <w:fldChar w:fldCharType="separate"/>
      </w:r>
      <w:r>
        <w:rPr>
          <w:rFonts w:hint="eastAsia" w:ascii="宋体" w:hAnsi="宋体" w:cs="宋体"/>
          <w:bCs/>
          <w:caps/>
          <w:smallCaps/>
          <w:sz w:val="32"/>
          <w:szCs w:val="32"/>
          <w:highlight w:val="none"/>
          <w:lang w:val="en-US" w:eastAsia="zh-CN"/>
        </w:rPr>
        <w:t>服务</w:t>
      </w:r>
      <w:r>
        <w:rPr>
          <w:rFonts w:hint="eastAsia" w:ascii="宋体" w:hAnsi="宋体" w:eastAsia="宋体" w:cs="宋体"/>
          <w:bCs/>
          <w:caps/>
          <w:smallCaps/>
          <w:sz w:val="32"/>
          <w:szCs w:val="32"/>
          <w:highlight w:val="none"/>
        </w:rPr>
        <w:t>合同内容</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3</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4</w:t>
      </w:r>
    </w:p>
    <w:p w14:paraId="6CFB8A0B">
      <w:pPr>
        <w:pStyle w:val="16"/>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_Toc30894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第七章 投标文件格式</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3</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8</w:t>
      </w:r>
    </w:p>
    <w:p w14:paraId="5076E509">
      <w:pPr>
        <w:pStyle w:val="16"/>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_Toc12913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周口市政府采购合同融资政策告知函</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4</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9</w:t>
      </w:r>
    </w:p>
    <w:p w14:paraId="41D0D929">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end"/>
      </w:r>
    </w:p>
    <w:p w14:paraId="1F4BDF9B">
      <w:pPr>
        <w:pStyle w:val="16"/>
        <w:tabs>
          <w:tab w:val="right" w:leader="dot" w:pos="8390"/>
        </w:tabs>
        <w:jc w:val="left"/>
        <w:rPr>
          <w:rFonts w:hint="eastAsia" w:ascii="宋体" w:hAnsi="宋体" w:eastAsia="宋体" w:cs="宋体"/>
          <w:bCs/>
          <w:caps/>
          <w:smallCaps/>
          <w:sz w:val="32"/>
          <w:szCs w:val="32"/>
          <w:highlight w:val="none"/>
        </w:rPr>
      </w:pPr>
    </w:p>
    <w:p w14:paraId="1B2C2A06">
      <w:pPr>
        <w:pStyle w:val="16"/>
        <w:tabs>
          <w:tab w:val="right" w:leader="dot" w:pos="8390"/>
        </w:tabs>
        <w:jc w:val="left"/>
        <w:rPr>
          <w:rFonts w:hint="eastAsia" w:ascii="宋体" w:hAnsi="宋体" w:eastAsia="宋体" w:cs="宋体"/>
          <w:bCs/>
          <w:caps/>
          <w:smallCaps/>
          <w:sz w:val="32"/>
          <w:szCs w:val="32"/>
          <w:highlight w:val="none"/>
        </w:rPr>
      </w:pPr>
    </w:p>
    <w:p w14:paraId="2036D8AE">
      <w:pPr>
        <w:pStyle w:val="16"/>
        <w:tabs>
          <w:tab w:val="right" w:leader="dot" w:pos="8390"/>
        </w:tabs>
        <w:jc w:val="left"/>
        <w:rPr>
          <w:rFonts w:hint="eastAsia" w:ascii="宋体" w:hAnsi="宋体" w:eastAsia="宋体" w:cs="宋体"/>
          <w:bCs/>
          <w:caps/>
          <w:smallCaps/>
          <w:sz w:val="32"/>
          <w:szCs w:val="32"/>
          <w:highlight w:val="none"/>
        </w:rPr>
      </w:pPr>
    </w:p>
    <w:p w14:paraId="56F1644F">
      <w:pPr>
        <w:pStyle w:val="16"/>
        <w:tabs>
          <w:tab w:val="right" w:leader="dot" w:pos="8390"/>
        </w:tabs>
        <w:jc w:val="left"/>
        <w:rPr>
          <w:rFonts w:hint="eastAsia" w:ascii="宋体" w:hAnsi="宋体" w:eastAsia="宋体" w:cs="宋体"/>
          <w:bCs/>
          <w:caps/>
          <w:smallCaps/>
          <w:sz w:val="32"/>
          <w:szCs w:val="32"/>
          <w:highlight w:val="none"/>
        </w:rPr>
      </w:pPr>
    </w:p>
    <w:p w14:paraId="2D76983A">
      <w:pPr>
        <w:rPr>
          <w:rFonts w:hint="eastAsia" w:ascii="宋体" w:hAnsi="宋体" w:eastAsia="宋体" w:cs="宋体"/>
          <w:b/>
          <w:bCs/>
          <w:caps/>
          <w:sz w:val="24"/>
          <w:szCs w:val="24"/>
          <w:highlight w:val="none"/>
        </w:rPr>
      </w:pPr>
    </w:p>
    <w:p w14:paraId="033D8EED">
      <w:pPr>
        <w:rPr>
          <w:rFonts w:hint="eastAsia" w:ascii="宋体" w:hAnsi="宋体" w:eastAsia="宋体" w:cs="宋体"/>
          <w:b/>
          <w:bCs/>
          <w:caps/>
          <w:sz w:val="24"/>
          <w:szCs w:val="24"/>
          <w:highlight w:val="none"/>
        </w:rPr>
      </w:pPr>
    </w:p>
    <w:p w14:paraId="5E3BD219">
      <w:pPr>
        <w:rPr>
          <w:rFonts w:hint="eastAsia" w:ascii="宋体" w:hAnsi="宋体" w:eastAsia="宋体" w:cs="宋体"/>
          <w:b/>
          <w:bCs/>
          <w:caps/>
          <w:sz w:val="24"/>
          <w:szCs w:val="24"/>
          <w:highlight w:val="none"/>
        </w:rPr>
      </w:pPr>
    </w:p>
    <w:p w14:paraId="3DE2D8E5">
      <w:pPr>
        <w:rPr>
          <w:rFonts w:hint="eastAsia" w:ascii="宋体" w:hAnsi="宋体" w:eastAsia="宋体" w:cs="宋体"/>
          <w:b/>
          <w:bCs/>
          <w:caps/>
          <w:sz w:val="24"/>
          <w:szCs w:val="24"/>
          <w:highlight w:val="none"/>
        </w:rPr>
      </w:pPr>
    </w:p>
    <w:p w14:paraId="4E80C50D">
      <w:pPr>
        <w:rPr>
          <w:rFonts w:hint="eastAsia" w:ascii="宋体" w:hAnsi="宋体" w:eastAsia="宋体" w:cs="宋体"/>
          <w:b/>
          <w:bCs/>
          <w:caps/>
          <w:sz w:val="24"/>
          <w:szCs w:val="24"/>
          <w:highlight w:val="none"/>
        </w:rPr>
      </w:pPr>
    </w:p>
    <w:p w14:paraId="5B453687">
      <w:pPr>
        <w:jc w:val="center"/>
        <w:rPr>
          <w:rFonts w:hint="eastAsia" w:ascii="宋体" w:hAnsi="宋体" w:eastAsia="宋体" w:cs="宋体"/>
          <w:b/>
          <w:bCs/>
          <w:caps/>
          <w:sz w:val="24"/>
          <w:szCs w:val="24"/>
          <w:highlight w:val="none"/>
        </w:rPr>
      </w:pPr>
      <w:r>
        <w:rPr>
          <w:rFonts w:hint="eastAsia" w:ascii="宋体" w:hAnsi="宋体" w:eastAsia="宋体" w:cs="宋体"/>
          <w:b/>
          <w:bCs/>
          <w:caps/>
          <w:sz w:val="24"/>
          <w:szCs w:val="24"/>
          <w:highlight w:val="none"/>
        </w:rPr>
        <w:br w:type="page"/>
      </w:r>
    </w:p>
    <w:p w14:paraId="27315F7A">
      <w:pPr>
        <w:pStyle w:val="4"/>
        <w:numPr>
          <w:ilvl w:val="0"/>
          <w:numId w:val="1"/>
        </w:numPr>
        <w:spacing w:before="0" w:after="0" w:line="240" w:lineRule="auto"/>
        <w:ind w:firstLine="0"/>
        <w:rPr>
          <w:rFonts w:hint="eastAsia" w:ascii="宋体" w:hAnsi="宋体" w:eastAsia="宋体" w:cs="宋体"/>
          <w:highlight w:val="none"/>
        </w:rPr>
      </w:pPr>
      <w:bookmarkStart w:id="3" w:name="_Toc20608"/>
      <w:bookmarkStart w:id="4" w:name="_Toc28426_WPSOffice_Level1"/>
      <w:r>
        <w:rPr>
          <w:rFonts w:hint="eastAsia" w:ascii="宋体" w:hAnsi="宋体" w:eastAsia="宋体" w:cs="宋体"/>
          <w:highlight w:val="none"/>
        </w:rPr>
        <w:t xml:space="preserve"> 招标公告</w:t>
      </w:r>
      <w:bookmarkEnd w:id="3"/>
      <w:bookmarkEnd w:id="4"/>
    </w:p>
    <w:p w14:paraId="19B0CB66">
      <w:pPr>
        <w:rPr>
          <w:rFonts w:hint="eastAsia"/>
          <w:highlight w:val="none"/>
        </w:rPr>
      </w:pPr>
    </w:p>
    <w:p w14:paraId="7144A0D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28784CE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鹿邑县农业农村局鹿邑县补充耕地质量鉴定项目</w:t>
      </w:r>
      <w:r>
        <w:rPr>
          <w:rFonts w:hint="eastAsia" w:ascii="宋体" w:hAnsi="宋体" w:eastAsia="宋体" w:cs="宋体"/>
          <w:i w:val="0"/>
          <w:iCs w:val="0"/>
          <w:sz w:val="24"/>
          <w:szCs w:val="24"/>
          <w:highlight w:val="none"/>
          <w:lang w:val="en-US" w:eastAsia="zh-CN"/>
        </w:rPr>
        <w:t>的潜在</w:t>
      </w:r>
      <w:r>
        <w:rPr>
          <w:rFonts w:hint="eastAsia" w:ascii="宋体" w:hAnsi="宋体" w:cs="宋体"/>
          <w:i w:val="0"/>
          <w:iCs w:val="0"/>
          <w:sz w:val="24"/>
          <w:szCs w:val="24"/>
          <w:highlight w:val="none"/>
          <w:lang w:val="en-US" w:eastAsia="zh-CN"/>
        </w:rPr>
        <w:t>供应商</w:t>
      </w:r>
      <w:r>
        <w:rPr>
          <w:rFonts w:hint="eastAsia" w:ascii="宋体" w:hAnsi="宋体" w:eastAsia="宋体" w:cs="宋体"/>
          <w:i w:val="0"/>
          <w:iCs w:val="0"/>
          <w:sz w:val="24"/>
          <w:szCs w:val="24"/>
          <w:highlight w:val="none"/>
          <w:lang w:val="en-US" w:eastAsia="zh-CN"/>
        </w:rPr>
        <w:t>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7BD226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5" w:name="_Toc28359002"/>
      <w:bookmarkStart w:id="6" w:name="_Toc35393621"/>
      <w:bookmarkStart w:id="7" w:name="_Toc35393790"/>
      <w:bookmarkStart w:id="8" w:name="_Toc28359079"/>
      <w:bookmarkStart w:id="9" w:name="_Hlk24379207"/>
      <w:r>
        <w:rPr>
          <w:rFonts w:hint="eastAsia" w:ascii="宋体" w:hAnsi="宋体" w:eastAsia="宋体" w:cs="宋体"/>
          <w:i w:val="0"/>
          <w:iCs w:val="0"/>
          <w:sz w:val="24"/>
          <w:szCs w:val="24"/>
          <w:highlight w:val="none"/>
        </w:rPr>
        <w:t>一、项目基本情况</w:t>
      </w:r>
      <w:bookmarkEnd w:id="5"/>
      <w:bookmarkEnd w:id="6"/>
      <w:bookmarkEnd w:id="7"/>
      <w:bookmarkEnd w:id="8"/>
    </w:p>
    <w:p w14:paraId="7000B1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项目编号：鹿财公开-2026-30</w:t>
      </w:r>
      <w:r>
        <w:rPr>
          <w:rFonts w:hint="eastAsia" w:ascii="宋体" w:hAnsi="宋体" w:cs="宋体"/>
          <w:i w:val="0"/>
          <w:iCs w:val="0"/>
          <w:sz w:val="24"/>
          <w:szCs w:val="24"/>
          <w:highlight w:val="none"/>
          <w:lang w:val="en-US" w:eastAsia="zh-CN"/>
        </w:rPr>
        <w:t xml:space="preserve">            </w:t>
      </w:r>
    </w:p>
    <w:p w14:paraId="278712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cs="宋体"/>
          <w:i w:val="0"/>
          <w:iCs w:val="0"/>
          <w:sz w:val="24"/>
          <w:szCs w:val="24"/>
          <w:highlight w:val="none"/>
          <w:lang w:val="en-US" w:eastAsia="zh-CN"/>
        </w:rPr>
        <w:t>鹿邑县农业农村局鹿邑县补充耕地质量鉴定项目</w:t>
      </w:r>
    </w:p>
    <w:bookmarkEnd w:id="9"/>
    <w:p w14:paraId="7CA9A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r>
        <w:rPr>
          <w:rFonts w:hint="eastAsia" w:ascii="宋体" w:hAnsi="宋体" w:cs="宋体"/>
          <w:i w:val="0"/>
          <w:iCs w:val="0"/>
          <w:sz w:val="24"/>
          <w:szCs w:val="24"/>
          <w:highlight w:val="none"/>
          <w:lang w:val="en-US" w:eastAsia="zh-CN"/>
        </w:rPr>
        <w:t>3863200</w:t>
      </w:r>
      <w:r>
        <w:rPr>
          <w:rFonts w:hint="eastAsia" w:ascii="宋体" w:hAnsi="宋体" w:eastAsia="宋体" w:cs="宋体"/>
          <w:i w:val="0"/>
          <w:iCs w:val="0"/>
          <w:sz w:val="24"/>
          <w:szCs w:val="24"/>
          <w:highlight w:val="none"/>
        </w:rPr>
        <w:t>元</w:t>
      </w:r>
    </w:p>
    <w:p w14:paraId="6C53C3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最高限价（如有）：</w:t>
      </w:r>
      <w:r>
        <w:rPr>
          <w:rFonts w:hint="eastAsia" w:ascii="宋体" w:hAnsi="宋体" w:cs="宋体"/>
          <w:i w:val="0"/>
          <w:iCs w:val="0"/>
          <w:sz w:val="24"/>
          <w:szCs w:val="24"/>
          <w:highlight w:val="none"/>
          <w:lang w:val="en-US" w:eastAsia="zh-CN"/>
        </w:rPr>
        <w:t>3863200</w:t>
      </w:r>
      <w:r>
        <w:rPr>
          <w:rFonts w:hint="eastAsia" w:ascii="宋体" w:hAnsi="宋体" w:eastAsia="宋体" w:cs="宋体"/>
          <w:i w:val="0"/>
          <w:iCs w:val="0"/>
          <w:sz w:val="24"/>
          <w:szCs w:val="24"/>
          <w:highlight w:val="none"/>
        </w:rPr>
        <w:t>元</w:t>
      </w:r>
    </w:p>
    <w:p w14:paraId="372210D9">
      <w:pPr>
        <w:pStyle w:val="2"/>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57BE52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1</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lang w:val="en-US" w:eastAsia="zh-CN"/>
        </w:rPr>
        <w:t>个包</w:t>
      </w:r>
    </w:p>
    <w:tbl>
      <w:tblPr>
        <w:tblStyle w:val="22"/>
        <w:tblpPr w:leftFromText="180" w:rightFromText="180" w:vertAnchor="text" w:horzAnchor="margin" w:tblpXSpec="center" w:tblpY="154"/>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4665"/>
        <w:gridCol w:w="2505"/>
      </w:tblGrid>
      <w:tr w14:paraId="1AE8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80" w:type="dxa"/>
            <w:noWrap w:val="0"/>
            <w:vAlign w:val="center"/>
          </w:tcPr>
          <w:p w14:paraId="0227F5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665" w:type="dxa"/>
            <w:noWrap w:val="0"/>
            <w:vAlign w:val="center"/>
          </w:tcPr>
          <w:p w14:paraId="29756E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2505" w:type="dxa"/>
            <w:noWrap w:val="0"/>
            <w:vAlign w:val="center"/>
          </w:tcPr>
          <w:p w14:paraId="561FF0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包最高限价元</w:t>
            </w:r>
          </w:p>
        </w:tc>
      </w:tr>
      <w:tr w14:paraId="2B28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80" w:type="dxa"/>
            <w:noWrap w:val="0"/>
            <w:vAlign w:val="center"/>
          </w:tcPr>
          <w:p w14:paraId="3960F8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665" w:type="dxa"/>
            <w:noWrap w:val="0"/>
            <w:vAlign w:val="center"/>
          </w:tcPr>
          <w:p w14:paraId="31E14C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鹿邑县农业农村局鹿邑县补充耕地质量鉴定项目1包</w:t>
            </w:r>
          </w:p>
        </w:tc>
        <w:tc>
          <w:tcPr>
            <w:tcW w:w="2505" w:type="dxa"/>
            <w:noWrap w:val="0"/>
            <w:vAlign w:val="center"/>
          </w:tcPr>
          <w:p w14:paraId="6BCBDA4C">
            <w:pPr>
              <w:keepNext w:val="0"/>
              <w:keepLines w:val="0"/>
              <w:widowControl/>
              <w:suppressLineNumbers w:val="0"/>
              <w:jc w:val="center"/>
              <w:textAlignment w:val="center"/>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3863200</w:t>
            </w:r>
          </w:p>
        </w:tc>
      </w:tr>
    </w:tbl>
    <w:p w14:paraId="73EC6A4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p>
    <w:p w14:paraId="1A4008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详见招标文件第三章需求一览表</w:t>
      </w:r>
      <w:r>
        <w:rPr>
          <w:rFonts w:hint="eastAsia" w:ascii="宋体" w:hAnsi="宋体" w:eastAsia="宋体" w:cs="宋体"/>
          <w:i w:val="0"/>
          <w:iCs w:val="0"/>
          <w:sz w:val="24"/>
          <w:szCs w:val="24"/>
          <w:highlight w:val="none"/>
        </w:rPr>
        <w:t>（包括但不限于标的的名称、数量、简要技术需求或服务要求等）</w:t>
      </w:r>
    </w:p>
    <w:p w14:paraId="6ABB2C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合同履行期限：</w:t>
      </w:r>
      <w:r>
        <w:rPr>
          <w:rFonts w:hint="eastAsia" w:ascii="宋体" w:hAnsi="宋体" w:eastAsia="宋体" w:cs="宋体"/>
          <w:i w:val="0"/>
          <w:iCs w:val="0"/>
          <w:sz w:val="24"/>
          <w:szCs w:val="24"/>
          <w:highlight w:val="none"/>
          <w:lang w:val="en-US" w:eastAsia="zh-CN"/>
        </w:rPr>
        <w:t>自合同签订之日起，</w:t>
      </w:r>
      <w:r>
        <w:rPr>
          <w:rFonts w:hint="eastAsia" w:ascii="宋体" w:hAnsi="宋体" w:cs="宋体"/>
          <w:i w:val="0"/>
          <w:iCs w:val="0"/>
          <w:sz w:val="24"/>
          <w:szCs w:val="24"/>
          <w:highlight w:val="none"/>
          <w:lang w:val="en-US" w:eastAsia="zh-CN"/>
        </w:rPr>
        <w:t>10月</w:t>
      </w:r>
      <w:r>
        <w:rPr>
          <w:rFonts w:hint="eastAsia" w:ascii="宋体" w:hAnsi="宋体" w:eastAsia="宋体" w:cs="宋体"/>
          <w:i w:val="0"/>
          <w:iCs w:val="0"/>
          <w:sz w:val="24"/>
          <w:szCs w:val="24"/>
          <w:highlight w:val="none"/>
          <w:lang w:val="en-US" w:eastAsia="zh-CN"/>
        </w:rPr>
        <w:t>内完成全部工作并提交成果文件</w:t>
      </w:r>
      <w:bookmarkStart w:id="10" w:name="_Toc35393622"/>
      <w:bookmarkStart w:id="11" w:name="_Toc28359080"/>
      <w:bookmarkStart w:id="12" w:name="_Toc28359003"/>
      <w:bookmarkStart w:id="13" w:name="_Toc35393791"/>
    </w:p>
    <w:p w14:paraId="659931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2AE0EE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DA7E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49146D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0"/>
      <w:bookmarkEnd w:id="11"/>
      <w:bookmarkEnd w:id="12"/>
      <w:bookmarkEnd w:id="13"/>
    </w:p>
    <w:p w14:paraId="10B192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27D0E6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4" w:name="_Toc28359004"/>
      <w:bookmarkStart w:id="15" w:name="_Toc28359081"/>
      <w:r>
        <w:rPr>
          <w:rFonts w:hint="eastAsia" w:ascii="宋体" w:hAnsi="宋体" w:eastAsia="宋体" w:cs="宋体"/>
          <w:i w:val="0"/>
          <w:iCs w:val="0"/>
          <w:sz w:val="24"/>
          <w:szCs w:val="24"/>
          <w:highlight w:val="none"/>
        </w:rPr>
        <w:t xml:space="preserve">（1）具有独立承担民事责任的能力； </w:t>
      </w:r>
    </w:p>
    <w:p w14:paraId="32456F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（2）具有良好的商业信誉和健全的财务会计制度； </w:t>
      </w:r>
    </w:p>
    <w:p w14:paraId="2C38B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（3）具有履行合同所必需的设备和专业技术能力； </w:t>
      </w:r>
    </w:p>
    <w:p w14:paraId="2ABFC2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（4）有依法缴纳税收和社会保障资金的良好记录； </w:t>
      </w:r>
    </w:p>
    <w:p w14:paraId="7B9CE2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（5）参加政府采购活动前三年内，在经营活动中没有重大违法记录； </w:t>
      </w:r>
    </w:p>
    <w:p w14:paraId="06C123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（6）法律、行政法规规定的其他条件。</w:t>
      </w:r>
    </w:p>
    <w:p w14:paraId="3AA0EE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FDABA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w:t>
      </w:r>
    </w:p>
    <w:p w14:paraId="09C304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bookmarkStart w:id="16" w:name="_Toc35393623"/>
      <w:bookmarkStart w:id="17" w:name="_Toc35393792"/>
    </w:p>
    <w:p w14:paraId="07015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 xml:space="preserve">（2）供应商应具有测绘乙级及以上资质证书。                  </w:t>
      </w:r>
    </w:p>
    <w:p w14:paraId="162501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三、获取招标文件</w:t>
      </w:r>
      <w:bookmarkEnd w:id="14"/>
      <w:bookmarkEnd w:id="15"/>
      <w:bookmarkEnd w:id="16"/>
      <w:bookmarkEnd w:id="17"/>
    </w:p>
    <w:p w14:paraId="68DD51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时间： </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 xml:space="preserve"> 15 </w:t>
      </w:r>
      <w:r>
        <w:rPr>
          <w:rFonts w:hint="eastAsia" w:ascii="宋体" w:hAnsi="宋体" w:eastAsia="宋体" w:cs="宋体"/>
          <w:i w:val="0"/>
          <w:iCs w:val="0"/>
          <w:sz w:val="24"/>
          <w:szCs w:val="24"/>
          <w:highlight w:val="none"/>
        </w:rPr>
        <w:t>日至</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 xml:space="preserve">21 </w:t>
      </w:r>
      <w:r>
        <w:rPr>
          <w:rFonts w:hint="eastAsia" w:ascii="宋体" w:hAnsi="宋体" w:eastAsia="宋体" w:cs="宋体"/>
          <w:i w:val="0"/>
          <w:iCs w:val="0"/>
          <w:sz w:val="24"/>
          <w:szCs w:val="24"/>
          <w:highlight w:val="none"/>
        </w:rPr>
        <w:t>日（北京时间，法定节假日除外）</w:t>
      </w:r>
    </w:p>
    <w:p w14:paraId="5D771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255D4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w:t>
      </w:r>
      <w:r>
        <w:rPr>
          <w:rFonts w:hint="eastAsia" w:ascii="宋体" w:hAnsi="宋体" w:cs="宋体"/>
          <w:i w:val="0"/>
          <w:iCs w:val="0"/>
          <w:sz w:val="24"/>
          <w:szCs w:val="24"/>
          <w:highlight w:val="none"/>
          <w:lang w:val="en-US" w:eastAsia="zh-CN"/>
        </w:rPr>
        <w:t>投标</w:t>
      </w:r>
      <w:r>
        <w:rPr>
          <w:rFonts w:hint="eastAsia" w:ascii="宋体" w:hAnsi="宋体" w:eastAsia="宋体" w:cs="宋体"/>
          <w:i w:val="0"/>
          <w:iCs w:val="0"/>
          <w:sz w:val="24"/>
          <w:szCs w:val="24"/>
          <w:highlight w:val="none"/>
          <w:lang w:val="en-US" w:eastAsia="zh-CN"/>
        </w:rPr>
        <w:t>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70345C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r>
        <w:rPr>
          <w:rFonts w:hint="eastAsia" w:ascii="宋体" w:hAnsi="宋体" w:cs="宋体"/>
          <w:i w:val="0"/>
          <w:iCs w:val="0"/>
          <w:sz w:val="24"/>
          <w:szCs w:val="24"/>
          <w:highlight w:val="none"/>
          <w:lang w:val="en-US" w:eastAsia="zh-CN"/>
        </w:rPr>
        <w:t>元。</w:t>
      </w:r>
    </w:p>
    <w:p w14:paraId="0BB176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8" w:name="_Toc28359082"/>
      <w:bookmarkStart w:id="19" w:name="_Toc28359005"/>
      <w:bookmarkStart w:id="20" w:name="_Toc35393624"/>
      <w:bookmarkStart w:id="21" w:name="_Toc35393793"/>
      <w:r>
        <w:rPr>
          <w:rFonts w:hint="eastAsia" w:ascii="宋体" w:hAnsi="宋体" w:eastAsia="宋体" w:cs="宋体"/>
          <w:i w:val="0"/>
          <w:iCs w:val="0"/>
          <w:sz w:val="24"/>
          <w:szCs w:val="24"/>
          <w:highlight w:val="none"/>
        </w:rPr>
        <w:t>四、提交投标文件</w:t>
      </w:r>
      <w:bookmarkEnd w:id="18"/>
      <w:bookmarkEnd w:id="19"/>
      <w:r>
        <w:rPr>
          <w:rFonts w:hint="eastAsia" w:ascii="宋体" w:hAnsi="宋体" w:eastAsia="宋体" w:cs="宋体"/>
          <w:i w:val="0"/>
          <w:iCs w:val="0"/>
          <w:sz w:val="24"/>
          <w:szCs w:val="24"/>
          <w:highlight w:val="none"/>
        </w:rPr>
        <w:t>截止时间、开标时间和地点</w:t>
      </w:r>
      <w:bookmarkEnd w:id="20"/>
      <w:bookmarkEnd w:id="21"/>
    </w:p>
    <w:p w14:paraId="56FC55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分（北京时间）</w:t>
      </w:r>
    </w:p>
    <w:p w14:paraId="507658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0989A4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2" w:name="_Toc35393625"/>
      <w:bookmarkStart w:id="23" w:name="_Toc28359007"/>
      <w:bookmarkStart w:id="24" w:name="_Toc35393794"/>
      <w:bookmarkStart w:id="25" w:name="_Toc28359084"/>
      <w:r>
        <w:rPr>
          <w:rFonts w:hint="eastAsia" w:ascii="宋体" w:hAnsi="宋体" w:eastAsia="宋体" w:cs="宋体"/>
          <w:i w:val="0"/>
          <w:iCs w:val="0"/>
          <w:sz w:val="24"/>
          <w:szCs w:val="24"/>
          <w:highlight w:val="none"/>
        </w:rPr>
        <w:t>五、公告期限</w:t>
      </w:r>
      <w:bookmarkEnd w:id="22"/>
      <w:bookmarkEnd w:id="23"/>
      <w:bookmarkEnd w:id="24"/>
      <w:bookmarkEnd w:id="25"/>
    </w:p>
    <w:p w14:paraId="66C7CA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08E359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6" w:name="_Toc35393626"/>
      <w:bookmarkStart w:id="27" w:name="_Toc35393795"/>
      <w:r>
        <w:rPr>
          <w:rFonts w:hint="eastAsia" w:ascii="宋体" w:hAnsi="宋体" w:eastAsia="宋体" w:cs="宋体"/>
          <w:i w:val="0"/>
          <w:iCs w:val="0"/>
          <w:sz w:val="24"/>
          <w:szCs w:val="24"/>
          <w:highlight w:val="none"/>
        </w:rPr>
        <w:t>六、其他补充事宜</w:t>
      </w:r>
      <w:bookmarkEnd w:id="26"/>
      <w:bookmarkEnd w:id="27"/>
    </w:p>
    <w:p w14:paraId="33E29F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28" w:name="_Toc28359008"/>
      <w:bookmarkStart w:id="29" w:name="_Toc35393627"/>
      <w:bookmarkStart w:id="30" w:name="_Toc35393796"/>
      <w:bookmarkStart w:id="31" w:name="_Toc28359085"/>
      <w:r>
        <w:rPr>
          <w:rFonts w:hint="eastAsia" w:ascii="宋体" w:hAnsi="宋体" w:eastAsia="宋体" w:cs="宋体"/>
          <w:i w:val="0"/>
          <w:iCs w:val="0"/>
          <w:sz w:val="24"/>
          <w:szCs w:val="24"/>
          <w:highlight w:val="none"/>
          <w:lang w:val="en-US" w:eastAsia="zh-CN"/>
        </w:rPr>
        <w:t>无</w:t>
      </w:r>
    </w:p>
    <w:p w14:paraId="7E7B1E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28"/>
      <w:bookmarkEnd w:id="29"/>
      <w:bookmarkEnd w:id="30"/>
      <w:bookmarkEnd w:id="31"/>
    </w:p>
    <w:p w14:paraId="03D686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369919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cs="宋体"/>
          <w:i w:val="0"/>
          <w:iCs w:val="0"/>
          <w:sz w:val="24"/>
          <w:szCs w:val="24"/>
          <w:highlight w:val="none"/>
          <w:lang w:val="en-US" w:eastAsia="zh-CN"/>
        </w:rPr>
        <w:t>鹿邑县农业农村局</w:t>
      </w:r>
      <w:r>
        <w:rPr>
          <w:rFonts w:hint="eastAsia" w:ascii="宋体" w:hAnsi="宋体" w:eastAsia="宋体" w:cs="宋体"/>
          <w:i w:val="0"/>
          <w:iCs w:val="0"/>
          <w:sz w:val="24"/>
          <w:szCs w:val="24"/>
          <w:highlight w:val="none"/>
        </w:rPr>
        <w:t>　　　　　　　　　　　　</w:t>
      </w:r>
    </w:p>
    <w:p w14:paraId="1037E8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eastAsia="zh-CN"/>
        </w:rPr>
        <w:t>鹿邑县境内</w:t>
      </w:r>
      <w:r>
        <w:rPr>
          <w:rFonts w:hint="eastAsia" w:ascii="宋体" w:hAnsi="宋体" w:eastAsia="宋体" w:cs="宋体"/>
          <w:i w:val="0"/>
          <w:iCs w:val="0"/>
          <w:sz w:val="24"/>
          <w:szCs w:val="24"/>
          <w:highlight w:val="none"/>
        </w:rPr>
        <w:t>　　　　　　　　　　　　</w:t>
      </w:r>
    </w:p>
    <w:p w14:paraId="2E9206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w:t>
      </w:r>
      <w:r>
        <w:rPr>
          <w:rFonts w:hint="eastAsia" w:ascii="宋体" w:hAnsi="宋体" w:eastAsia="宋体" w:cs="宋体"/>
          <w:color w:val="auto"/>
          <w:spacing w:val="0"/>
          <w:position w:val="0"/>
          <w:sz w:val="24"/>
          <w:highlight w:val="none"/>
          <w:shd w:val="clear" w:fill="auto"/>
        </w:rPr>
        <w:t xml:space="preserve">人：彭玉峰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13271607613</w:t>
      </w:r>
      <w:r>
        <w:rPr>
          <w:rFonts w:hint="eastAsia" w:ascii="宋体" w:hAnsi="宋体" w:cs="宋体"/>
          <w:color w:val="auto"/>
          <w:spacing w:val="0"/>
          <w:position w:val="0"/>
          <w:sz w:val="24"/>
          <w:highlight w:val="none"/>
          <w:shd w:val="clear" w:fill="auto"/>
          <w:lang w:val="en-US" w:eastAsia="zh-CN"/>
        </w:rPr>
        <w:t xml:space="preserve"> </w:t>
      </w:r>
      <w:r>
        <w:rPr>
          <w:rFonts w:hint="eastAsia" w:ascii="宋体" w:hAnsi="宋体" w:eastAsia="宋体" w:cs="宋体"/>
          <w:i w:val="0"/>
          <w:iCs w:val="0"/>
          <w:sz w:val="24"/>
          <w:szCs w:val="24"/>
          <w:highlight w:val="none"/>
        </w:rPr>
        <w:t xml:space="preserve">　　　 </w:t>
      </w:r>
      <w:bookmarkStart w:id="32" w:name="_Toc28359086"/>
      <w:bookmarkStart w:id="33" w:name="_Toc28359009"/>
    </w:p>
    <w:p w14:paraId="707421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028E322F">
      <w:pPr>
        <w:pStyle w:val="2"/>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6CD031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252801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 xml:space="preserve">郝冰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4" w:name="_Toc28359010"/>
      <w:bookmarkStart w:id="35" w:name="_Toc28359087"/>
      <w:r>
        <w:rPr>
          <w:rFonts w:hint="eastAsia" w:ascii="宋体" w:hAnsi="宋体" w:cs="宋体"/>
          <w:i w:val="0"/>
          <w:iCs w:val="0"/>
          <w:sz w:val="24"/>
          <w:szCs w:val="24"/>
          <w:highlight w:val="none"/>
          <w:lang w:val="en-US" w:eastAsia="zh-CN"/>
        </w:rPr>
        <w:t xml:space="preserve">0394-8106517、13513878800 </w:t>
      </w:r>
      <w:r>
        <w:rPr>
          <w:rFonts w:hint="eastAsia" w:ascii="宋体" w:hAnsi="宋体" w:eastAsia="宋体" w:cs="宋体"/>
          <w:i w:val="0"/>
          <w:iCs w:val="0"/>
          <w:sz w:val="24"/>
          <w:szCs w:val="24"/>
          <w:highlight w:val="none"/>
        </w:rPr>
        <w:t>　　　　　　　</w:t>
      </w:r>
    </w:p>
    <w:bookmarkEnd w:id="34"/>
    <w:bookmarkEnd w:id="35"/>
    <w:p w14:paraId="2AEE71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cs="宋体"/>
          <w:color w:val="auto"/>
          <w:sz w:val="24"/>
          <w:szCs w:val="24"/>
          <w:highlight w:val="none"/>
          <w:lang w:val="en-US" w:eastAsia="zh-CN"/>
        </w:rPr>
        <w:t>鹿邑县</w:t>
      </w:r>
      <w:r>
        <w:rPr>
          <w:rFonts w:hint="eastAsia" w:cs="宋体"/>
          <w:color w:val="auto"/>
          <w:sz w:val="24"/>
          <w:szCs w:val="24"/>
          <w:highlight w:val="none"/>
        </w:rPr>
        <w:t>财政局</w:t>
      </w:r>
      <w:r>
        <w:rPr>
          <w:rFonts w:hint="eastAsia" w:ascii="宋体" w:hAnsi="宋体" w:eastAsia="宋体" w:cs="宋体"/>
          <w:i w:val="0"/>
          <w:iCs w:val="0"/>
          <w:sz w:val="24"/>
          <w:szCs w:val="24"/>
          <w:highlight w:val="none"/>
          <w:lang w:val="en-US" w:eastAsia="zh-CN"/>
        </w:rPr>
        <w:t xml:space="preserve">       </w:t>
      </w:r>
    </w:p>
    <w:p w14:paraId="5B353703">
      <w:pPr>
        <w:pStyle w:val="26"/>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 xml:space="preserve"> 0394-7181669</w:t>
      </w:r>
    </w:p>
    <w:p w14:paraId="017699DE">
      <w:pPr>
        <w:pStyle w:val="26"/>
        <w:numPr>
          <w:ilvl w:val="0"/>
          <w:numId w:val="0"/>
        </w:numPr>
        <w:rPr>
          <w:rFonts w:hint="default"/>
          <w:highlight w:val="none"/>
          <w:lang w:val="en-US" w:eastAsia="zh-CN"/>
        </w:rPr>
      </w:pPr>
    </w:p>
    <w:p w14:paraId="61DEB13D">
      <w:pPr>
        <w:pStyle w:val="2"/>
        <w:adjustRightInd w:val="0"/>
        <w:snapToGrid w:val="0"/>
        <w:spacing w:line="360" w:lineRule="auto"/>
        <w:ind w:firstLine="2040" w:firstLineChars="850"/>
        <w:rPr>
          <w:rFonts w:hint="eastAsia" w:ascii="宋体" w:hAnsi="宋体" w:eastAsia="宋体" w:cs="宋体"/>
          <w:sz w:val="24"/>
          <w:szCs w:val="24"/>
          <w:highlight w:val="none"/>
        </w:rPr>
      </w:pPr>
    </w:p>
    <w:p w14:paraId="65FEE453">
      <w:pPr>
        <w:pStyle w:val="2"/>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672EB3E0">
      <w:pPr>
        <w:pStyle w:val="15"/>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9</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15</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1B6D73E">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highlight w:val="none"/>
        </w:rPr>
      </w:pPr>
    </w:p>
    <w:p w14:paraId="179D9122">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highlight w:val="none"/>
        </w:rPr>
      </w:pPr>
    </w:p>
    <w:p w14:paraId="244E6F5B">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highlight w:val="none"/>
        </w:rPr>
      </w:pPr>
    </w:p>
    <w:p w14:paraId="5DD659A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sectPr>
          <w:footerReference r:id="rId3" w:type="default"/>
          <w:pgSz w:w="11906" w:h="16838"/>
          <w:pgMar w:top="1440" w:right="1689" w:bottom="1440" w:left="1633" w:header="851" w:footer="992" w:gutter="0"/>
          <w:cols w:space="720" w:num="1"/>
          <w:docGrid w:linePitch="312" w:charSpace="0"/>
        </w:sectPr>
      </w:pPr>
    </w:p>
    <w:p w14:paraId="131DB4DD">
      <w:pPr>
        <w:pStyle w:val="2"/>
        <w:rPr>
          <w:rFonts w:hint="eastAsia"/>
          <w:highlight w:val="none"/>
        </w:rPr>
      </w:pPr>
    </w:p>
    <w:p w14:paraId="531294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p>
    <w:p w14:paraId="1599CBB5">
      <w:pPr>
        <w:pStyle w:val="4"/>
        <w:ind w:firstLine="0"/>
        <w:rPr>
          <w:rFonts w:hint="eastAsia" w:ascii="宋体" w:hAnsi="宋体" w:eastAsia="宋体" w:cs="宋体"/>
          <w:highlight w:val="none"/>
          <w:lang w:eastAsia="zh-CN"/>
        </w:rPr>
      </w:pPr>
      <w:bookmarkStart w:id="36" w:name="_Hlt510343011"/>
      <w:bookmarkStart w:id="37" w:name="_Hlt510342998"/>
      <w:bookmarkStart w:id="38" w:name="_Toc7329_WPSOffice_Level1"/>
      <w:bookmarkStart w:id="39" w:name="_Toc8586"/>
      <w:r>
        <w:rPr>
          <w:rFonts w:hint="eastAsia" w:ascii="宋体" w:hAnsi="宋体" w:eastAsia="宋体" w:cs="宋体"/>
          <w:highlight w:val="none"/>
        </w:rPr>
        <w:t xml:space="preserve">第二章 </w:t>
      </w:r>
      <w:r>
        <w:rPr>
          <w:rFonts w:hint="eastAsia" w:ascii="宋体" w:hAnsi="宋体" w:eastAsia="宋体" w:cs="宋体"/>
          <w:highlight w:val="none"/>
          <w:lang w:eastAsia="zh-CN"/>
        </w:rPr>
        <w:t>供应商</w:t>
      </w:r>
      <w:r>
        <w:rPr>
          <w:rFonts w:hint="eastAsia" w:ascii="宋体" w:hAnsi="宋体" w:eastAsia="宋体" w:cs="宋体"/>
          <w:highlight w:val="none"/>
        </w:rPr>
        <w:t>须</w:t>
      </w:r>
      <w:bookmarkEnd w:id="36"/>
      <w:r>
        <w:rPr>
          <w:rFonts w:hint="eastAsia" w:ascii="宋体" w:hAnsi="宋体" w:eastAsia="宋体" w:cs="宋体"/>
          <w:highlight w:val="none"/>
        </w:rPr>
        <w:t>知前</w:t>
      </w:r>
      <w:bookmarkEnd w:id="37"/>
      <w:r>
        <w:rPr>
          <w:rFonts w:hint="eastAsia" w:ascii="宋体" w:hAnsi="宋体" w:eastAsia="宋体" w:cs="宋体"/>
          <w:highlight w:val="none"/>
        </w:rPr>
        <w:t>附表</w:t>
      </w:r>
      <w:bookmarkEnd w:id="38"/>
      <w:bookmarkEnd w:id="39"/>
    </w:p>
    <w:tbl>
      <w:tblPr>
        <w:tblStyle w:val="22"/>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5933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noWrap w:val="0"/>
            <w:vAlign w:val="center"/>
          </w:tcPr>
          <w:p w14:paraId="6F9001FD">
            <w:pP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833" w:type="dxa"/>
            <w:noWrap w:val="0"/>
            <w:vAlign w:val="center"/>
          </w:tcPr>
          <w:p w14:paraId="551FC1F0">
            <w:pPr>
              <w:rPr>
                <w:rFonts w:hint="eastAsia" w:ascii="宋体" w:hAnsi="宋体" w:eastAsia="宋体" w:cs="宋体"/>
                <w:sz w:val="24"/>
                <w:szCs w:val="24"/>
                <w:highlight w:val="none"/>
              </w:rPr>
            </w:pPr>
            <w:r>
              <w:rPr>
                <w:rFonts w:hint="eastAsia" w:ascii="宋体" w:hAnsi="宋体" w:eastAsia="宋体" w:cs="宋体"/>
                <w:sz w:val="24"/>
                <w:szCs w:val="24"/>
                <w:highlight w:val="none"/>
              </w:rPr>
              <w:t>内容</w:t>
            </w:r>
          </w:p>
        </w:tc>
        <w:tc>
          <w:tcPr>
            <w:tcW w:w="6519" w:type="dxa"/>
            <w:noWrap w:val="0"/>
            <w:vAlign w:val="center"/>
          </w:tcPr>
          <w:p w14:paraId="0DB4404E">
            <w:pPr>
              <w:rPr>
                <w:rFonts w:hint="eastAsia" w:ascii="宋体" w:hAnsi="宋体" w:eastAsia="宋体" w:cs="宋体"/>
                <w:sz w:val="24"/>
                <w:szCs w:val="24"/>
                <w:highlight w:val="none"/>
              </w:rPr>
            </w:pPr>
            <w:r>
              <w:rPr>
                <w:rFonts w:hint="eastAsia" w:ascii="宋体" w:hAnsi="宋体" w:eastAsia="宋体" w:cs="宋体"/>
                <w:sz w:val="24"/>
                <w:szCs w:val="24"/>
                <w:highlight w:val="none"/>
              </w:rPr>
              <w:t>说明与要求</w:t>
            </w:r>
          </w:p>
        </w:tc>
      </w:tr>
      <w:tr w14:paraId="0E74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noWrap w:val="0"/>
            <w:vAlign w:val="center"/>
          </w:tcPr>
          <w:p w14:paraId="3EC9BD7A">
            <w:pP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833" w:type="dxa"/>
            <w:noWrap w:val="0"/>
            <w:vAlign w:val="center"/>
          </w:tcPr>
          <w:p w14:paraId="4FAACAD1">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tc>
        <w:tc>
          <w:tcPr>
            <w:tcW w:w="6519" w:type="dxa"/>
            <w:noWrap w:val="0"/>
            <w:vAlign w:val="center"/>
          </w:tcPr>
          <w:p w14:paraId="1B62ABAE">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鹿邑县农业农村局</w:t>
            </w:r>
            <w:r>
              <w:rPr>
                <w:rFonts w:hint="eastAsia" w:ascii="宋体" w:hAnsi="宋体" w:eastAsia="宋体" w:cs="宋体"/>
                <w:i w:val="0"/>
                <w:iCs w:val="0"/>
                <w:sz w:val="24"/>
                <w:szCs w:val="24"/>
                <w:highlight w:val="none"/>
              </w:rPr>
              <w:t>　</w:t>
            </w:r>
          </w:p>
        </w:tc>
      </w:tr>
      <w:tr w14:paraId="5489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noWrap w:val="0"/>
            <w:vAlign w:val="center"/>
          </w:tcPr>
          <w:p w14:paraId="0CA6938C">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833" w:type="dxa"/>
            <w:noWrap w:val="0"/>
            <w:vAlign w:val="center"/>
          </w:tcPr>
          <w:p w14:paraId="143B5334">
            <w:pPr>
              <w:rPr>
                <w:rFonts w:hint="eastAsia" w:ascii="宋体" w:hAnsi="宋体" w:eastAsia="宋体" w:cs="宋体"/>
                <w:sz w:val="24"/>
                <w:szCs w:val="24"/>
                <w:highlight w:val="none"/>
              </w:rPr>
            </w:pPr>
            <w:r>
              <w:rPr>
                <w:rFonts w:hint="eastAsia" w:ascii="宋体" w:hAnsi="宋体" w:eastAsia="宋体" w:cs="宋体"/>
                <w:sz w:val="24"/>
                <w:szCs w:val="24"/>
                <w:highlight w:val="none"/>
              </w:rPr>
              <w:t>委托人</w:t>
            </w:r>
          </w:p>
        </w:tc>
        <w:tc>
          <w:tcPr>
            <w:tcW w:w="6519" w:type="dxa"/>
            <w:noWrap w:val="0"/>
            <w:vAlign w:val="center"/>
          </w:tcPr>
          <w:p w14:paraId="4F7D48D0">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鹿邑县农业农村局</w:t>
            </w:r>
            <w:r>
              <w:rPr>
                <w:rFonts w:hint="eastAsia" w:ascii="宋体" w:hAnsi="宋体" w:eastAsia="宋体" w:cs="宋体"/>
                <w:i w:val="0"/>
                <w:iCs w:val="0"/>
                <w:sz w:val="24"/>
                <w:szCs w:val="24"/>
                <w:highlight w:val="none"/>
              </w:rPr>
              <w:t>　</w:t>
            </w:r>
          </w:p>
        </w:tc>
      </w:tr>
      <w:tr w14:paraId="4EA9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B67E00C">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833" w:type="dxa"/>
            <w:noWrap w:val="0"/>
            <w:vAlign w:val="center"/>
          </w:tcPr>
          <w:p w14:paraId="24E9DEE2">
            <w:pPr>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tc>
        <w:tc>
          <w:tcPr>
            <w:tcW w:w="6519" w:type="dxa"/>
            <w:noWrap w:val="0"/>
            <w:vAlign w:val="center"/>
          </w:tcPr>
          <w:p w14:paraId="079B73A6">
            <w:pPr>
              <w:rPr>
                <w:rFonts w:hint="eastAsia" w:ascii="宋体" w:hAnsi="宋体" w:eastAsia="宋体" w:cs="宋体"/>
                <w:sz w:val="24"/>
                <w:szCs w:val="24"/>
                <w:highlight w:val="none"/>
              </w:rPr>
            </w:pPr>
            <w:r>
              <w:rPr>
                <w:rFonts w:hint="eastAsia" w:ascii="宋体" w:hAnsi="宋体" w:eastAsia="宋体" w:cs="宋体"/>
                <w:sz w:val="24"/>
                <w:szCs w:val="24"/>
                <w:highlight w:val="none"/>
              </w:rPr>
              <w:t>名  称：周口市公共资源交易中心政府采购中心</w:t>
            </w:r>
          </w:p>
          <w:p w14:paraId="6FC3EEDB">
            <w:pPr>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74B3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362C530D">
            <w:pP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833" w:type="dxa"/>
            <w:noWrap w:val="0"/>
            <w:vAlign w:val="center"/>
          </w:tcPr>
          <w:p w14:paraId="4546148A">
            <w:pP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519" w:type="dxa"/>
            <w:noWrap w:val="0"/>
            <w:vAlign w:val="center"/>
          </w:tcPr>
          <w:p w14:paraId="32D7366B">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鹿邑县农业农村局鹿邑县补充耕地质量鉴定项目</w:t>
            </w:r>
          </w:p>
        </w:tc>
      </w:tr>
      <w:tr w14:paraId="3D00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A7C2771">
            <w:pP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833" w:type="dxa"/>
            <w:noWrap w:val="0"/>
            <w:vAlign w:val="center"/>
          </w:tcPr>
          <w:p w14:paraId="651D44D6">
            <w:pPr>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p>
        </w:tc>
        <w:tc>
          <w:tcPr>
            <w:tcW w:w="6519" w:type="dxa"/>
            <w:noWrap w:val="0"/>
            <w:vAlign w:val="center"/>
          </w:tcPr>
          <w:p w14:paraId="3E64A777">
            <w:pP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 xml:space="preserve"> 鹿财公开-2026-30</w:t>
            </w:r>
          </w:p>
        </w:tc>
      </w:tr>
      <w:tr w14:paraId="5E97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02E2328">
            <w:pP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833" w:type="dxa"/>
            <w:noWrap w:val="0"/>
            <w:vAlign w:val="center"/>
          </w:tcPr>
          <w:p w14:paraId="3502A735">
            <w:pPr>
              <w:rPr>
                <w:rFonts w:hint="eastAsia" w:ascii="宋体" w:hAnsi="宋体" w:eastAsia="宋体" w:cs="宋体"/>
                <w:sz w:val="24"/>
                <w:szCs w:val="24"/>
                <w:highlight w:val="none"/>
              </w:rPr>
            </w:pPr>
            <w:r>
              <w:rPr>
                <w:rFonts w:hint="eastAsia" w:ascii="宋体" w:hAnsi="宋体" w:eastAsia="宋体" w:cs="宋体"/>
                <w:sz w:val="24"/>
                <w:szCs w:val="24"/>
                <w:highlight w:val="none"/>
              </w:rPr>
              <w:t>项目性质</w:t>
            </w:r>
          </w:p>
        </w:tc>
        <w:tc>
          <w:tcPr>
            <w:tcW w:w="6519" w:type="dxa"/>
            <w:noWrap w:val="0"/>
            <w:vAlign w:val="center"/>
          </w:tcPr>
          <w:p w14:paraId="5A11F8B1">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类</w:t>
            </w:r>
          </w:p>
        </w:tc>
      </w:tr>
      <w:tr w14:paraId="3FAE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3C04680">
            <w:pP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833" w:type="dxa"/>
            <w:noWrap w:val="0"/>
            <w:vAlign w:val="center"/>
          </w:tcPr>
          <w:p w14:paraId="30A73E7E">
            <w:pPr>
              <w:rPr>
                <w:rFonts w:hint="eastAsia" w:ascii="宋体" w:hAnsi="宋体" w:eastAsia="宋体" w:cs="宋体"/>
                <w:sz w:val="24"/>
                <w:szCs w:val="24"/>
                <w:highlight w:val="none"/>
              </w:rPr>
            </w:pPr>
            <w:r>
              <w:rPr>
                <w:rFonts w:hint="eastAsia" w:ascii="宋体" w:hAnsi="宋体" w:eastAsia="宋体" w:cs="宋体"/>
                <w:sz w:val="24"/>
                <w:szCs w:val="24"/>
                <w:highlight w:val="none"/>
              </w:rPr>
              <w:t>资金来源</w:t>
            </w:r>
          </w:p>
        </w:tc>
        <w:tc>
          <w:tcPr>
            <w:tcW w:w="6519" w:type="dxa"/>
            <w:noWrap w:val="0"/>
            <w:vAlign w:val="center"/>
          </w:tcPr>
          <w:p w14:paraId="5FC9ADBC">
            <w:pP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财政</w:t>
            </w:r>
            <w:r>
              <w:rPr>
                <w:rFonts w:hint="eastAsia" w:ascii="宋体" w:hAnsi="宋体" w:eastAsia="宋体" w:cs="宋体"/>
                <w:sz w:val="24"/>
                <w:szCs w:val="24"/>
                <w:highlight w:val="none"/>
              </w:rPr>
              <w:t>资金</w:t>
            </w:r>
          </w:p>
        </w:tc>
      </w:tr>
      <w:tr w14:paraId="68BF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noWrap w:val="0"/>
            <w:vAlign w:val="center"/>
          </w:tcPr>
          <w:p w14:paraId="328864C8">
            <w:pP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833" w:type="dxa"/>
            <w:noWrap w:val="0"/>
            <w:vAlign w:val="top"/>
          </w:tcPr>
          <w:p w14:paraId="619B4572">
            <w:pPr>
              <w:rPr>
                <w:rFonts w:hint="eastAsia" w:ascii="宋体" w:hAnsi="宋体" w:eastAsia="宋体" w:cs="宋体"/>
                <w:sz w:val="24"/>
                <w:szCs w:val="24"/>
                <w:highlight w:val="none"/>
              </w:rPr>
            </w:pPr>
            <w:r>
              <w:rPr>
                <w:rFonts w:hint="eastAsia" w:ascii="宋体" w:hAnsi="宋体" w:eastAsia="宋体" w:cs="宋体"/>
                <w:sz w:val="24"/>
                <w:szCs w:val="24"/>
                <w:highlight w:val="none"/>
              </w:rPr>
              <w:t>包别划分</w:t>
            </w:r>
          </w:p>
        </w:tc>
        <w:tc>
          <w:tcPr>
            <w:tcW w:w="6519" w:type="dxa"/>
            <w:noWrap w:val="0"/>
            <w:vAlign w:val="center"/>
          </w:tcPr>
          <w:p w14:paraId="580E6D43">
            <w:pPr>
              <w:rPr>
                <w:rFonts w:hint="eastAsia" w:ascii="宋体" w:hAnsi="宋体" w:eastAsia="宋体" w:cs="宋体"/>
                <w:sz w:val="24"/>
                <w:szCs w:val="24"/>
                <w:highlight w:val="none"/>
              </w:rPr>
            </w:pPr>
            <w:r>
              <w:rPr>
                <w:rFonts w:hint="eastAsia" w:ascii="宋体" w:hAnsi="宋体" w:eastAsia="宋体" w:cs="宋体"/>
                <w:sz w:val="24"/>
                <w:szCs w:val="24"/>
                <w:highlight w:val="none"/>
              </w:rPr>
              <w:t>本次招标为</w:t>
            </w:r>
            <w:r>
              <w:rPr>
                <w:rFonts w:hint="eastAsia" w:ascii="宋体" w:hAnsi="宋体" w:cs="宋体"/>
                <w:color w:val="000000"/>
                <w:sz w:val="24"/>
                <w:szCs w:val="24"/>
                <w:highlight w:val="none"/>
                <w:lang w:val="en-US" w:eastAsia="zh-CN"/>
              </w:rPr>
              <w:t>1</w:t>
            </w:r>
            <w:r>
              <w:rPr>
                <w:rFonts w:hint="eastAsia" w:ascii="宋体" w:hAnsi="宋体" w:eastAsia="宋体" w:cs="宋体"/>
                <w:sz w:val="24"/>
                <w:szCs w:val="24"/>
                <w:highlight w:val="none"/>
              </w:rPr>
              <w:t>个包</w:t>
            </w:r>
          </w:p>
        </w:tc>
      </w:tr>
      <w:tr w14:paraId="19BE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AD19989">
            <w:pP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833" w:type="dxa"/>
            <w:noWrap w:val="0"/>
            <w:vAlign w:val="center"/>
          </w:tcPr>
          <w:p w14:paraId="2974619A">
            <w:pPr>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c>
          <w:tcPr>
            <w:tcW w:w="6519" w:type="dxa"/>
            <w:noWrap w:val="0"/>
            <w:vAlign w:val="center"/>
          </w:tcPr>
          <w:p w14:paraId="0401241E">
            <w:pPr>
              <w:pStyle w:val="20"/>
              <w:numPr>
                <w:ilvl w:val="0"/>
                <w:numId w:val="2"/>
              </w:numPr>
              <w:spacing w:line="240" w:lineRule="auto"/>
              <w:ind w:left="0" w:leftChars="0" w:right="-21" w:firstLine="0" w:firstLineChars="0"/>
              <w:rPr>
                <w:rFonts w:hint="eastAsia" w:ascii="宋体" w:hAnsi="宋体" w:eastAsia="宋体" w:cs="宋体"/>
                <w:highlight w:val="none"/>
                <w:lang w:val="en-US" w:eastAsia="zh-CN"/>
              </w:rPr>
            </w:pPr>
            <w:r>
              <w:rPr>
                <w:rFonts w:hint="eastAsia" w:ascii="宋体" w:hAnsi="宋体" w:eastAsia="宋体" w:cs="宋体"/>
                <w:highlight w:val="none"/>
                <w:lang w:val="en-US" w:eastAsia="zh-CN"/>
              </w:rPr>
              <w:t>根据实际工作任务量，据实核算。甲方采取完成工程量的情况下一次性支付，若因特殊情况，乙方仅能完成前期的资料收集、方案编制、外业踏勘、视频资料制作等生产符合性评价，在不能完成下一步工作量的情况下，乙方提交《初鉴报告》后，甲方支付费用的50％；乙方完成全部工作量，在市级鉴定建立数据库后30个工作日内，甲方支付验收鉴定的全部费用。</w:t>
            </w:r>
          </w:p>
          <w:p w14:paraId="59350F06">
            <w:pPr>
              <w:pStyle w:val="20"/>
              <w:numPr>
                <w:ilvl w:val="0"/>
                <w:numId w:val="0"/>
              </w:numPr>
              <w:spacing w:line="240" w:lineRule="auto"/>
              <w:ind w:leftChars="0" w:right="-21" w:rightChars="-10"/>
              <w:rPr>
                <w:rFonts w:hint="default" w:ascii="宋体" w:hAnsi="宋体" w:eastAsia="宋体" w:cs="宋体"/>
                <w:highlight w:val="none"/>
                <w:lang w:val="en-US" w:eastAsia="zh-CN"/>
              </w:rPr>
            </w:pPr>
            <w:r>
              <w:rPr>
                <w:rFonts w:hint="eastAsia" w:ascii="宋体" w:hAnsi="宋体" w:eastAsia="宋体" w:cs="宋体"/>
                <w:highlight w:val="none"/>
                <w:lang w:val="en-US" w:eastAsia="zh-CN"/>
              </w:rPr>
              <w:t xml:space="preserve">2.乙方应在每次付款前向甲方提供合法有效的等额增值税专用发票，否则甲方有权顺延付款，且不承担违约责任。 </w:t>
            </w:r>
          </w:p>
        </w:tc>
      </w:tr>
      <w:tr w14:paraId="6945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noWrap w:val="0"/>
            <w:vAlign w:val="center"/>
          </w:tcPr>
          <w:p w14:paraId="4D556A15">
            <w:pP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833" w:type="dxa"/>
            <w:noWrap w:val="0"/>
            <w:vAlign w:val="center"/>
          </w:tcPr>
          <w:p w14:paraId="7FA89015">
            <w:pPr>
              <w:rPr>
                <w:rFonts w:hint="eastAsia"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6519" w:type="dxa"/>
            <w:noWrap w:val="0"/>
            <w:vAlign w:val="center"/>
          </w:tcPr>
          <w:p w14:paraId="7DC35602">
            <w:pPr>
              <w:rPr>
                <w:rFonts w:hint="eastAsia" w:ascii="宋体" w:hAnsi="宋体" w:eastAsia="宋体" w:cs="宋体"/>
                <w:sz w:val="24"/>
                <w:szCs w:val="24"/>
                <w:highlight w:val="none"/>
              </w:rPr>
            </w:pPr>
            <w:r>
              <w:rPr>
                <w:rFonts w:hint="eastAsia" w:ascii="宋体" w:hAnsi="宋体" w:eastAsia="宋体" w:cs="宋体"/>
                <w:sz w:val="24"/>
                <w:szCs w:val="24"/>
                <w:highlight w:val="none"/>
              </w:rPr>
              <w:t>不允许</w:t>
            </w:r>
          </w:p>
        </w:tc>
      </w:tr>
      <w:tr w14:paraId="5B83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noWrap w:val="0"/>
            <w:vAlign w:val="center"/>
          </w:tcPr>
          <w:p w14:paraId="2E6C75F4">
            <w:pP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2833" w:type="dxa"/>
            <w:noWrap w:val="0"/>
            <w:vAlign w:val="center"/>
          </w:tcPr>
          <w:p w14:paraId="24F3AF8D">
            <w:pP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519" w:type="dxa"/>
            <w:noWrap w:val="0"/>
            <w:vAlign w:val="center"/>
          </w:tcPr>
          <w:p w14:paraId="1B7FF3FC">
            <w:pPr>
              <w:rPr>
                <w:rFonts w:hint="eastAsia" w:ascii="宋体" w:hAnsi="宋体" w:eastAsia="宋体" w:cs="宋体"/>
                <w:sz w:val="24"/>
                <w:szCs w:val="24"/>
                <w:highlight w:val="none"/>
              </w:rPr>
            </w:pPr>
            <w:r>
              <w:rPr>
                <w:rFonts w:hint="eastAsia" w:ascii="宋体" w:hAnsi="宋体" w:eastAsia="宋体" w:cs="宋体"/>
                <w:sz w:val="24"/>
                <w:szCs w:val="24"/>
                <w:highlight w:val="none"/>
              </w:rPr>
              <w:t>开标后60天</w:t>
            </w:r>
          </w:p>
        </w:tc>
      </w:tr>
      <w:tr w14:paraId="35FD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4A221B87">
            <w:pP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2833" w:type="dxa"/>
            <w:noWrap w:val="0"/>
            <w:vAlign w:val="center"/>
          </w:tcPr>
          <w:p w14:paraId="307DF87B">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地点</w:t>
            </w:r>
          </w:p>
        </w:tc>
        <w:tc>
          <w:tcPr>
            <w:tcW w:w="6519" w:type="dxa"/>
            <w:noWrap w:val="0"/>
            <w:vAlign w:val="center"/>
          </w:tcPr>
          <w:p w14:paraId="50E127A9">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采购人指定地点</w:t>
            </w:r>
          </w:p>
        </w:tc>
      </w:tr>
      <w:tr w14:paraId="564B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1B22E1A3">
            <w:pP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2833" w:type="dxa"/>
            <w:noWrap w:val="0"/>
            <w:vAlign w:val="center"/>
          </w:tcPr>
          <w:p w14:paraId="403B0F2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tc>
        <w:tc>
          <w:tcPr>
            <w:tcW w:w="6519" w:type="dxa"/>
            <w:noWrap w:val="0"/>
            <w:vAlign w:val="center"/>
          </w:tcPr>
          <w:p w14:paraId="0FB66574">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自合同签订之日起，</w:t>
            </w:r>
            <w:r>
              <w:rPr>
                <w:rFonts w:hint="eastAsia" w:ascii="宋体" w:hAnsi="宋体" w:cs="宋体"/>
                <w:color w:val="auto"/>
                <w:sz w:val="24"/>
                <w:szCs w:val="24"/>
                <w:highlight w:val="none"/>
                <w:lang w:val="en-US" w:eastAsia="zh-CN"/>
              </w:rPr>
              <w:t>10月</w:t>
            </w:r>
            <w:r>
              <w:rPr>
                <w:rFonts w:hint="default" w:ascii="宋体" w:hAnsi="宋体" w:eastAsia="宋体" w:cs="宋体"/>
                <w:color w:val="auto"/>
                <w:sz w:val="24"/>
                <w:szCs w:val="24"/>
                <w:highlight w:val="none"/>
                <w:lang w:val="en-US" w:eastAsia="zh-CN"/>
              </w:rPr>
              <w:t>内完成全部工作并提交成果文件（每批次服务期限以补充合同为准）</w:t>
            </w:r>
          </w:p>
        </w:tc>
      </w:tr>
      <w:tr w14:paraId="0EA2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71223E1">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p>
        </w:tc>
        <w:tc>
          <w:tcPr>
            <w:tcW w:w="2833" w:type="dxa"/>
            <w:noWrap w:val="0"/>
            <w:vAlign w:val="center"/>
          </w:tcPr>
          <w:p w14:paraId="4BCD408A">
            <w:pP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投标保证金金额</w:t>
            </w:r>
          </w:p>
        </w:tc>
        <w:tc>
          <w:tcPr>
            <w:tcW w:w="6519" w:type="dxa"/>
            <w:noWrap w:val="0"/>
            <w:vAlign w:val="center"/>
          </w:tcPr>
          <w:p w14:paraId="666B8768">
            <w:pPr>
              <w:rPr>
                <w:rFonts w:hint="eastAsia" w:ascii="宋体" w:hAnsi="宋体" w:eastAsia="宋体" w:cs="宋体"/>
                <w:sz w:val="24"/>
                <w:szCs w:val="24"/>
                <w:highlight w:val="none"/>
              </w:rPr>
            </w:pPr>
            <w:r>
              <w:rPr>
                <w:rFonts w:hint="eastAsia" w:ascii="宋体" w:hAnsi="宋体" w:eastAsia="宋体" w:cs="宋体"/>
                <w:sz w:val="24"/>
                <w:szCs w:val="24"/>
                <w:highlight w:val="none"/>
              </w:rPr>
              <w:t>不需要缴纳投标保证金</w:t>
            </w:r>
          </w:p>
        </w:tc>
      </w:tr>
      <w:tr w14:paraId="335E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396CC522">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p>
        </w:tc>
        <w:tc>
          <w:tcPr>
            <w:tcW w:w="2833" w:type="dxa"/>
            <w:noWrap w:val="0"/>
            <w:vAlign w:val="center"/>
          </w:tcPr>
          <w:p w14:paraId="55A5E535">
            <w:pPr>
              <w:rPr>
                <w:rFonts w:hint="eastAsia" w:ascii="宋体" w:hAnsi="宋体" w:eastAsia="宋体" w:cs="宋体"/>
                <w:sz w:val="24"/>
                <w:szCs w:val="24"/>
                <w:highlight w:val="none"/>
              </w:rPr>
            </w:pPr>
            <w:r>
              <w:rPr>
                <w:rFonts w:hint="eastAsia" w:ascii="宋体" w:hAnsi="宋体" w:eastAsia="宋体" w:cs="宋体"/>
                <w:sz w:val="24"/>
                <w:szCs w:val="24"/>
                <w:highlight w:val="none"/>
              </w:rPr>
              <w:t>答疑</w:t>
            </w:r>
          </w:p>
        </w:tc>
        <w:tc>
          <w:tcPr>
            <w:tcW w:w="6519" w:type="dxa"/>
            <w:noWrap w:val="0"/>
            <w:vAlign w:val="center"/>
          </w:tcPr>
          <w:p w14:paraId="771117F6">
            <w:pPr>
              <w:rPr>
                <w:rFonts w:hint="eastAsia" w:ascii="宋体" w:hAnsi="宋体" w:eastAsia="宋体" w:cs="宋体"/>
                <w:sz w:val="24"/>
                <w:szCs w:val="24"/>
                <w:highlight w:val="none"/>
              </w:rPr>
            </w:pPr>
            <w:r>
              <w:rPr>
                <w:rFonts w:hint="eastAsia" w:ascii="宋体" w:hAnsi="宋体" w:eastAsia="宋体" w:cs="宋体"/>
                <w:sz w:val="24"/>
                <w:szCs w:val="24"/>
                <w:highlight w:val="none"/>
              </w:rPr>
              <w:t>疑问的提出与答疑获取详见招标文件第二部分第五章</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须知第36条。</w:t>
            </w:r>
          </w:p>
          <w:p w14:paraId="0F1E4018">
            <w:pPr>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周口市公共资源交易中心政府采购中心对招标文件进行的澄清、更正或更改，将在网站上及时发布，该公告内容为招标文件的组成部分，对</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具有同样约束力效力。</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应主动上网查询。周口市公共资源交易中心政府采购中心不承担</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未及时关注相关信息引发的相关责任。</w:t>
            </w:r>
          </w:p>
        </w:tc>
      </w:tr>
      <w:tr w14:paraId="7358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blHeader/>
          <w:jc w:val="center"/>
        </w:trPr>
        <w:tc>
          <w:tcPr>
            <w:tcW w:w="788" w:type="dxa"/>
            <w:noWrap w:val="0"/>
            <w:vAlign w:val="center"/>
          </w:tcPr>
          <w:p w14:paraId="13FB206F">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p>
        </w:tc>
        <w:tc>
          <w:tcPr>
            <w:tcW w:w="2833" w:type="dxa"/>
            <w:noWrap w:val="0"/>
            <w:vAlign w:val="center"/>
          </w:tcPr>
          <w:p w14:paraId="4842302B">
            <w:pPr>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519" w:type="dxa"/>
            <w:noWrap w:val="0"/>
            <w:vAlign w:val="center"/>
          </w:tcPr>
          <w:p w14:paraId="3088784C">
            <w:pPr>
              <w:rPr>
                <w:rFonts w:hint="eastAsia" w:ascii="宋体" w:hAnsi="宋体" w:eastAsia="宋体" w:cs="宋体"/>
                <w:sz w:val="24"/>
                <w:szCs w:val="24"/>
                <w:highlight w:val="none"/>
              </w:rPr>
            </w:pPr>
            <w:r>
              <w:rPr>
                <w:rFonts w:hint="eastAsia" w:ascii="宋体" w:hAnsi="宋体" w:cs="宋体"/>
                <w:sz w:val="24"/>
                <w:highlight w:val="none"/>
                <w:lang w:val="en-US" w:eastAsia="zh-CN"/>
              </w:rPr>
              <w:t>不组织</w:t>
            </w:r>
          </w:p>
        </w:tc>
      </w:tr>
      <w:tr w14:paraId="502F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10EDEB60">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p>
        </w:tc>
        <w:tc>
          <w:tcPr>
            <w:tcW w:w="2833" w:type="dxa"/>
            <w:noWrap w:val="0"/>
            <w:vAlign w:val="center"/>
          </w:tcPr>
          <w:p w14:paraId="1F33D754">
            <w:pP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w:t>
            </w:r>
          </w:p>
        </w:tc>
        <w:tc>
          <w:tcPr>
            <w:tcW w:w="6519" w:type="dxa"/>
            <w:noWrap w:val="0"/>
            <w:vAlign w:val="center"/>
          </w:tcPr>
          <w:p w14:paraId="70BEF66D">
            <w:pPr>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highlight w:val="none"/>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13387AF">
            <w:pPr>
              <w:pStyle w:val="15"/>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2、本项目实行网上远程开标无须到现场提交</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lang w:val="en-US" w:eastAsia="zh-CN"/>
              </w:rPr>
              <w:t>文件，未加密的电子投标文件和纸质文件不再提交。</w:t>
            </w:r>
          </w:p>
        </w:tc>
      </w:tr>
      <w:tr w14:paraId="6F70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8595A53">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p>
        </w:tc>
        <w:tc>
          <w:tcPr>
            <w:tcW w:w="2833" w:type="dxa"/>
            <w:noWrap w:val="0"/>
            <w:vAlign w:val="center"/>
          </w:tcPr>
          <w:p w14:paraId="4D632E9A">
            <w:pPr>
              <w:rPr>
                <w:rFonts w:hint="eastAsia" w:ascii="宋体" w:hAnsi="宋体" w:eastAsia="宋体" w:cs="宋体"/>
                <w:sz w:val="24"/>
                <w:szCs w:val="24"/>
                <w:highlight w:val="none"/>
              </w:rPr>
            </w:pPr>
            <w:r>
              <w:rPr>
                <w:rFonts w:hint="eastAsia" w:ascii="宋体" w:hAnsi="宋体" w:eastAsia="宋体" w:cs="宋体"/>
                <w:sz w:val="24"/>
                <w:szCs w:val="24"/>
                <w:highlight w:val="none"/>
              </w:rPr>
              <w:t>投标时间及地点</w:t>
            </w:r>
          </w:p>
        </w:tc>
        <w:tc>
          <w:tcPr>
            <w:tcW w:w="6519" w:type="dxa"/>
            <w:noWrap w:val="0"/>
            <w:vAlign w:val="center"/>
          </w:tcPr>
          <w:p w14:paraId="5B799F9F">
            <w:p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投标截止时间：***年***月  日***（见招标公告）      </w:t>
            </w:r>
          </w:p>
          <w:p w14:paraId="6D9FDCF5">
            <w:pPr>
              <w:rPr>
                <w:rFonts w:hint="eastAsia" w:ascii="宋体" w:hAnsi="宋体" w:eastAsia="宋体"/>
                <w:sz w:val="24"/>
                <w:highlight w:val="none"/>
                <w:lang w:val="en-US" w:eastAsia="zh-CN"/>
              </w:rPr>
            </w:pPr>
            <w:r>
              <w:rPr>
                <w:rFonts w:hint="eastAsia" w:ascii="宋体" w:hAnsi="宋体" w:eastAsia="宋体" w:cs="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A873026">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2E636B62">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（本项目实行网上远程开标无须到现场提交</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文件）</w:t>
            </w:r>
          </w:p>
        </w:tc>
      </w:tr>
      <w:tr w14:paraId="1A15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blHeader/>
          <w:jc w:val="center"/>
        </w:trPr>
        <w:tc>
          <w:tcPr>
            <w:tcW w:w="788" w:type="dxa"/>
            <w:noWrap w:val="0"/>
            <w:vAlign w:val="center"/>
          </w:tcPr>
          <w:p w14:paraId="780632D3">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2833" w:type="dxa"/>
            <w:noWrap w:val="0"/>
            <w:vAlign w:val="center"/>
          </w:tcPr>
          <w:p w14:paraId="7BCADBBA">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开标时间及地点</w:t>
            </w:r>
          </w:p>
        </w:tc>
        <w:tc>
          <w:tcPr>
            <w:tcW w:w="6519" w:type="dxa"/>
            <w:noWrap w:val="0"/>
            <w:vAlign w:val="center"/>
          </w:tcPr>
          <w:p w14:paraId="34578155">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月   日</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 xml:space="preserve">（见招标公告）      </w:t>
            </w:r>
          </w:p>
          <w:p w14:paraId="2B85C41D">
            <w:pPr>
              <w:ind w:left="360" w:hanging="360" w:hangingChars="15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r>
              <w:rPr>
                <w:rFonts w:hint="eastAsia" w:ascii="宋体" w:hAnsi="宋体" w:eastAsia="宋体" w:cs="宋体"/>
                <w:sz w:val="24"/>
                <w:szCs w:val="24"/>
                <w:highlight w:val="none"/>
              </w:rPr>
              <w:t>周口市公共资源交易中心</w:t>
            </w:r>
            <w:r>
              <w:rPr>
                <w:rFonts w:hint="eastAsia" w:ascii="宋体" w:hAnsi="宋体" w:eastAsia="宋体" w:cs="宋体"/>
                <w:i w:val="0"/>
                <w:iCs w:val="0"/>
                <w:sz w:val="24"/>
                <w:szCs w:val="24"/>
                <w:highlight w:val="none"/>
                <w:lang w:val="en-US" w:eastAsia="zh-CN"/>
              </w:rPr>
              <w:t>四楼开标室)</w:t>
            </w:r>
          </w:p>
        </w:tc>
      </w:tr>
      <w:tr w14:paraId="774B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788" w:type="dxa"/>
            <w:noWrap w:val="0"/>
            <w:vAlign w:val="center"/>
          </w:tcPr>
          <w:p w14:paraId="22F943C4">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2833" w:type="dxa"/>
            <w:noWrap w:val="0"/>
            <w:vAlign w:val="center"/>
          </w:tcPr>
          <w:p w14:paraId="73571F34">
            <w:pPr>
              <w:rPr>
                <w:rFonts w:hint="eastAsia" w:ascii="宋体" w:hAnsi="宋体" w:eastAsia="宋体" w:cs="宋体"/>
                <w:sz w:val="24"/>
                <w:szCs w:val="24"/>
                <w:highlight w:val="none"/>
              </w:rPr>
            </w:pPr>
            <w:r>
              <w:rPr>
                <w:rFonts w:hint="eastAsia" w:ascii="宋体" w:hAnsi="宋体" w:eastAsia="宋体" w:cs="宋体"/>
                <w:sz w:val="24"/>
                <w:szCs w:val="24"/>
                <w:highlight w:val="none"/>
              </w:rPr>
              <w:t>评标办法</w:t>
            </w:r>
          </w:p>
        </w:tc>
        <w:tc>
          <w:tcPr>
            <w:tcW w:w="6519" w:type="dxa"/>
            <w:noWrap w:val="0"/>
            <w:vAlign w:val="center"/>
          </w:tcPr>
          <w:p w14:paraId="4CDB4D01">
            <w:pPr>
              <w:rPr>
                <w:rFonts w:hint="eastAsia" w:ascii="宋体" w:hAnsi="宋体" w:eastAsia="宋体" w:cs="宋体"/>
                <w:sz w:val="24"/>
                <w:szCs w:val="24"/>
                <w:highlight w:val="none"/>
              </w:rPr>
            </w:pPr>
            <w:r>
              <w:rPr>
                <w:rFonts w:hint="eastAsia" w:ascii="宋体" w:hAnsi="宋体" w:eastAsia="宋体" w:cs="宋体"/>
                <w:sz w:val="24"/>
                <w:szCs w:val="24"/>
                <w:highlight w:val="none"/>
              </w:rPr>
              <w:t>综合评分法 详见招标文件第一部分第四章评标办法</w:t>
            </w:r>
          </w:p>
        </w:tc>
      </w:tr>
      <w:tr w14:paraId="17EF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7736295F">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2833" w:type="dxa"/>
            <w:noWrap w:val="0"/>
            <w:vAlign w:val="center"/>
          </w:tcPr>
          <w:p w14:paraId="6E01C8F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其它</w:t>
            </w:r>
          </w:p>
        </w:tc>
        <w:tc>
          <w:tcPr>
            <w:tcW w:w="6519" w:type="dxa"/>
            <w:noWrap w:val="0"/>
            <w:vAlign w:val="center"/>
          </w:tcPr>
          <w:p w14:paraId="4FFBD0DD">
            <w:pPr>
              <w:numPr>
                <w:ilvl w:val="0"/>
                <w:numId w:val="0"/>
              </w:numPr>
              <w:rPr>
                <w:rFonts w:hint="eastAsia" w:ascii="宋体" w:hAnsi="宋体" w:eastAsia="宋体" w:cs="宋体"/>
                <w:color w:val="FF0000"/>
                <w:kern w:val="2"/>
                <w:sz w:val="24"/>
                <w:szCs w:val="24"/>
                <w:highlight w:val="none"/>
                <w:lang w:val="en-US" w:eastAsia="zh-CN" w:bidi="ar-SA"/>
              </w:rPr>
            </w:pPr>
            <w:r>
              <w:rPr>
                <w:rFonts w:hint="eastAsia" w:ascii="宋体" w:hAnsi="宋体" w:eastAsia="宋体" w:cs="宋体"/>
                <w:color w:val="auto"/>
                <w:sz w:val="24"/>
                <w:szCs w:val="24"/>
                <w:highlight w:val="none"/>
              </w:rPr>
              <w:t>供应商应在投标文件中承诺未被纳入本地黑名单且未存在不诚信记录，如若实际情况与供应商承诺内容不一致，一经查实将取消其中标资格。</w:t>
            </w:r>
          </w:p>
        </w:tc>
      </w:tr>
      <w:tr w14:paraId="28B6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26A8C690">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2833" w:type="dxa"/>
            <w:noWrap w:val="0"/>
            <w:vAlign w:val="center"/>
          </w:tcPr>
          <w:p w14:paraId="176D6198">
            <w:pPr>
              <w:rPr>
                <w:rFonts w:hint="eastAsia" w:ascii="宋体" w:hAnsi="宋体" w:eastAsia="宋体" w:cs="宋体"/>
                <w:sz w:val="24"/>
                <w:szCs w:val="24"/>
                <w:highlight w:val="none"/>
              </w:rPr>
            </w:pPr>
            <w:r>
              <w:rPr>
                <w:rFonts w:hint="eastAsia" w:ascii="宋体" w:hAnsi="宋体" w:eastAsia="宋体" w:cs="宋体"/>
                <w:sz w:val="24"/>
                <w:szCs w:val="24"/>
                <w:highlight w:val="none"/>
              </w:rPr>
              <w:t>本项目采购标的中小微企业划分标准所属行业</w:t>
            </w:r>
          </w:p>
        </w:tc>
        <w:tc>
          <w:tcPr>
            <w:tcW w:w="6519" w:type="dxa"/>
            <w:noWrap w:val="0"/>
            <w:vAlign w:val="center"/>
          </w:tcPr>
          <w:p w14:paraId="20781D20">
            <w:pP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其他未列明行业</w:t>
            </w:r>
            <w:r>
              <w:rPr>
                <w:rFonts w:hint="eastAsia" w:ascii="宋体" w:hAnsi="宋体" w:eastAsia="宋体" w:cs="宋体"/>
                <w:sz w:val="24"/>
                <w:szCs w:val="24"/>
                <w:highlight w:val="none"/>
                <w:lang w:val="en-US" w:eastAsia="zh-CN"/>
              </w:rPr>
              <w:t xml:space="preserve">        </w:t>
            </w:r>
          </w:p>
        </w:tc>
      </w:tr>
    </w:tbl>
    <w:p w14:paraId="3084A0E7">
      <w:pPr>
        <w:bidi w:val="0"/>
        <w:rPr>
          <w:rFonts w:hint="eastAsia"/>
          <w:highlight w:val="none"/>
        </w:rPr>
      </w:pPr>
      <w:bookmarkStart w:id="40" w:name="_Hlt516969057"/>
      <w:bookmarkEnd w:id="40"/>
      <w:bookmarkStart w:id="41" w:name="_Hlt519045778"/>
      <w:bookmarkEnd w:id="41"/>
      <w:bookmarkStart w:id="42" w:name="_Hlt509650027"/>
      <w:bookmarkEnd w:id="42"/>
      <w:bookmarkStart w:id="43" w:name="_Hlt509650351"/>
      <w:bookmarkEnd w:id="43"/>
      <w:bookmarkStart w:id="44" w:name="_Toc22493"/>
      <w:bookmarkStart w:id="45" w:name="_Toc450_WPSOffice_Level1"/>
      <w:bookmarkStart w:id="46" w:name="_Toc220232390"/>
    </w:p>
    <w:p w14:paraId="38A30649">
      <w:pPr>
        <w:bidi w:val="0"/>
        <w:rPr>
          <w:rFonts w:hint="eastAsia"/>
          <w:highlight w:val="none"/>
        </w:rPr>
      </w:pPr>
    </w:p>
    <w:p w14:paraId="2EBC74E8">
      <w:pPr>
        <w:bidi w:val="0"/>
        <w:rPr>
          <w:rFonts w:hint="eastAsia"/>
          <w:highlight w:val="none"/>
        </w:rPr>
      </w:pPr>
    </w:p>
    <w:p w14:paraId="16E36AC7">
      <w:pPr>
        <w:bidi w:val="0"/>
        <w:rPr>
          <w:rFonts w:hint="eastAsia"/>
          <w:highlight w:val="none"/>
        </w:rPr>
      </w:pPr>
    </w:p>
    <w:p w14:paraId="02A21755">
      <w:pPr>
        <w:pStyle w:val="2"/>
        <w:rPr>
          <w:rFonts w:hint="eastAsia"/>
          <w:highlight w:val="none"/>
        </w:rPr>
      </w:pPr>
    </w:p>
    <w:p w14:paraId="6B3F11E5">
      <w:pPr>
        <w:pStyle w:val="4"/>
        <w:ind w:firstLine="0"/>
        <w:rPr>
          <w:rFonts w:hint="eastAsia" w:ascii="宋体" w:hAnsi="宋体" w:eastAsia="宋体" w:cs="宋体"/>
          <w:highlight w:val="none"/>
        </w:rPr>
      </w:pPr>
      <w:r>
        <w:rPr>
          <w:rFonts w:hint="eastAsia" w:ascii="宋体" w:hAnsi="宋体" w:eastAsia="宋体" w:cs="宋体"/>
          <w:highlight w:val="none"/>
        </w:rPr>
        <w:t>第三章</w:t>
      </w:r>
      <w:r>
        <w:rPr>
          <w:rFonts w:hint="eastAsia" w:ascii="宋体" w:hAnsi="宋体" w:eastAsia="宋体" w:cs="宋体"/>
          <w:highlight w:val="none"/>
          <w:lang w:eastAsia="zh-CN"/>
        </w:rPr>
        <w:t xml:space="preserve">  </w:t>
      </w:r>
      <w:r>
        <w:rPr>
          <w:rFonts w:hint="eastAsia" w:ascii="宋体" w:hAnsi="宋体" w:eastAsia="宋体" w:cs="宋体"/>
          <w:highlight w:val="none"/>
        </w:rPr>
        <w:t>需求一览表</w:t>
      </w:r>
      <w:bookmarkEnd w:id="44"/>
      <w:bookmarkEnd w:id="45"/>
      <w:bookmarkEnd w:id="46"/>
    </w:p>
    <w:p w14:paraId="551F5BCF">
      <w:pPr>
        <w:spacing w:line="360" w:lineRule="auto"/>
        <w:ind w:firstLine="480" w:firstLineChars="200"/>
        <w:rPr>
          <w:rFonts w:hint="eastAsia" w:ascii="宋体" w:hAnsi="宋体" w:eastAsia="宋体" w:cs="宋体"/>
          <w:sz w:val="24"/>
          <w:szCs w:val="28"/>
          <w:highlight w:val="none"/>
        </w:rPr>
      </w:pPr>
      <w:bookmarkStart w:id="47" w:name="_Hlt509716920"/>
      <w:bookmarkEnd w:id="47"/>
      <w:r>
        <w:rPr>
          <w:rFonts w:hint="eastAsia" w:ascii="宋体" w:hAnsi="宋体" w:eastAsia="宋体" w:cs="宋体"/>
          <w:sz w:val="24"/>
          <w:szCs w:val="28"/>
          <w:highlight w:val="none"/>
        </w:rPr>
        <w:t>前注：1） 本需求中提出的技术方案仅为参考，如无明确限制，</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可以进行优化，提供满足用户实际需要的更优（或者性能实质上不低于的）</w:t>
      </w:r>
      <w:r>
        <w:rPr>
          <w:rFonts w:hint="eastAsia" w:ascii="宋体" w:hAnsi="宋体" w:eastAsia="宋体" w:cs="宋体"/>
          <w:sz w:val="24"/>
          <w:szCs w:val="24"/>
          <w:highlight w:val="none"/>
        </w:rPr>
        <w:t>技术方案或者设备配置，且此方案或配置须经评委会审核认可；</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    2） 为鼓励不同品牌的充分竞争，如某设备的某技术参数或要求属于个别品牌专有，则该技术参数及要求不具有限制性，</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可对该参数或要求进行适当调整，并应当说明调整的理由，且此调整须经评委会审核认可；</w:t>
      </w:r>
    </w:p>
    <w:p w14:paraId="655F1E76">
      <w:pPr>
        <w:spacing w:line="360" w:lineRule="auto"/>
        <w:ind w:firstLine="480" w:firstLineChars="200"/>
        <w:rPr>
          <w:rFonts w:hint="eastAsia" w:ascii="宋体" w:hAnsi="宋体" w:eastAsia="宋体" w:cs="宋体"/>
          <w:sz w:val="24"/>
          <w:szCs w:val="28"/>
          <w:highlight w:val="none"/>
        </w:rPr>
      </w:pPr>
      <w:r>
        <w:rPr>
          <w:rFonts w:hint="eastAsia" w:ascii="宋体" w:hAnsi="宋体" w:eastAsia="宋体" w:cs="宋体"/>
          <w:sz w:val="24"/>
          <w:szCs w:val="28"/>
          <w:highlight w:val="none"/>
        </w:rPr>
        <w:t xml:space="preserve">3） </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应当在投标文件中列出完成本项目并通过验收所需的所有各项服务等明细表及全部费用。</w:t>
      </w:r>
      <w:r>
        <w:rPr>
          <w:rFonts w:hint="eastAsia" w:ascii="宋体" w:hAnsi="宋体" w:cs="宋体"/>
          <w:sz w:val="24"/>
          <w:szCs w:val="28"/>
          <w:highlight w:val="none"/>
          <w:lang w:val="en-US" w:eastAsia="zh-CN"/>
        </w:rPr>
        <w:t>供应商必须在投标文件中书面承诺，若中标，</w:t>
      </w:r>
      <w:r>
        <w:rPr>
          <w:rFonts w:hint="eastAsia" w:ascii="宋体" w:hAnsi="宋体" w:eastAsia="宋体" w:cs="宋体"/>
          <w:sz w:val="24"/>
          <w:szCs w:val="28"/>
          <w:highlight w:val="none"/>
        </w:rPr>
        <w:t>确保整体通过用户方及有关主管部门验收,所发生的验收费用由中标人承担；</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应自行踏勘现场，如</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因未及时踏勘现场而导致的报价缺项漏项废标、或中标后无法完工，</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自行承担一切后果；</w:t>
      </w:r>
      <w:r>
        <w:rPr>
          <w:rFonts w:hint="eastAsia" w:ascii="宋体" w:hAnsi="宋体" w:eastAsia="宋体" w:cs="宋体"/>
          <w:sz w:val="24"/>
          <w:szCs w:val="28"/>
          <w:highlight w:val="none"/>
        </w:rPr>
        <w:cr/>
      </w:r>
      <w:r>
        <w:rPr>
          <w:rFonts w:hint="eastAsia" w:ascii="宋体" w:hAnsi="宋体" w:eastAsia="宋体" w:cs="宋体"/>
          <w:sz w:val="24"/>
          <w:szCs w:val="28"/>
          <w:highlight w:val="none"/>
        </w:rPr>
        <w:t xml:space="preserve">    </w:t>
      </w:r>
      <w:r>
        <w:rPr>
          <w:rFonts w:hint="eastAsia" w:ascii="宋体" w:hAnsi="宋体" w:cs="宋体"/>
          <w:sz w:val="24"/>
          <w:szCs w:val="28"/>
          <w:highlight w:val="none"/>
          <w:lang w:val="en-US" w:eastAsia="zh-CN"/>
        </w:rPr>
        <w:t>4</w:t>
      </w:r>
      <w:r>
        <w:rPr>
          <w:rFonts w:hint="eastAsia" w:ascii="宋体" w:hAnsi="宋体" w:eastAsia="宋体" w:cs="宋体"/>
          <w:sz w:val="24"/>
          <w:szCs w:val="28"/>
          <w:highlight w:val="none"/>
        </w:rPr>
        <w:t>）如对本招标文件有任何疑问或澄清要求，请按本招标文件“</w:t>
      </w: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须知前附表”中约定联系周口市公共交资源交易中心政府采购中心，或接受答疑截止时间前联系采购人。否则视同理解和接受。</w:t>
      </w:r>
      <w:bookmarkStart w:id="48" w:name="_Toc6821_WPSOffice_Level2"/>
    </w:p>
    <w:p w14:paraId="7FA411D6">
      <w:pPr>
        <w:spacing w:line="360" w:lineRule="auto"/>
        <w:ind w:firstLine="643" w:firstLineChars="200"/>
        <w:rPr>
          <w:rFonts w:hint="eastAsia" w:ascii="宋体" w:hAnsi="宋体" w:eastAsia="宋体" w:cs="宋体"/>
          <w:b/>
          <w:sz w:val="32"/>
          <w:szCs w:val="32"/>
          <w:highlight w:val="none"/>
        </w:rPr>
      </w:pPr>
    </w:p>
    <w:p w14:paraId="1C412658">
      <w:pPr>
        <w:spacing w:line="360" w:lineRule="auto"/>
        <w:ind w:firstLine="643" w:firstLineChars="200"/>
        <w:rPr>
          <w:rFonts w:hint="eastAsia" w:ascii="宋体" w:hAnsi="宋体" w:eastAsia="宋体" w:cs="宋体"/>
          <w:b/>
          <w:sz w:val="32"/>
          <w:szCs w:val="32"/>
          <w:highlight w:val="none"/>
        </w:rPr>
      </w:pPr>
    </w:p>
    <w:p w14:paraId="3AAFAF4B">
      <w:pPr>
        <w:spacing w:line="360" w:lineRule="auto"/>
        <w:ind w:firstLine="643" w:firstLineChars="200"/>
        <w:rPr>
          <w:rFonts w:hint="eastAsia" w:ascii="宋体" w:hAnsi="宋体" w:eastAsia="宋体" w:cs="宋体"/>
          <w:b/>
          <w:sz w:val="32"/>
          <w:szCs w:val="32"/>
          <w:highlight w:val="none"/>
        </w:rPr>
      </w:pPr>
    </w:p>
    <w:bookmarkEnd w:id="48"/>
    <w:p w14:paraId="6D4FEFA3">
      <w:pPr>
        <w:jc w:val="left"/>
        <w:rPr>
          <w:rFonts w:hint="eastAsia" w:ascii="宋体" w:hAnsi="宋体" w:eastAsia="宋体" w:cs="宋体"/>
          <w:highlight w:val="none"/>
        </w:rPr>
        <w:sectPr>
          <w:pgSz w:w="11906" w:h="16838"/>
          <w:pgMar w:top="1440" w:right="1689" w:bottom="1440" w:left="1633" w:header="851" w:footer="992" w:gutter="0"/>
          <w:cols w:space="720" w:num="1"/>
          <w:docGrid w:linePitch="312" w:charSpace="0"/>
        </w:sectPr>
      </w:pPr>
    </w:p>
    <w:p w14:paraId="18D8DE9B">
      <w:pPr>
        <w:pBdr>
          <w:bottom w:val="dotted" w:color="auto" w:sz="24" w:space="1"/>
        </w:pBdr>
        <w:spacing w:line="360" w:lineRule="auto"/>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服务需求</w:t>
      </w:r>
      <w:bookmarkStart w:id="49" w:name="_Toc14806_WPSOffice_Level2"/>
    </w:p>
    <w:p w14:paraId="719DC934">
      <w:pPr>
        <w:bidi w:val="0"/>
        <w:rPr>
          <w:rFonts w:hint="eastAsia"/>
          <w:highlight w:val="none"/>
        </w:rPr>
      </w:pPr>
      <w:bookmarkStart w:id="50" w:name="_Toc11739_WPSOffice_Level1"/>
    </w:p>
    <w:p w14:paraId="61D6CB5F">
      <w:pPr>
        <w:spacing w:line="360" w:lineRule="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服务内容：</w:t>
      </w:r>
    </w:p>
    <w:p w14:paraId="73444B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技术要求</w:t>
      </w:r>
    </w:p>
    <w:p w14:paraId="0B6B39F6">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一、</w:t>
      </w:r>
      <w:r>
        <w:rPr>
          <w:rFonts w:hint="eastAsia" w:asciiTheme="minorEastAsia" w:hAnsiTheme="minorEastAsia" w:eastAsiaTheme="minorEastAsia" w:cstheme="minorEastAsia"/>
          <w:sz w:val="24"/>
          <w:szCs w:val="24"/>
          <w:highlight w:val="none"/>
        </w:rPr>
        <w:t>服务内容</w:t>
      </w:r>
    </w:p>
    <w:p w14:paraId="0BBFE436">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乙方应按照</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河南省补充耕地质量验收实施细则（试行）》等</w:t>
      </w:r>
      <w:r>
        <w:rPr>
          <w:rFonts w:hint="eastAsia" w:asciiTheme="minorEastAsia" w:hAnsiTheme="minorEastAsia" w:eastAsiaTheme="minorEastAsia" w:cstheme="minorEastAsia"/>
          <w:sz w:val="24"/>
          <w:szCs w:val="24"/>
          <w:highlight w:val="none"/>
        </w:rPr>
        <w:t>相关</w:t>
      </w:r>
      <w:r>
        <w:rPr>
          <w:rFonts w:hint="eastAsia" w:asciiTheme="minorEastAsia" w:hAnsiTheme="minorEastAsia" w:eastAsiaTheme="minorEastAsia" w:cstheme="minorEastAsia"/>
          <w:sz w:val="24"/>
          <w:szCs w:val="24"/>
          <w:highlight w:val="none"/>
          <w:lang w:val="en-US" w:eastAsia="zh-CN"/>
        </w:rPr>
        <w:t>政策、</w:t>
      </w:r>
      <w:r>
        <w:rPr>
          <w:rFonts w:hint="eastAsia" w:asciiTheme="minorEastAsia" w:hAnsiTheme="minorEastAsia" w:eastAsiaTheme="minorEastAsia" w:cstheme="minorEastAsia"/>
          <w:sz w:val="24"/>
          <w:szCs w:val="24"/>
          <w:highlight w:val="none"/>
        </w:rPr>
        <w:t>技术标准及甲方要求，完成以下工作：</w:t>
      </w:r>
    </w:p>
    <w:p w14:paraId="5A81AF59">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资料收集分析：收集自然资源局、农业农村局等部门资料、资料审核、数据预处理、编写质量验收实施方案。含移交资料、核查其他需收集资料等，矢量数据分析、评级单元划分，布点、高程模型测量地形坡度等；</w:t>
      </w:r>
    </w:p>
    <w:p w14:paraId="2C6FA76E">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现场踏勘与采样：按照《河南省补充耕地质量鉴定技术规程（试行）》农业生产符合性评价指标踏勘方法和土壤样品采集要求进行。①按技术规程布设采样点进行土壤采样；②现场观测并记录土壤层次结构；③现场测量有效土层厚度，对侵入体及砾石含量进行称重计量；④采集土壤容重样品、耕层质地样品及表土混合样品，同步留存各类采样工作影像资料，确保采样过程可追溯；⑤对每个评价单元取一个混合土样进行化验；</w:t>
      </w:r>
    </w:p>
    <w:p w14:paraId="534EA424">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（3）样品检测：根据《河南省补充耕地质量鉴定技术规程（试行）》《耕地质量等级（GB/T33469）》等要求检测指标进行检测。</w:t>
      </w:r>
    </w:p>
    <w:p w14:paraId="3EDD6551">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（4）报告编制及建立数据库：包含农业生产符合性评价、耕地质量等级评价和数据库等。</w:t>
      </w:r>
    </w:p>
    <w:p w14:paraId="18DBB980">
      <w:pPr>
        <w:bidi w:val="0"/>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二、</w:t>
      </w:r>
      <w:r>
        <w:rPr>
          <w:rFonts w:hint="eastAsia" w:asciiTheme="minorEastAsia" w:hAnsiTheme="minorEastAsia" w:eastAsiaTheme="minorEastAsia" w:cstheme="minorEastAsia"/>
          <w:sz w:val="24"/>
          <w:szCs w:val="24"/>
          <w:highlight w:val="none"/>
        </w:rPr>
        <w:t>服务要求：</w:t>
      </w:r>
    </w:p>
    <w:p w14:paraId="3D5C73B8">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乙方应严格遵守相关法律法规及技术标准</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最新政策</w:t>
      </w:r>
      <w:r>
        <w:rPr>
          <w:rFonts w:hint="eastAsia" w:asciiTheme="minorEastAsia" w:hAnsiTheme="minorEastAsia" w:eastAsiaTheme="minorEastAsia" w:cstheme="minorEastAsia"/>
          <w:sz w:val="24"/>
          <w:szCs w:val="24"/>
          <w:highlight w:val="none"/>
        </w:rPr>
        <w:t>，确保服务过程</w:t>
      </w:r>
      <w:r>
        <w:rPr>
          <w:rFonts w:hint="eastAsia" w:asciiTheme="minorEastAsia" w:hAnsiTheme="minorEastAsia" w:eastAsiaTheme="minorEastAsia" w:cstheme="minorEastAsia"/>
          <w:sz w:val="24"/>
          <w:szCs w:val="24"/>
          <w:highlight w:val="none"/>
          <w:lang w:val="en-US" w:eastAsia="zh-CN"/>
        </w:rPr>
        <w:t>接受甲方及市农业农村主管部门的监督，并实行质量控制追溯机制；</w:t>
      </w:r>
    </w:p>
    <w:p w14:paraId="1CA73947">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初鉴</w:t>
      </w:r>
      <w:r>
        <w:rPr>
          <w:rFonts w:hint="eastAsia" w:asciiTheme="minorEastAsia" w:hAnsiTheme="minorEastAsia" w:eastAsiaTheme="minorEastAsia" w:cstheme="minorEastAsia"/>
          <w:sz w:val="24"/>
          <w:szCs w:val="24"/>
          <w:highlight w:val="none"/>
        </w:rPr>
        <w:t>报告》应内容完整、结论明确，</w:t>
      </w:r>
      <w:r>
        <w:rPr>
          <w:rFonts w:hint="eastAsia" w:asciiTheme="minorEastAsia" w:hAnsiTheme="minorEastAsia" w:eastAsiaTheme="minorEastAsia" w:cstheme="minorEastAsia"/>
          <w:sz w:val="24"/>
          <w:szCs w:val="24"/>
          <w:highlight w:val="none"/>
          <w:lang w:val="en-US" w:eastAsia="zh-CN"/>
        </w:rPr>
        <w:t>并可作为市级鉴定和省级抽核的依据；</w:t>
      </w:r>
    </w:p>
    <w:p w14:paraId="22BC3A41">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乙方应</w:t>
      </w:r>
      <w:r>
        <w:rPr>
          <w:rFonts w:hint="eastAsia" w:asciiTheme="minorEastAsia" w:hAnsiTheme="minorEastAsia" w:eastAsiaTheme="minorEastAsia" w:cstheme="minorEastAsia"/>
          <w:sz w:val="24"/>
          <w:szCs w:val="24"/>
          <w:highlight w:val="none"/>
          <w:lang w:val="en-US" w:eastAsia="zh-CN"/>
        </w:rPr>
        <w:t>有</w:t>
      </w:r>
      <w:r>
        <w:rPr>
          <w:rFonts w:hint="eastAsia" w:asciiTheme="minorEastAsia" w:hAnsiTheme="minorEastAsia" w:eastAsiaTheme="minorEastAsia" w:cstheme="minorEastAsia"/>
          <w:sz w:val="24"/>
          <w:szCs w:val="24"/>
          <w:highlight w:val="none"/>
        </w:rPr>
        <w:t>专业的技术团队及</w:t>
      </w:r>
      <w:r>
        <w:rPr>
          <w:rFonts w:hint="eastAsia" w:asciiTheme="minorEastAsia" w:hAnsiTheme="minorEastAsia" w:eastAsiaTheme="minorEastAsia" w:cstheme="minorEastAsia"/>
          <w:sz w:val="24"/>
          <w:szCs w:val="24"/>
          <w:highlight w:val="none"/>
          <w:lang w:val="en-US" w:eastAsia="zh-CN"/>
        </w:rPr>
        <w:t>委托的</w:t>
      </w:r>
      <w:r>
        <w:rPr>
          <w:rFonts w:hint="eastAsia" w:asciiTheme="minorEastAsia" w:hAnsiTheme="minorEastAsia" w:eastAsiaTheme="minorEastAsia" w:cstheme="minorEastAsia"/>
          <w:sz w:val="24"/>
          <w:szCs w:val="24"/>
          <w:highlight w:val="none"/>
        </w:rPr>
        <w:t>检测</w:t>
      </w:r>
      <w:r>
        <w:rPr>
          <w:rFonts w:hint="eastAsia" w:asciiTheme="minorEastAsia" w:hAnsiTheme="minorEastAsia" w:eastAsiaTheme="minorEastAsia" w:cstheme="minorEastAsia"/>
          <w:sz w:val="24"/>
          <w:szCs w:val="24"/>
          <w:highlight w:val="none"/>
          <w:lang w:val="en-US" w:eastAsia="zh-CN"/>
        </w:rPr>
        <w:t>机构或具备相应检测能力</w:t>
      </w:r>
      <w:r>
        <w:rPr>
          <w:rFonts w:hint="eastAsia" w:asciiTheme="minorEastAsia" w:hAnsiTheme="minorEastAsia" w:eastAsiaTheme="minorEastAsia" w:cstheme="minorEastAsia"/>
          <w:sz w:val="24"/>
          <w:szCs w:val="24"/>
          <w:highlight w:val="none"/>
        </w:rPr>
        <w:t>，技术人员应</w:t>
      </w:r>
      <w:r>
        <w:rPr>
          <w:rFonts w:hint="eastAsia" w:asciiTheme="minorEastAsia" w:hAnsiTheme="minorEastAsia" w:eastAsiaTheme="minorEastAsia" w:cstheme="minorEastAsia"/>
          <w:sz w:val="24"/>
          <w:szCs w:val="24"/>
          <w:highlight w:val="none"/>
          <w:lang w:eastAsia="zh-CN"/>
        </w:rPr>
        <w:t>具</w:t>
      </w:r>
      <w:r>
        <w:rPr>
          <w:rFonts w:hint="eastAsia" w:asciiTheme="minorEastAsia" w:hAnsiTheme="minorEastAsia" w:eastAsiaTheme="minorEastAsia" w:cstheme="minorEastAsia"/>
          <w:sz w:val="24"/>
          <w:szCs w:val="24"/>
          <w:highlight w:val="none"/>
        </w:rPr>
        <w:t>备相应的专业资质和工作经验</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检测</w:t>
      </w:r>
      <w:r>
        <w:rPr>
          <w:rFonts w:hint="eastAsia" w:asciiTheme="minorEastAsia" w:hAnsiTheme="minorEastAsia" w:eastAsiaTheme="minorEastAsia" w:cstheme="minorEastAsia"/>
          <w:sz w:val="24"/>
          <w:szCs w:val="24"/>
          <w:highlight w:val="none"/>
          <w:lang w:val="en-US" w:eastAsia="zh-CN"/>
        </w:rPr>
        <w:t>机构具有相应的资质，且不得参与两个（含）以上层级的检测任务；</w:t>
      </w:r>
    </w:p>
    <w:p w14:paraId="48801E89">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（4）乙方应严格按照有关规定及时支付人员和</w:t>
      </w:r>
      <w:r>
        <w:rPr>
          <w:rFonts w:hint="eastAsia" w:asciiTheme="minorEastAsia" w:hAnsiTheme="minorEastAsia" w:eastAsiaTheme="minorEastAsia" w:cstheme="minorEastAsia"/>
          <w:sz w:val="24"/>
          <w:szCs w:val="24"/>
          <w:highlight w:val="none"/>
        </w:rPr>
        <w:t>检测</w:t>
      </w:r>
      <w:r>
        <w:rPr>
          <w:rFonts w:hint="eastAsia" w:asciiTheme="minorEastAsia" w:hAnsiTheme="minorEastAsia" w:eastAsiaTheme="minorEastAsia" w:cstheme="minorEastAsia"/>
          <w:sz w:val="24"/>
          <w:szCs w:val="24"/>
          <w:highlight w:val="none"/>
          <w:lang w:val="en-US" w:eastAsia="zh-CN"/>
        </w:rPr>
        <w:t>机构及其他费用。</w:t>
      </w:r>
    </w:p>
    <w:p w14:paraId="353F0EA7">
      <w:pPr>
        <w:bidi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（5）如果农业生产符合性评价不合格，乙方应及时告知甲方并暂停后续工作；若需培肥改良，应提供技术支持。</w:t>
      </w:r>
    </w:p>
    <w:p w14:paraId="264F902C">
      <w:pPr>
        <w:spacing w:line="360" w:lineRule="auto"/>
        <w:rPr>
          <w:rFonts w:hint="eastAsia" w:ascii="宋体" w:hAnsi="宋体" w:eastAsia="宋体" w:cs="宋体"/>
          <w:color w:val="auto"/>
          <w:sz w:val="24"/>
          <w:szCs w:val="24"/>
          <w:highlight w:val="none"/>
          <w:lang w:eastAsia="zh-CN"/>
        </w:rPr>
      </w:pPr>
    </w:p>
    <w:p w14:paraId="3645365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其他要求：</w:t>
      </w:r>
    </w:p>
    <w:p w14:paraId="11A5D8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1.服务期限：自合同签订之日起，</w:t>
      </w:r>
      <w:r>
        <w:rPr>
          <w:rFonts w:hint="eastAsia" w:ascii="宋体" w:hAnsi="宋体" w:cs="宋体"/>
          <w:color w:val="auto"/>
          <w:sz w:val="24"/>
          <w:szCs w:val="24"/>
          <w:highlight w:val="none"/>
          <w:lang w:val="en-US" w:eastAsia="zh-CN"/>
        </w:rPr>
        <w:t>10月</w:t>
      </w:r>
      <w:r>
        <w:rPr>
          <w:rFonts w:hint="eastAsia" w:ascii="宋体" w:hAnsi="宋体" w:eastAsia="宋体" w:cs="宋体"/>
          <w:color w:val="auto"/>
          <w:sz w:val="24"/>
          <w:szCs w:val="24"/>
          <w:highlight w:val="none"/>
          <w:lang w:val="en-US" w:eastAsia="zh-CN"/>
        </w:rPr>
        <w:t xml:space="preserve">内完成全部工作并提交成果文件。  </w:t>
      </w:r>
    </w:p>
    <w:p w14:paraId="548C4A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2.付</w:t>
      </w:r>
      <w:r>
        <w:rPr>
          <w:rFonts w:hint="eastAsia" w:ascii="宋体" w:hAnsi="宋体" w:eastAsia="宋体" w:cs="宋体"/>
          <w:color w:val="auto"/>
          <w:sz w:val="24"/>
          <w:szCs w:val="24"/>
          <w:highlight w:val="none"/>
        </w:rPr>
        <w:t>款方式：</w:t>
      </w:r>
      <w:r>
        <w:rPr>
          <w:rFonts w:hint="eastAsia" w:asciiTheme="minorEastAsia" w:hAnsiTheme="minorEastAsia" w:eastAsiaTheme="minorEastAsia" w:cstheme="minorEastAsia"/>
          <w:color w:val="auto"/>
          <w:sz w:val="24"/>
          <w:szCs w:val="24"/>
          <w:highlight w:val="none"/>
          <w:lang w:val="en-US" w:eastAsia="zh-CN"/>
        </w:rPr>
        <w:t>①</w:t>
      </w:r>
      <w:r>
        <w:rPr>
          <w:rFonts w:hint="eastAsia" w:ascii="宋体" w:hAnsi="宋体" w:eastAsia="宋体" w:cs="宋体"/>
          <w:color w:val="auto"/>
          <w:sz w:val="24"/>
          <w:szCs w:val="24"/>
          <w:highlight w:val="none"/>
          <w:lang w:val="en-US" w:eastAsia="zh-CN"/>
        </w:rPr>
        <w:t>根据实际工作任务量，据实核算。甲方采取完成工程量的情况下一次性支付，若因特殊情况，乙方仅能完成前期的资料收集、方案编制、外业踏勘、视频资料制作等生产符合性评价，在不能完成下一步工作量的情况下，乙方提交《初鉴报告》后，甲方支付费用的50％；乙方完成全部工作量，在市级鉴定建立数据库后30个工作日内，甲方支付验收鉴定的全部费用。</w:t>
      </w:r>
      <w:r>
        <w:rPr>
          <w:rFonts w:hint="eastAsia" w:asciiTheme="minorEastAsia" w:hAnsiTheme="minorEastAsia" w:eastAsiaTheme="minorEastAsia" w:cstheme="minorEastAsia"/>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乙方应在每次付款前向甲方提供合法有效的等额增值税专用发票，否则甲方有权顺延付款，且不承担违约责任</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 xml:space="preserve">      </w:t>
      </w:r>
    </w:p>
    <w:p w14:paraId="122D2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3.服务地点</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 xml:space="preserve">采购人指定地点 </w:t>
      </w:r>
    </w:p>
    <w:p w14:paraId="1085FC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.质量要求：合格，达到招标人要求标准。</w:t>
      </w:r>
    </w:p>
    <w:p w14:paraId="485E79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cs="宋体"/>
          <w:color w:val="auto"/>
          <w:spacing w:val="0"/>
          <w:position w:val="0"/>
          <w:sz w:val="24"/>
          <w:szCs w:val="24"/>
          <w:highlight w:val="none"/>
          <w:shd w:val="clear" w:fill="auto"/>
          <w:lang w:val="en-US" w:eastAsia="zh-CN"/>
        </w:rPr>
        <w:t>5.</w:t>
      </w:r>
      <w:r>
        <w:rPr>
          <w:rFonts w:hint="eastAsia" w:ascii="宋体" w:hAnsi="宋体" w:eastAsia="宋体" w:cs="宋体"/>
          <w:color w:val="auto"/>
          <w:spacing w:val="0"/>
          <w:position w:val="0"/>
          <w:sz w:val="24"/>
          <w:szCs w:val="24"/>
          <w:highlight w:val="none"/>
          <w:shd w:val="clear" w:fill="auto"/>
          <w:lang w:val="en-US" w:eastAsia="zh-CN"/>
        </w:rPr>
        <w:t>其他要求：供应商对其提供的产品请出具《关于符合本国产品标准的声明函》或财政部会同有关部门规定的有关证明文件。</w:t>
      </w:r>
    </w:p>
    <w:p w14:paraId="23C8881C">
      <w:pPr>
        <w:pStyle w:val="4"/>
        <w:bidi w:val="0"/>
        <w:ind w:left="0" w:leftChars="0" w:firstLine="0" w:firstLineChars="0"/>
        <w:jc w:val="center"/>
        <w:rPr>
          <w:rFonts w:hint="eastAsia" w:ascii="宋体" w:hAnsi="宋体" w:eastAsia="宋体" w:cs="宋体"/>
          <w:highlight w:val="none"/>
        </w:rPr>
      </w:pPr>
      <w:r>
        <w:rPr>
          <w:rFonts w:hint="eastAsia" w:ascii="宋体" w:hAnsi="宋体" w:eastAsia="宋体" w:cs="宋体"/>
          <w:highlight w:val="none"/>
        </w:rPr>
        <w:br w:type="page"/>
      </w:r>
      <w:bookmarkStart w:id="51" w:name="_Toc2172"/>
      <w:r>
        <w:rPr>
          <w:rFonts w:hint="eastAsia" w:ascii="宋体" w:hAnsi="宋体" w:eastAsia="宋体" w:cs="宋体"/>
          <w:highlight w:val="none"/>
        </w:rPr>
        <w:t>第</w:t>
      </w:r>
      <w:bookmarkStart w:id="52" w:name="_Hlt240110027"/>
      <w:bookmarkEnd w:id="52"/>
      <w:r>
        <w:rPr>
          <w:rFonts w:hint="eastAsia" w:ascii="宋体" w:hAnsi="宋体" w:eastAsia="宋体" w:cs="宋体"/>
          <w:highlight w:val="none"/>
        </w:rPr>
        <w:t>四章 评标办法</w:t>
      </w:r>
      <w:bookmarkEnd w:id="50"/>
      <w:bookmarkEnd w:id="51"/>
    </w:p>
    <w:p w14:paraId="050D94F2">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eastAsia="宋体" w:cs="宋体"/>
          <w:b/>
          <w:sz w:val="24"/>
          <w:highlight w:val="none"/>
        </w:rPr>
      </w:pPr>
      <w:bookmarkStart w:id="53" w:name="_Toc10750_WPSOffice_Level2"/>
      <w:r>
        <w:rPr>
          <w:rFonts w:hint="eastAsia" w:ascii="宋体" w:hAnsi="宋体" w:eastAsia="宋体" w:cs="宋体"/>
          <w:b/>
          <w:sz w:val="24"/>
          <w:highlight w:val="none"/>
        </w:rPr>
        <w:t>一．总  则</w:t>
      </w:r>
      <w:bookmarkEnd w:id="53"/>
    </w:p>
    <w:p w14:paraId="67F783F3">
      <w:pPr>
        <w:adjustRightInd w:val="0"/>
        <w:snapToGrid w:val="0"/>
        <w:spacing w:line="360" w:lineRule="auto"/>
        <w:ind w:right="-10" w:firstLine="422" w:firstLineChars="175"/>
        <w:rPr>
          <w:rFonts w:hint="eastAsia" w:ascii="宋体" w:hAnsi="宋体" w:eastAsia="宋体" w:cs="宋体"/>
          <w:b/>
          <w:bCs/>
          <w:sz w:val="24"/>
          <w:highlight w:val="none"/>
        </w:rPr>
      </w:pPr>
      <w:r>
        <w:rPr>
          <w:rFonts w:hint="eastAsia" w:ascii="宋体" w:hAnsi="宋体" w:eastAsia="宋体" w:cs="宋体"/>
          <w:b/>
          <w:bCs/>
          <w:sz w:val="24"/>
          <w:highlight w:val="none"/>
        </w:rPr>
        <w:t xml:space="preserve">第一条 </w:t>
      </w:r>
      <w:r>
        <w:rPr>
          <w:rFonts w:hint="eastAsia" w:ascii="宋体" w:hAnsi="宋体" w:eastAsia="宋体" w:cs="宋体"/>
          <w:sz w:val="24"/>
          <w:highlight w:val="none"/>
        </w:rPr>
        <w:t>为了做好</w:t>
      </w:r>
      <w:r>
        <w:rPr>
          <w:rFonts w:hint="eastAsia" w:ascii="宋体" w:hAnsi="宋体" w:eastAsia="宋体" w:cs="宋体"/>
          <w:b/>
          <w:bCs/>
          <w:sz w:val="24"/>
          <w:highlight w:val="none"/>
        </w:rPr>
        <w:t>本项目</w:t>
      </w:r>
      <w:r>
        <w:rPr>
          <w:rFonts w:hint="eastAsia" w:ascii="宋体" w:hAnsi="宋体" w:eastAsia="宋体" w:cs="宋体"/>
          <w:sz w:val="24"/>
          <w:highlight w:val="none"/>
        </w:rPr>
        <w:t>的招标评标工作，保证项目评审工作的正常有序进行，维护采购人、</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的合法权益，依据《中华人民共和国政府采购法》及其它相关法律法规，本着公开、公平、公正的原则，制定评标办法。</w:t>
      </w:r>
    </w:p>
    <w:p w14:paraId="5CF78F3E">
      <w:pPr>
        <w:adjustRightInd w:val="0"/>
        <w:snapToGrid w:val="0"/>
        <w:spacing w:line="360" w:lineRule="auto"/>
        <w:ind w:right="-10" w:firstLine="422" w:firstLineChars="175"/>
        <w:rPr>
          <w:rFonts w:hint="eastAsia" w:ascii="宋体" w:hAnsi="宋体" w:eastAsia="宋体" w:cs="宋体"/>
          <w:sz w:val="24"/>
          <w:highlight w:val="none"/>
        </w:rPr>
      </w:pPr>
      <w:r>
        <w:rPr>
          <w:rFonts w:hint="eastAsia" w:ascii="宋体" w:hAnsi="宋体" w:eastAsia="宋体" w:cs="宋体"/>
          <w:b/>
          <w:bCs/>
          <w:sz w:val="24"/>
          <w:highlight w:val="none"/>
        </w:rPr>
        <w:t xml:space="preserve">第二条 </w:t>
      </w:r>
      <w:r>
        <w:rPr>
          <w:rFonts w:hint="eastAsia" w:ascii="宋体" w:hAnsi="宋体" w:eastAsia="宋体" w:cs="宋体"/>
          <w:sz w:val="24"/>
          <w:highlight w:val="none"/>
        </w:rPr>
        <w:t>本次项目评标采用</w:t>
      </w:r>
      <w:r>
        <w:rPr>
          <w:rFonts w:hint="eastAsia" w:ascii="宋体" w:hAnsi="宋体" w:eastAsia="宋体" w:cs="宋体"/>
          <w:b/>
          <w:sz w:val="24"/>
          <w:highlight w:val="none"/>
        </w:rPr>
        <w:t>综合评分法</w:t>
      </w:r>
      <w:r>
        <w:rPr>
          <w:rFonts w:hint="eastAsia" w:ascii="宋体" w:hAnsi="宋体" w:eastAsia="宋体" w:cs="宋体"/>
          <w:sz w:val="24"/>
          <w:highlight w:val="none"/>
        </w:rPr>
        <w:t>作为对</w:t>
      </w:r>
      <w:r>
        <w:rPr>
          <w:rFonts w:hint="eastAsia" w:ascii="宋体" w:hAnsi="宋体" w:cs="宋体"/>
          <w:sz w:val="24"/>
          <w:highlight w:val="none"/>
          <w:lang w:eastAsia="zh-CN"/>
        </w:rPr>
        <w:t>供应商</w:t>
      </w:r>
      <w:r>
        <w:rPr>
          <w:rFonts w:hint="eastAsia" w:ascii="宋体" w:hAnsi="宋体" w:eastAsia="宋体" w:cs="宋体"/>
          <w:sz w:val="24"/>
          <w:highlight w:val="none"/>
        </w:rPr>
        <w:t>标书的比较方法。</w:t>
      </w:r>
    </w:p>
    <w:p w14:paraId="503F3A39">
      <w:pPr>
        <w:adjustRightInd w:val="0"/>
        <w:snapToGrid w:val="0"/>
        <w:spacing w:line="360" w:lineRule="auto"/>
        <w:ind w:left="-61" w:leftChars="-29"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第三条 </w:t>
      </w:r>
      <w:r>
        <w:rPr>
          <w:rFonts w:hint="eastAsia" w:ascii="宋体" w:hAnsi="宋体" w:eastAsia="宋体" w:cs="宋体"/>
          <w:sz w:val="24"/>
          <w:highlight w:val="none"/>
        </w:rPr>
        <w:t>按照《中华人民共和国政府采购法》及其相关规定组成评标委员会负责本项目的评审工作。评标委员会</w:t>
      </w:r>
      <w:r>
        <w:rPr>
          <w:rFonts w:hint="eastAsia" w:ascii="宋体" w:hAnsi="宋体" w:eastAsia="宋体" w:cs="宋体"/>
          <w:sz w:val="24"/>
          <w:szCs w:val="22"/>
          <w:highlight w:val="none"/>
        </w:rPr>
        <w:t>在政府采购专家库中随机抽取。</w:t>
      </w:r>
    </w:p>
    <w:p w14:paraId="53A3FA53">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第四条 </w:t>
      </w:r>
      <w:r>
        <w:rPr>
          <w:rFonts w:hint="eastAsia" w:ascii="宋体" w:hAnsi="宋体" w:eastAsia="宋体" w:cs="宋体"/>
          <w:sz w:val="24"/>
          <w:highlight w:val="none"/>
        </w:rPr>
        <w:t>评委会按照“客观公正，实事求是”的原则，评价参加本次招标的</w:t>
      </w:r>
      <w:r>
        <w:rPr>
          <w:rFonts w:hint="eastAsia" w:ascii="宋体" w:hAnsi="宋体" w:cs="宋体"/>
          <w:sz w:val="24"/>
          <w:highlight w:val="none"/>
          <w:lang w:eastAsia="zh-CN"/>
        </w:rPr>
        <w:t>供应商</w:t>
      </w:r>
      <w:r>
        <w:rPr>
          <w:rFonts w:hint="eastAsia" w:ascii="宋体" w:hAnsi="宋体" w:eastAsia="宋体" w:cs="宋体"/>
          <w:sz w:val="24"/>
          <w:highlight w:val="none"/>
        </w:rPr>
        <w:t>所提供的产品价格、性能、质量、服务及对招标文件的符合性及响应性。</w:t>
      </w:r>
    </w:p>
    <w:p w14:paraId="4B8AEA64">
      <w:pPr>
        <w:adjustRightInd w:val="0"/>
        <w:snapToGrid w:val="0"/>
        <w:spacing w:line="360" w:lineRule="auto"/>
        <w:jc w:val="center"/>
        <w:rPr>
          <w:rFonts w:hint="eastAsia" w:ascii="宋体" w:hAnsi="宋体" w:eastAsia="宋体" w:cs="宋体"/>
          <w:sz w:val="24"/>
          <w:highlight w:val="none"/>
        </w:rPr>
      </w:pPr>
      <w:bookmarkStart w:id="54" w:name="_Toc31922_WPSOffice_Level2"/>
      <w:r>
        <w:rPr>
          <w:rFonts w:hint="eastAsia" w:ascii="宋体" w:hAnsi="宋体" w:eastAsia="宋体" w:cs="宋体"/>
          <w:b/>
          <w:sz w:val="24"/>
          <w:highlight w:val="none"/>
        </w:rPr>
        <w:t>二．评标程序及评审细则</w:t>
      </w:r>
      <w:bookmarkEnd w:id="54"/>
    </w:p>
    <w:p w14:paraId="729FF417">
      <w:pPr>
        <w:adjustRightInd w:val="0"/>
        <w:snapToGrid w:val="0"/>
        <w:spacing w:line="360" w:lineRule="auto"/>
        <w:ind w:right="-10" w:firstLine="422" w:firstLineChars="175"/>
        <w:rPr>
          <w:rFonts w:hint="eastAsia" w:ascii="宋体" w:hAnsi="宋体" w:eastAsia="宋体" w:cs="宋体"/>
          <w:bCs/>
          <w:sz w:val="24"/>
          <w:highlight w:val="none"/>
        </w:rPr>
      </w:pPr>
      <w:r>
        <w:rPr>
          <w:rFonts w:hint="eastAsia" w:ascii="宋体" w:hAnsi="宋体" w:eastAsia="宋体" w:cs="宋体"/>
          <w:b/>
          <w:bCs/>
          <w:sz w:val="24"/>
          <w:highlight w:val="none"/>
        </w:rPr>
        <w:t>第五条</w:t>
      </w:r>
      <w:r>
        <w:rPr>
          <w:rFonts w:hint="eastAsia" w:ascii="宋体" w:hAnsi="宋体" w:eastAsia="宋体" w:cs="宋体"/>
          <w:bCs/>
          <w:sz w:val="24"/>
          <w:highlight w:val="none"/>
        </w:rPr>
        <w:t xml:space="preserve"> 评标工作于开标后进行。评委会应认真研究招标文件，至少应了解和熟悉以下内容：</w:t>
      </w:r>
    </w:p>
    <w:p w14:paraId="06EC806D">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（一）招标的目标；</w:t>
      </w:r>
    </w:p>
    <w:p w14:paraId="1A56A023">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（二）招标项目的范围和性质；</w:t>
      </w:r>
    </w:p>
    <w:p w14:paraId="6EDC885B">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（三）招标文件中规定的主要技术要求、标准和商务条款；</w:t>
      </w:r>
    </w:p>
    <w:p w14:paraId="633E7518">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（四）招标文件规定的评标标准、评标方法和在评标过程中考虑的相关因素。</w:t>
      </w:r>
    </w:p>
    <w:p w14:paraId="4FE0D0ED">
      <w:pPr>
        <w:adjustRightInd w:val="0"/>
        <w:snapToGrid w:val="0"/>
        <w:spacing w:line="360" w:lineRule="auto"/>
        <w:ind w:right="-10" w:firstLine="422" w:firstLineChars="175"/>
        <w:rPr>
          <w:rFonts w:hint="eastAsia" w:ascii="宋体" w:hAnsi="宋体" w:eastAsia="宋体" w:cs="宋体"/>
          <w:bCs/>
          <w:sz w:val="24"/>
          <w:highlight w:val="none"/>
        </w:rPr>
      </w:pPr>
      <w:r>
        <w:rPr>
          <w:rFonts w:hint="eastAsia" w:ascii="宋体" w:hAnsi="宋体" w:eastAsia="宋体" w:cs="宋体"/>
          <w:b/>
          <w:bCs/>
          <w:sz w:val="24"/>
          <w:highlight w:val="none"/>
        </w:rPr>
        <w:t>第六条</w:t>
      </w:r>
      <w:r>
        <w:rPr>
          <w:rFonts w:hint="eastAsia" w:ascii="宋体" w:hAnsi="宋体" w:eastAsia="宋体" w:cs="宋体"/>
          <w:bCs/>
          <w:sz w:val="24"/>
          <w:highlight w:val="none"/>
        </w:rPr>
        <w:t xml:space="preserve"> 有效投标应符合以下原则：</w:t>
      </w:r>
    </w:p>
    <w:p w14:paraId="7DB58A19">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（一）满足招标文件的实质性要求；</w:t>
      </w:r>
    </w:p>
    <w:p w14:paraId="3CC78B0B">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（二）无重大偏离、保留或采购人不能接受的附加条件；</w:t>
      </w:r>
    </w:p>
    <w:p w14:paraId="6476ABC5">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（三）通过投标符合性审查；</w:t>
      </w:r>
    </w:p>
    <w:p w14:paraId="5646B1FC">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（四）评委会依据招标文件认定的其他原则；</w:t>
      </w:r>
    </w:p>
    <w:p w14:paraId="6F59CB59">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（五）商务偏差表或技术偏差表数据不存在弄虚作假现象；</w:t>
      </w:r>
    </w:p>
    <w:p w14:paraId="023DBFD3">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（六）</w:t>
      </w:r>
      <w:r>
        <w:rPr>
          <w:rFonts w:hint="eastAsia" w:ascii="宋体" w:hAnsi="宋体" w:cs="宋体"/>
          <w:bCs/>
          <w:sz w:val="24"/>
          <w:highlight w:val="none"/>
          <w:lang w:eastAsia="zh-CN"/>
        </w:rPr>
        <w:t>供应商</w:t>
      </w:r>
      <w:r>
        <w:rPr>
          <w:rFonts w:hint="eastAsia" w:ascii="宋体" w:hAnsi="宋体" w:eastAsia="宋体" w:cs="宋体"/>
          <w:bCs/>
          <w:sz w:val="24"/>
          <w:highlight w:val="none"/>
        </w:rPr>
        <w:t>报价未超过采购人的采购预算；</w:t>
      </w:r>
    </w:p>
    <w:p w14:paraId="6217AB3F">
      <w:pPr>
        <w:adjustRightInd w:val="0"/>
        <w:snapToGrid w:val="0"/>
        <w:spacing w:line="360" w:lineRule="auto"/>
        <w:ind w:right="-10" w:firstLine="482" w:firstLineChars="200"/>
        <w:rPr>
          <w:rFonts w:hint="eastAsia" w:ascii="宋体" w:hAnsi="宋体" w:eastAsia="宋体" w:cs="宋体"/>
          <w:bCs/>
          <w:sz w:val="24"/>
          <w:szCs w:val="22"/>
          <w:highlight w:val="none"/>
        </w:rPr>
      </w:pPr>
      <w:r>
        <w:rPr>
          <w:rFonts w:hint="eastAsia" w:ascii="宋体" w:hAnsi="宋体" w:eastAsia="宋体" w:cs="宋体"/>
          <w:b/>
          <w:sz w:val="24"/>
          <w:highlight w:val="none"/>
        </w:rPr>
        <w:t xml:space="preserve">第七条 </w:t>
      </w:r>
      <w:r>
        <w:rPr>
          <w:rFonts w:hint="eastAsia" w:ascii="宋体" w:hAnsi="宋体" w:eastAsia="宋体" w:cs="宋体"/>
          <w:sz w:val="24"/>
          <w:highlight w:val="none"/>
        </w:rPr>
        <w:t>评委会从每个</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的投标文件开始独立评审，对开标后</w:t>
      </w:r>
      <w:r>
        <w:rPr>
          <w:rFonts w:hint="eastAsia" w:ascii="宋体" w:hAnsi="宋体" w:cs="宋体"/>
          <w:sz w:val="24"/>
          <w:highlight w:val="none"/>
          <w:lang w:eastAsia="zh-CN"/>
        </w:rPr>
        <w:t>供应商</w:t>
      </w:r>
      <w:r>
        <w:rPr>
          <w:rFonts w:hint="eastAsia" w:ascii="宋体" w:hAnsi="宋体" w:eastAsia="宋体" w:cs="宋体"/>
          <w:sz w:val="24"/>
          <w:highlight w:val="none"/>
        </w:rPr>
        <w:t>所提出的优惠条件不予以考虑。按</w:t>
      </w:r>
      <w:r>
        <w:rPr>
          <w:rFonts w:hint="eastAsia" w:ascii="宋体" w:hAnsi="宋体" w:eastAsia="宋体" w:cs="宋体"/>
          <w:bCs/>
          <w:sz w:val="24"/>
          <w:szCs w:val="22"/>
          <w:highlight w:val="none"/>
        </w:rPr>
        <w:t>综合得分从高到低的顺序评出中标候选人。</w:t>
      </w:r>
    </w:p>
    <w:p w14:paraId="5568C12B">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第八条 </w:t>
      </w:r>
      <w:r>
        <w:rPr>
          <w:rFonts w:hint="eastAsia" w:ascii="宋体" w:hAnsi="宋体" w:eastAsia="宋体" w:cs="宋体"/>
          <w:sz w:val="24"/>
          <w:highlight w:val="none"/>
        </w:rPr>
        <w:t>评审中，评委会发现</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的投标文件中对同类问题表述不一致、前后矛盾、有明显文字和计算错误的内容、有可能不符合招标文件规定等情况需要澄清时，评委会将以询标的方式告知并要求</w:t>
      </w:r>
      <w:r>
        <w:rPr>
          <w:rFonts w:hint="eastAsia" w:ascii="宋体" w:hAnsi="宋体" w:cs="宋体"/>
          <w:sz w:val="24"/>
          <w:highlight w:val="none"/>
          <w:lang w:eastAsia="zh-CN"/>
        </w:rPr>
        <w:t>供应商</w:t>
      </w:r>
      <w:r>
        <w:rPr>
          <w:rFonts w:hint="eastAsia" w:ascii="宋体" w:hAnsi="宋体" w:eastAsia="宋体" w:cs="宋体"/>
          <w:sz w:val="24"/>
          <w:highlight w:val="none"/>
        </w:rPr>
        <w:t>以书面方式进行必要的澄清、说明或补正。对于询标后判定为不符合招标文件的投标文件，评委要提出充足的否定理由。</w:t>
      </w:r>
    </w:p>
    <w:p w14:paraId="05F07883">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第九条</w:t>
      </w:r>
      <w:r>
        <w:rPr>
          <w:rFonts w:hint="eastAsia" w:ascii="宋体" w:hAnsi="宋体" w:eastAsia="宋体" w:cs="宋体"/>
          <w:sz w:val="24"/>
          <w:highlight w:val="none"/>
        </w:rPr>
        <w:t xml:space="preserve"> 评委会首先对各</w:t>
      </w:r>
      <w:r>
        <w:rPr>
          <w:rFonts w:hint="eastAsia" w:ascii="宋体" w:hAnsi="宋体" w:cs="宋体"/>
          <w:sz w:val="24"/>
          <w:highlight w:val="none"/>
          <w:lang w:eastAsia="zh-CN"/>
        </w:rPr>
        <w:t>供应商</w:t>
      </w:r>
      <w:r>
        <w:rPr>
          <w:rFonts w:hint="eastAsia" w:ascii="宋体" w:hAnsi="宋体" w:eastAsia="宋体" w:cs="宋体"/>
          <w:sz w:val="24"/>
          <w:highlight w:val="none"/>
        </w:rPr>
        <w:t>进行符合性审查，通过符合性审查的</w:t>
      </w:r>
      <w:r>
        <w:rPr>
          <w:rFonts w:hint="eastAsia" w:ascii="宋体" w:hAnsi="宋体" w:cs="宋体"/>
          <w:sz w:val="24"/>
          <w:highlight w:val="none"/>
          <w:lang w:eastAsia="zh-CN"/>
        </w:rPr>
        <w:t>供应商</w:t>
      </w:r>
      <w:r>
        <w:rPr>
          <w:rFonts w:hint="eastAsia" w:ascii="宋体" w:hAnsi="宋体" w:eastAsia="宋体" w:cs="宋体"/>
          <w:sz w:val="24"/>
          <w:highlight w:val="none"/>
        </w:rPr>
        <w:t>为有效</w:t>
      </w:r>
      <w:r>
        <w:rPr>
          <w:rFonts w:hint="eastAsia" w:ascii="宋体" w:hAnsi="宋体" w:cs="宋体"/>
          <w:sz w:val="24"/>
          <w:highlight w:val="none"/>
          <w:lang w:eastAsia="zh-CN"/>
        </w:rPr>
        <w:t>供应商</w:t>
      </w:r>
      <w:r>
        <w:rPr>
          <w:rFonts w:hint="eastAsia" w:ascii="宋体" w:hAnsi="宋体" w:eastAsia="宋体" w:cs="宋体"/>
          <w:sz w:val="24"/>
          <w:highlight w:val="none"/>
        </w:rPr>
        <w:t>，有效</w:t>
      </w:r>
      <w:r>
        <w:rPr>
          <w:rFonts w:hint="eastAsia" w:ascii="宋体" w:hAnsi="宋体" w:cs="宋体"/>
          <w:sz w:val="24"/>
          <w:highlight w:val="none"/>
          <w:lang w:eastAsia="zh-CN"/>
        </w:rPr>
        <w:t>供应商</w:t>
      </w:r>
      <w:r>
        <w:rPr>
          <w:rFonts w:hint="eastAsia" w:ascii="宋体" w:hAnsi="宋体" w:eastAsia="宋体" w:cs="宋体"/>
          <w:sz w:val="24"/>
          <w:highlight w:val="none"/>
        </w:rPr>
        <w:t>进入综合评分环节，按招标文件约定由评委会推荐中标候选人；没有通过符合性审查的</w:t>
      </w:r>
      <w:r>
        <w:rPr>
          <w:rFonts w:hint="eastAsia" w:ascii="宋体" w:hAnsi="宋体" w:cs="宋体"/>
          <w:sz w:val="24"/>
          <w:highlight w:val="none"/>
          <w:lang w:eastAsia="zh-CN"/>
        </w:rPr>
        <w:t>供应商</w:t>
      </w:r>
      <w:r>
        <w:rPr>
          <w:rFonts w:hint="eastAsia" w:ascii="宋体" w:hAnsi="宋体" w:eastAsia="宋体" w:cs="宋体"/>
          <w:sz w:val="24"/>
          <w:highlight w:val="none"/>
        </w:rPr>
        <w:t>为无效投标。</w:t>
      </w:r>
    </w:p>
    <w:p w14:paraId="564501A5">
      <w:pPr>
        <w:rPr>
          <w:rFonts w:hint="eastAsia" w:ascii="宋体" w:hAnsi="宋体" w:eastAsia="宋体" w:cs="宋体"/>
          <w:sz w:val="24"/>
          <w:highlight w:val="none"/>
        </w:rPr>
      </w:pPr>
    </w:p>
    <w:p w14:paraId="4BC85E67">
      <w:pPr>
        <w:pStyle w:val="15"/>
        <w:ind w:firstLine="480" w:firstLineChars="200"/>
        <w:rPr>
          <w:rFonts w:hint="eastAsia" w:ascii="宋体" w:hAnsi="宋体" w:eastAsia="宋体" w:cs="宋体"/>
          <w:sz w:val="24"/>
          <w:szCs w:val="20"/>
          <w:highlight w:val="none"/>
        </w:rPr>
      </w:pPr>
    </w:p>
    <w:p w14:paraId="044955AA">
      <w:pPr>
        <w:pStyle w:val="15"/>
        <w:rPr>
          <w:rFonts w:hint="eastAsia" w:ascii="宋体" w:hAnsi="宋体" w:eastAsia="宋体" w:cs="宋体"/>
          <w:highlight w:val="none"/>
        </w:rPr>
      </w:pP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695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1B6C5A9F">
            <w:pPr>
              <w:pStyle w:val="28"/>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highlight w:val="none"/>
                <w:lang w:val="en-US" w:eastAsia="zh-CN"/>
              </w:rPr>
            </w:pPr>
            <w:r>
              <w:rPr>
                <w:rFonts w:hint="eastAsia" w:ascii="宋体" w:hAnsi="宋体" w:eastAsia="宋体" w:cs="宋体"/>
                <w:b/>
                <w:kern w:val="2"/>
                <w:highlight w:val="none"/>
                <w:lang w:val="en-US" w:eastAsia="zh-CN"/>
              </w:rPr>
              <w:t>项目符合性审查表</w:t>
            </w:r>
          </w:p>
        </w:tc>
      </w:tr>
      <w:tr w14:paraId="15FB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0F12D2F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2005" w:type="dxa"/>
            <w:tcBorders>
              <w:bottom w:val="single" w:color="auto" w:sz="4" w:space="0"/>
            </w:tcBorders>
            <w:noWrap w:val="0"/>
            <w:vAlign w:val="center"/>
          </w:tcPr>
          <w:p w14:paraId="73525BD8">
            <w:pPr>
              <w:pStyle w:val="28"/>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指标名称</w:t>
            </w:r>
          </w:p>
        </w:tc>
        <w:tc>
          <w:tcPr>
            <w:tcW w:w="2353" w:type="dxa"/>
            <w:tcBorders>
              <w:bottom w:val="single" w:color="auto" w:sz="4" w:space="0"/>
            </w:tcBorders>
            <w:noWrap w:val="0"/>
            <w:vAlign w:val="center"/>
          </w:tcPr>
          <w:p w14:paraId="77BD34E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指标要求</w:t>
            </w:r>
          </w:p>
        </w:tc>
        <w:tc>
          <w:tcPr>
            <w:tcW w:w="725" w:type="dxa"/>
            <w:tcBorders>
              <w:bottom w:val="single" w:color="auto" w:sz="4" w:space="0"/>
            </w:tcBorders>
            <w:noWrap w:val="0"/>
            <w:vAlign w:val="center"/>
          </w:tcPr>
          <w:p w14:paraId="0792F737">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是否</w:t>
            </w:r>
          </w:p>
          <w:p w14:paraId="32B44B4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通过</w:t>
            </w:r>
          </w:p>
        </w:tc>
        <w:tc>
          <w:tcPr>
            <w:tcW w:w="2569" w:type="dxa"/>
            <w:tcBorders>
              <w:bottom w:val="single" w:color="auto" w:sz="4" w:space="0"/>
            </w:tcBorders>
            <w:noWrap w:val="0"/>
            <w:vAlign w:val="center"/>
          </w:tcPr>
          <w:p w14:paraId="1DAEF61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投标文件格式及</w:t>
            </w:r>
          </w:p>
          <w:p w14:paraId="33E5EBD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提交资料要求</w:t>
            </w:r>
          </w:p>
        </w:tc>
      </w:tr>
      <w:tr w14:paraId="40CA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7D8422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005" w:type="dxa"/>
            <w:noWrap w:val="0"/>
            <w:vAlign w:val="center"/>
          </w:tcPr>
          <w:p w14:paraId="3BC2FE68">
            <w:pPr>
              <w:spacing w:after="50" w:line="360" w:lineRule="auto"/>
              <w:ind w:right="-10"/>
              <w:jc w:val="center"/>
              <w:rPr>
                <w:rFonts w:hint="eastAsia" w:ascii="宋体" w:hAnsi="宋体" w:eastAsia="宋体" w:cs="宋体"/>
                <w:sz w:val="24"/>
                <w:szCs w:val="28"/>
                <w:highlight w:val="none"/>
              </w:rPr>
            </w:pP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资格</w:t>
            </w:r>
          </w:p>
        </w:tc>
        <w:tc>
          <w:tcPr>
            <w:tcW w:w="2353" w:type="dxa"/>
            <w:noWrap w:val="0"/>
            <w:vAlign w:val="center"/>
          </w:tcPr>
          <w:p w14:paraId="4995539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10B0BF1E">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73AC18B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5571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584E04C">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005" w:type="dxa"/>
            <w:noWrap w:val="0"/>
            <w:vAlign w:val="center"/>
          </w:tcPr>
          <w:p w14:paraId="2BF40CAC">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技术要求</w:t>
            </w:r>
          </w:p>
        </w:tc>
        <w:tc>
          <w:tcPr>
            <w:tcW w:w="2353" w:type="dxa"/>
            <w:noWrap w:val="0"/>
            <w:vAlign w:val="center"/>
          </w:tcPr>
          <w:p w14:paraId="51B820CA">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按评标办法</w:t>
            </w:r>
          </w:p>
        </w:tc>
        <w:tc>
          <w:tcPr>
            <w:tcW w:w="725" w:type="dxa"/>
            <w:noWrap w:val="0"/>
            <w:vAlign w:val="center"/>
          </w:tcPr>
          <w:p w14:paraId="46546327">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6E9C9D5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6F93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6D60D99E">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005" w:type="dxa"/>
            <w:noWrap w:val="0"/>
            <w:vAlign w:val="center"/>
          </w:tcPr>
          <w:p w14:paraId="17A1524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质保及售后等</w:t>
            </w:r>
          </w:p>
        </w:tc>
        <w:tc>
          <w:tcPr>
            <w:tcW w:w="2353" w:type="dxa"/>
            <w:noWrap w:val="0"/>
            <w:vAlign w:val="center"/>
          </w:tcPr>
          <w:p w14:paraId="611988B0">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137F73D8">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255D825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bl>
    <w:p w14:paraId="759A679C">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highlight w:val="none"/>
        </w:rPr>
        <w:t>评分标准（满分为100分）</w:t>
      </w:r>
      <w:r>
        <w:rPr>
          <w:rFonts w:hint="eastAsia" w:ascii="宋体" w:hAnsi="宋体" w:eastAsia="宋体" w:cs="宋体"/>
          <w:sz w:val="24"/>
          <w:highlight w:val="none"/>
        </w:rPr>
        <w:t>说明:</w:t>
      </w:r>
      <w:r>
        <w:rPr>
          <w:rFonts w:hint="eastAsia" w:ascii="宋体" w:hAnsi="宋体" w:eastAsia="宋体" w:cs="宋体"/>
          <w:sz w:val="24"/>
          <w:szCs w:val="24"/>
          <w:highlight w:val="none"/>
        </w:rPr>
        <w:t>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的最终得分为各评委得分的算术平均值；评分分值计算保留小数点后两位，小数点后第三位“四舍五入”。</w:t>
      </w:r>
    </w:p>
    <w:p w14:paraId="73DE366F">
      <w:pPr>
        <w:pStyle w:val="18"/>
        <w:spacing w:before="0" w:beforeAutospacing="0" w:after="0" w:afterAutospacing="0"/>
        <w:contextualSpacing/>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br w:type="page"/>
      </w:r>
      <w:r>
        <w:rPr>
          <w:rFonts w:hint="eastAsia" w:ascii="宋体" w:hAnsi="宋体" w:eastAsia="宋体" w:cs="宋体"/>
          <w:sz w:val="32"/>
          <w:szCs w:val="32"/>
          <w:highlight w:val="none"/>
        </w:rPr>
        <w:t>评标办法</w:t>
      </w:r>
    </w:p>
    <w:bookmarkEnd w:id="49"/>
    <w:tbl>
      <w:tblPr>
        <w:tblStyle w:val="22"/>
        <w:tblW w:w="10372" w:type="dxa"/>
        <w:jc w:val="center"/>
        <w:tblCellSpacing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246"/>
        <w:gridCol w:w="1473"/>
        <w:gridCol w:w="7653"/>
      </w:tblGrid>
      <w:tr w14:paraId="2717B5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tcBorders>
              <w:top w:val="single" w:color="000000" w:sz="12" w:space="0"/>
              <w:left w:val="single" w:color="000000" w:sz="12" w:space="0"/>
              <w:bottom w:val="single" w:color="000000" w:sz="6" w:space="0"/>
              <w:right w:val="single" w:color="000000" w:sz="6" w:space="0"/>
            </w:tcBorders>
            <w:noWrap w:val="0"/>
            <w:vAlign w:val="center"/>
          </w:tcPr>
          <w:p w14:paraId="1A938E16">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投标报价</w:t>
            </w:r>
          </w:p>
          <w:p w14:paraId="6BCAE4E0">
            <w:pPr>
              <w:pStyle w:val="18"/>
              <w:widowControl w:val="0"/>
              <w:spacing w:before="0" w:beforeAutospacing="0" w:after="0" w:afterAutospacing="0" w:line="360" w:lineRule="auto"/>
              <w:ind w:right="-10"/>
              <w:rPr>
                <w:rFonts w:hint="eastAsia" w:ascii="宋体" w:hAnsi="宋体" w:eastAsia="宋体" w:cs="宋体"/>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0分）</w:t>
            </w:r>
          </w:p>
        </w:tc>
        <w:tc>
          <w:tcPr>
            <w:tcW w:w="1473" w:type="dxa"/>
            <w:tcBorders>
              <w:top w:val="single" w:color="000000" w:sz="12" w:space="0"/>
              <w:left w:val="single" w:color="000000" w:sz="6" w:space="0"/>
              <w:bottom w:val="single" w:color="000000" w:sz="6" w:space="0"/>
              <w:right w:val="single" w:color="000000" w:sz="6" w:space="0"/>
            </w:tcBorders>
            <w:noWrap w:val="0"/>
            <w:vAlign w:val="center"/>
          </w:tcPr>
          <w:p w14:paraId="4F705118">
            <w:pPr>
              <w:tabs>
                <w:tab w:val="left" w:pos="5130"/>
              </w:tabs>
              <w:adjustRightInd w:val="0"/>
              <w:snapToGrid w:val="0"/>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投标报价</w:t>
            </w:r>
          </w:p>
          <w:p w14:paraId="44DDCF23">
            <w:pPr>
              <w:pStyle w:val="18"/>
              <w:widowControl w:val="0"/>
              <w:spacing w:before="0" w:beforeAutospacing="0" w:after="0" w:afterAutospacing="0" w:line="360" w:lineRule="auto"/>
              <w:ind w:right="-10"/>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0分）</w:t>
            </w:r>
          </w:p>
        </w:tc>
        <w:tc>
          <w:tcPr>
            <w:tcW w:w="7653" w:type="dxa"/>
            <w:tcBorders>
              <w:top w:val="single" w:color="000000" w:sz="12" w:space="0"/>
              <w:left w:val="single" w:color="000000" w:sz="6" w:space="0"/>
              <w:bottom w:val="single" w:color="000000" w:sz="6" w:space="0"/>
              <w:right w:val="single" w:color="000000" w:sz="12" w:space="0"/>
            </w:tcBorders>
            <w:noWrap w:val="0"/>
            <w:vAlign w:val="center"/>
          </w:tcPr>
          <w:p w14:paraId="46D644DE">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价格分应当采用低价优先法计算，即满足招标文件要求且投标价格最低的投标报价为评标基准价，其价格分为满分。其他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的价格分统一按照下列公式计算：</w:t>
            </w:r>
          </w:p>
          <w:p w14:paraId="7604046B">
            <w:pPr>
              <w:tabs>
                <w:tab w:val="left" w:pos="5130"/>
              </w:tabs>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　　投标报价得分=(评标基准价／投标报价)×</w:t>
            </w:r>
            <w:r>
              <w:rPr>
                <w:rFonts w:hint="eastAsia" w:ascii="宋体" w:hAnsi="宋体" w:eastAsia="宋体" w:cs="宋体"/>
                <w:sz w:val="24"/>
                <w:szCs w:val="24"/>
                <w:highlight w:val="none"/>
                <w:lang w:val="en-US" w:eastAsia="zh-CN"/>
              </w:rPr>
              <w:t>10</w:t>
            </w:r>
          </w:p>
          <w:p w14:paraId="56C4E91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注：价格分计算保留小数点后二位。</w:t>
            </w:r>
          </w:p>
          <w:p w14:paraId="3392C121">
            <w:pPr>
              <w:pStyle w:val="20"/>
              <w:spacing w:line="360" w:lineRule="auto"/>
              <w:ind w:right="-21" w:firstLine="0" w:firstLineChars="0"/>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财库〔2020〕46号 ）文件规定：</w:t>
            </w:r>
          </w:p>
          <w:p w14:paraId="4BCA7D90">
            <w:pPr>
              <w:pStyle w:val="20"/>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（1）对小微企业报价给予</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1A854E57">
            <w:pPr>
              <w:pStyle w:val="20"/>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0CEC7794">
            <w:pPr>
              <w:pStyle w:val="20"/>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4BB86B56">
            <w:pPr>
              <w:pStyle w:val="18"/>
              <w:widowControl w:val="0"/>
              <w:spacing w:before="0" w:beforeAutospacing="0" w:after="0" w:afterAutospacing="0" w:line="360" w:lineRule="auto"/>
              <w:ind w:right="-10"/>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09A33A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vMerge w:val="restart"/>
            <w:tcBorders>
              <w:top w:val="single" w:color="000000" w:sz="6" w:space="0"/>
              <w:left w:val="single" w:color="000000" w:sz="12" w:space="0"/>
              <w:right w:val="single" w:color="000000" w:sz="6" w:space="0"/>
            </w:tcBorders>
            <w:noWrap w:val="0"/>
            <w:vAlign w:val="center"/>
          </w:tcPr>
          <w:p w14:paraId="72B030F0">
            <w:pPr>
              <w:pStyle w:val="18"/>
              <w:widowControl w:val="0"/>
              <w:spacing w:before="0" w:beforeAutospacing="0" w:after="0" w:afterAutospacing="0" w:line="360" w:lineRule="auto"/>
              <w:ind w:right="-10"/>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r>
              <w:rPr>
                <w:rFonts w:hint="eastAsia" w:ascii="宋体" w:hAnsi="宋体" w:eastAsia="宋体" w:cs="宋体"/>
                <w:sz w:val="24"/>
                <w:szCs w:val="24"/>
                <w:highlight w:val="none"/>
                <w:lang w:val="en-US" w:eastAsia="zh-CN"/>
              </w:rPr>
              <w:t>70</w:t>
            </w:r>
            <w:r>
              <w:rPr>
                <w:rFonts w:hint="eastAsia" w:ascii="宋体" w:hAnsi="宋体" w:eastAsia="宋体" w:cs="宋体"/>
                <w:sz w:val="24"/>
                <w:szCs w:val="24"/>
                <w:highlight w:val="none"/>
              </w:rPr>
              <w:t>分）</w:t>
            </w:r>
          </w:p>
        </w:tc>
        <w:tc>
          <w:tcPr>
            <w:tcW w:w="1473" w:type="dxa"/>
            <w:tcBorders>
              <w:top w:val="single" w:color="000000" w:sz="6" w:space="0"/>
              <w:left w:val="single" w:color="000000" w:sz="6" w:space="0"/>
              <w:bottom w:val="single" w:color="auto" w:sz="4" w:space="0"/>
              <w:right w:val="single" w:color="000000" w:sz="6" w:space="0"/>
            </w:tcBorders>
            <w:noWrap w:val="0"/>
            <w:vAlign w:val="center"/>
          </w:tcPr>
          <w:p w14:paraId="3320F9D1">
            <w:pPr>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项目理解与分析</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val="zh-CN" w:eastAsia="zh-CN"/>
              </w:rPr>
              <w:t>分）</w:t>
            </w:r>
          </w:p>
        </w:tc>
        <w:tc>
          <w:tcPr>
            <w:tcW w:w="7653" w:type="dxa"/>
            <w:tcBorders>
              <w:top w:val="single" w:color="000000" w:sz="6" w:space="0"/>
              <w:left w:val="single" w:color="000000" w:sz="6" w:space="0"/>
              <w:bottom w:val="single" w:color="auto" w:sz="4" w:space="0"/>
              <w:right w:val="single" w:color="000000" w:sz="12" w:space="0"/>
            </w:tcBorders>
            <w:noWrap w:val="0"/>
            <w:vAlign w:val="center"/>
          </w:tcPr>
          <w:p w14:paraId="274F66B3">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lang w:val="zh-CN" w:eastAsia="zh-CN"/>
              </w:rPr>
              <w:t>根据项目特点及服务内容，提出对项目地形、地质、气候、水文、周围环境等情况的理解和分析，</w:t>
            </w:r>
            <w:r>
              <w:rPr>
                <w:rFonts w:hint="eastAsia" w:ascii="宋体" w:hAnsi="宋体" w:eastAsia="宋体" w:cs="宋体"/>
                <w:sz w:val="24"/>
                <w:szCs w:val="24"/>
                <w:highlight w:val="none"/>
                <w:lang w:val="en-US" w:eastAsia="zh-CN"/>
              </w:rPr>
              <w:t>全部提供得10分，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 </w:t>
            </w:r>
          </w:p>
        </w:tc>
      </w:tr>
      <w:tr w14:paraId="02D077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vMerge w:val="continue"/>
            <w:tcBorders>
              <w:left w:val="single" w:color="000000" w:sz="12" w:space="0"/>
              <w:right w:val="single" w:color="000000" w:sz="6" w:space="0"/>
            </w:tcBorders>
            <w:noWrap w:val="0"/>
            <w:vAlign w:val="center"/>
          </w:tcPr>
          <w:p w14:paraId="0F1AD5CC">
            <w:pPr>
              <w:pStyle w:val="18"/>
              <w:widowControl w:val="0"/>
              <w:spacing w:before="0" w:beforeAutospacing="0" w:after="0" w:afterAutospacing="0" w:line="360" w:lineRule="auto"/>
              <w:ind w:right="-10"/>
              <w:rPr>
                <w:rFonts w:hint="eastAsia" w:ascii="宋体" w:hAnsi="宋体" w:eastAsia="宋体" w:cs="宋体"/>
                <w:sz w:val="24"/>
                <w:szCs w:val="24"/>
                <w:highlight w:val="none"/>
              </w:rPr>
            </w:pPr>
          </w:p>
        </w:tc>
        <w:tc>
          <w:tcPr>
            <w:tcW w:w="1473" w:type="dxa"/>
            <w:tcBorders>
              <w:top w:val="single" w:color="000000" w:sz="6" w:space="0"/>
              <w:left w:val="single" w:color="000000" w:sz="6" w:space="0"/>
              <w:bottom w:val="single" w:color="auto" w:sz="4" w:space="0"/>
              <w:right w:val="single" w:color="000000" w:sz="6" w:space="0"/>
            </w:tcBorders>
            <w:shd w:val="clear" w:color="auto" w:fill="auto"/>
            <w:noWrap w:val="0"/>
            <w:vAlign w:val="center"/>
          </w:tcPr>
          <w:p w14:paraId="0A9755DC">
            <w:pPr>
              <w:bidi w:val="0"/>
              <w:spacing w:line="360" w:lineRule="auto"/>
              <w:rPr>
                <w:rFonts w:hint="eastAsia" w:ascii="宋体" w:hAnsi="宋体" w:eastAsia="宋体" w:cs="宋体"/>
                <w:spacing w:val="5"/>
                <w:sz w:val="24"/>
                <w:szCs w:val="24"/>
                <w:highlight w:val="none"/>
              </w:rPr>
            </w:pPr>
            <w:r>
              <w:rPr>
                <w:rFonts w:hint="eastAsia" w:ascii="宋体" w:hAnsi="宋体" w:eastAsia="宋体" w:cs="宋体"/>
                <w:sz w:val="24"/>
                <w:szCs w:val="24"/>
                <w:highlight w:val="none"/>
              </w:rPr>
              <w:t>总体工作计划（</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7653" w:type="dxa"/>
            <w:tcBorders>
              <w:top w:val="single" w:color="000000" w:sz="6" w:space="0"/>
              <w:left w:val="single" w:color="000000" w:sz="6" w:space="0"/>
              <w:bottom w:val="single" w:color="auto" w:sz="4" w:space="0"/>
              <w:right w:val="single" w:color="000000" w:sz="12" w:space="0"/>
            </w:tcBorders>
            <w:shd w:val="clear" w:color="auto" w:fill="auto"/>
            <w:noWrap w:val="0"/>
            <w:vAlign w:val="center"/>
          </w:tcPr>
          <w:p w14:paraId="6C7C4B80">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提供为本项目服务的总体工作计划</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工作流程、</w:t>
            </w:r>
            <w:r>
              <w:rPr>
                <w:rFonts w:hint="eastAsia" w:ascii="宋体" w:hAnsi="宋体" w:eastAsia="宋体" w:cs="宋体"/>
                <w:color w:val="auto"/>
                <w:sz w:val="24"/>
                <w:szCs w:val="24"/>
                <w:highlight w:val="none"/>
              </w:rPr>
              <w:t>实施任务目标、技术路线等</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全部提供得10分，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r>
              <w:rPr>
                <w:rFonts w:hint="eastAsia" w:ascii="宋体" w:hAnsi="宋体" w:eastAsia="宋体" w:cs="宋体"/>
                <w:sz w:val="24"/>
                <w:szCs w:val="24"/>
                <w:highlight w:val="none"/>
              </w:rPr>
              <w:t xml:space="preserve"> </w:t>
            </w:r>
          </w:p>
        </w:tc>
      </w:tr>
      <w:tr w14:paraId="4911B3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vMerge w:val="continue"/>
            <w:tcBorders>
              <w:left w:val="single" w:color="000000" w:sz="12" w:space="0"/>
              <w:right w:val="single" w:color="000000" w:sz="6" w:space="0"/>
            </w:tcBorders>
            <w:noWrap w:val="0"/>
            <w:vAlign w:val="center"/>
          </w:tcPr>
          <w:p w14:paraId="71268851">
            <w:pPr>
              <w:pStyle w:val="18"/>
              <w:widowControl w:val="0"/>
              <w:spacing w:before="0" w:beforeAutospacing="0" w:after="0" w:afterAutospacing="0" w:line="360" w:lineRule="auto"/>
              <w:ind w:right="-10"/>
              <w:rPr>
                <w:rFonts w:hint="eastAsia" w:ascii="宋体" w:hAnsi="宋体" w:eastAsia="宋体" w:cs="宋体"/>
                <w:sz w:val="24"/>
                <w:szCs w:val="24"/>
                <w:highlight w:val="none"/>
              </w:rPr>
            </w:pPr>
          </w:p>
        </w:tc>
        <w:tc>
          <w:tcPr>
            <w:tcW w:w="1473" w:type="dxa"/>
            <w:tcBorders>
              <w:top w:val="single" w:color="000000" w:sz="6" w:space="0"/>
              <w:left w:val="single" w:color="000000" w:sz="6" w:space="0"/>
              <w:bottom w:val="single" w:color="auto" w:sz="4" w:space="0"/>
              <w:right w:val="single" w:color="000000" w:sz="6" w:space="0"/>
            </w:tcBorders>
            <w:shd w:val="clear" w:color="auto" w:fill="auto"/>
            <w:noWrap w:val="0"/>
            <w:vAlign w:val="center"/>
          </w:tcPr>
          <w:p w14:paraId="2AFC252C">
            <w:pPr>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资料收集分析方案</w:t>
            </w:r>
          </w:p>
          <w:p w14:paraId="4F7F976F">
            <w:pPr>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p>
        </w:tc>
        <w:tc>
          <w:tcPr>
            <w:tcW w:w="7653" w:type="dxa"/>
            <w:tcBorders>
              <w:top w:val="single" w:color="000000" w:sz="6" w:space="0"/>
              <w:left w:val="single" w:color="000000" w:sz="6" w:space="0"/>
              <w:bottom w:val="single" w:color="auto" w:sz="4" w:space="0"/>
              <w:right w:val="single" w:color="000000" w:sz="12" w:space="0"/>
            </w:tcBorders>
            <w:shd w:val="clear" w:color="auto" w:fill="auto"/>
            <w:noWrap w:val="0"/>
            <w:vAlign w:val="center"/>
          </w:tcPr>
          <w:p w14:paraId="7DD6C6D5">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资料收集分析方案，包含并不限于：收集自然资源局、农业农村局等部门资料、资料审核、数据预处理、编写质量验收实施方案。含移交资料、核查其他需收集资料等，矢量数据分析、评级单元划分，布点、高程模型测量地形坡度等，全部提供得10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r>
      <w:tr w14:paraId="0C7362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vMerge w:val="continue"/>
            <w:tcBorders>
              <w:left w:val="single" w:color="000000" w:sz="12" w:space="0"/>
              <w:right w:val="single" w:color="000000" w:sz="6" w:space="0"/>
            </w:tcBorders>
            <w:noWrap w:val="0"/>
            <w:vAlign w:val="center"/>
          </w:tcPr>
          <w:p w14:paraId="3AA236D8">
            <w:pPr>
              <w:pStyle w:val="18"/>
              <w:widowControl w:val="0"/>
              <w:spacing w:before="0" w:beforeAutospacing="0" w:after="0" w:afterAutospacing="0" w:line="360" w:lineRule="auto"/>
              <w:ind w:right="-10"/>
              <w:rPr>
                <w:rFonts w:hint="eastAsia" w:ascii="宋体" w:hAnsi="宋体" w:eastAsia="宋体" w:cs="宋体"/>
                <w:sz w:val="24"/>
                <w:szCs w:val="24"/>
                <w:highlight w:val="none"/>
              </w:rPr>
            </w:pPr>
          </w:p>
        </w:tc>
        <w:tc>
          <w:tcPr>
            <w:tcW w:w="1473" w:type="dxa"/>
            <w:tcBorders>
              <w:top w:val="single" w:color="000000" w:sz="6" w:space="0"/>
              <w:left w:val="single" w:color="000000" w:sz="6" w:space="0"/>
              <w:bottom w:val="single" w:color="auto" w:sz="4" w:space="0"/>
              <w:right w:val="single" w:color="000000" w:sz="6" w:space="0"/>
            </w:tcBorders>
            <w:shd w:val="clear" w:color="auto" w:fill="auto"/>
            <w:noWrap w:val="0"/>
            <w:vAlign w:val="center"/>
          </w:tcPr>
          <w:p w14:paraId="2B8BD1AF">
            <w:pPr>
              <w:pStyle w:val="29"/>
              <w:spacing w:before="65" w:line="360" w:lineRule="auto"/>
              <w:ind w:right="108" w:rightChars="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spacing w:val="5"/>
                <w:sz w:val="24"/>
                <w:szCs w:val="24"/>
                <w:highlight w:val="none"/>
              </w:rPr>
              <w:t>重点、难点分析</w:t>
            </w:r>
            <w:r>
              <w:rPr>
                <w:rFonts w:hint="eastAsia" w:ascii="宋体" w:hAnsi="宋体" w:eastAsia="宋体" w:cs="宋体"/>
                <w:spacing w:val="7"/>
                <w:sz w:val="24"/>
                <w:szCs w:val="24"/>
                <w:highlight w:val="none"/>
              </w:rPr>
              <w:t xml:space="preserve"> </w:t>
            </w:r>
            <w:r>
              <w:rPr>
                <w:rFonts w:hint="eastAsia" w:ascii="宋体" w:hAnsi="宋体" w:eastAsia="宋体" w:cs="宋体"/>
                <w:spacing w:val="8"/>
                <w:sz w:val="24"/>
                <w:szCs w:val="24"/>
                <w:highlight w:val="none"/>
              </w:rPr>
              <w:t>及</w:t>
            </w:r>
            <w:r>
              <w:rPr>
                <w:rFonts w:hint="eastAsia" w:ascii="宋体" w:hAnsi="宋体" w:eastAsia="宋体" w:cs="宋体"/>
                <w:spacing w:val="8"/>
                <w:sz w:val="24"/>
                <w:szCs w:val="24"/>
                <w:highlight w:val="none"/>
                <w:lang w:val="en-US" w:eastAsia="zh-CN"/>
              </w:rPr>
              <w:t>解决措施</w:t>
            </w:r>
            <w:r>
              <w:rPr>
                <w:rFonts w:hint="eastAsia" w:ascii="宋体" w:hAnsi="宋体" w:eastAsia="宋体" w:cs="宋体"/>
                <w:spacing w:val="-2"/>
                <w:sz w:val="24"/>
                <w:szCs w:val="24"/>
                <w:highlight w:val="none"/>
              </w:rPr>
              <w:t>（</w:t>
            </w:r>
            <w:r>
              <w:rPr>
                <w:rFonts w:hint="eastAsia" w:ascii="宋体" w:hAnsi="宋体" w:eastAsia="宋体" w:cs="宋体"/>
                <w:sz w:val="24"/>
                <w:szCs w:val="24"/>
                <w:highlight w:val="none"/>
                <w:lang w:val="en-US" w:eastAsia="zh-CN"/>
              </w:rPr>
              <w:t>10</w:t>
            </w:r>
            <w:r>
              <w:rPr>
                <w:rFonts w:hint="eastAsia" w:ascii="宋体" w:hAnsi="宋体" w:eastAsia="宋体" w:cs="宋体"/>
                <w:spacing w:val="-2"/>
                <w:sz w:val="24"/>
                <w:szCs w:val="24"/>
                <w:highlight w:val="none"/>
              </w:rPr>
              <w:t>分）</w:t>
            </w:r>
          </w:p>
        </w:tc>
        <w:tc>
          <w:tcPr>
            <w:tcW w:w="7653" w:type="dxa"/>
            <w:tcBorders>
              <w:top w:val="single" w:color="000000" w:sz="6" w:space="0"/>
              <w:left w:val="single" w:color="000000" w:sz="6" w:space="0"/>
              <w:bottom w:val="single" w:color="auto" w:sz="4" w:space="0"/>
              <w:right w:val="single" w:color="000000" w:sz="12" w:space="0"/>
            </w:tcBorders>
            <w:shd w:val="clear" w:color="auto" w:fill="auto"/>
            <w:noWrap w:val="0"/>
            <w:vAlign w:val="center"/>
          </w:tcPr>
          <w:p w14:paraId="106CA908">
            <w:pPr>
              <w:bidi w:val="0"/>
              <w:spacing w:line="360" w:lineRule="auto"/>
              <w:rPr>
                <w:rFonts w:hint="eastAsia" w:ascii="宋体" w:hAnsi="宋体" w:eastAsia="宋体" w:cs="宋体"/>
                <w:kern w:val="0"/>
                <w:sz w:val="24"/>
                <w:szCs w:val="24"/>
                <w:highlight w:val="none"/>
                <w:lang w:val="en-US" w:eastAsia="zh-CN" w:bidi="ar-SA"/>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提供有关项目工作重点、难点分析、</w:t>
            </w:r>
            <w:r>
              <w:rPr>
                <w:rFonts w:hint="eastAsia" w:ascii="宋体" w:hAnsi="宋体" w:eastAsia="宋体" w:cs="宋体"/>
                <w:sz w:val="24"/>
                <w:szCs w:val="24"/>
                <w:highlight w:val="none"/>
                <w:lang w:val="en-US" w:eastAsia="zh-CN"/>
              </w:rPr>
              <w:t>解决措施</w:t>
            </w:r>
            <w:r>
              <w:rPr>
                <w:rFonts w:hint="eastAsia" w:ascii="宋体" w:hAnsi="宋体" w:eastAsia="宋体" w:cs="宋体"/>
                <w:sz w:val="24"/>
                <w:szCs w:val="24"/>
                <w:highlight w:val="none"/>
              </w:rPr>
              <w:t>的论述等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全部提供得10分，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p>
        </w:tc>
      </w:tr>
      <w:tr w14:paraId="45518B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vMerge w:val="continue"/>
            <w:tcBorders>
              <w:left w:val="single" w:color="000000" w:sz="12" w:space="0"/>
              <w:right w:val="single" w:color="000000" w:sz="6" w:space="0"/>
            </w:tcBorders>
            <w:noWrap w:val="0"/>
            <w:vAlign w:val="center"/>
          </w:tcPr>
          <w:p w14:paraId="7282D350">
            <w:pPr>
              <w:pStyle w:val="18"/>
              <w:widowControl w:val="0"/>
              <w:spacing w:before="0" w:beforeAutospacing="0" w:after="0" w:afterAutospacing="0" w:line="360" w:lineRule="auto"/>
              <w:ind w:right="-10"/>
              <w:rPr>
                <w:rFonts w:hint="eastAsia" w:ascii="宋体" w:hAnsi="宋体" w:eastAsia="宋体" w:cs="宋体"/>
                <w:sz w:val="24"/>
                <w:szCs w:val="24"/>
                <w:highlight w:val="none"/>
              </w:rPr>
            </w:pPr>
          </w:p>
        </w:tc>
        <w:tc>
          <w:tcPr>
            <w:tcW w:w="1473" w:type="dxa"/>
            <w:tcBorders>
              <w:top w:val="single" w:color="000000" w:sz="6" w:space="0"/>
              <w:left w:val="single" w:color="000000" w:sz="6" w:space="0"/>
              <w:bottom w:val="single" w:color="auto" w:sz="4" w:space="0"/>
              <w:right w:val="single" w:color="000000" w:sz="6" w:space="0"/>
            </w:tcBorders>
            <w:shd w:val="clear" w:color="auto" w:fill="auto"/>
            <w:noWrap w:val="0"/>
            <w:vAlign w:val="center"/>
          </w:tcPr>
          <w:p w14:paraId="6F38C500">
            <w:pPr>
              <w:pStyle w:val="29"/>
              <w:spacing w:before="65" w:line="360" w:lineRule="auto"/>
              <w:ind w:right="300" w:rightChars="0"/>
              <w:jc w:val="both"/>
              <w:rPr>
                <w:rFonts w:hint="eastAsia" w:ascii="宋体" w:hAnsi="宋体" w:eastAsia="宋体" w:cs="宋体"/>
                <w:sz w:val="24"/>
                <w:szCs w:val="24"/>
                <w:highlight w:val="none"/>
                <w:lang w:eastAsia="zh-CN"/>
              </w:rPr>
            </w:pPr>
            <w:r>
              <w:rPr>
                <w:rFonts w:hint="eastAsia" w:ascii="宋体" w:hAnsi="宋体" w:eastAsia="宋体" w:cs="宋体"/>
                <w:spacing w:val="7"/>
                <w:sz w:val="24"/>
                <w:szCs w:val="24"/>
                <w:highlight w:val="none"/>
              </w:rPr>
              <w:t>质量保证措施</w:t>
            </w:r>
            <w:r>
              <w:rPr>
                <w:rFonts w:hint="eastAsia" w:ascii="宋体" w:hAnsi="宋体" w:eastAsia="宋体" w:cs="宋体"/>
                <w:spacing w:val="2"/>
                <w:sz w:val="24"/>
                <w:szCs w:val="24"/>
                <w:highlight w:val="none"/>
              </w:rPr>
              <w:t xml:space="preserve"> </w:t>
            </w:r>
            <w:r>
              <w:rPr>
                <w:rFonts w:hint="eastAsia" w:ascii="宋体" w:hAnsi="宋体" w:eastAsia="宋体" w:cs="宋体"/>
                <w:spacing w:val="-2"/>
                <w:sz w:val="24"/>
                <w:szCs w:val="24"/>
                <w:highlight w:val="none"/>
              </w:rPr>
              <w:t>（</w:t>
            </w:r>
            <w:r>
              <w:rPr>
                <w:rFonts w:hint="eastAsia" w:ascii="宋体" w:hAnsi="宋体" w:eastAsia="宋体" w:cs="宋体"/>
                <w:sz w:val="24"/>
                <w:szCs w:val="24"/>
                <w:highlight w:val="none"/>
                <w:lang w:val="en-US" w:eastAsia="zh-CN"/>
              </w:rPr>
              <w:t>10</w:t>
            </w:r>
            <w:r>
              <w:rPr>
                <w:rFonts w:hint="eastAsia" w:ascii="宋体" w:hAnsi="宋体" w:eastAsia="宋体" w:cs="宋体"/>
                <w:spacing w:val="-2"/>
                <w:sz w:val="24"/>
                <w:szCs w:val="24"/>
                <w:highlight w:val="none"/>
              </w:rPr>
              <w:t>分）</w:t>
            </w:r>
          </w:p>
        </w:tc>
        <w:tc>
          <w:tcPr>
            <w:tcW w:w="7653" w:type="dxa"/>
            <w:tcBorders>
              <w:top w:val="single" w:color="000000" w:sz="6" w:space="0"/>
              <w:left w:val="single" w:color="000000" w:sz="6" w:space="0"/>
              <w:bottom w:val="single" w:color="auto" w:sz="4" w:space="0"/>
              <w:right w:val="single" w:color="000000" w:sz="12" w:space="0"/>
            </w:tcBorders>
            <w:shd w:val="clear" w:color="auto" w:fill="auto"/>
            <w:noWrap w:val="0"/>
            <w:vAlign w:val="center"/>
          </w:tcPr>
          <w:p w14:paraId="13895C85">
            <w:pPr>
              <w:bidi w:val="0"/>
              <w:spacing w:line="360" w:lineRule="auto"/>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提供有关项目工作质量保证措施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具体包括：</w:t>
            </w:r>
            <w:r>
              <w:rPr>
                <w:rFonts w:hint="eastAsia" w:ascii="宋体" w:hAnsi="宋体" w:eastAsia="宋体" w:cs="宋体"/>
                <w:sz w:val="24"/>
                <w:szCs w:val="24"/>
                <w:highlight w:val="none"/>
              </w:rPr>
              <w:t>质量</w:t>
            </w:r>
            <w:r>
              <w:rPr>
                <w:rFonts w:hint="eastAsia" w:ascii="宋体" w:hAnsi="宋体" w:cs="宋体"/>
                <w:sz w:val="24"/>
                <w:szCs w:val="24"/>
                <w:highlight w:val="none"/>
                <w:lang w:val="en-US" w:eastAsia="zh-CN"/>
              </w:rPr>
              <w:t>的技术和组织</w:t>
            </w:r>
            <w:r>
              <w:rPr>
                <w:rFonts w:hint="eastAsia" w:ascii="宋体" w:hAnsi="宋体" w:eastAsia="宋体" w:cs="宋体"/>
                <w:sz w:val="24"/>
                <w:szCs w:val="24"/>
                <w:highlight w:val="none"/>
                <w:lang w:eastAsia="zh-CN"/>
              </w:rPr>
              <w:t>措施</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确保安全及文明施工的技术和组织措施、明确的成果资料保密措施</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lang w:val="en-US" w:eastAsia="zh-CN"/>
              </w:rPr>
              <w:t>全部提供得10分，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脱离本项目实际、内容前后矛盾、照搬采购需求模板套话</w:t>
            </w:r>
            <w:r>
              <w:rPr>
                <w:rFonts w:hint="eastAsia" w:ascii="宋体" w:hAnsi="宋体" w:eastAsia="宋体" w:cs="宋体"/>
                <w:snapToGrid w:val="0"/>
                <w:color w:val="auto"/>
                <w:spacing w:val="5"/>
                <w:sz w:val="24"/>
                <w:szCs w:val="24"/>
                <w:highlight w:val="none"/>
                <w:lang w:val="en-US" w:eastAsia="zh-CN" w:bidi="ar-SA"/>
              </w:rPr>
              <w:t>，不得分</w:t>
            </w:r>
            <w:r>
              <w:rPr>
                <w:rFonts w:hint="eastAsia" w:ascii="宋体" w:hAnsi="宋体" w:eastAsia="宋体" w:cs="宋体"/>
                <w:sz w:val="24"/>
                <w:szCs w:val="24"/>
                <w:highlight w:val="none"/>
                <w:lang w:val="en-US" w:eastAsia="zh-CN"/>
              </w:rPr>
              <w:t>。</w:t>
            </w:r>
          </w:p>
        </w:tc>
      </w:tr>
      <w:tr w14:paraId="025851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vMerge w:val="continue"/>
            <w:tcBorders>
              <w:left w:val="single" w:color="000000" w:sz="12" w:space="0"/>
              <w:right w:val="single" w:color="000000" w:sz="6" w:space="0"/>
            </w:tcBorders>
            <w:noWrap w:val="0"/>
            <w:vAlign w:val="center"/>
          </w:tcPr>
          <w:p w14:paraId="6B597025">
            <w:pPr>
              <w:pStyle w:val="18"/>
              <w:widowControl w:val="0"/>
              <w:spacing w:before="0" w:beforeAutospacing="0" w:after="0" w:afterAutospacing="0" w:line="360" w:lineRule="auto"/>
              <w:ind w:right="-10"/>
              <w:rPr>
                <w:rFonts w:hint="eastAsia" w:ascii="宋体" w:hAnsi="宋体" w:eastAsia="宋体" w:cs="宋体"/>
                <w:sz w:val="24"/>
                <w:szCs w:val="24"/>
                <w:highlight w:val="none"/>
              </w:rPr>
            </w:pPr>
          </w:p>
        </w:tc>
        <w:tc>
          <w:tcPr>
            <w:tcW w:w="1473" w:type="dxa"/>
            <w:tcBorders>
              <w:top w:val="single" w:color="000000" w:sz="6" w:space="0"/>
              <w:left w:val="single" w:color="000000" w:sz="6" w:space="0"/>
              <w:bottom w:val="single" w:color="auto" w:sz="4" w:space="0"/>
              <w:right w:val="single" w:color="000000" w:sz="6" w:space="0"/>
            </w:tcBorders>
            <w:shd w:val="clear" w:color="auto" w:fill="auto"/>
            <w:noWrap w:val="0"/>
            <w:vAlign w:val="center"/>
          </w:tcPr>
          <w:p w14:paraId="39FF45F8">
            <w:pPr>
              <w:pStyle w:val="29"/>
              <w:spacing w:before="65" w:line="360" w:lineRule="auto"/>
              <w:ind w:right="30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现场踏勘与采样</w:t>
            </w:r>
            <w:r>
              <w:rPr>
                <w:rFonts w:hint="eastAsia" w:ascii="宋体" w:hAnsi="宋体" w:eastAsia="宋体" w:cs="宋体"/>
                <w:sz w:val="24"/>
                <w:szCs w:val="24"/>
                <w:highlight w:val="none"/>
                <w:lang w:val="en-US" w:eastAsia="zh-CN"/>
              </w:rPr>
              <w:t>方案（10分）</w:t>
            </w:r>
          </w:p>
        </w:tc>
        <w:tc>
          <w:tcPr>
            <w:tcW w:w="7653" w:type="dxa"/>
            <w:tcBorders>
              <w:top w:val="single" w:color="000000" w:sz="6" w:space="0"/>
              <w:left w:val="single" w:color="000000" w:sz="6" w:space="0"/>
              <w:bottom w:val="single" w:color="auto" w:sz="4" w:space="0"/>
              <w:right w:val="single" w:color="000000" w:sz="12" w:space="0"/>
            </w:tcBorders>
            <w:shd w:val="clear" w:color="auto" w:fill="auto"/>
            <w:noWrap w:val="0"/>
            <w:vAlign w:val="center"/>
          </w:tcPr>
          <w:p w14:paraId="3A42DF15">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供应商按照《河南省补充耕地质量鉴定技术规程（试行）》要求，提供完整的现场踏勘与采样的方案，包含并</w:t>
            </w:r>
            <w:r>
              <w:rPr>
                <w:rFonts w:hint="eastAsia" w:ascii="宋体" w:hAnsi="宋体" w:eastAsia="宋体" w:cs="宋体"/>
                <w:sz w:val="24"/>
                <w:szCs w:val="24"/>
                <w:highlight w:val="none"/>
                <w:lang w:val="en-US" w:eastAsia="zh-CN"/>
              </w:rPr>
              <w:t>不</w:t>
            </w:r>
            <w:r>
              <w:rPr>
                <w:rFonts w:hint="eastAsia" w:ascii="宋体" w:hAnsi="宋体" w:eastAsia="宋体" w:cs="宋体"/>
                <w:sz w:val="24"/>
                <w:szCs w:val="24"/>
                <w:highlight w:val="none"/>
                <w:lang w:eastAsia="zh-CN"/>
              </w:rPr>
              <w:t>限于：土壤采样，观测并记录土壤层次结构，现场测量有效土层厚度，对侵入体及砾石含量进行称重计量集土壤容重样品、耕层质地样品及表土混合样品，同步留存各类采样工作影像资料，确保采样过程可追溯，对每个评价单元取一个混合土样进行化验；</w:t>
            </w:r>
            <w:r>
              <w:rPr>
                <w:rFonts w:hint="eastAsia" w:ascii="宋体" w:hAnsi="宋体" w:eastAsia="宋体" w:cs="宋体"/>
                <w:sz w:val="24"/>
                <w:szCs w:val="24"/>
                <w:highlight w:val="none"/>
                <w:lang w:val="en-US" w:eastAsia="zh-CN"/>
              </w:rPr>
              <w:t>全部提供得10分，缺项或不提供不得分。</w:t>
            </w:r>
          </w:p>
        </w:tc>
      </w:tr>
      <w:tr w14:paraId="617DDB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3" w:hRule="atLeast"/>
          <w:tblCellSpacing w:w="0" w:type="dxa"/>
          <w:jc w:val="center"/>
        </w:trPr>
        <w:tc>
          <w:tcPr>
            <w:tcW w:w="1246" w:type="dxa"/>
            <w:vMerge w:val="continue"/>
            <w:tcBorders>
              <w:left w:val="single" w:color="000000" w:sz="12" w:space="0"/>
              <w:right w:val="single" w:color="000000" w:sz="6" w:space="0"/>
            </w:tcBorders>
            <w:noWrap w:val="0"/>
            <w:vAlign w:val="center"/>
          </w:tcPr>
          <w:p w14:paraId="3902FA76">
            <w:pPr>
              <w:pStyle w:val="18"/>
              <w:widowControl w:val="0"/>
              <w:spacing w:before="0" w:beforeAutospacing="0" w:after="0" w:afterAutospacing="0" w:line="360" w:lineRule="auto"/>
              <w:ind w:right="-10"/>
              <w:rPr>
                <w:rFonts w:hint="eastAsia" w:ascii="宋体" w:hAnsi="宋体" w:eastAsia="宋体" w:cs="宋体"/>
                <w:sz w:val="24"/>
                <w:szCs w:val="24"/>
                <w:highlight w:val="none"/>
              </w:rPr>
            </w:pPr>
          </w:p>
        </w:tc>
        <w:tc>
          <w:tcPr>
            <w:tcW w:w="1473" w:type="dxa"/>
            <w:tcBorders>
              <w:top w:val="single" w:color="000000" w:sz="6" w:space="0"/>
              <w:left w:val="single" w:color="000000" w:sz="6" w:space="0"/>
              <w:bottom w:val="single" w:color="auto" w:sz="4" w:space="0"/>
              <w:right w:val="single" w:color="000000" w:sz="6" w:space="0"/>
            </w:tcBorders>
            <w:shd w:val="clear" w:color="auto" w:fill="auto"/>
            <w:noWrap w:val="0"/>
            <w:vAlign w:val="center"/>
          </w:tcPr>
          <w:p w14:paraId="032D63FA">
            <w:pPr>
              <w:pStyle w:val="29"/>
              <w:spacing w:before="146" w:line="360" w:lineRule="auto"/>
              <w:ind w:right="194" w:rightChars="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spacing w:val="7"/>
                <w:sz w:val="24"/>
                <w:szCs w:val="24"/>
                <w:highlight w:val="none"/>
                <w:lang w:val="en-US" w:eastAsia="zh-CN"/>
              </w:rPr>
              <w:t>应急预案</w:t>
            </w:r>
            <w:r>
              <w:rPr>
                <w:rFonts w:hint="eastAsia" w:ascii="宋体" w:hAnsi="宋体" w:eastAsia="宋体" w:cs="宋体"/>
                <w:spacing w:val="4"/>
                <w:sz w:val="24"/>
                <w:szCs w:val="24"/>
                <w:highlight w:val="none"/>
              </w:rPr>
              <w:t>（</w:t>
            </w:r>
            <w:r>
              <w:rPr>
                <w:rFonts w:hint="eastAsia" w:ascii="宋体" w:hAnsi="宋体" w:eastAsia="宋体" w:cs="宋体"/>
                <w:sz w:val="24"/>
                <w:szCs w:val="24"/>
                <w:highlight w:val="none"/>
                <w:lang w:val="en-US" w:eastAsia="zh-CN"/>
              </w:rPr>
              <w:t>10</w:t>
            </w:r>
            <w:r>
              <w:rPr>
                <w:rFonts w:hint="eastAsia" w:ascii="宋体" w:hAnsi="宋体" w:eastAsia="宋体" w:cs="宋体"/>
                <w:spacing w:val="4"/>
                <w:sz w:val="24"/>
                <w:szCs w:val="24"/>
                <w:highlight w:val="none"/>
              </w:rPr>
              <w:t>分）</w:t>
            </w:r>
          </w:p>
        </w:tc>
        <w:tc>
          <w:tcPr>
            <w:tcW w:w="7653" w:type="dxa"/>
            <w:tcBorders>
              <w:top w:val="single" w:color="000000" w:sz="6" w:space="0"/>
              <w:left w:val="single" w:color="000000" w:sz="6" w:space="0"/>
              <w:bottom w:val="single" w:color="auto" w:sz="4" w:space="0"/>
              <w:right w:val="single" w:color="000000" w:sz="12" w:space="0"/>
            </w:tcBorders>
            <w:shd w:val="clear" w:color="auto" w:fill="auto"/>
            <w:noWrap w:val="0"/>
            <w:vAlign w:val="center"/>
          </w:tcPr>
          <w:p w14:paraId="0A64A8DD">
            <w:pPr>
              <w:bidi w:val="0"/>
              <w:spacing w:line="360" w:lineRule="auto"/>
              <w:rPr>
                <w:rFonts w:hint="eastAsia" w:ascii="宋体" w:hAnsi="宋体" w:eastAsia="宋体" w:cs="宋体"/>
                <w:kern w:val="0"/>
                <w:sz w:val="24"/>
                <w:szCs w:val="24"/>
                <w:highlight w:val="none"/>
                <w:lang w:val="en-US" w:eastAsia="zh-CN" w:bidi="ar-SA"/>
              </w:rPr>
            </w:pPr>
            <w:r>
              <w:rPr>
                <w:rFonts w:hint="eastAsia" w:ascii="宋体" w:hAnsi="宋体" w:cs="宋体"/>
                <w:kern w:val="2"/>
                <w:sz w:val="24"/>
                <w:szCs w:val="24"/>
                <w:highlight w:val="none"/>
                <w:lang w:val="en-US" w:eastAsia="zh-CN" w:bidi="ar-SA"/>
              </w:rPr>
              <w:t>供应商</w:t>
            </w:r>
            <w:r>
              <w:rPr>
                <w:rFonts w:hint="eastAsia" w:ascii="宋体" w:hAnsi="宋体" w:eastAsia="宋体" w:cs="宋体"/>
                <w:kern w:val="2"/>
                <w:sz w:val="24"/>
                <w:szCs w:val="24"/>
                <w:highlight w:val="none"/>
                <w:lang w:val="en-US" w:eastAsia="zh-CN" w:bidi="ar-SA"/>
              </w:rPr>
              <w:t>根据本项目情况制定详细的应急预案，预案应包括但不限于：应急组织与责任、应急响应流程、</w:t>
            </w:r>
            <w:r>
              <w:rPr>
                <w:rFonts w:hint="eastAsia" w:ascii="宋体" w:hAnsi="宋体" w:cs="宋体"/>
                <w:kern w:val="2"/>
                <w:sz w:val="24"/>
                <w:szCs w:val="24"/>
                <w:highlight w:val="none"/>
                <w:lang w:val="en-US" w:eastAsia="zh-CN" w:bidi="ar-SA"/>
              </w:rPr>
              <w:t>重大问题及突发情况的</w:t>
            </w:r>
            <w:r>
              <w:rPr>
                <w:rFonts w:hint="eastAsia" w:ascii="宋体" w:hAnsi="宋体" w:eastAsia="宋体" w:cs="宋体"/>
                <w:kern w:val="2"/>
                <w:sz w:val="24"/>
                <w:szCs w:val="24"/>
                <w:highlight w:val="none"/>
                <w:lang w:val="en-US" w:eastAsia="zh-CN" w:bidi="ar-SA"/>
              </w:rPr>
              <w:t>应急处置预案等内容</w:t>
            </w:r>
            <w:r>
              <w:rPr>
                <w:rFonts w:hint="eastAsia" w:ascii="宋体" w:hAnsi="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全部提供得</w:t>
            </w:r>
            <w:r>
              <w:rPr>
                <w:rFonts w:hint="eastAsia" w:ascii="宋体" w:hAnsi="宋体" w:cs="宋体"/>
                <w:sz w:val="24"/>
                <w:szCs w:val="24"/>
                <w:highlight w:val="none"/>
                <w:lang w:val="en-US" w:eastAsia="zh-CN"/>
              </w:rPr>
              <w:t>10</w:t>
            </w:r>
            <w:r>
              <w:rPr>
                <w:rFonts w:hint="eastAsia" w:ascii="宋体" w:hAnsi="宋体" w:eastAsia="宋体" w:cs="宋体"/>
                <w:kern w:val="2"/>
                <w:sz w:val="24"/>
                <w:szCs w:val="24"/>
                <w:highlight w:val="none"/>
                <w:lang w:val="en-US" w:eastAsia="zh-CN" w:bidi="ar-SA"/>
              </w:rPr>
              <w:t>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w:t>
            </w:r>
            <w:r>
              <w:rPr>
                <w:rFonts w:hint="eastAsia" w:ascii="宋体" w:hAnsi="宋体" w:eastAsia="宋体" w:cs="宋体"/>
                <w:snapToGrid w:val="0"/>
                <w:color w:val="auto"/>
                <w:spacing w:val="5"/>
                <w:sz w:val="24"/>
                <w:szCs w:val="24"/>
                <w:highlight w:val="none"/>
                <w:lang w:val="en-US" w:eastAsia="zh-CN" w:bidi="ar-SA"/>
              </w:rPr>
              <w:t>不得分。</w:t>
            </w:r>
          </w:p>
        </w:tc>
      </w:tr>
      <w:tr w14:paraId="7667708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585" w:hRule="atLeast"/>
          <w:tblCellSpacing w:w="0" w:type="dxa"/>
          <w:jc w:val="center"/>
        </w:trPr>
        <w:tc>
          <w:tcPr>
            <w:tcW w:w="1246" w:type="dxa"/>
            <w:vMerge w:val="restart"/>
            <w:tcBorders>
              <w:top w:val="single" w:color="000000" w:sz="6" w:space="0"/>
              <w:left w:val="single" w:color="000000" w:sz="12" w:space="0"/>
              <w:right w:val="single" w:color="000000" w:sz="6" w:space="0"/>
            </w:tcBorders>
            <w:noWrap w:val="0"/>
            <w:vAlign w:val="center"/>
          </w:tcPr>
          <w:p w14:paraId="1F7F4894">
            <w:pPr>
              <w:pStyle w:val="18"/>
              <w:widowControl w:val="0"/>
              <w:spacing w:before="0" w:beforeAutospacing="0" w:after="0" w:afterAutospacing="0" w:line="360" w:lineRule="auto"/>
              <w:ind w:right="-10"/>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1C039A0D">
            <w:pPr>
              <w:pStyle w:val="18"/>
              <w:widowControl w:val="0"/>
              <w:spacing w:before="0" w:beforeAutospacing="0" w:after="0" w:afterAutospacing="0" w:line="360" w:lineRule="auto"/>
              <w:ind w:right="-1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分)</w:t>
            </w:r>
          </w:p>
        </w:tc>
        <w:tc>
          <w:tcPr>
            <w:tcW w:w="1473" w:type="dxa"/>
            <w:tcBorders>
              <w:top w:val="single" w:color="000000" w:sz="6" w:space="0"/>
              <w:left w:val="single" w:color="000000" w:sz="6" w:space="0"/>
              <w:bottom w:val="single" w:color="auto" w:sz="4" w:space="0"/>
              <w:right w:val="single" w:color="000000" w:sz="6" w:space="0"/>
            </w:tcBorders>
            <w:noWrap w:val="0"/>
            <w:vAlign w:val="center"/>
          </w:tcPr>
          <w:p w14:paraId="061E29BB">
            <w:pPr>
              <w:pStyle w:val="18"/>
              <w:widowControl w:val="0"/>
              <w:spacing w:before="0" w:beforeAutospacing="0" w:after="0" w:afterAutospacing="0" w:line="360" w:lineRule="auto"/>
              <w:ind w:right="-1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业绩(</w:t>
            </w:r>
            <w:r>
              <w:rPr>
                <w:rFonts w:hint="eastAsia" w:cs="宋体"/>
                <w:sz w:val="24"/>
                <w:szCs w:val="24"/>
                <w:highlight w:val="none"/>
                <w:lang w:val="en-US" w:eastAsia="zh-CN"/>
              </w:rPr>
              <w:t>4</w:t>
            </w:r>
            <w:r>
              <w:rPr>
                <w:rFonts w:hint="eastAsia" w:ascii="宋体" w:hAnsi="宋体" w:eastAsia="宋体" w:cs="宋体"/>
                <w:sz w:val="24"/>
                <w:szCs w:val="24"/>
                <w:highlight w:val="none"/>
              </w:rPr>
              <w:t>分)</w:t>
            </w:r>
          </w:p>
        </w:tc>
        <w:tc>
          <w:tcPr>
            <w:tcW w:w="7653" w:type="dxa"/>
            <w:tcBorders>
              <w:top w:val="single" w:color="000000" w:sz="6" w:space="0"/>
              <w:left w:val="single" w:color="000000" w:sz="6" w:space="0"/>
              <w:bottom w:val="single" w:color="auto" w:sz="4" w:space="0"/>
              <w:right w:val="single" w:color="000000" w:sz="12" w:space="0"/>
            </w:tcBorders>
            <w:noWrap w:val="0"/>
            <w:vAlign w:val="center"/>
          </w:tcPr>
          <w:p w14:paraId="2F9BC55A">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近</w:t>
            </w:r>
            <w:r>
              <w:rPr>
                <w:rFonts w:hint="eastAsia" w:ascii="宋体" w:hAnsi="宋体" w:cs="宋体"/>
                <w:sz w:val="24"/>
                <w:szCs w:val="24"/>
                <w:highlight w:val="none"/>
                <w:lang w:val="en-US" w:eastAsia="zh-CN"/>
              </w:rPr>
              <w:t>2021</w:t>
            </w:r>
            <w:r>
              <w:rPr>
                <w:rFonts w:hint="eastAsia" w:ascii="宋体" w:hAnsi="宋体" w:eastAsia="宋体" w:cs="宋体"/>
                <w:sz w:val="24"/>
                <w:szCs w:val="24"/>
                <w:highlight w:val="none"/>
                <w:lang w:val="en-US" w:eastAsia="zh-CN"/>
              </w:rPr>
              <w:t>年</w:t>
            </w:r>
            <w:r>
              <w:rPr>
                <w:rFonts w:hint="eastAsia" w:ascii="宋体" w:hAnsi="宋体" w:cs="宋体"/>
                <w:sz w:val="24"/>
                <w:szCs w:val="24"/>
                <w:highlight w:val="none"/>
                <w:lang w:val="en-US" w:eastAsia="zh-CN"/>
              </w:rPr>
              <w:t>6月以来</w:t>
            </w:r>
            <w:r>
              <w:rPr>
                <w:rFonts w:hint="eastAsia" w:ascii="宋体" w:hAnsi="宋体" w:eastAsia="宋体" w:cs="宋体"/>
                <w:sz w:val="24"/>
                <w:szCs w:val="24"/>
                <w:highlight w:val="none"/>
              </w:rPr>
              <w:t>(以合同签订日为准)类似项目</w:t>
            </w:r>
            <w:r>
              <w:rPr>
                <w:rFonts w:hint="eastAsia" w:ascii="宋体" w:hAnsi="宋体" w:eastAsia="宋体" w:cs="宋体"/>
                <w:sz w:val="24"/>
                <w:szCs w:val="24"/>
                <w:highlight w:val="none"/>
                <w:lang w:eastAsia="zh-CN"/>
              </w:rPr>
              <w:t>（(补充耕地质量鉴定、耕地等级评价、土壤普查、土地整治核查、新增耕地核定）</w:t>
            </w:r>
            <w:r>
              <w:rPr>
                <w:rFonts w:hint="eastAsia" w:ascii="宋体" w:hAnsi="宋体" w:eastAsia="宋体" w:cs="宋体"/>
                <w:sz w:val="24"/>
                <w:szCs w:val="24"/>
                <w:highlight w:val="none"/>
              </w:rPr>
              <w:t>业绩，每个得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分，最多得</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分。</w:t>
            </w:r>
          </w:p>
          <w:p w14:paraId="2712BA8C">
            <w:pPr>
              <w:widowControl/>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注:以上需提供</w:t>
            </w:r>
            <w:r>
              <w:rPr>
                <w:rFonts w:hint="eastAsia" w:ascii="宋体" w:hAnsi="宋体" w:eastAsia="宋体" w:cs="宋体"/>
                <w:sz w:val="24"/>
                <w:szCs w:val="24"/>
                <w:highlight w:val="none"/>
                <w:lang w:val="en-US" w:eastAsia="zh-CN"/>
              </w:rPr>
              <w:t>有效的</w:t>
            </w:r>
            <w:r>
              <w:rPr>
                <w:rFonts w:hint="eastAsia" w:ascii="宋体" w:hAnsi="宋体" w:eastAsia="宋体" w:cs="宋体"/>
                <w:sz w:val="24"/>
                <w:szCs w:val="24"/>
                <w:highlight w:val="none"/>
              </w:rPr>
              <w:t>业绩合同</w:t>
            </w:r>
            <w:r>
              <w:rPr>
                <w:rFonts w:hint="eastAsia" w:ascii="宋体" w:hAnsi="宋体" w:eastAsia="宋体" w:cs="宋体"/>
                <w:sz w:val="24"/>
                <w:szCs w:val="24"/>
                <w:highlight w:val="none"/>
                <w:lang w:val="en-US" w:eastAsia="zh-CN"/>
              </w:rPr>
              <w:t>复印件</w:t>
            </w:r>
            <w:r>
              <w:rPr>
                <w:rFonts w:hint="eastAsia" w:ascii="宋体" w:hAnsi="宋体" w:eastAsia="宋体" w:cs="宋体"/>
                <w:sz w:val="24"/>
                <w:szCs w:val="24"/>
                <w:highlight w:val="none"/>
              </w:rPr>
              <w:t>，否则不得分。</w:t>
            </w:r>
          </w:p>
        </w:tc>
      </w:tr>
      <w:tr w14:paraId="1137E7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585" w:hRule="atLeast"/>
          <w:tblCellSpacing w:w="0" w:type="dxa"/>
          <w:jc w:val="center"/>
        </w:trPr>
        <w:tc>
          <w:tcPr>
            <w:tcW w:w="1246" w:type="dxa"/>
            <w:vMerge w:val="continue"/>
            <w:tcBorders>
              <w:left w:val="single" w:color="000000" w:sz="12" w:space="0"/>
              <w:right w:val="single" w:color="000000" w:sz="6" w:space="0"/>
            </w:tcBorders>
            <w:noWrap w:val="0"/>
            <w:vAlign w:val="center"/>
          </w:tcPr>
          <w:p w14:paraId="2AD07E3F">
            <w:pPr>
              <w:pStyle w:val="18"/>
              <w:widowControl w:val="0"/>
              <w:spacing w:before="0" w:beforeAutospacing="0" w:after="0" w:afterAutospacing="0" w:line="360" w:lineRule="auto"/>
              <w:ind w:right="-10"/>
              <w:rPr>
                <w:rFonts w:hint="eastAsia" w:ascii="宋体" w:hAnsi="宋体" w:eastAsia="宋体" w:cs="宋体"/>
                <w:sz w:val="24"/>
                <w:szCs w:val="24"/>
                <w:highlight w:val="none"/>
              </w:rPr>
            </w:pPr>
          </w:p>
        </w:tc>
        <w:tc>
          <w:tcPr>
            <w:tcW w:w="1473" w:type="dxa"/>
            <w:tcBorders>
              <w:top w:val="single" w:color="000000" w:sz="6" w:space="0"/>
              <w:left w:val="single" w:color="000000" w:sz="6" w:space="0"/>
              <w:bottom w:val="single" w:color="auto" w:sz="4" w:space="0"/>
              <w:right w:val="single" w:color="000000" w:sz="6" w:space="0"/>
            </w:tcBorders>
            <w:shd w:val="clear" w:color="auto" w:fill="auto"/>
            <w:noWrap w:val="0"/>
            <w:vAlign w:val="center"/>
          </w:tcPr>
          <w:p w14:paraId="256026E7">
            <w:pPr>
              <w:bidi w:val="0"/>
              <w:spacing w:line="360" w:lineRule="auto"/>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售后服务承诺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分）</w:t>
            </w:r>
          </w:p>
        </w:tc>
        <w:tc>
          <w:tcPr>
            <w:tcW w:w="7653" w:type="dxa"/>
            <w:tcBorders>
              <w:top w:val="single" w:color="000000" w:sz="6" w:space="0"/>
              <w:left w:val="single" w:color="000000" w:sz="6" w:space="0"/>
              <w:bottom w:val="single" w:color="auto" w:sz="4" w:space="0"/>
              <w:right w:val="single" w:color="000000" w:sz="12" w:space="0"/>
            </w:tcBorders>
            <w:shd w:val="clear" w:color="auto" w:fill="auto"/>
            <w:noWrap w:val="0"/>
            <w:vAlign w:val="center"/>
          </w:tcPr>
          <w:p w14:paraId="772AC8B6">
            <w:pPr>
              <w:tabs>
                <w:tab w:val="left" w:pos="5130"/>
              </w:tabs>
              <w:adjustRightInd w:val="0"/>
              <w:snapToGrid w:val="0"/>
              <w:spacing w:line="360" w:lineRule="auto"/>
              <w:rPr>
                <w:rFonts w:hint="eastAsia" w:ascii="宋体" w:hAnsi="宋体" w:eastAsia="宋体" w:cs="宋体"/>
                <w:sz w:val="24"/>
                <w:szCs w:val="24"/>
                <w:highlight w:val="none"/>
                <w:lang w:val="en-US" w:eastAsia="zh-CN"/>
              </w:rPr>
            </w:pPr>
            <w:r>
              <w:rPr>
                <w:rFonts w:hint="eastAsia" w:ascii="宋体" w:hAnsi="宋体" w:cs="宋体"/>
                <w:kern w:val="2"/>
                <w:sz w:val="24"/>
                <w:szCs w:val="24"/>
                <w:highlight w:val="none"/>
                <w:lang w:val="en-US" w:eastAsia="zh-CN" w:bidi="ar-SA"/>
              </w:rPr>
              <w:t>供应商</w:t>
            </w:r>
            <w:r>
              <w:rPr>
                <w:rFonts w:hint="eastAsia" w:ascii="宋体" w:hAnsi="宋体" w:eastAsia="宋体" w:cs="宋体"/>
                <w:kern w:val="2"/>
                <w:sz w:val="24"/>
                <w:szCs w:val="24"/>
                <w:highlight w:val="none"/>
                <w:lang w:val="en-US" w:eastAsia="zh-CN" w:bidi="ar-SA"/>
              </w:rPr>
              <w:t>根据本项目情况制定详细的</w:t>
            </w:r>
            <w:r>
              <w:rPr>
                <w:rFonts w:hint="eastAsia" w:ascii="宋体" w:hAnsi="宋体" w:cs="宋体"/>
                <w:kern w:val="2"/>
                <w:sz w:val="24"/>
                <w:szCs w:val="24"/>
                <w:highlight w:val="none"/>
                <w:lang w:val="en-US" w:eastAsia="zh-CN" w:bidi="ar-SA"/>
              </w:rPr>
              <w:t>售后</w:t>
            </w:r>
            <w:r>
              <w:rPr>
                <w:rFonts w:hint="eastAsia" w:ascii="宋体" w:hAnsi="宋体" w:eastAsia="宋体" w:cs="宋体"/>
                <w:kern w:val="2"/>
                <w:sz w:val="24"/>
                <w:szCs w:val="24"/>
                <w:highlight w:val="none"/>
                <w:lang w:val="en-US" w:eastAsia="zh-CN" w:bidi="ar-SA"/>
              </w:rPr>
              <w:t>服务承诺，应包括但不限于：售后服务保证体系（问题预警、问题的投诉响应处理、问题的解决办法），后续服务措施（人员配备培训、服务响应时间及维护能力），对完结后的项目持续跟踪和答疑、技术人员对项目成果的回访调查和完善等</w:t>
            </w:r>
            <w:r>
              <w:rPr>
                <w:rFonts w:hint="eastAsia" w:ascii="宋体" w:hAnsi="宋体" w:cs="宋体"/>
                <w:kern w:val="2"/>
                <w:sz w:val="24"/>
                <w:szCs w:val="24"/>
                <w:highlight w:val="none"/>
                <w:lang w:val="en-US" w:eastAsia="zh-CN" w:bidi="ar-SA"/>
              </w:rPr>
              <w:t>内容，全部提供</w:t>
            </w:r>
            <w:r>
              <w:rPr>
                <w:rFonts w:hint="eastAsia" w:ascii="宋体" w:hAnsi="宋体" w:eastAsia="宋体" w:cs="宋体"/>
                <w:kern w:val="2"/>
                <w:sz w:val="24"/>
                <w:szCs w:val="24"/>
                <w:highlight w:val="none"/>
                <w:lang w:val="en-US" w:eastAsia="zh-CN" w:bidi="ar-SA"/>
              </w:rPr>
              <w:t>得</w:t>
            </w:r>
            <w:r>
              <w:rPr>
                <w:rFonts w:hint="eastAsia" w:ascii="宋体" w:hAnsi="宋体" w:cs="宋体"/>
                <w:sz w:val="24"/>
                <w:szCs w:val="24"/>
                <w:highlight w:val="none"/>
                <w:lang w:val="en-US" w:eastAsia="zh-CN"/>
              </w:rPr>
              <w:t>16</w:t>
            </w:r>
            <w:r>
              <w:rPr>
                <w:rFonts w:hint="eastAsia" w:ascii="宋体" w:hAnsi="宋体" w:eastAsia="宋体" w:cs="宋体"/>
                <w:kern w:val="2"/>
                <w:sz w:val="24"/>
                <w:szCs w:val="24"/>
                <w:highlight w:val="none"/>
                <w:lang w:val="en-US" w:eastAsia="zh-CN" w:bidi="ar-SA"/>
              </w:rPr>
              <w:t>分，</w:t>
            </w:r>
            <w:r>
              <w:rPr>
                <w:rFonts w:hint="eastAsia" w:ascii="宋体" w:hAnsi="宋体" w:eastAsia="宋体" w:cs="宋体"/>
                <w:snapToGrid w:val="0"/>
                <w:color w:val="auto"/>
                <w:spacing w:val="5"/>
                <w:sz w:val="24"/>
                <w:szCs w:val="24"/>
                <w:highlight w:val="none"/>
                <w:lang w:val="en-US" w:eastAsia="zh-CN" w:bidi="ar-SA"/>
              </w:rPr>
              <w:t>不提供或</w:t>
            </w:r>
            <w:r>
              <w:rPr>
                <w:rFonts w:hint="eastAsia" w:ascii="宋体" w:hAnsi="宋体" w:eastAsia="宋体" w:cs="宋体"/>
                <w:color w:val="auto"/>
                <w:sz w:val="24"/>
                <w:szCs w:val="24"/>
                <w:highlight w:val="none"/>
                <w:lang w:eastAsia="zh-CN"/>
              </w:rPr>
              <w:t>脱离本项目实际、内容前后矛盾</w:t>
            </w:r>
            <w:r>
              <w:rPr>
                <w:rFonts w:hint="eastAsia" w:ascii="宋体" w:hAnsi="宋体" w:eastAsia="宋体" w:cs="宋体"/>
                <w:snapToGrid w:val="0"/>
                <w:color w:val="auto"/>
                <w:spacing w:val="5"/>
                <w:sz w:val="24"/>
                <w:szCs w:val="24"/>
                <w:highlight w:val="none"/>
                <w:lang w:val="en-US" w:eastAsia="zh-CN" w:bidi="ar-SA"/>
              </w:rPr>
              <w:t>不得分。</w:t>
            </w:r>
          </w:p>
        </w:tc>
      </w:tr>
    </w:tbl>
    <w:p w14:paraId="73CEB425">
      <w:pPr>
        <w:pStyle w:val="9"/>
        <w:spacing w:line="360" w:lineRule="auto"/>
        <w:ind w:left="0" w:leftChars="0" w:right="-10" w:firstLine="0" w:firstLineChars="0"/>
        <w:rPr>
          <w:rFonts w:hint="eastAsia" w:ascii="宋体" w:hAnsi="宋体" w:eastAsia="宋体" w:cs="宋体"/>
          <w:b/>
          <w:kern w:val="1"/>
          <w:sz w:val="24"/>
          <w:highlight w:val="none"/>
        </w:rPr>
      </w:pPr>
    </w:p>
    <w:p w14:paraId="1B18FE23">
      <w:pPr>
        <w:rPr>
          <w:rFonts w:hint="eastAsia"/>
          <w:highlight w:val="none"/>
        </w:rPr>
      </w:pPr>
    </w:p>
    <w:p w14:paraId="1FDC0104">
      <w:pPr>
        <w:pStyle w:val="9"/>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w:t>
      </w:r>
      <w:r>
        <w:rPr>
          <w:rFonts w:hint="eastAsia" w:ascii="宋体" w:hAnsi="宋体" w:eastAsia="宋体" w:cs="宋体"/>
          <w:b/>
          <w:kern w:val="1"/>
          <w:sz w:val="24"/>
          <w:highlight w:val="none"/>
          <w:lang w:val="en-US" w:eastAsia="zh-CN"/>
        </w:rPr>
        <w:t>投标</w:t>
      </w:r>
      <w:r>
        <w:rPr>
          <w:rFonts w:hint="eastAsia" w:ascii="宋体" w:hAnsi="宋体" w:eastAsia="宋体" w:cs="宋体"/>
          <w:b/>
          <w:kern w:val="1"/>
          <w:sz w:val="24"/>
          <w:highlight w:val="none"/>
        </w:rPr>
        <w:t>文件等进行复核，并在法定的时间内确定中标人。</w:t>
      </w:r>
    </w:p>
    <w:p w14:paraId="5DE242D6">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eastAsia="宋体" w:cs="宋体"/>
          <w:bCs/>
          <w:sz w:val="24"/>
          <w:highlight w:val="none"/>
        </w:rPr>
        <w:t>1、依据中华人民共和国财政部令第87号令《政府采购货物和服务招标投标管理办法》第三十一条要求，不同</w:t>
      </w:r>
      <w:r>
        <w:rPr>
          <w:rFonts w:hint="eastAsia" w:ascii="宋体" w:hAnsi="宋体" w:cs="宋体"/>
          <w:bCs/>
          <w:sz w:val="24"/>
          <w:highlight w:val="none"/>
          <w:lang w:eastAsia="zh-CN"/>
        </w:rPr>
        <w:t>供应商</w:t>
      </w:r>
      <w:r>
        <w:rPr>
          <w:rFonts w:hint="eastAsia" w:ascii="宋体" w:hAnsi="宋体" w:eastAsia="宋体" w:cs="宋体"/>
          <w:bCs/>
          <w:sz w:val="24"/>
          <w:highlight w:val="none"/>
        </w:rPr>
        <w:t>所投核心产品对应品牌完全相同且通过资格审查、符合性审查的，将按照一家</w:t>
      </w:r>
      <w:r>
        <w:rPr>
          <w:rFonts w:hint="eastAsia" w:ascii="宋体" w:hAnsi="宋体" w:cs="宋体"/>
          <w:bCs/>
          <w:sz w:val="24"/>
          <w:highlight w:val="none"/>
          <w:lang w:eastAsia="zh-CN"/>
        </w:rPr>
        <w:t>供应商</w:t>
      </w:r>
      <w:r>
        <w:rPr>
          <w:rFonts w:hint="eastAsia" w:ascii="宋体" w:hAnsi="宋体" w:eastAsia="宋体" w:cs="宋体"/>
          <w:bCs/>
          <w:sz w:val="24"/>
          <w:highlight w:val="none"/>
        </w:rPr>
        <w:t>计算。审后得分最高的同品牌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获得中标人推荐资格；评审得分相同的，按照除价格分外得分最高（商务+技术参数）的同品牌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获得中标人推荐资格，其他同品牌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不作为中标候选人</w:t>
      </w:r>
      <w:r>
        <w:rPr>
          <w:rFonts w:hint="eastAsia" w:ascii="宋体" w:hAnsi="宋体" w:cs="宋体"/>
          <w:bCs/>
          <w:sz w:val="24"/>
          <w:highlight w:val="none"/>
          <w:lang w:eastAsia="zh-CN"/>
        </w:rPr>
        <w:t>。</w:t>
      </w:r>
    </w:p>
    <w:p w14:paraId="7D15D4A4">
      <w:pPr>
        <w:adjustRightInd w:val="0"/>
        <w:snapToGrid w:val="0"/>
        <w:spacing w:line="360" w:lineRule="auto"/>
        <w:ind w:right="-10"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2、按照周口市交易中心规定，本项目</w:t>
      </w:r>
      <w:r>
        <w:rPr>
          <w:rFonts w:hint="eastAsia" w:ascii="宋体" w:hAnsi="宋体" w:cs="宋体"/>
          <w:bCs/>
          <w:sz w:val="24"/>
          <w:highlight w:val="none"/>
          <w:lang w:eastAsia="zh-CN"/>
        </w:rPr>
        <w:t>供应商</w:t>
      </w:r>
      <w:r>
        <w:rPr>
          <w:rFonts w:hint="eastAsia" w:ascii="宋体" w:hAnsi="宋体" w:eastAsia="宋体" w:cs="宋体"/>
          <w:bCs/>
          <w:sz w:val="24"/>
          <w:highlight w:val="none"/>
        </w:rPr>
        <w:t>所需提供原件在评标时无需提供，仅作为采购单位核实时使用，评审委员会评审时仅以</w:t>
      </w:r>
      <w:r>
        <w:rPr>
          <w:rFonts w:hint="eastAsia" w:ascii="宋体" w:hAnsi="宋体" w:cs="宋体"/>
          <w:bCs/>
          <w:sz w:val="24"/>
          <w:highlight w:val="none"/>
          <w:lang w:eastAsia="zh-CN"/>
        </w:rPr>
        <w:t>供应商</w:t>
      </w:r>
      <w:r>
        <w:rPr>
          <w:rFonts w:hint="eastAsia" w:ascii="宋体" w:hAnsi="宋体" w:eastAsia="宋体" w:cs="宋体"/>
          <w:bCs/>
          <w:sz w:val="24"/>
          <w:highlight w:val="none"/>
        </w:rPr>
        <w:t>投标文件中扫描件为准。</w:t>
      </w:r>
    </w:p>
    <w:p w14:paraId="345E0C93">
      <w:pPr>
        <w:pStyle w:val="9"/>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w:t>
      </w:r>
      <w:r>
        <w:rPr>
          <w:rFonts w:hint="eastAsia" w:ascii="宋体" w:hAnsi="宋体" w:eastAsia="宋体" w:cs="宋体"/>
          <w:bCs/>
          <w:sz w:val="24"/>
          <w:highlight w:val="none"/>
          <w:lang w:eastAsia="zh-CN"/>
        </w:rPr>
        <w:t>供应商</w:t>
      </w:r>
      <w:r>
        <w:rPr>
          <w:rFonts w:hint="eastAsia" w:ascii="宋体" w:hAnsi="宋体" w:eastAsia="宋体" w:cs="宋体"/>
          <w:bCs/>
          <w:sz w:val="24"/>
          <w:highlight w:val="none"/>
        </w:rPr>
        <w:t>某项指标如有不同意见，按照少数服从多数的原则，确定该项指标是否通过。</w:t>
      </w:r>
    </w:p>
    <w:p w14:paraId="514FD8BD">
      <w:pPr>
        <w:spacing w:line="360" w:lineRule="auto"/>
        <w:ind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第十一条</w:t>
      </w:r>
      <w:r>
        <w:rPr>
          <w:rFonts w:hint="eastAsia" w:ascii="宋体" w:hAnsi="宋体" w:eastAsia="宋体" w:cs="宋体"/>
          <w:bCs/>
          <w:sz w:val="24"/>
          <w:highlight w:val="none"/>
        </w:rPr>
        <w:t xml:space="preserve"> 商务、技术满足招标文件要求，综合得分最高的</w:t>
      </w:r>
      <w:r>
        <w:rPr>
          <w:rFonts w:hint="eastAsia" w:ascii="宋体" w:hAnsi="宋体" w:cs="宋体"/>
          <w:bCs/>
          <w:sz w:val="24"/>
          <w:highlight w:val="none"/>
          <w:lang w:eastAsia="zh-CN"/>
        </w:rPr>
        <w:t>供应商</w:t>
      </w:r>
      <w:r>
        <w:rPr>
          <w:rFonts w:hint="eastAsia" w:ascii="宋体" w:hAnsi="宋体" w:eastAsia="宋体" w:cs="宋体"/>
          <w:bCs/>
          <w:sz w:val="24"/>
          <w:highlight w:val="none"/>
        </w:rPr>
        <w:t>将作为中标候选人。如果综合得分中出现两家或两家以上相同者，投标报价较低者优先中标，报价也相同的，由采购人自行确定。</w:t>
      </w:r>
    </w:p>
    <w:p w14:paraId="7DF8E9DA">
      <w:pPr>
        <w:pStyle w:val="9"/>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27F7E5D9">
      <w:pPr>
        <w:adjustRightInd w:val="0"/>
        <w:snapToGrid w:val="0"/>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第十三条</w:t>
      </w:r>
      <w:r>
        <w:rPr>
          <w:rFonts w:hint="eastAsia" w:ascii="宋体" w:hAnsi="宋体" w:eastAsia="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EF492B9">
      <w:pPr>
        <w:adjustRightInd w:val="0"/>
        <w:snapToGrid w:val="0"/>
        <w:spacing w:line="360" w:lineRule="auto"/>
        <w:ind w:right="-10" w:firstLine="480" w:firstLineChars="200"/>
        <w:rPr>
          <w:rFonts w:hint="eastAsia" w:ascii="宋体" w:hAnsi="宋体" w:eastAsia="宋体" w:cs="宋体"/>
          <w:bCs/>
          <w:sz w:val="24"/>
          <w:highlight w:val="none"/>
        </w:rPr>
      </w:pPr>
    </w:p>
    <w:p w14:paraId="2858C3B9">
      <w:pPr>
        <w:rPr>
          <w:rFonts w:hint="eastAsia" w:ascii="宋体" w:hAnsi="宋体" w:eastAsia="宋体" w:cs="宋体"/>
          <w:highlight w:val="none"/>
        </w:rPr>
      </w:pPr>
    </w:p>
    <w:p w14:paraId="17A77E1C">
      <w:pPr>
        <w:adjustRightInd w:val="0"/>
        <w:snapToGrid w:val="0"/>
        <w:spacing w:line="360" w:lineRule="auto"/>
        <w:jc w:val="center"/>
        <w:rPr>
          <w:rFonts w:hint="eastAsia" w:ascii="宋体" w:hAnsi="宋体" w:eastAsia="宋体" w:cs="宋体"/>
          <w:b/>
          <w:bCs/>
          <w:sz w:val="24"/>
          <w:highlight w:val="none"/>
        </w:rPr>
      </w:pPr>
      <w:bookmarkStart w:id="55" w:name="_Toc40_WPSOffice_Level2"/>
      <w:r>
        <w:rPr>
          <w:rFonts w:hint="eastAsia" w:ascii="宋体" w:hAnsi="宋体" w:eastAsia="宋体" w:cs="宋体"/>
          <w:b/>
          <w:bCs/>
          <w:sz w:val="24"/>
          <w:highlight w:val="none"/>
        </w:rPr>
        <w:t>三．评标纪律</w:t>
      </w:r>
      <w:bookmarkEnd w:id="55"/>
    </w:p>
    <w:p w14:paraId="15978D50">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第十四条</w:t>
      </w:r>
      <w:r>
        <w:rPr>
          <w:rFonts w:hint="eastAsia" w:ascii="宋体" w:hAnsi="宋体" w:eastAsia="宋体" w:cs="宋体"/>
          <w:bCs/>
          <w:sz w:val="24"/>
          <w:highlight w:val="none"/>
        </w:rPr>
        <w:t xml:space="preserve"> 评委会和评标工作人员应严格遵守国家的法律、法规和规章制度；</w:t>
      </w:r>
      <w:r>
        <w:rPr>
          <w:rFonts w:hint="eastAsia" w:ascii="宋体" w:hAnsi="宋体" w:eastAsia="宋体" w:cs="宋体"/>
          <w:sz w:val="24"/>
          <w:highlight w:val="none"/>
        </w:rPr>
        <w:t>严格按照本次招标文件进行评标；公正廉洁、不徇私情，不得损害国家利益；</w:t>
      </w:r>
      <w:r>
        <w:rPr>
          <w:rFonts w:hint="eastAsia" w:ascii="宋体" w:hAnsi="宋体" w:eastAsia="宋体" w:cs="宋体"/>
          <w:color w:val="auto"/>
          <w:sz w:val="24"/>
          <w:highlight w:val="none"/>
        </w:rPr>
        <w:t>保护招、</w:t>
      </w:r>
      <w:r>
        <w:rPr>
          <w:rFonts w:hint="eastAsia" w:ascii="宋体" w:hAnsi="宋体" w:cs="宋体"/>
          <w:color w:val="auto"/>
          <w:sz w:val="24"/>
          <w:highlight w:val="none"/>
          <w:lang w:val="en-US" w:eastAsia="zh-CN"/>
        </w:rPr>
        <w:t>投标人</w:t>
      </w:r>
      <w:r>
        <w:rPr>
          <w:rFonts w:hint="eastAsia" w:ascii="宋体" w:hAnsi="宋体" w:eastAsia="宋体" w:cs="宋体"/>
          <w:sz w:val="24"/>
          <w:highlight w:val="none"/>
        </w:rPr>
        <w:t>的合法权益。</w:t>
      </w:r>
    </w:p>
    <w:p w14:paraId="1421338D">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 xml:space="preserve">第十五条 </w:t>
      </w:r>
      <w:r>
        <w:rPr>
          <w:rFonts w:hint="eastAsia" w:ascii="宋体" w:hAnsi="宋体" w:eastAsia="宋体" w:cs="宋体"/>
          <w:sz w:val="24"/>
          <w:highlight w:val="none"/>
        </w:rPr>
        <w:t>在评标过程中，评委必须对评标情况严格保密，任何人不得将评标情况透露给与</w:t>
      </w:r>
      <w:r>
        <w:rPr>
          <w:rFonts w:hint="eastAsia" w:ascii="宋体" w:hAnsi="宋体" w:cs="宋体"/>
          <w:sz w:val="24"/>
          <w:highlight w:val="none"/>
          <w:lang w:eastAsia="zh-CN"/>
        </w:rPr>
        <w:t>供应商</w:t>
      </w:r>
      <w:r>
        <w:rPr>
          <w:rFonts w:hint="eastAsia" w:ascii="宋体" w:hAnsi="宋体" w:eastAsia="宋体" w:cs="宋体"/>
          <w:sz w:val="24"/>
          <w:highlight w:val="none"/>
        </w:rPr>
        <w:t>有关的单位和个人。如有违反评标纪律的情况发生，将依据《中华人民共和国政府采购法》及其他有关法律法规的规定，追究有关当事人的责任。</w:t>
      </w:r>
    </w:p>
    <w:p w14:paraId="23186FE1">
      <w:pPr>
        <w:spacing w:line="360" w:lineRule="auto"/>
        <w:ind w:firstLine="482" w:firstLineChars="200"/>
        <w:jc w:val="left"/>
        <w:rPr>
          <w:rFonts w:hint="eastAsia" w:ascii="宋体" w:hAnsi="宋体" w:eastAsia="宋体" w:cs="宋体"/>
          <w:sz w:val="24"/>
          <w:highlight w:val="none"/>
        </w:rPr>
      </w:pPr>
      <w:r>
        <w:rPr>
          <w:rFonts w:hint="eastAsia" w:ascii="宋体" w:hAnsi="宋体" w:eastAsia="宋体" w:cs="宋体"/>
          <w:b/>
          <w:sz w:val="24"/>
          <w:highlight w:val="none"/>
        </w:rPr>
        <w:t>第十六条</w:t>
      </w:r>
      <w:r>
        <w:rPr>
          <w:rFonts w:hint="eastAsia" w:ascii="宋体" w:hAnsi="宋体" w:eastAsia="宋体" w:cs="宋体"/>
          <w:sz w:val="24"/>
          <w:highlight w:val="none"/>
        </w:rPr>
        <w:t xml:space="preserve"> 在招标采购中，出现下列情形之一的，应予废标：</w:t>
      </w:r>
    </w:p>
    <w:p w14:paraId="10D6EA7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1.出现影响采购公正的违法、违规行为的。</w:t>
      </w:r>
    </w:p>
    <w:p w14:paraId="0CF1BC2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2.投标时有弄虚作假的行为。</w:t>
      </w:r>
    </w:p>
    <w:p w14:paraId="052A1891">
      <w:pPr>
        <w:spacing w:line="360" w:lineRule="auto"/>
        <w:ind w:firstLine="475" w:firstLineChars="197"/>
        <w:rPr>
          <w:rFonts w:hint="eastAsia" w:ascii="宋体" w:hAnsi="宋体" w:eastAsia="宋体" w:cs="宋体"/>
          <w:sz w:val="24"/>
          <w:highlight w:val="none"/>
        </w:rPr>
      </w:pPr>
      <w:r>
        <w:rPr>
          <w:rFonts w:hint="eastAsia" w:ascii="宋体" w:hAnsi="宋体" w:eastAsia="宋体" w:cs="宋体"/>
          <w:b/>
          <w:sz w:val="24"/>
          <w:highlight w:val="none"/>
        </w:rPr>
        <w:t xml:space="preserve">第十七条 </w:t>
      </w:r>
      <w:r>
        <w:rPr>
          <w:rFonts w:hint="eastAsia" w:ascii="宋体" w:hAnsi="宋体" w:eastAsia="宋体" w:cs="宋体"/>
          <w:sz w:val="24"/>
          <w:highlight w:val="none"/>
        </w:rPr>
        <w:t>在投标过程中，出现下列情况之一的，按照无效投标处理：</w:t>
      </w:r>
    </w:p>
    <w:p w14:paraId="7E733E8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1.未按照招标文件规定要求签署、签章的</w:t>
      </w:r>
      <w:r>
        <w:rPr>
          <w:rFonts w:hint="eastAsia" w:ascii="宋体" w:hAnsi="宋体" w:eastAsia="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BC8BA1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2.不具备招标文件中规定资格要求的；</w:t>
      </w:r>
    </w:p>
    <w:p w14:paraId="359C332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3.不符合法律、法规和招标文件中规定的其他实质性要求的。</w:t>
      </w:r>
    </w:p>
    <w:p w14:paraId="449568B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cs="宋体"/>
          <w:sz w:val="24"/>
          <w:highlight w:val="none"/>
          <w:lang w:eastAsia="zh-CN"/>
        </w:rPr>
        <w:t>供应商</w:t>
      </w:r>
      <w:r>
        <w:rPr>
          <w:rFonts w:hint="eastAsia" w:ascii="宋体" w:hAnsi="宋体" w:eastAsia="宋体" w:cs="宋体"/>
          <w:sz w:val="24"/>
          <w:highlight w:val="none"/>
        </w:rPr>
        <w:t>的报价超过了采购预算，采购人不能支付的；</w:t>
      </w:r>
    </w:p>
    <w:p w14:paraId="7B508EA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5.投标文件附有招标人不能接受的条件；</w:t>
      </w:r>
    </w:p>
    <w:p w14:paraId="506F92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6.投标文件中对同一服务或标段提供选择性报价的；</w:t>
      </w:r>
    </w:p>
    <w:p w14:paraId="4D18E05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7.商务偏差表或技术偏差表存在弄虚作假的；</w:t>
      </w:r>
    </w:p>
    <w:p w14:paraId="1290B9E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3D6E455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48D0B59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2FD1BD3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56E48098">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308A6A22">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5200A6AF">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第十</w:t>
      </w:r>
      <w:r>
        <w:rPr>
          <w:rFonts w:hint="eastAsia" w:ascii="宋体" w:hAnsi="宋体" w:eastAsia="宋体" w:cs="宋体"/>
          <w:b/>
          <w:bCs/>
          <w:sz w:val="24"/>
          <w:highlight w:val="none"/>
        </w:rPr>
        <w:t>八</w:t>
      </w:r>
      <w:r>
        <w:rPr>
          <w:rFonts w:hint="eastAsia" w:ascii="宋体" w:hAnsi="宋体" w:eastAsia="宋体" w:cs="宋体"/>
          <w:b/>
          <w:sz w:val="24"/>
          <w:highlight w:val="none"/>
        </w:rPr>
        <w:t xml:space="preserve">条 </w:t>
      </w:r>
      <w:r>
        <w:rPr>
          <w:rFonts w:hint="eastAsia" w:ascii="宋体" w:hAnsi="宋体" w:eastAsia="宋体" w:cs="宋体"/>
          <w:sz w:val="24"/>
          <w:highlight w:val="none"/>
        </w:rPr>
        <w:t>在投标文件中，出现下列情形之一的，其投标有可能被拒绝：</w:t>
      </w:r>
    </w:p>
    <w:p w14:paraId="59B3EFB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工期不确切、不肯定的投标；</w:t>
      </w:r>
    </w:p>
    <w:p w14:paraId="39DC220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2.对售后服务、付款方式不满足招标文件要求的； </w:t>
      </w:r>
    </w:p>
    <w:p w14:paraId="37A9C0F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没有实质性响应招标文件的要求和条件的；</w:t>
      </w:r>
    </w:p>
    <w:p w14:paraId="28291B1E">
      <w:pPr>
        <w:tabs>
          <w:tab w:val="left" w:pos="2730"/>
        </w:tabs>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4.评标委员会认为</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的报价明显低于其他通过符合性审查</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的报价，有可能影响产品质量或者不能诚信履约的；</w:t>
      </w:r>
      <w:r>
        <w:rPr>
          <w:rFonts w:hint="eastAsia" w:ascii="宋体" w:hAnsi="宋体" w:eastAsia="宋体" w:cs="宋体"/>
          <w:color w:val="000000"/>
          <w:sz w:val="24"/>
          <w:highlight w:val="none"/>
          <w:lang w:val="en-US" w:eastAsia="zh-CN"/>
        </w:rPr>
        <w:t>且</w:t>
      </w:r>
      <w:r>
        <w:rPr>
          <w:rFonts w:hint="eastAsia" w:ascii="宋体" w:hAnsi="宋体" w:eastAsia="宋体" w:cs="宋体"/>
          <w:color w:val="000000"/>
          <w:sz w:val="24"/>
          <w:highlight w:val="none"/>
        </w:rPr>
        <w:t>提供</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书面说明</w:t>
      </w:r>
      <w:r>
        <w:rPr>
          <w:rFonts w:hint="eastAsia" w:ascii="宋体" w:hAnsi="宋体" w:eastAsia="宋体" w:cs="宋体"/>
          <w:color w:val="000000"/>
          <w:sz w:val="24"/>
          <w:highlight w:val="none"/>
          <w:lang w:val="en-US" w:eastAsia="zh-CN"/>
        </w:rPr>
        <w:t>和</w:t>
      </w:r>
      <w:r>
        <w:rPr>
          <w:rFonts w:hint="eastAsia" w:ascii="宋体" w:hAnsi="宋体" w:eastAsia="宋体" w:cs="宋体"/>
          <w:color w:val="000000"/>
          <w:sz w:val="24"/>
          <w:highlight w:val="none"/>
        </w:rPr>
        <w:t>相关证明材料；</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不能证明其报价合理性的，评标委员会应当将其作为无效投标处理</w:t>
      </w:r>
      <w:r>
        <w:rPr>
          <w:rFonts w:hint="eastAsia" w:ascii="宋体" w:hAnsi="宋体" w:eastAsia="宋体" w:cs="宋体"/>
          <w:color w:val="000000"/>
          <w:sz w:val="24"/>
          <w:highlight w:val="none"/>
          <w:lang w:eastAsia="zh-CN"/>
        </w:rPr>
        <w:t>。</w:t>
      </w:r>
    </w:p>
    <w:p w14:paraId="4F152A27">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第十九条</w:t>
      </w:r>
      <w:r>
        <w:rPr>
          <w:rFonts w:hint="eastAsia" w:ascii="宋体" w:hAnsi="宋体" w:eastAsia="宋体" w:cs="宋体"/>
          <w:sz w:val="24"/>
          <w:highlight w:val="none"/>
        </w:rPr>
        <w:t xml:space="preserve"> 本评标办法的解释权属于采购人。</w:t>
      </w:r>
    </w:p>
    <w:p w14:paraId="1CBD1465">
      <w:pPr>
        <w:spacing w:line="360" w:lineRule="auto"/>
        <w:rPr>
          <w:rFonts w:hint="eastAsia" w:ascii="宋体" w:hAnsi="宋体" w:eastAsia="宋体" w:cs="宋体"/>
          <w:sz w:val="24"/>
          <w:highlight w:val="none"/>
        </w:rPr>
      </w:pPr>
    </w:p>
    <w:p w14:paraId="0768BDBE">
      <w:pPr>
        <w:pStyle w:val="3"/>
        <w:spacing w:before="0" w:after="0" w:line="400" w:lineRule="exact"/>
        <w:jc w:val="center"/>
        <w:rPr>
          <w:rFonts w:hint="eastAsia" w:ascii="宋体" w:hAnsi="宋体" w:eastAsia="宋体" w:cs="宋体"/>
          <w:highlight w:val="none"/>
        </w:rPr>
      </w:pPr>
      <w:bookmarkStart w:id="56" w:name="_Toc527725920"/>
      <w:r>
        <w:rPr>
          <w:rFonts w:hint="eastAsia" w:ascii="宋体" w:hAnsi="宋体" w:eastAsia="宋体" w:cs="宋体"/>
          <w:sz w:val="32"/>
          <w:highlight w:val="none"/>
        </w:rPr>
        <w:br w:type="page"/>
      </w:r>
      <w:bookmarkStart w:id="57" w:name="_Toc28050"/>
      <w:bookmarkStart w:id="58" w:name="_Toc19953"/>
      <w:bookmarkStart w:id="59" w:name="_Toc19468"/>
      <w:bookmarkStart w:id="60" w:name="_Toc40975440"/>
      <w:r>
        <w:rPr>
          <w:rFonts w:hint="eastAsia" w:ascii="宋体" w:hAnsi="宋体" w:eastAsia="宋体" w:cs="宋体"/>
          <w:sz w:val="32"/>
          <w:highlight w:val="none"/>
        </w:rPr>
        <w:t>招标文件第二部分</w:t>
      </w:r>
      <w:bookmarkEnd w:id="56"/>
      <w:bookmarkEnd w:id="57"/>
      <w:bookmarkEnd w:id="58"/>
      <w:bookmarkEnd w:id="59"/>
      <w:bookmarkEnd w:id="60"/>
      <w:bookmarkStart w:id="61" w:name="_Toc527725921"/>
    </w:p>
    <w:p w14:paraId="41A6AD0E">
      <w:pPr>
        <w:pStyle w:val="4"/>
        <w:spacing w:line="500" w:lineRule="exact"/>
        <w:ind w:firstLine="0"/>
        <w:rPr>
          <w:rFonts w:hint="eastAsia" w:ascii="宋体" w:hAnsi="宋体" w:eastAsia="宋体" w:cs="宋体"/>
          <w:highlight w:val="none"/>
        </w:rPr>
      </w:pPr>
      <w:bookmarkStart w:id="62" w:name="_Toc20612"/>
      <w:r>
        <w:rPr>
          <w:rFonts w:hint="eastAsia" w:ascii="宋体" w:hAnsi="宋体" w:eastAsia="宋体" w:cs="宋体"/>
          <w:highlight w:val="none"/>
        </w:rPr>
        <w:t xml:space="preserve">第五章 </w:t>
      </w:r>
      <w:r>
        <w:rPr>
          <w:rFonts w:hint="eastAsia" w:ascii="宋体" w:hAnsi="宋体" w:eastAsia="宋体" w:cs="宋体"/>
          <w:highlight w:val="none"/>
          <w:lang w:eastAsia="zh-CN"/>
        </w:rPr>
        <w:t>供应商</w:t>
      </w:r>
      <w:r>
        <w:rPr>
          <w:rFonts w:hint="eastAsia" w:ascii="宋体" w:hAnsi="宋体" w:eastAsia="宋体" w:cs="宋体"/>
          <w:highlight w:val="none"/>
        </w:rPr>
        <w:t>须知</w:t>
      </w:r>
      <w:bookmarkEnd w:id="61"/>
      <w:bookmarkEnd w:id="62"/>
    </w:p>
    <w:p w14:paraId="32A6B8AD">
      <w:pPr>
        <w:pStyle w:val="5"/>
        <w:spacing w:line="500" w:lineRule="exact"/>
        <w:rPr>
          <w:rFonts w:hint="eastAsia" w:ascii="宋体" w:hAnsi="宋体" w:eastAsia="宋体" w:cs="宋体"/>
          <w:sz w:val="28"/>
          <w:highlight w:val="none"/>
        </w:rPr>
      </w:pPr>
      <w:bookmarkStart w:id="63" w:name="_Hlt509649722"/>
      <w:bookmarkEnd w:id="63"/>
      <w:bookmarkStart w:id="64" w:name="_Hlt509650955"/>
      <w:bookmarkEnd w:id="64"/>
      <w:bookmarkStart w:id="65" w:name="_Hlt509649998"/>
      <w:bookmarkEnd w:id="65"/>
      <w:bookmarkStart w:id="66" w:name="_Hlt509650686"/>
      <w:bookmarkEnd w:id="66"/>
      <w:bookmarkStart w:id="67" w:name="_Hlt526418143"/>
      <w:bookmarkEnd w:id="67"/>
      <w:bookmarkStart w:id="68" w:name="_Hlt509650126"/>
      <w:bookmarkEnd w:id="68"/>
      <w:bookmarkStart w:id="69" w:name="_Toc32160"/>
      <w:bookmarkStart w:id="70" w:name="_Toc23614"/>
      <w:bookmarkStart w:id="71" w:name="_Toc10068"/>
      <w:bookmarkStart w:id="72" w:name="_Toc40975442"/>
      <w:bookmarkStart w:id="73" w:name="_Toc527725922"/>
      <w:r>
        <w:rPr>
          <w:rFonts w:hint="eastAsia" w:ascii="宋体" w:hAnsi="宋体" w:eastAsia="宋体" w:cs="宋体"/>
          <w:sz w:val="28"/>
          <w:highlight w:val="none"/>
        </w:rPr>
        <w:t>一．总    则</w:t>
      </w:r>
      <w:bookmarkEnd w:id="69"/>
      <w:bookmarkEnd w:id="70"/>
      <w:bookmarkEnd w:id="71"/>
      <w:bookmarkEnd w:id="72"/>
      <w:bookmarkEnd w:id="73"/>
    </w:p>
    <w:p w14:paraId="74A3A91D">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1.适用范围</w:t>
      </w:r>
    </w:p>
    <w:p w14:paraId="659E6CBE">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1.1本招标文件仅适用于本次公开招标所述的服务项目采购。</w:t>
      </w:r>
    </w:p>
    <w:p w14:paraId="392DE3B7">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2.有关定义</w:t>
      </w:r>
    </w:p>
    <w:p w14:paraId="5FD87B6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2.1招标人（采购人）：</w:t>
      </w:r>
      <w:r>
        <w:rPr>
          <w:rFonts w:hint="eastAsia" w:ascii="宋体" w:hAnsi="宋体" w:cs="宋体"/>
          <w:i w:val="0"/>
          <w:iCs w:val="0"/>
          <w:sz w:val="24"/>
          <w:szCs w:val="24"/>
          <w:highlight w:val="none"/>
          <w:lang w:val="en-US" w:eastAsia="zh-CN"/>
        </w:rPr>
        <w:t>鹿邑县农业农村局</w:t>
      </w:r>
      <w:r>
        <w:rPr>
          <w:rFonts w:hint="eastAsia" w:ascii="宋体" w:hAnsi="宋体" w:eastAsia="宋体" w:cs="宋体"/>
          <w:sz w:val="24"/>
          <w:highlight w:val="none"/>
        </w:rPr>
        <w:t>。</w:t>
      </w:r>
    </w:p>
    <w:p w14:paraId="48539F4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2.2招标代理机构（集中采购机构）：系指周口市公共资源交易中心政府采购中心，以下简称“采购中心”。</w:t>
      </w:r>
    </w:p>
    <w:p w14:paraId="59684323">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2.3政府采购监督管理部门：系指</w:t>
      </w:r>
      <w:r>
        <w:rPr>
          <w:rFonts w:hint="eastAsia" w:cs="宋体"/>
          <w:color w:val="auto"/>
          <w:sz w:val="24"/>
          <w:szCs w:val="24"/>
          <w:highlight w:val="none"/>
          <w:lang w:eastAsia="zh-CN"/>
        </w:rPr>
        <w:t>鹿邑县</w:t>
      </w:r>
      <w:r>
        <w:rPr>
          <w:rFonts w:hint="eastAsia" w:cs="宋体"/>
          <w:color w:val="auto"/>
          <w:sz w:val="24"/>
          <w:szCs w:val="24"/>
          <w:highlight w:val="none"/>
        </w:rPr>
        <w:t>财政局</w:t>
      </w:r>
      <w:r>
        <w:rPr>
          <w:rFonts w:hint="eastAsia" w:ascii="宋体" w:hAnsi="宋体" w:eastAsia="宋体" w:cs="宋体"/>
          <w:sz w:val="24"/>
          <w:highlight w:val="none"/>
        </w:rPr>
        <w:t>。</w:t>
      </w:r>
    </w:p>
    <w:p w14:paraId="3F64D8D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2.4</w:t>
      </w:r>
      <w:r>
        <w:rPr>
          <w:rFonts w:hint="eastAsia" w:ascii="宋体" w:hAnsi="宋体" w:cs="宋体"/>
          <w:sz w:val="24"/>
          <w:highlight w:val="none"/>
          <w:lang w:eastAsia="zh-CN"/>
        </w:rPr>
        <w:t>供应商</w:t>
      </w:r>
      <w:r>
        <w:rPr>
          <w:rFonts w:hint="eastAsia" w:ascii="宋体" w:hAnsi="宋体" w:eastAsia="宋体" w:cs="宋体"/>
          <w:sz w:val="24"/>
          <w:highlight w:val="none"/>
        </w:rPr>
        <w:t>：系指已经在周口市公共资源交易中心网上下载招标文件的</w:t>
      </w:r>
      <w:r>
        <w:rPr>
          <w:rFonts w:hint="eastAsia" w:ascii="宋体" w:hAnsi="宋体" w:cs="宋体"/>
          <w:sz w:val="24"/>
          <w:highlight w:val="none"/>
          <w:lang w:eastAsia="zh-CN"/>
        </w:rPr>
        <w:t>供应商</w:t>
      </w:r>
      <w:r>
        <w:rPr>
          <w:rFonts w:hint="eastAsia" w:ascii="宋体" w:hAnsi="宋体" w:eastAsia="宋体" w:cs="宋体"/>
          <w:sz w:val="24"/>
          <w:highlight w:val="none"/>
        </w:rPr>
        <w:t>，且已经提交或准备提交本次投标文件的制造商、供应商或服务商。</w:t>
      </w:r>
    </w:p>
    <w:p w14:paraId="428B031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2.服务：系指本项目所采购内容。</w:t>
      </w:r>
    </w:p>
    <w:p w14:paraId="26932BB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2.6业绩：系指符合本招标文件规定且已供货（安装）完毕的合同及相关证明。</w:t>
      </w:r>
    </w:p>
    <w:p w14:paraId="0EF89B9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2.7</w:t>
      </w:r>
      <w:r>
        <w:rPr>
          <w:rFonts w:hint="eastAsia" w:ascii="宋体" w:hAnsi="宋体" w:cs="宋体"/>
          <w:sz w:val="24"/>
          <w:highlight w:val="none"/>
          <w:lang w:eastAsia="zh-CN"/>
        </w:rPr>
        <w:t>供应商</w:t>
      </w:r>
      <w:r>
        <w:rPr>
          <w:rFonts w:hint="eastAsia" w:ascii="宋体" w:hAnsi="宋体" w:eastAsia="宋体" w:cs="宋体"/>
          <w:sz w:val="24"/>
          <w:highlight w:val="none"/>
        </w:rPr>
        <w:t>公章：在电子投标文件中系指</w:t>
      </w:r>
      <w:r>
        <w:rPr>
          <w:rFonts w:hint="eastAsia" w:ascii="宋体" w:hAnsi="宋体" w:cs="宋体"/>
          <w:sz w:val="24"/>
          <w:highlight w:val="none"/>
          <w:lang w:eastAsia="zh-CN"/>
        </w:rPr>
        <w:t>供应商</w:t>
      </w:r>
      <w:r>
        <w:rPr>
          <w:rFonts w:hint="eastAsia" w:ascii="宋体" w:hAnsi="宋体" w:eastAsia="宋体" w:cs="宋体"/>
          <w:sz w:val="24"/>
          <w:highlight w:val="none"/>
        </w:rPr>
        <w:t>电子签章。</w:t>
      </w:r>
    </w:p>
    <w:p w14:paraId="0113F6F5">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3.投标费用</w:t>
      </w:r>
    </w:p>
    <w:p w14:paraId="741D247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3.1</w:t>
      </w:r>
      <w:r>
        <w:rPr>
          <w:rFonts w:hint="eastAsia" w:ascii="宋体" w:hAnsi="宋体" w:eastAsia="宋体" w:cs="宋体"/>
          <w:color w:val="auto"/>
          <w:sz w:val="24"/>
          <w:highlight w:val="none"/>
        </w:rPr>
        <w:t>无论投标结果如何，</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须承诺</w:t>
      </w:r>
      <w:r>
        <w:rPr>
          <w:rFonts w:hint="eastAsia" w:ascii="宋体" w:hAnsi="宋体" w:eastAsia="宋体" w:cs="宋体"/>
          <w:color w:val="auto"/>
          <w:sz w:val="24"/>
          <w:highlight w:val="none"/>
        </w:rPr>
        <w:t>应自行承担其编制与递交投标文件所涉及的一切费用。</w:t>
      </w:r>
    </w:p>
    <w:p w14:paraId="2820721A">
      <w:pPr>
        <w:spacing w:line="360" w:lineRule="auto"/>
        <w:ind w:firstLine="550"/>
        <w:rPr>
          <w:rFonts w:hint="eastAsia" w:ascii="宋体" w:hAnsi="宋体" w:eastAsia="宋体" w:cs="宋体"/>
          <w:b/>
          <w:bCs/>
          <w:sz w:val="24"/>
          <w:highlight w:val="none"/>
          <w:lang w:eastAsia="zh-CN"/>
        </w:rPr>
      </w:pPr>
      <w:r>
        <w:rPr>
          <w:rFonts w:hint="eastAsia" w:ascii="宋体" w:hAnsi="宋体" w:eastAsia="宋体" w:cs="宋体"/>
          <w:b/>
          <w:bCs/>
          <w:sz w:val="24"/>
          <w:highlight w:val="none"/>
        </w:rPr>
        <w:t>4.合格的</w:t>
      </w:r>
      <w:r>
        <w:rPr>
          <w:rFonts w:hint="eastAsia" w:ascii="宋体" w:hAnsi="宋体" w:cs="宋体"/>
          <w:b/>
          <w:bCs/>
          <w:sz w:val="24"/>
          <w:highlight w:val="none"/>
          <w:lang w:eastAsia="zh-CN"/>
        </w:rPr>
        <w:t>供应商</w:t>
      </w:r>
    </w:p>
    <w:p w14:paraId="0F47C77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4.1合格的</w:t>
      </w:r>
      <w:r>
        <w:rPr>
          <w:rFonts w:hint="eastAsia" w:ascii="宋体" w:hAnsi="宋体" w:cs="宋体"/>
          <w:sz w:val="24"/>
          <w:highlight w:val="none"/>
          <w:lang w:eastAsia="zh-CN"/>
        </w:rPr>
        <w:t>供应商</w:t>
      </w:r>
      <w:r>
        <w:rPr>
          <w:rFonts w:hint="eastAsia" w:ascii="宋体" w:hAnsi="宋体" w:eastAsia="宋体" w:cs="宋体"/>
          <w:sz w:val="24"/>
          <w:highlight w:val="none"/>
        </w:rPr>
        <w:t>应符合招标文件载明的投标资格。</w:t>
      </w:r>
    </w:p>
    <w:p w14:paraId="0D4376C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4.2</w:t>
      </w:r>
      <w:r>
        <w:rPr>
          <w:rFonts w:hint="eastAsia" w:ascii="宋体" w:hAnsi="宋体" w:cs="宋体"/>
          <w:sz w:val="24"/>
          <w:highlight w:val="none"/>
          <w:lang w:eastAsia="zh-CN"/>
        </w:rPr>
        <w:t>供应商</w:t>
      </w:r>
      <w:r>
        <w:rPr>
          <w:rFonts w:hint="eastAsia" w:ascii="宋体" w:hAnsi="宋体" w:eastAsia="宋体" w:cs="宋体"/>
          <w:sz w:val="24"/>
          <w:highlight w:val="none"/>
        </w:rPr>
        <w:t>之间如果存在下列情形之一的，不得同时参加同一标段（包别）或者不分标段（包别）的同一项目投标：</w:t>
      </w:r>
    </w:p>
    <w:p w14:paraId="2BCFB510">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4.2.1法定代表人为同一个人的两个及两个以上法人；</w:t>
      </w:r>
    </w:p>
    <w:p w14:paraId="45C585E5">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4.2.2母公司、全资子公司及其控股公司；</w:t>
      </w:r>
    </w:p>
    <w:p w14:paraId="6027E8A2">
      <w:pPr>
        <w:pStyle w:val="7"/>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4.2.3参加投标的其他组织之间存在特殊的利害关系的；</w:t>
      </w:r>
    </w:p>
    <w:p w14:paraId="0C4DC96A">
      <w:pPr>
        <w:spacing w:line="360" w:lineRule="auto"/>
        <w:ind w:left="479" w:leftChars="228" w:firstLine="40" w:firstLineChars="17"/>
        <w:rPr>
          <w:rFonts w:hint="eastAsia" w:ascii="宋体" w:hAnsi="宋体" w:cs="宋体"/>
          <w:color w:val="auto"/>
          <w:sz w:val="24"/>
          <w:highlight w:val="none"/>
        </w:rPr>
      </w:pPr>
      <w:r>
        <w:rPr>
          <w:rFonts w:hint="eastAsia" w:ascii="宋体" w:hAnsi="宋体" w:eastAsia="宋体" w:cs="宋体"/>
          <w:sz w:val="24"/>
          <w:highlight w:val="none"/>
        </w:rPr>
        <w:t>4.2.4法律和行政法规规定的其他情形。</w:t>
      </w:r>
      <w:r>
        <w:rPr>
          <w:rFonts w:hint="eastAsia" w:ascii="宋体" w:hAnsi="宋体" w:eastAsia="宋体" w:cs="宋体"/>
          <w:sz w:val="24"/>
          <w:highlight w:val="none"/>
        </w:rPr>
        <w:br w:type="textWrapping"/>
      </w:r>
      <w:r>
        <w:rPr>
          <w:rFonts w:hint="eastAsia" w:ascii="宋体" w:hAnsi="宋体" w:cs="宋体"/>
          <w:color w:val="auto"/>
          <w:sz w:val="24"/>
          <w:highlight w:val="none"/>
        </w:rPr>
        <w:t xml:space="preserve">4.3 </w:t>
      </w:r>
      <w:r>
        <w:rPr>
          <w:rFonts w:hint="eastAsia" w:ascii="宋体" w:hAnsi="宋体" w:cs="宋体"/>
          <w:color w:val="auto"/>
          <w:sz w:val="24"/>
          <w:highlight w:val="none"/>
          <w:lang w:val="en-US" w:eastAsia="zh-CN"/>
        </w:rPr>
        <w:t>供应商</w:t>
      </w:r>
      <w:r>
        <w:rPr>
          <w:rFonts w:ascii="宋体" w:hAnsi="宋体" w:cs="宋体"/>
          <w:color w:val="auto"/>
          <w:sz w:val="24"/>
          <w:highlight w:val="none"/>
        </w:rPr>
        <w:t>需提供售后服务体系与承诺。</w:t>
      </w:r>
    </w:p>
    <w:p w14:paraId="1119E53C">
      <w:pPr>
        <w:spacing w:line="360" w:lineRule="auto"/>
        <w:ind w:firstLine="523" w:firstLineChars="218"/>
        <w:rPr>
          <w:rFonts w:hint="eastAsia" w:ascii="宋体" w:hAnsi="宋体" w:cs="宋体"/>
          <w:color w:val="auto"/>
          <w:sz w:val="24"/>
          <w:highlight w:val="none"/>
          <w:lang w:eastAsia="zh-CN"/>
        </w:rPr>
      </w:pPr>
      <w:r>
        <w:rPr>
          <w:rFonts w:hint="eastAsia" w:ascii="宋体" w:hAnsi="宋体" w:cs="宋体"/>
          <w:color w:val="auto"/>
          <w:sz w:val="24"/>
          <w:highlight w:val="none"/>
        </w:rPr>
        <w:t>4.4 供应商</w:t>
      </w:r>
      <w:r>
        <w:rPr>
          <w:rFonts w:ascii="宋体" w:hAnsi="宋体" w:cs="宋体"/>
          <w:color w:val="auto"/>
          <w:sz w:val="24"/>
          <w:highlight w:val="none"/>
        </w:rPr>
        <w:t>需提供</w:t>
      </w:r>
      <w:r>
        <w:rPr>
          <w:rFonts w:hint="eastAsia" w:ascii="宋体" w:hAnsi="宋体" w:cs="宋体"/>
          <w:color w:val="auto"/>
          <w:sz w:val="24"/>
          <w:highlight w:val="none"/>
        </w:rPr>
        <w:t>自觉抵制政府采购领域商业贿赂行为承诺书</w:t>
      </w:r>
      <w:r>
        <w:rPr>
          <w:rFonts w:hint="eastAsia" w:ascii="宋体" w:hAnsi="宋体" w:cs="宋体"/>
          <w:color w:val="auto"/>
          <w:sz w:val="24"/>
          <w:highlight w:val="none"/>
          <w:lang w:eastAsia="zh-CN"/>
        </w:rPr>
        <w:t>。</w:t>
      </w:r>
    </w:p>
    <w:p w14:paraId="534DAE75">
      <w:pPr>
        <w:spacing w:line="360" w:lineRule="auto"/>
        <w:ind w:firstLine="523" w:firstLineChars="218"/>
        <w:rPr>
          <w:rFonts w:hint="eastAsia"/>
          <w:snapToGrid w:val="0"/>
          <w:color w:val="auto"/>
          <w:sz w:val="24"/>
          <w:szCs w:val="24"/>
          <w:highlight w:val="none"/>
          <w:lang w:val="en-US" w:eastAsia="zh-CN"/>
        </w:rPr>
      </w:pPr>
      <w:r>
        <w:rPr>
          <w:rFonts w:hint="eastAsia" w:ascii="宋体" w:hAnsi="宋体" w:cs="宋体"/>
          <w:color w:val="auto"/>
          <w:sz w:val="24"/>
          <w:highlight w:val="none"/>
          <w:lang w:val="en-US" w:eastAsia="zh-CN"/>
        </w:rPr>
        <w:t>4.5</w:t>
      </w:r>
      <w:r>
        <w:rPr>
          <w:snapToGrid w:val="0"/>
          <w:color w:val="auto"/>
          <w:sz w:val="24"/>
          <w:szCs w:val="24"/>
          <w:highlight w:val="none"/>
          <w:lang w:val="en-US"/>
        </w:rPr>
        <w:t>未被工商行政管理机关在全国企业信用信息公示系统中列入严重违法失信企业名单和经营异常名录</w:t>
      </w:r>
      <w:r>
        <w:rPr>
          <w:rFonts w:hint="eastAsia"/>
          <w:snapToGrid w:val="0"/>
          <w:color w:val="auto"/>
          <w:sz w:val="24"/>
          <w:szCs w:val="24"/>
          <w:highlight w:val="none"/>
          <w:lang w:val="en-US" w:eastAsia="zh-CN"/>
        </w:rPr>
        <w:t>。</w:t>
      </w:r>
    </w:p>
    <w:p w14:paraId="58CDF3EF">
      <w:pPr>
        <w:spacing w:line="360" w:lineRule="auto"/>
        <w:ind w:firstLine="523" w:firstLineChars="218"/>
        <w:rPr>
          <w:rFonts w:hint="eastAsia" w:ascii="宋体" w:hAnsi="宋体" w:eastAsia="宋体" w:cs="宋体"/>
          <w:sz w:val="24"/>
          <w:highlight w:val="none"/>
          <w:lang w:val="en-US" w:eastAsia="zh-CN"/>
        </w:rPr>
      </w:pPr>
      <w:r>
        <w:rPr>
          <w:rFonts w:hint="eastAsia" w:ascii="宋体" w:hAnsi="宋体" w:eastAsia="宋体" w:cs="宋体"/>
          <w:snapToGrid w:val="0"/>
          <w:color w:val="auto"/>
          <w:sz w:val="24"/>
          <w:szCs w:val="24"/>
          <w:highlight w:val="none"/>
          <w:lang w:val="en-US" w:eastAsia="zh-CN"/>
        </w:rPr>
        <w:t>4.6</w:t>
      </w:r>
      <w:r>
        <w:rPr>
          <w:rFonts w:hint="eastAsia"/>
          <w:snapToGrid w:val="0"/>
          <w:color w:val="auto"/>
          <w:sz w:val="24"/>
          <w:szCs w:val="24"/>
          <w:highlight w:val="none"/>
          <w:lang w:val="en-US" w:eastAsia="zh-CN"/>
        </w:rPr>
        <w:t>单位负责人为同一人或者存在直接控股、管理关系的不同供应商，不得参加同一合同项下的政府采购活动。</w:t>
      </w:r>
    </w:p>
    <w:p w14:paraId="072B64DF">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5.勘察现场</w:t>
      </w:r>
    </w:p>
    <w:p w14:paraId="007EB1C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5.1</w:t>
      </w:r>
      <w:r>
        <w:rPr>
          <w:rFonts w:hint="eastAsia" w:ascii="宋体" w:hAnsi="宋体" w:cs="宋体"/>
          <w:sz w:val="24"/>
          <w:highlight w:val="none"/>
          <w:lang w:eastAsia="zh-CN"/>
        </w:rPr>
        <w:t>供应商</w:t>
      </w:r>
      <w:r>
        <w:rPr>
          <w:rFonts w:hint="eastAsia" w:ascii="宋体" w:hAnsi="宋体" w:eastAsia="宋体" w:cs="宋体"/>
          <w:sz w:val="24"/>
          <w:highlight w:val="none"/>
        </w:rPr>
        <w:t>应自行对供货现场和周围环境进行勘察，以获取编制投标文件和签署合同所需的资料。勘察现场的方式、地址及联系方式见</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w:t>
      </w:r>
    </w:p>
    <w:p w14:paraId="15B0484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5.2勘察现场所发生的费用由</w:t>
      </w:r>
      <w:r>
        <w:rPr>
          <w:rFonts w:hint="eastAsia" w:ascii="宋体" w:hAnsi="宋体" w:cs="宋体"/>
          <w:sz w:val="24"/>
          <w:highlight w:val="none"/>
          <w:lang w:eastAsia="zh-CN"/>
        </w:rPr>
        <w:t>供应商</w:t>
      </w:r>
      <w:r>
        <w:rPr>
          <w:rFonts w:hint="eastAsia" w:ascii="宋体" w:hAnsi="宋体" w:eastAsia="宋体" w:cs="宋体"/>
          <w:sz w:val="24"/>
          <w:highlight w:val="none"/>
        </w:rPr>
        <w:t>自行承担。采购人向</w:t>
      </w:r>
      <w:r>
        <w:rPr>
          <w:rFonts w:hint="eastAsia" w:ascii="宋体" w:hAnsi="宋体" w:cs="宋体"/>
          <w:sz w:val="24"/>
          <w:highlight w:val="none"/>
          <w:lang w:eastAsia="zh-CN"/>
        </w:rPr>
        <w:t>供应商</w:t>
      </w:r>
      <w:r>
        <w:rPr>
          <w:rFonts w:hint="eastAsia" w:ascii="宋体" w:hAnsi="宋体" w:eastAsia="宋体" w:cs="宋体"/>
          <w:sz w:val="24"/>
          <w:highlight w:val="none"/>
        </w:rPr>
        <w:t>提供的有关供货现场的资料和数据，是采购人现有的能使</w:t>
      </w:r>
      <w:r>
        <w:rPr>
          <w:rFonts w:hint="eastAsia" w:ascii="宋体" w:hAnsi="宋体" w:cs="宋体"/>
          <w:sz w:val="24"/>
          <w:highlight w:val="none"/>
          <w:lang w:eastAsia="zh-CN"/>
        </w:rPr>
        <w:t>供应商</w:t>
      </w:r>
      <w:r>
        <w:rPr>
          <w:rFonts w:hint="eastAsia" w:ascii="宋体" w:hAnsi="宋体" w:eastAsia="宋体" w:cs="宋体"/>
          <w:sz w:val="24"/>
          <w:highlight w:val="none"/>
        </w:rPr>
        <w:t>利用的资料。采购人对</w:t>
      </w:r>
      <w:r>
        <w:rPr>
          <w:rFonts w:hint="eastAsia" w:ascii="宋体" w:hAnsi="宋体" w:cs="宋体"/>
          <w:sz w:val="24"/>
          <w:highlight w:val="none"/>
          <w:lang w:eastAsia="zh-CN"/>
        </w:rPr>
        <w:t>供应商</w:t>
      </w:r>
      <w:r>
        <w:rPr>
          <w:rFonts w:hint="eastAsia" w:ascii="宋体" w:hAnsi="宋体" w:eastAsia="宋体" w:cs="宋体"/>
          <w:sz w:val="24"/>
          <w:highlight w:val="none"/>
        </w:rPr>
        <w:t>由此而做出的推论、理解和结论概不负责。</w:t>
      </w:r>
      <w:r>
        <w:rPr>
          <w:rFonts w:hint="eastAsia" w:ascii="宋体" w:hAnsi="宋体" w:cs="宋体"/>
          <w:sz w:val="24"/>
          <w:highlight w:val="none"/>
          <w:lang w:eastAsia="zh-CN"/>
        </w:rPr>
        <w:t>供应商</w:t>
      </w:r>
      <w:r>
        <w:rPr>
          <w:rFonts w:hint="eastAsia" w:ascii="宋体" w:hAnsi="宋体" w:eastAsia="宋体" w:cs="宋体"/>
          <w:sz w:val="24"/>
          <w:highlight w:val="none"/>
        </w:rPr>
        <w:t>未到供货现场实地踏勘的，中标后签订合同时和履约过程中，不得以不完全了解现场情况为由，提出任何形式的增加合同价款或索赔的要求。</w:t>
      </w:r>
    </w:p>
    <w:p w14:paraId="64221DFE">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5.3除非有特殊要求，招标文件不单独提供供货使用地的自然环境、气候条件、公用设施等情况，</w:t>
      </w:r>
      <w:r>
        <w:rPr>
          <w:rFonts w:hint="eastAsia" w:ascii="宋体" w:hAnsi="宋体" w:cs="宋体"/>
          <w:sz w:val="24"/>
          <w:highlight w:val="none"/>
          <w:lang w:eastAsia="zh-CN"/>
        </w:rPr>
        <w:t>供应商</w:t>
      </w:r>
      <w:r>
        <w:rPr>
          <w:rFonts w:hint="eastAsia" w:ascii="宋体" w:hAnsi="宋体" w:eastAsia="宋体" w:cs="宋体"/>
          <w:sz w:val="24"/>
          <w:highlight w:val="none"/>
        </w:rPr>
        <w:t>被视为熟悉上述与履行合同有关的一切情况。</w:t>
      </w:r>
    </w:p>
    <w:p w14:paraId="735D9F91">
      <w:pPr>
        <w:spacing w:line="360" w:lineRule="auto"/>
        <w:ind w:firstLine="550"/>
        <w:rPr>
          <w:rFonts w:hint="eastAsia" w:ascii="宋体" w:hAnsi="宋体" w:eastAsia="宋体" w:cs="宋体"/>
          <w:bCs/>
          <w:sz w:val="24"/>
          <w:highlight w:val="none"/>
        </w:rPr>
      </w:pPr>
      <w:r>
        <w:rPr>
          <w:rFonts w:hint="eastAsia" w:ascii="宋体" w:hAnsi="宋体" w:eastAsia="宋体" w:cs="宋体"/>
          <w:b/>
          <w:sz w:val="24"/>
          <w:highlight w:val="none"/>
        </w:rPr>
        <w:t>6.知识产权</w:t>
      </w:r>
    </w:p>
    <w:p w14:paraId="4DCC28A6">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6.1</w:t>
      </w:r>
      <w:r>
        <w:rPr>
          <w:rFonts w:hint="eastAsia" w:ascii="宋体" w:hAnsi="宋体" w:cs="宋体"/>
          <w:bCs/>
          <w:sz w:val="24"/>
          <w:highlight w:val="none"/>
          <w:lang w:eastAsia="zh-CN"/>
        </w:rPr>
        <w:t>供应商</w:t>
      </w:r>
      <w:r>
        <w:rPr>
          <w:rFonts w:hint="eastAsia" w:ascii="宋体" w:hAnsi="宋体" w:eastAsia="宋体" w:cs="宋体"/>
          <w:bCs/>
          <w:sz w:val="24"/>
          <w:highlight w:val="none"/>
        </w:rPr>
        <w:t>须</w:t>
      </w:r>
      <w:r>
        <w:rPr>
          <w:rFonts w:hint="eastAsia" w:ascii="宋体" w:hAnsi="宋体" w:eastAsia="宋体" w:cs="宋体"/>
          <w:bCs/>
          <w:sz w:val="24"/>
          <w:highlight w:val="none"/>
          <w:lang w:val="en-US" w:eastAsia="zh-CN"/>
        </w:rPr>
        <w:t>在投标文件中承诺</w:t>
      </w:r>
      <w:r>
        <w:rPr>
          <w:rFonts w:hint="eastAsia" w:ascii="宋体" w:hAnsi="宋体" w:eastAsia="宋体" w:cs="宋体"/>
          <w:bCs/>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w:t>
      </w:r>
      <w:r>
        <w:rPr>
          <w:rFonts w:hint="eastAsia" w:ascii="宋体" w:hAnsi="宋体" w:cs="宋体"/>
          <w:bCs/>
          <w:sz w:val="24"/>
          <w:highlight w:val="none"/>
          <w:lang w:eastAsia="zh-CN"/>
        </w:rPr>
        <w:t>供应商</w:t>
      </w:r>
      <w:r>
        <w:rPr>
          <w:rFonts w:hint="eastAsia" w:ascii="宋体" w:hAnsi="宋体" w:eastAsia="宋体" w:cs="宋体"/>
          <w:bCs/>
          <w:sz w:val="24"/>
          <w:highlight w:val="none"/>
        </w:rPr>
        <w:t>不拥有相应的知识产权，则在投标报价中必须包括合法获取该知识产权的一切相关费用。</w:t>
      </w:r>
      <w:r>
        <w:rPr>
          <w:rFonts w:hint="eastAsia" w:ascii="宋体" w:hAnsi="宋体" w:eastAsia="宋体" w:cs="宋体"/>
          <w:sz w:val="24"/>
          <w:highlight w:val="none"/>
        </w:rPr>
        <w:t>如因此导致采购人损失的，</w:t>
      </w:r>
      <w:r>
        <w:rPr>
          <w:rFonts w:hint="eastAsia" w:ascii="宋体" w:hAnsi="宋体" w:cs="宋体"/>
          <w:sz w:val="24"/>
          <w:highlight w:val="none"/>
          <w:lang w:eastAsia="zh-CN"/>
        </w:rPr>
        <w:t>供应商</w:t>
      </w:r>
      <w:r>
        <w:rPr>
          <w:rFonts w:hint="eastAsia" w:ascii="宋体" w:hAnsi="宋体" w:eastAsia="宋体" w:cs="宋体"/>
          <w:sz w:val="24"/>
          <w:highlight w:val="none"/>
        </w:rPr>
        <w:t>须承担全部赔偿责任。</w:t>
      </w:r>
    </w:p>
    <w:p w14:paraId="6AE3C8B6">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6.2</w:t>
      </w:r>
      <w:r>
        <w:rPr>
          <w:rFonts w:hint="eastAsia" w:ascii="宋体" w:hAnsi="宋体" w:cs="宋体"/>
          <w:bCs/>
          <w:sz w:val="24"/>
          <w:highlight w:val="none"/>
          <w:lang w:eastAsia="zh-CN"/>
        </w:rPr>
        <w:t>供应商</w:t>
      </w:r>
      <w:r>
        <w:rPr>
          <w:rFonts w:hint="eastAsia" w:ascii="宋体" w:hAnsi="宋体" w:eastAsia="宋体" w:cs="宋体"/>
          <w:bCs/>
          <w:sz w:val="24"/>
          <w:highlight w:val="none"/>
        </w:rPr>
        <w:t>如欲在项目实施过程中采用自有知识成果，须在投标文件中声明，并提供相关知识产权证明文件。使用该知识成果后，</w:t>
      </w:r>
      <w:r>
        <w:rPr>
          <w:rFonts w:hint="eastAsia" w:ascii="宋体" w:hAnsi="宋体" w:cs="宋体"/>
          <w:bCs/>
          <w:sz w:val="24"/>
          <w:highlight w:val="none"/>
          <w:lang w:eastAsia="zh-CN"/>
        </w:rPr>
        <w:t>供应商</w:t>
      </w:r>
      <w:r>
        <w:rPr>
          <w:rFonts w:hint="eastAsia" w:ascii="宋体" w:hAnsi="宋体" w:eastAsia="宋体" w:cs="宋体"/>
          <w:bCs/>
          <w:sz w:val="24"/>
          <w:highlight w:val="none"/>
        </w:rPr>
        <w:t>须提供开发接口和开发手册等技术文档。</w:t>
      </w:r>
    </w:p>
    <w:p w14:paraId="31323525">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7.纪律与保密</w:t>
      </w:r>
    </w:p>
    <w:p w14:paraId="5F89381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7.1</w:t>
      </w:r>
      <w:r>
        <w:rPr>
          <w:rFonts w:hint="eastAsia" w:ascii="宋体" w:hAnsi="宋体" w:cs="宋体"/>
          <w:sz w:val="24"/>
          <w:highlight w:val="none"/>
          <w:lang w:eastAsia="zh-CN"/>
        </w:rPr>
        <w:t>供应商</w:t>
      </w:r>
      <w:r>
        <w:rPr>
          <w:rFonts w:hint="eastAsia" w:ascii="宋体" w:hAnsi="宋体" w:eastAsia="宋体" w:cs="宋体"/>
          <w:sz w:val="24"/>
          <w:highlight w:val="none"/>
        </w:rPr>
        <w:t>的投标行为应遵守中国的有关法律、法规和规章。</w:t>
      </w:r>
    </w:p>
    <w:p w14:paraId="06FB20BF">
      <w:pPr>
        <w:spacing w:line="360" w:lineRule="auto"/>
        <w:ind w:firstLine="549"/>
        <w:rPr>
          <w:rFonts w:hint="default" w:ascii="宋体" w:hAnsi="宋体" w:eastAsia="宋体" w:cs="宋体"/>
          <w:sz w:val="24"/>
          <w:highlight w:val="none"/>
          <w:lang w:val="en-US" w:eastAsia="zh-CN"/>
        </w:rPr>
      </w:pPr>
      <w:r>
        <w:rPr>
          <w:rFonts w:hint="eastAsia" w:ascii="宋体" w:hAnsi="宋体" w:eastAsia="宋体" w:cs="宋体"/>
          <w:sz w:val="24"/>
          <w:highlight w:val="none"/>
        </w:rPr>
        <w:t>7.2</w:t>
      </w:r>
      <w:r>
        <w:rPr>
          <w:rFonts w:hint="eastAsia" w:ascii="宋体" w:hAnsi="宋体" w:cs="宋体"/>
          <w:sz w:val="24"/>
          <w:highlight w:val="none"/>
          <w:lang w:eastAsia="zh-CN"/>
        </w:rPr>
        <w:t>供应商</w:t>
      </w:r>
      <w:r>
        <w:rPr>
          <w:rFonts w:hint="eastAsia" w:ascii="宋体" w:hAnsi="宋体" w:eastAsia="宋体" w:cs="宋体"/>
          <w:sz w:val="24"/>
          <w:highlight w:val="none"/>
        </w:rPr>
        <w:t>不得相互串通投标报价，不得妨碍其他</w:t>
      </w:r>
      <w:r>
        <w:rPr>
          <w:rFonts w:hint="eastAsia" w:ascii="宋体" w:hAnsi="宋体" w:cs="宋体"/>
          <w:sz w:val="24"/>
          <w:highlight w:val="none"/>
          <w:lang w:eastAsia="zh-CN"/>
        </w:rPr>
        <w:t>供应商</w:t>
      </w:r>
      <w:r>
        <w:rPr>
          <w:rFonts w:hint="eastAsia" w:ascii="宋体" w:hAnsi="宋体" w:eastAsia="宋体" w:cs="宋体"/>
          <w:sz w:val="24"/>
          <w:highlight w:val="none"/>
        </w:rPr>
        <w:t>的公平竞争，不得损害采购人或其他</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w:t>
      </w:r>
      <w:r>
        <w:rPr>
          <w:rFonts w:hint="eastAsia" w:ascii="宋体" w:hAnsi="宋体" w:cs="宋体"/>
          <w:sz w:val="24"/>
          <w:highlight w:val="none"/>
          <w:lang w:eastAsia="zh-CN"/>
        </w:rPr>
        <w:t>供应商</w:t>
      </w:r>
      <w:r>
        <w:rPr>
          <w:rFonts w:hint="eastAsia" w:ascii="宋体" w:hAnsi="宋体" w:eastAsia="宋体" w:cs="宋体"/>
          <w:sz w:val="24"/>
          <w:highlight w:val="none"/>
        </w:rPr>
        <w:t>不得以向采购人、</w:t>
      </w:r>
      <w:r>
        <w:rPr>
          <w:rFonts w:hint="eastAsia" w:ascii="宋体" w:hAnsi="宋体" w:eastAsia="宋体" w:cs="宋体"/>
          <w:color w:val="auto"/>
          <w:sz w:val="24"/>
          <w:highlight w:val="none"/>
        </w:rPr>
        <w:t>评委会</w:t>
      </w:r>
      <w:r>
        <w:rPr>
          <w:rFonts w:hint="eastAsia" w:ascii="宋体" w:hAnsi="宋体" w:eastAsia="宋体" w:cs="宋体"/>
          <w:sz w:val="24"/>
          <w:highlight w:val="none"/>
        </w:rPr>
        <w:t>成员行贿或者采取其他不正当手段谋取中标。</w:t>
      </w:r>
    </w:p>
    <w:p w14:paraId="61FFF98B">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7.2.1有下列情形之一的，属于</w:t>
      </w:r>
      <w:r>
        <w:rPr>
          <w:rFonts w:hint="eastAsia" w:ascii="宋体" w:hAnsi="宋体" w:cs="宋体"/>
          <w:sz w:val="24"/>
          <w:highlight w:val="none"/>
          <w:lang w:eastAsia="zh-CN"/>
        </w:rPr>
        <w:t>供应商</w:t>
      </w:r>
      <w:r>
        <w:rPr>
          <w:rFonts w:hint="eastAsia" w:ascii="宋体" w:hAnsi="宋体" w:eastAsia="宋体" w:cs="宋体"/>
          <w:sz w:val="24"/>
          <w:highlight w:val="none"/>
        </w:rPr>
        <w:t>相互串通投标：</w:t>
      </w:r>
    </w:p>
    <w:p w14:paraId="24336102">
      <w:pPr>
        <w:spacing w:line="360" w:lineRule="auto"/>
        <w:ind w:firstLine="1024" w:firstLineChars="427"/>
        <w:rPr>
          <w:rFonts w:hint="eastAsia" w:ascii="宋体" w:hAnsi="宋体" w:eastAsia="宋体" w:cs="宋体"/>
          <w:sz w:val="24"/>
          <w:highlight w:val="none"/>
        </w:rPr>
      </w:pPr>
      <w:r>
        <w:rPr>
          <w:rFonts w:hint="eastAsia" w:ascii="宋体" w:hAnsi="宋体" w:eastAsia="宋体" w:cs="宋体"/>
          <w:sz w:val="24"/>
          <w:highlight w:val="none"/>
        </w:rPr>
        <w:t>7.2.1.1不同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的投标文件由同一单位或者个人编制；</w:t>
      </w:r>
    </w:p>
    <w:p w14:paraId="7A2CAC6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7.2.1.2不同</w:t>
      </w:r>
      <w:r>
        <w:rPr>
          <w:rFonts w:hint="eastAsia" w:ascii="宋体" w:hAnsi="宋体" w:cs="宋体"/>
          <w:sz w:val="24"/>
          <w:highlight w:val="none"/>
          <w:lang w:eastAsia="zh-CN"/>
        </w:rPr>
        <w:t>供应商</w:t>
      </w:r>
      <w:r>
        <w:rPr>
          <w:rFonts w:hint="eastAsia" w:ascii="宋体" w:hAnsi="宋体" w:eastAsia="宋体" w:cs="宋体"/>
          <w:sz w:val="24"/>
          <w:highlight w:val="none"/>
        </w:rPr>
        <w:t>委托同一单位或者个人办理投标事宜；</w:t>
      </w:r>
    </w:p>
    <w:p w14:paraId="77437F3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7.2.1.3不同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的投标文件载明的项目管理成员或者联系人员为同一人；</w:t>
      </w:r>
    </w:p>
    <w:p w14:paraId="23083AC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7.2.1.4不同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的投标文件异常一致或者投标报价呈规律性差异；</w:t>
      </w:r>
    </w:p>
    <w:p w14:paraId="7E67E892">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rPr>
        <w:t>　　7.2.1.5不同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的投标文件相互混装</w:t>
      </w:r>
      <w:r>
        <w:rPr>
          <w:rFonts w:hint="eastAsia" w:ascii="宋体" w:hAnsi="宋体" w:eastAsia="宋体" w:cs="宋体"/>
          <w:sz w:val="24"/>
          <w:highlight w:val="none"/>
          <w:lang w:eastAsia="zh-CN"/>
        </w:rPr>
        <w:t>。</w:t>
      </w:r>
    </w:p>
    <w:p w14:paraId="0297943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7.3</w:t>
      </w:r>
      <w:r>
        <w:rPr>
          <w:rFonts w:hint="eastAsia" w:ascii="宋体" w:hAnsi="宋体" w:cs="宋体"/>
          <w:sz w:val="24"/>
          <w:highlight w:val="none"/>
          <w:lang w:eastAsia="zh-CN"/>
        </w:rPr>
        <w:t>供应商</w:t>
      </w:r>
      <w:r>
        <w:rPr>
          <w:rFonts w:hint="eastAsia" w:ascii="宋体" w:hAnsi="宋体" w:eastAsia="宋体" w:cs="宋体"/>
          <w:sz w:val="24"/>
          <w:highlight w:val="none"/>
          <w:lang w:eastAsia="zh-CN"/>
        </w:rPr>
        <w:t>需在投标文件中承诺</w:t>
      </w:r>
      <w:r>
        <w:rPr>
          <w:rFonts w:hint="eastAsia" w:ascii="宋体" w:hAnsi="宋体" w:eastAsia="宋体" w:cs="宋体"/>
          <w:sz w:val="24"/>
          <w:highlight w:val="none"/>
        </w:rPr>
        <w:t>在确定中标人之前，</w:t>
      </w:r>
      <w:r>
        <w:rPr>
          <w:rFonts w:hint="eastAsia" w:ascii="宋体" w:hAnsi="宋体" w:cs="宋体"/>
          <w:sz w:val="24"/>
          <w:highlight w:val="none"/>
          <w:lang w:eastAsia="zh-CN"/>
        </w:rPr>
        <w:t>供应商</w:t>
      </w:r>
      <w:r>
        <w:rPr>
          <w:rFonts w:hint="eastAsia" w:ascii="宋体" w:hAnsi="宋体" w:eastAsia="宋体" w:cs="宋体"/>
          <w:sz w:val="24"/>
          <w:highlight w:val="none"/>
        </w:rPr>
        <w:t>不得与采购人就投标价格、投标方案等实质性内容进行谈判，也不得私下接触评委会成员。</w:t>
      </w:r>
    </w:p>
    <w:p w14:paraId="11BBD67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7.4在确定中标人之前，</w:t>
      </w:r>
      <w:r>
        <w:rPr>
          <w:rFonts w:hint="eastAsia" w:ascii="宋体" w:hAnsi="宋体" w:cs="宋体"/>
          <w:sz w:val="24"/>
          <w:highlight w:val="none"/>
          <w:lang w:eastAsia="zh-CN"/>
        </w:rPr>
        <w:t>供应商</w:t>
      </w:r>
      <w:r>
        <w:rPr>
          <w:rFonts w:hint="eastAsia" w:ascii="宋体" w:hAnsi="宋体" w:eastAsia="宋体" w:cs="宋体"/>
          <w:sz w:val="24"/>
          <w:highlight w:val="none"/>
        </w:rPr>
        <w:t>试图在投标文件审查、澄清、比较和评价时对评委会、采购人和采购中心施加任何影响都可能导致其投标无效。</w:t>
      </w:r>
    </w:p>
    <w:p w14:paraId="79C7CC8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7.5由采购人向</w:t>
      </w:r>
      <w:r>
        <w:rPr>
          <w:rFonts w:hint="eastAsia" w:ascii="宋体" w:hAnsi="宋体" w:cs="宋体"/>
          <w:sz w:val="24"/>
          <w:highlight w:val="none"/>
          <w:lang w:eastAsia="zh-CN"/>
        </w:rPr>
        <w:t>供应商</w:t>
      </w:r>
      <w:r>
        <w:rPr>
          <w:rFonts w:hint="eastAsia" w:ascii="宋体" w:hAnsi="宋体" w:eastAsia="宋体" w:cs="宋体"/>
          <w:sz w:val="24"/>
          <w:highlight w:val="none"/>
        </w:rPr>
        <w:t>提供的图纸、详细资料、样品、模型、模件和所有其它资料，被视为保密资料，仅被用于它所规定的用途。除非得到采购人的同意，不能向任何第三方透露。开标结束后，应采购人要求，</w:t>
      </w:r>
      <w:r>
        <w:rPr>
          <w:rFonts w:hint="eastAsia" w:ascii="宋体" w:hAnsi="宋体" w:cs="宋体"/>
          <w:sz w:val="24"/>
          <w:highlight w:val="none"/>
          <w:lang w:eastAsia="zh-CN"/>
        </w:rPr>
        <w:t>供应商</w:t>
      </w:r>
      <w:r>
        <w:rPr>
          <w:rFonts w:hint="eastAsia" w:ascii="宋体" w:hAnsi="宋体" w:eastAsia="宋体" w:cs="宋体"/>
          <w:sz w:val="24"/>
          <w:highlight w:val="none"/>
        </w:rPr>
        <w:t>应归还所有从采购人处获得的保密资料。</w:t>
      </w:r>
    </w:p>
    <w:p w14:paraId="4FFD3A37">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8.联合体投标</w:t>
      </w:r>
    </w:p>
    <w:p w14:paraId="4583526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不接受联合体投标</w:t>
      </w:r>
    </w:p>
    <w:p w14:paraId="335A9590">
      <w:pPr>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9.投标品牌</w:t>
      </w:r>
    </w:p>
    <w:p w14:paraId="1F903C1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9.1招标文件中提供的参考商标、品牌或标准（包括工艺、材料、设备、样本目录号码、标准等），是采购人为了方便</w:t>
      </w:r>
      <w:r>
        <w:rPr>
          <w:rFonts w:hint="eastAsia" w:ascii="宋体" w:hAnsi="宋体" w:cs="宋体"/>
          <w:sz w:val="24"/>
          <w:highlight w:val="none"/>
          <w:lang w:eastAsia="zh-CN"/>
        </w:rPr>
        <w:t>供应商</w:t>
      </w:r>
      <w:r>
        <w:rPr>
          <w:rFonts w:hint="eastAsia" w:ascii="宋体" w:hAnsi="宋体" w:eastAsia="宋体" w:cs="宋体"/>
          <w:sz w:val="24"/>
          <w:highlight w:val="none"/>
        </w:rPr>
        <w:t>更准确、更清楚说明拟采购货物、服务的技术规格和标准，并无限制性。</w:t>
      </w:r>
      <w:r>
        <w:rPr>
          <w:rFonts w:hint="eastAsia" w:ascii="宋体" w:hAnsi="宋体" w:cs="宋体"/>
          <w:sz w:val="24"/>
          <w:highlight w:val="none"/>
          <w:lang w:eastAsia="zh-CN"/>
        </w:rPr>
        <w:t>供应商</w:t>
      </w:r>
      <w:r>
        <w:rPr>
          <w:rFonts w:hint="eastAsia" w:ascii="宋体" w:hAnsi="宋体" w:eastAsia="宋体" w:cs="宋体"/>
          <w:sz w:val="24"/>
          <w:highlight w:val="none"/>
        </w:rPr>
        <w:t>在投标中若选用替代商标、品牌或标准，应优于或相当于参考商标、品牌或标准。</w:t>
      </w:r>
    </w:p>
    <w:p w14:paraId="31F651DE">
      <w:pPr>
        <w:spacing w:line="360" w:lineRule="auto"/>
        <w:ind w:firstLine="525"/>
        <w:rPr>
          <w:rFonts w:hint="eastAsia" w:ascii="宋体" w:hAnsi="宋体" w:eastAsia="宋体" w:cs="宋体"/>
          <w:b/>
          <w:bCs/>
          <w:sz w:val="24"/>
          <w:highlight w:val="none"/>
        </w:rPr>
      </w:pPr>
      <w:r>
        <w:rPr>
          <w:rFonts w:hint="eastAsia" w:ascii="宋体" w:hAnsi="宋体" w:eastAsia="宋体" w:cs="宋体"/>
          <w:b/>
          <w:bCs/>
          <w:sz w:val="24"/>
          <w:highlight w:val="none"/>
        </w:rPr>
        <w:t>10.投标专用章的效力</w:t>
      </w:r>
    </w:p>
    <w:p w14:paraId="0D13A5EB">
      <w:pPr>
        <w:spacing w:line="360" w:lineRule="auto"/>
        <w:ind w:firstLine="525"/>
        <w:rPr>
          <w:rFonts w:hint="eastAsia"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必须</w:t>
      </w:r>
      <w:r>
        <w:rPr>
          <w:rFonts w:hint="eastAsia" w:ascii="宋体" w:hAnsi="宋体" w:cs="宋体"/>
          <w:color w:val="auto"/>
          <w:sz w:val="24"/>
          <w:highlight w:val="none"/>
        </w:rPr>
        <w:t>加盖投标人电子签章。</w:t>
      </w:r>
    </w:p>
    <w:p w14:paraId="761A4F92">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11.合同标的转让</w:t>
      </w:r>
    </w:p>
    <w:p w14:paraId="16FFDA43">
      <w:pPr>
        <w:keepNext w:val="0"/>
        <w:keepLines w:val="0"/>
        <w:pageBreakBefore w:val="0"/>
        <w:widowControl w:val="0"/>
        <w:kinsoku/>
        <w:wordWrap/>
        <w:overflowPunct/>
        <w:topLinePunct w:val="0"/>
        <w:autoSpaceDE/>
        <w:autoSpaceDN/>
        <w:bidi w:val="0"/>
        <w:adjustRightInd/>
        <w:snapToGrid/>
        <w:spacing w:line="360" w:lineRule="auto"/>
        <w:ind w:firstLine="523" w:firstLineChars="21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11.1合同未约定或者未经采购人同意，中标人不得向他人转让中标项目，也不得将中标项目肢解后分别向他人转让。</w:t>
      </w:r>
    </w:p>
    <w:p w14:paraId="2A5E23D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211705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11.3中标人应当就分包项目向采购人负责，接受分包的人就分包项目承担连带责任。</w:t>
      </w:r>
    </w:p>
    <w:p w14:paraId="0925FB9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11.4未经政府采购管理部门批准，进口设备不得转包。</w:t>
      </w:r>
    </w:p>
    <w:p w14:paraId="305E8A80">
      <w:pPr>
        <w:spacing w:line="360" w:lineRule="auto"/>
        <w:ind w:firstLine="525" w:firstLineChars="218"/>
        <w:rPr>
          <w:rFonts w:hint="eastAsia" w:ascii="宋体" w:hAnsi="宋体" w:eastAsia="宋体" w:cs="宋体"/>
          <w:sz w:val="24"/>
          <w:highlight w:val="none"/>
        </w:rPr>
      </w:pPr>
      <w:r>
        <w:rPr>
          <w:rFonts w:hint="eastAsia" w:ascii="宋体" w:hAnsi="宋体" w:eastAsia="宋体" w:cs="宋体"/>
          <w:b/>
          <w:bCs/>
          <w:sz w:val="24"/>
          <w:highlight w:val="none"/>
        </w:rPr>
        <w:t>12.会员信息库</w:t>
      </w:r>
    </w:p>
    <w:p w14:paraId="727E22CE">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12.1为进一步规范招投标行为，提高招投标工作效率，降低投标成本，加强对</w:t>
      </w:r>
      <w:r>
        <w:rPr>
          <w:rFonts w:hint="eastAsia" w:ascii="宋体" w:hAnsi="宋体" w:cs="宋体"/>
          <w:sz w:val="24"/>
          <w:highlight w:val="none"/>
          <w:lang w:eastAsia="zh-CN"/>
        </w:rPr>
        <w:t>供应商</w:t>
      </w:r>
      <w:r>
        <w:rPr>
          <w:rFonts w:hint="eastAsia" w:ascii="宋体" w:hAnsi="宋体" w:eastAsia="宋体" w:cs="宋体"/>
          <w:sz w:val="24"/>
          <w:highlight w:val="none"/>
        </w:rPr>
        <w:t>诚信信息的管理，加快周口市招投标工作电子化、信息化建设，为周口市公共资源交易中心实行网上招投标奠定基础，经周口市公共资源交易管理办公室研究决定，周口市公共资源交易中心实行</w:t>
      </w:r>
      <w:r>
        <w:rPr>
          <w:rFonts w:hint="eastAsia" w:ascii="宋体" w:hAnsi="宋体" w:cs="宋体"/>
          <w:sz w:val="24"/>
          <w:highlight w:val="none"/>
          <w:lang w:eastAsia="zh-CN"/>
        </w:rPr>
        <w:t>供应商</w:t>
      </w:r>
      <w:r>
        <w:rPr>
          <w:rFonts w:hint="eastAsia" w:ascii="宋体" w:hAnsi="宋体" w:eastAsia="宋体" w:cs="宋体"/>
          <w:sz w:val="24"/>
          <w:highlight w:val="none"/>
        </w:rPr>
        <w:t>会员信息库制度，并面向全国免费征集注册投标企业会员。</w:t>
      </w:r>
    </w:p>
    <w:p w14:paraId="6F8FFF2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12.2入库资料的真实性、有效性、完整性、准确性、合法性及清晰度由</w:t>
      </w:r>
      <w:r>
        <w:rPr>
          <w:rFonts w:hint="eastAsia" w:ascii="宋体" w:hAnsi="宋体" w:cs="宋体"/>
          <w:sz w:val="24"/>
          <w:highlight w:val="none"/>
          <w:lang w:eastAsia="zh-CN"/>
        </w:rPr>
        <w:t>供应商</w:t>
      </w:r>
      <w:r>
        <w:rPr>
          <w:rFonts w:hint="eastAsia" w:ascii="宋体" w:hAnsi="宋体" w:eastAsia="宋体" w:cs="宋体"/>
          <w:sz w:val="24"/>
          <w:highlight w:val="none"/>
        </w:rPr>
        <w:t>负责。周口市公共资源交易中心只负责对</w:t>
      </w:r>
      <w:r>
        <w:rPr>
          <w:rFonts w:hint="eastAsia" w:ascii="宋体" w:hAnsi="宋体" w:cs="宋体"/>
          <w:sz w:val="24"/>
          <w:highlight w:val="none"/>
          <w:lang w:eastAsia="zh-CN"/>
        </w:rPr>
        <w:t>供应商</w:t>
      </w:r>
      <w:r>
        <w:rPr>
          <w:rFonts w:hint="eastAsia" w:ascii="宋体" w:hAnsi="宋体" w:eastAsia="宋体" w:cs="宋体"/>
          <w:sz w:val="24"/>
          <w:highlight w:val="none"/>
        </w:rPr>
        <w:t>所提供的入库资料原件与上传扫描件进行比对；本项目所需会员库资料有效性由本项目评委会负责审核。</w:t>
      </w:r>
    </w:p>
    <w:p w14:paraId="05BF3BB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为确保投标文件通过评审，</w:t>
      </w:r>
      <w:r>
        <w:rPr>
          <w:rFonts w:hint="eastAsia" w:ascii="宋体" w:hAnsi="宋体" w:cs="宋体"/>
          <w:sz w:val="24"/>
          <w:highlight w:val="none"/>
          <w:lang w:eastAsia="zh-CN"/>
        </w:rPr>
        <w:t>供应商</w:t>
      </w:r>
      <w:r>
        <w:rPr>
          <w:rFonts w:hint="eastAsia" w:ascii="宋体" w:hAnsi="宋体" w:eastAsia="宋体" w:cs="宋体"/>
          <w:sz w:val="24"/>
          <w:highlight w:val="none"/>
        </w:rPr>
        <w:t>应及时对入库资料进行补充、更新。</w:t>
      </w:r>
    </w:p>
    <w:p w14:paraId="66AB018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12.3网上会员库中文字资料与扫描件资料不一致时，以扫描件资料为准。</w:t>
      </w:r>
    </w:p>
    <w:p w14:paraId="7AB21B8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12.4有关会员库的更多信息，请登陆周口市公共资源交易中心网查询。</w:t>
      </w:r>
    </w:p>
    <w:p w14:paraId="147B3EA5">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13.采购信息的发布</w:t>
      </w:r>
    </w:p>
    <w:p w14:paraId="78E0D923">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44471B01">
      <w:pPr>
        <w:pStyle w:val="5"/>
        <w:spacing w:line="360" w:lineRule="auto"/>
        <w:ind w:firstLine="3418" w:firstLineChars="1216"/>
        <w:jc w:val="both"/>
        <w:rPr>
          <w:rFonts w:hint="eastAsia" w:ascii="宋体" w:hAnsi="宋体" w:eastAsia="宋体" w:cs="宋体"/>
          <w:sz w:val="28"/>
          <w:highlight w:val="none"/>
        </w:rPr>
      </w:pPr>
      <w:bookmarkStart w:id="74" w:name="_Hlt509650116"/>
      <w:bookmarkEnd w:id="74"/>
      <w:bookmarkStart w:id="75" w:name="_Hlt509649678"/>
      <w:bookmarkEnd w:id="75"/>
      <w:bookmarkStart w:id="76" w:name="_Hlt509649669"/>
      <w:bookmarkEnd w:id="76"/>
      <w:bookmarkStart w:id="77" w:name="_Hlt509650961"/>
      <w:bookmarkEnd w:id="77"/>
      <w:bookmarkStart w:id="78" w:name="_Hlt509650690"/>
      <w:bookmarkEnd w:id="78"/>
      <w:bookmarkStart w:id="79" w:name="_Hlt509650932"/>
      <w:bookmarkEnd w:id="79"/>
      <w:bookmarkStart w:id="80" w:name="_Hlt509649330"/>
      <w:bookmarkEnd w:id="80"/>
      <w:bookmarkStart w:id="81" w:name="_Hlt509650936"/>
      <w:bookmarkEnd w:id="81"/>
      <w:bookmarkStart w:id="82" w:name="_Hlt509650929"/>
      <w:bookmarkEnd w:id="82"/>
      <w:bookmarkStart w:id="83" w:name="_Hlt509649795"/>
      <w:bookmarkEnd w:id="83"/>
      <w:bookmarkStart w:id="84" w:name="_Hlt509650103"/>
      <w:bookmarkEnd w:id="84"/>
      <w:bookmarkStart w:id="85" w:name="_Hlt509649645"/>
      <w:bookmarkEnd w:id="85"/>
      <w:bookmarkStart w:id="86" w:name="_Hlt509650333"/>
      <w:bookmarkEnd w:id="86"/>
      <w:bookmarkStart w:id="87" w:name="_Hlt526418153"/>
      <w:bookmarkEnd w:id="87"/>
      <w:bookmarkStart w:id="88" w:name="_Toc5653"/>
      <w:bookmarkStart w:id="89" w:name="_Toc40975443"/>
      <w:bookmarkStart w:id="90" w:name="_Toc527725923"/>
      <w:bookmarkStart w:id="91" w:name="_Toc16689"/>
      <w:bookmarkStart w:id="92" w:name="_Toc7614"/>
      <w:r>
        <w:rPr>
          <w:rFonts w:hint="eastAsia" w:ascii="宋体" w:hAnsi="宋体" w:eastAsia="宋体" w:cs="宋体"/>
          <w:sz w:val="28"/>
          <w:highlight w:val="none"/>
        </w:rPr>
        <w:t>二．招标文件</w:t>
      </w:r>
      <w:bookmarkEnd w:id="88"/>
      <w:bookmarkEnd w:id="89"/>
      <w:bookmarkEnd w:id="90"/>
      <w:bookmarkEnd w:id="91"/>
      <w:bookmarkEnd w:id="92"/>
      <w:bookmarkStart w:id="93" w:name="_Hlt509649791"/>
      <w:bookmarkEnd w:id="93"/>
      <w:bookmarkStart w:id="94" w:name="_Hlt509650361"/>
      <w:bookmarkEnd w:id="94"/>
      <w:bookmarkStart w:id="95" w:name="_Hlt509649930"/>
      <w:bookmarkEnd w:id="95"/>
    </w:p>
    <w:p w14:paraId="7F070851">
      <w:pPr>
        <w:spacing w:line="360" w:lineRule="auto"/>
        <w:ind w:firstLine="549"/>
        <w:rPr>
          <w:rFonts w:hint="eastAsia" w:ascii="宋体" w:hAnsi="宋体" w:eastAsia="宋体" w:cs="宋体"/>
          <w:b/>
          <w:sz w:val="24"/>
          <w:highlight w:val="none"/>
        </w:rPr>
      </w:pPr>
      <w:bookmarkStart w:id="96" w:name="_Hlt509650734"/>
      <w:bookmarkEnd w:id="96"/>
      <w:r>
        <w:rPr>
          <w:rFonts w:hint="eastAsia" w:ascii="宋体" w:hAnsi="宋体" w:eastAsia="宋体" w:cs="宋体"/>
          <w:b/>
          <w:sz w:val="24"/>
          <w:highlight w:val="none"/>
        </w:rPr>
        <w:t>14.招标文件构成</w:t>
      </w:r>
    </w:p>
    <w:p w14:paraId="06F359A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14.1招标文件包括以下部分：</w:t>
      </w:r>
    </w:p>
    <w:p w14:paraId="56E83B92">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14.1.1第一章：</w:t>
      </w:r>
      <w:r>
        <w:rPr>
          <w:rFonts w:hint="eastAsia" w:ascii="宋体" w:hAnsi="宋体" w:eastAsia="宋体" w:cs="宋体"/>
          <w:bCs/>
          <w:sz w:val="24"/>
          <w:highlight w:val="none"/>
        </w:rPr>
        <w:t>投标邀请（招标公告）；</w:t>
      </w:r>
    </w:p>
    <w:p w14:paraId="2D8DE2D7">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14.1.2第二章：</w:t>
      </w:r>
      <w:bookmarkStart w:id="97" w:name="_Hlt509650925"/>
      <w:bookmarkEnd w:id="97"/>
      <w:r>
        <w:rPr>
          <w:rFonts w:hint="eastAsia" w:ascii="宋体" w:hAnsi="宋体" w:cs="宋体"/>
          <w:bCs/>
          <w:sz w:val="24"/>
          <w:highlight w:val="none"/>
          <w:lang w:eastAsia="zh-CN"/>
        </w:rPr>
        <w:t>供应商</w:t>
      </w:r>
      <w:r>
        <w:rPr>
          <w:rFonts w:hint="eastAsia" w:ascii="宋体" w:hAnsi="宋体" w:eastAsia="宋体" w:cs="宋体"/>
          <w:bCs/>
          <w:sz w:val="24"/>
          <w:highlight w:val="none"/>
        </w:rPr>
        <w:t>须知前附表；</w:t>
      </w:r>
    </w:p>
    <w:p w14:paraId="74677D3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14.1.3第三章：</w:t>
      </w:r>
      <w:r>
        <w:rPr>
          <w:rFonts w:hint="eastAsia" w:ascii="宋体" w:hAnsi="宋体" w:eastAsia="宋体" w:cs="宋体"/>
          <w:bCs/>
          <w:sz w:val="24"/>
          <w:highlight w:val="none"/>
        </w:rPr>
        <w:t>需求一览表；</w:t>
      </w:r>
    </w:p>
    <w:p w14:paraId="49D6635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14.1.4第四章：</w:t>
      </w:r>
      <w:r>
        <w:rPr>
          <w:rFonts w:hint="eastAsia" w:ascii="宋体" w:hAnsi="宋体" w:eastAsia="宋体" w:cs="宋体"/>
          <w:bCs/>
          <w:sz w:val="24"/>
          <w:highlight w:val="none"/>
        </w:rPr>
        <w:t>评标办法；</w:t>
      </w:r>
    </w:p>
    <w:p w14:paraId="49978F7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14.1.5第五章：</w:t>
      </w:r>
      <w:r>
        <w:rPr>
          <w:rFonts w:hint="eastAsia" w:ascii="宋体" w:hAnsi="宋体" w:cs="宋体"/>
          <w:bCs/>
          <w:sz w:val="24"/>
          <w:highlight w:val="none"/>
          <w:lang w:eastAsia="zh-CN"/>
        </w:rPr>
        <w:t>供应商</w:t>
      </w:r>
      <w:r>
        <w:rPr>
          <w:rFonts w:hint="eastAsia" w:ascii="宋体" w:hAnsi="宋体" w:eastAsia="宋体" w:cs="宋体"/>
          <w:bCs/>
          <w:sz w:val="24"/>
          <w:highlight w:val="none"/>
        </w:rPr>
        <w:t>须知；</w:t>
      </w:r>
    </w:p>
    <w:p w14:paraId="4554EF57">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14.1.6第六章：</w:t>
      </w:r>
      <w:r>
        <w:rPr>
          <w:rFonts w:hint="eastAsia" w:ascii="宋体" w:hAnsi="宋体" w:eastAsia="宋体" w:cs="宋体"/>
          <w:bCs/>
          <w:sz w:val="24"/>
          <w:highlight w:val="none"/>
        </w:rPr>
        <w:t>采购合同；</w:t>
      </w:r>
    </w:p>
    <w:p w14:paraId="3BE7D246">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14.1.7第七章：</w:t>
      </w:r>
      <w:r>
        <w:rPr>
          <w:rFonts w:hint="eastAsia" w:ascii="宋体" w:hAnsi="宋体" w:eastAsia="宋体" w:cs="宋体"/>
          <w:bCs/>
          <w:sz w:val="24"/>
          <w:highlight w:val="none"/>
        </w:rPr>
        <w:t>投标文件格式；</w:t>
      </w:r>
    </w:p>
    <w:p w14:paraId="3A0B3D9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bCs/>
          <w:sz w:val="24"/>
          <w:highlight w:val="none"/>
        </w:rPr>
        <w:t>14.1.8周口市公共资源交易中心政府采购中心发布的</w:t>
      </w:r>
      <w:r>
        <w:rPr>
          <w:rFonts w:hint="eastAsia" w:ascii="宋体" w:hAnsi="宋体" w:eastAsia="宋体" w:cs="宋体"/>
          <w:sz w:val="24"/>
          <w:highlight w:val="none"/>
        </w:rPr>
        <w:t>图纸、答疑、补遗、补充通知等。</w:t>
      </w:r>
    </w:p>
    <w:p w14:paraId="13AED51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xml:space="preserve">14.2 </w:t>
      </w:r>
      <w:r>
        <w:rPr>
          <w:rFonts w:hint="eastAsia" w:ascii="宋体" w:hAnsi="宋体" w:cs="宋体"/>
          <w:sz w:val="24"/>
          <w:highlight w:val="none"/>
          <w:lang w:eastAsia="zh-CN"/>
        </w:rPr>
        <w:t>供应商</w:t>
      </w:r>
      <w:r>
        <w:rPr>
          <w:rFonts w:hint="eastAsia" w:ascii="宋体" w:hAnsi="宋体" w:eastAsia="宋体" w:cs="宋体"/>
          <w:sz w:val="24"/>
          <w:highlight w:val="none"/>
        </w:rPr>
        <w:t>应认真阅读招标文件中所有的事项、格式、条件、条款和规范等要求。</w:t>
      </w:r>
    </w:p>
    <w:p w14:paraId="50261CBB">
      <w:pPr>
        <w:spacing w:line="360" w:lineRule="auto"/>
        <w:ind w:firstLine="550"/>
        <w:rPr>
          <w:rFonts w:hint="eastAsia" w:ascii="宋体" w:hAnsi="宋体" w:eastAsia="宋体" w:cs="宋体"/>
          <w:color w:val="auto"/>
          <w:sz w:val="24"/>
          <w:highlight w:val="none"/>
        </w:rPr>
      </w:pPr>
      <w:r>
        <w:rPr>
          <w:rFonts w:hint="eastAsia" w:ascii="宋体" w:hAnsi="宋体" w:eastAsia="宋体" w:cs="宋体"/>
          <w:sz w:val="24"/>
          <w:highlight w:val="none"/>
        </w:rPr>
        <w:t>14.3</w:t>
      </w:r>
      <w:r>
        <w:rPr>
          <w:rFonts w:hint="eastAsia" w:ascii="宋体" w:hAnsi="宋体" w:cs="宋体"/>
          <w:sz w:val="24"/>
          <w:highlight w:val="none"/>
          <w:lang w:eastAsia="zh-CN"/>
        </w:rPr>
        <w:t>供应商</w:t>
      </w:r>
      <w:r>
        <w:rPr>
          <w:rFonts w:hint="eastAsia" w:ascii="宋体" w:hAnsi="宋体" w:eastAsia="宋体" w:cs="宋体"/>
          <w:sz w:val="24"/>
          <w:highlight w:val="none"/>
        </w:rPr>
        <w:t>应当按照招标文件的要求编制投标文件。投标文件应对招标文件提出的要求和条件作出实质性响应。</w:t>
      </w:r>
      <w:r>
        <w:rPr>
          <w:rFonts w:hint="eastAsia" w:ascii="宋体" w:hAnsi="宋体"/>
          <w:sz w:val="24"/>
          <w:highlight w:val="none"/>
        </w:rPr>
        <w:t>如果有异议在规定的时间内提出，</w:t>
      </w:r>
      <w:r>
        <w:rPr>
          <w:rFonts w:hint="eastAsia" w:ascii="宋体" w:hAnsi="宋体"/>
          <w:color w:val="auto"/>
          <w:sz w:val="24"/>
          <w:highlight w:val="none"/>
        </w:rPr>
        <w:t>没有异议需做出“无异议”承诺书，承诺书作为</w:t>
      </w:r>
      <w:r>
        <w:rPr>
          <w:rFonts w:hint="eastAsia" w:ascii="宋体" w:hAnsi="宋体"/>
          <w:color w:val="auto"/>
          <w:sz w:val="24"/>
          <w:highlight w:val="none"/>
          <w:lang w:val="en-US" w:eastAsia="zh-CN"/>
        </w:rPr>
        <w:t>投标</w:t>
      </w:r>
      <w:r>
        <w:rPr>
          <w:rFonts w:hint="eastAsia" w:ascii="宋体" w:hAnsi="宋体"/>
          <w:color w:val="auto"/>
          <w:sz w:val="24"/>
          <w:highlight w:val="none"/>
        </w:rPr>
        <w:t>文件的组</w:t>
      </w:r>
      <w:r>
        <w:rPr>
          <w:rFonts w:hint="eastAsia" w:ascii="宋体" w:hAnsi="宋体"/>
          <w:color w:val="auto"/>
          <w:sz w:val="24"/>
          <w:highlight w:val="none"/>
          <w:lang w:val="en-US" w:eastAsia="zh-CN"/>
        </w:rPr>
        <w:t>成</w:t>
      </w:r>
      <w:r>
        <w:rPr>
          <w:rFonts w:hint="eastAsia" w:ascii="宋体" w:hAnsi="宋体"/>
          <w:color w:val="auto"/>
          <w:sz w:val="24"/>
          <w:highlight w:val="none"/>
        </w:rPr>
        <w:t>部分，否则为无效</w:t>
      </w:r>
      <w:r>
        <w:rPr>
          <w:rFonts w:hint="eastAsia" w:ascii="宋体" w:hAnsi="宋体"/>
          <w:color w:val="auto"/>
          <w:sz w:val="24"/>
          <w:highlight w:val="none"/>
          <w:lang w:val="en-US" w:eastAsia="zh-CN"/>
        </w:rPr>
        <w:t>投标</w:t>
      </w:r>
      <w:r>
        <w:rPr>
          <w:rFonts w:hint="eastAsia" w:ascii="宋体" w:hAnsi="宋体"/>
          <w:color w:val="auto"/>
          <w:sz w:val="24"/>
          <w:highlight w:val="none"/>
        </w:rPr>
        <w:t>文件。</w:t>
      </w:r>
    </w:p>
    <w:p w14:paraId="7E130D3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14.4</w:t>
      </w:r>
      <w:r>
        <w:rPr>
          <w:rFonts w:hint="eastAsia" w:ascii="宋体" w:hAnsi="宋体" w:cs="宋体"/>
          <w:sz w:val="24"/>
          <w:highlight w:val="none"/>
          <w:lang w:eastAsia="zh-CN"/>
        </w:rPr>
        <w:t>供应商</w:t>
      </w:r>
      <w:r>
        <w:rPr>
          <w:rFonts w:hint="eastAsia" w:ascii="宋体" w:hAnsi="宋体" w:eastAsia="宋体" w:cs="宋体"/>
          <w:sz w:val="24"/>
          <w:highlight w:val="none"/>
        </w:rPr>
        <w:t>获取招标文件后，应仔细检查招标文件的所有内容，如有残缺等问题应在获得招标文件3日内向</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提出，否则，由此引起的损失由</w:t>
      </w:r>
      <w:r>
        <w:rPr>
          <w:rFonts w:hint="eastAsia" w:ascii="宋体" w:hAnsi="宋体" w:cs="宋体"/>
          <w:sz w:val="24"/>
          <w:highlight w:val="none"/>
          <w:lang w:eastAsia="zh-CN"/>
        </w:rPr>
        <w:t>供应商</w:t>
      </w:r>
      <w:r>
        <w:rPr>
          <w:rFonts w:hint="eastAsia" w:ascii="宋体" w:hAnsi="宋体" w:eastAsia="宋体" w:cs="宋体"/>
          <w:sz w:val="24"/>
          <w:highlight w:val="none"/>
        </w:rPr>
        <w:t>自行承担。</w:t>
      </w:r>
    </w:p>
    <w:p w14:paraId="79C53BF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15.招标文件的澄清与修改</w:t>
      </w:r>
    </w:p>
    <w:p w14:paraId="07EEB373">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15.1</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对招标文件进行的澄清、更正或更改，将在网站上及时发布，该公告内容为招标文件的组成部分，对</w:t>
      </w:r>
      <w:r>
        <w:rPr>
          <w:rFonts w:hint="eastAsia" w:ascii="宋体" w:hAnsi="宋体" w:cs="宋体"/>
          <w:sz w:val="24"/>
          <w:highlight w:val="none"/>
          <w:lang w:eastAsia="zh-CN"/>
        </w:rPr>
        <w:t>供应商</w:t>
      </w:r>
      <w:r>
        <w:rPr>
          <w:rFonts w:hint="eastAsia" w:ascii="宋体" w:hAnsi="宋体" w:eastAsia="宋体" w:cs="宋体"/>
          <w:sz w:val="24"/>
          <w:highlight w:val="none"/>
        </w:rPr>
        <w:t>具有同样约束力。澄清或者修改的内容可能影响投标文件编制的，采购人或者采购代理机构在投标截止时间至少15日前，将在网站上及时发布</w:t>
      </w:r>
      <w:r>
        <w:rPr>
          <w:rFonts w:hint="eastAsia" w:ascii="宋体" w:hAnsi="宋体" w:eastAsia="宋体" w:cs="宋体"/>
          <w:sz w:val="24"/>
          <w:highlight w:val="none"/>
          <w:lang w:val="en-US" w:eastAsia="zh-CN"/>
        </w:rPr>
        <w:t>通知</w:t>
      </w:r>
      <w:r>
        <w:rPr>
          <w:rFonts w:hint="eastAsia" w:ascii="宋体" w:hAnsi="宋体" w:eastAsia="宋体" w:cs="宋体"/>
          <w:sz w:val="24"/>
          <w:highlight w:val="none"/>
        </w:rPr>
        <w:t>所有获取招标文件的潜在</w:t>
      </w:r>
      <w:r>
        <w:rPr>
          <w:rFonts w:hint="eastAsia" w:ascii="宋体" w:hAnsi="宋体" w:cs="宋体"/>
          <w:sz w:val="24"/>
          <w:highlight w:val="none"/>
          <w:lang w:eastAsia="zh-CN"/>
        </w:rPr>
        <w:t>供应商</w:t>
      </w:r>
      <w:r>
        <w:rPr>
          <w:rFonts w:hint="eastAsia" w:ascii="宋体" w:hAnsi="宋体" w:eastAsia="宋体" w:cs="宋体"/>
          <w:sz w:val="24"/>
          <w:highlight w:val="none"/>
        </w:rPr>
        <w:t>；不足15日的，采购人或者采购代理机构应当顺延提交投标文件的截止时间</w:t>
      </w:r>
      <w:r>
        <w:rPr>
          <w:rFonts w:hint="eastAsia" w:ascii="宋体" w:hAnsi="宋体" w:eastAsia="宋体" w:cs="宋体"/>
          <w:sz w:val="24"/>
          <w:highlight w:val="none"/>
          <w:lang w:eastAsia="zh-CN"/>
        </w:rPr>
        <w:t>。</w:t>
      </w:r>
      <w:r>
        <w:rPr>
          <w:rFonts w:hint="eastAsia" w:ascii="宋体" w:hAnsi="宋体" w:cs="宋体"/>
          <w:sz w:val="24"/>
          <w:highlight w:val="none"/>
          <w:lang w:eastAsia="zh-CN"/>
        </w:rPr>
        <w:t>供应商</w:t>
      </w:r>
      <w:r>
        <w:rPr>
          <w:rFonts w:hint="eastAsia" w:ascii="宋体" w:hAnsi="宋体" w:eastAsia="宋体" w:cs="宋体"/>
          <w:sz w:val="24"/>
          <w:highlight w:val="none"/>
        </w:rPr>
        <w:t>应主动上网查询。</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不承担</w:t>
      </w:r>
      <w:r>
        <w:rPr>
          <w:rFonts w:hint="eastAsia" w:ascii="宋体" w:hAnsi="宋体" w:cs="宋体"/>
          <w:sz w:val="24"/>
          <w:highlight w:val="none"/>
          <w:lang w:eastAsia="zh-CN"/>
        </w:rPr>
        <w:t>供应商</w:t>
      </w:r>
      <w:r>
        <w:rPr>
          <w:rFonts w:hint="eastAsia" w:ascii="宋体" w:hAnsi="宋体" w:eastAsia="宋体" w:cs="宋体"/>
          <w:sz w:val="24"/>
          <w:highlight w:val="none"/>
        </w:rPr>
        <w:t>未及时关注相关信息引发的相关责任。</w:t>
      </w:r>
    </w:p>
    <w:p w14:paraId="410AAE9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15.2在投标截止时间前，</w:t>
      </w:r>
      <w:r>
        <w:rPr>
          <w:rFonts w:hint="eastAsia" w:ascii="宋体" w:hAnsi="宋体" w:eastAsia="宋体" w:cs="宋体"/>
          <w:bCs/>
          <w:sz w:val="24"/>
          <w:highlight w:val="none"/>
        </w:rPr>
        <w:t>采购人</w:t>
      </w:r>
      <w:r>
        <w:rPr>
          <w:rFonts w:hint="eastAsia" w:ascii="宋体" w:hAnsi="宋体" w:eastAsia="宋体" w:cs="宋体"/>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highlight w:val="none"/>
        </w:rPr>
        <w:t>采购人</w:t>
      </w:r>
      <w:r>
        <w:rPr>
          <w:rFonts w:hint="eastAsia" w:ascii="宋体" w:hAnsi="宋体" w:eastAsia="宋体" w:cs="宋体"/>
          <w:sz w:val="24"/>
          <w:highlight w:val="none"/>
        </w:rPr>
        <w:t>和</w:t>
      </w:r>
      <w:r>
        <w:rPr>
          <w:rFonts w:hint="eastAsia" w:ascii="宋体" w:hAnsi="宋体" w:cs="宋体"/>
          <w:sz w:val="24"/>
          <w:highlight w:val="none"/>
          <w:lang w:eastAsia="zh-CN"/>
        </w:rPr>
        <w:t>供应商</w:t>
      </w:r>
      <w:r>
        <w:rPr>
          <w:rFonts w:hint="eastAsia" w:ascii="宋体" w:hAnsi="宋体" w:eastAsia="宋体" w:cs="宋体"/>
          <w:sz w:val="24"/>
          <w:highlight w:val="none"/>
        </w:rPr>
        <w:t>在投标截止期方面的全部权力、责任和义务，将适用于延长后新的投标截止期。</w:t>
      </w:r>
    </w:p>
    <w:p w14:paraId="0C7532C1">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15.3特殊情况下，</w:t>
      </w:r>
      <w:r>
        <w:rPr>
          <w:rFonts w:hint="eastAsia" w:ascii="宋体" w:hAnsi="宋体" w:eastAsia="宋体" w:cs="宋体"/>
          <w:bCs/>
          <w:sz w:val="24"/>
          <w:highlight w:val="none"/>
        </w:rPr>
        <w:t>采购人</w:t>
      </w:r>
      <w:r>
        <w:rPr>
          <w:rFonts w:hint="eastAsia" w:ascii="宋体" w:hAnsi="宋体" w:eastAsia="宋体" w:cs="宋体"/>
          <w:sz w:val="24"/>
          <w:highlight w:val="none"/>
        </w:rPr>
        <w:t>发布澄清、更正或更改公告后，可不改变投标截止时间和开标时间。</w:t>
      </w:r>
    </w:p>
    <w:p w14:paraId="03C9A53A">
      <w:pPr>
        <w:pStyle w:val="5"/>
        <w:spacing w:line="360" w:lineRule="auto"/>
        <w:ind w:firstLine="2715" w:firstLineChars="966"/>
        <w:jc w:val="both"/>
        <w:rPr>
          <w:rFonts w:hint="eastAsia" w:ascii="宋体" w:hAnsi="宋体" w:eastAsia="宋体" w:cs="宋体"/>
          <w:sz w:val="28"/>
          <w:highlight w:val="none"/>
        </w:rPr>
      </w:pPr>
      <w:bookmarkStart w:id="98" w:name="_Hlt509650697"/>
      <w:bookmarkEnd w:id="98"/>
      <w:bookmarkStart w:id="99" w:name="_Hlt510342861"/>
      <w:bookmarkEnd w:id="99"/>
      <w:bookmarkStart w:id="100" w:name="_Hlt509649724"/>
      <w:bookmarkEnd w:id="100"/>
      <w:bookmarkStart w:id="101" w:name="_Toc527725924"/>
      <w:bookmarkStart w:id="102" w:name="_Toc40975444"/>
      <w:bookmarkStart w:id="103" w:name="_Toc29307"/>
      <w:bookmarkStart w:id="104" w:name="_Toc25639"/>
      <w:bookmarkStart w:id="105" w:name="_Toc30687"/>
      <w:r>
        <w:rPr>
          <w:rFonts w:hint="eastAsia" w:ascii="宋体" w:hAnsi="宋体" w:eastAsia="宋体" w:cs="宋体"/>
          <w:sz w:val="28"/>
          <w:highlight w:val="none"/>
        </w:rPr>
        <w:t>三．投标文件的编制</w:t>
      </w:r>
      <w:bookmarkEnd w:id="101"/>
      <w:bookmarkEnd w:id="102"/>
      <w:bookmarkEnd w:id="103"/>
      <w:bookmarkEnd w:id="104"/>
      <w:bookmarkEnd w:id="105"/>
    </w:p>
    <w:p w14:paraId="57714E80">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16.投标文件构成与格式</w:t>
      </w:r>
    </w:p>
    <w:p w14:paraId="1CDEEC2C">
      <w:pPr>
        <w:spacing w:line="360" w:lineRule="auto"/>
        <w:ind w:firstLine="550"/>
        <w:rPr>
          <w:rFonts w:hint="eastAsia" w:ascii="宋体" w:hAnsi="宋体" w:eastAsia="宋体" w:cs="宋体"/>
          <w:sz w:val="24"/>
          <w:highlight w:val="none"/>
        </w:rPr>
      </w:pPr>
      <w:bookmarkStart w:id="106" w:name="_Hlt509650345"/>
      <w:bookmarkEnd w:id="106"/>
      <w:r>
        <w:rPr>
          <w:rFonts w:hint="eastAsia" w:ascii="宋体" w:hAnsi="宋体" w:eastAsia="宋体" w:cs="宋体"/>
          <w:sz w:val="24"/>
          <w:highlight w:val="none"/>
        </w:rPr>
        <w:t>16.1投标文件是对招标文件的实质性响应及承诺文件。</w:t>
      </w:r>
    </w:p>
    <w:p w14:paraId="76EB1014">
      <w:pPr>
        <w:spacing w:line="360" w:lineRule="auto"/>
        <w:ind w:firstLine="550"/>
        <w:jc w:val="left"/>
        <w:rPr>
          <w:rFonts w:hint="eastAsia" w:ascii="宋体" w:hAnsi="宋体" w:eastAsia="宋体" w:cs="宋体"/>
          <w:sz w:val="24"/>
          <w:highlight w:val="none"/>
        </w:rPr>
      </w:pPr>
      <w:r>
        <w:rPr>
          <w:rFonts w:hint="eastAsia" w:ascii="宋体" w:hAnsi="宋体" w:eastAsia="宋体" w:cs="宋体"/>
          <w:sz w:val="24"/>
          <w:highlight w:val="none"/>
        </w:rPr>
        <w:t>16.2</w:t>
      </w:r>
      <w:r>
        <w:rPr>
          <w:rFonts w:hint="eastAsia" w:ascii="宋体" w:hAnsi="宋体" w:eastAsia="宋体" w:cs="宋体"/>
          <w:bCs/>
          <w:sz w:val="24"/>
          <w:highlight w:val="none"/>
        </w:rPr>
        <w:t>除非注明“</w:t>
      </w:r>
      <w:r>
        <w:rPr>
          <w:rFonts w:hint="eastAsia" w:ascii="宋体" w:hAnsi="宋体" w:cs="宋体"/>
          <w:bCs/>
          <w:sz w:val="24"/>
          <w:highlight w:val="none"/>
          <w:lang w:eastAsia="zh-CN"/>
        </w:rPr>
        <w:t>供应商</w:t>
      </w:r>
      <w:r>
        <w:rPr>
          <w:rFonts w:hint="eastAsia" w:ascii="宋体" w:hAnsi="宋体" w:eastAsia="宋体" w:cs="宋体"/>
          <w:bCs/>
          <w:sz w:val="24"/>
          <w:highlight w:val="none"/>
        </w:rPr>
        <w:t>可自行制作格式”，投标文件应使用招标文件提供的格式。</w:t>
      </w:r>
    </w:p>
    <w:p w14:paraId="4C9EB229">
      <w:pPr>
        <w:spacing w:line="360" w:lineRule="auto"/>
        <w:ind w:firstLine="550"/>
        <w:rPr>
          <w:rFonts w:hint="eastAsia" w:ascii="宋体" w:hAnsi="宋体" w:eastAsia="宋体" w:cs="宋体"/>
          <w:sz w:val="24"/>
          <w:highlight w:val="none"/>
        </w:rPr>
      </w:pPr>
      <w:r>
        <w:rPr>
          <w:rFonts w:hint="eastAsia" w:ascii="宋体" w:hAnsi="宋体" w:eastAsia="宋体" w:cs="宋体"/>
          <w:bCs/>
          <w:sz w:val="24"/>
          <w:highlight w:val="none"/>
        </w:rPr>
        <w:t>16.3除专用术语外，投标文件以及</w:t>
      </w:r>
      <w:r>
        <w:rPr>
          <w:rFonts w:hint="eastAsia" w:ascii="宋体" w:hAnsi="宋体" w:cs="宋体"/>
          <w:bCs/>
          <w:sz w:val="24"/>
          <w:highlight w:val="none"/>
          <w:lang w:eastAsia="zh-CN"/>
        </w:rPr>
        <w:t>供应商</w:t>
      </w:r>
      <w:r>
        <w:rPr>
          <w:rFonts w:hint="eastAsia" w:ascii="宋体" w:hAnsi="宋体" w:eastAsia="宋体" w:cs="宋体"/>
          <w:bCs/>
          <w:sz w:val="24"/>
          <w:highlight w:val="none"/>
        </w:rPr>
        <w:t>与采购人就有关投标的往来函电均应使用中文。</w:t>
      </w:r>
      <w:r>
        <w:rPr>
          <w:rFonts w:hint="eastAsia" w:ascii="宋体" w:hAnsi="宋体" w:cs="宋体"/>
          <w:bCs/>
          <w:sz w:val="24"/>
          <w:highlight w:val="none"/>
          <w:lang w:eastAsia="zh-CN"/>
        </w:rPr>
        <w:t>供应商</w:t>
      </w:r>
      <w:r>
        <w:rPr>
          <w:rFonts w:hint="eastAsia" w:ascii="宋体" w:hAnsi="宋体" w:eastAsia="宋体" w:cs="宋体"/>
          <w:bCs/>
          <w:sz w:val="24"/>
          <w:highlight w:val="none"/>
        </w:rPr>
        <w:t>提交的支持性文件和印制的文件可以用另一种语言，但相应内容应翻译成中文，对不同文字文本投标文件的解释发生异议的，以中文文本为准。</w:t>
      </w:r>
    </w:p>
    <w:p w14:paraId="497F57F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16.4除非招标文件另有规定，投标文件应使用中华人民共和国法定计量单位。</w:t>
      </w:r>
    </w:p>
    <w:p w14:paraId="0F6034B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16.5除非招标文件另有规定，投标文件应使用人民币填报所有报价。允许以多种货币报价的，应当按照中国银行在开标日公布的汇率中间价换算成人民币。</w:t>
      </w:r>
    </w:p>
    <w:p w14:paraId="7B84548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16.6</w:t>
      </w:r>
      <w:r>
        <w:rPr>
          <w:rFonts w:hint="eastAsia" w:ascii="宋体" w:hAnsi="宋体" w:eastAsia="宋体" w:cs="宋体"/>
          <w:sz w:val="24"/>
          <w:highlight w:val="none"/>
          <w:lang w:val="en-US" w:eastAsia="zh-CN"/>
        </w:rPr>
        <w:t>投标</w:t>
      </w:r>
      <w:r>
        <w:rPr>
          <w:rFonts w:hint="eastAsia" w:ascii="宋体" w:hAnsi="宋体" w:eastAsia="宋体" w:cs="宋体"/>
          <w:sz w:val="24"/>
          <w:highlight w:val="none"/>
        </w:rPr>
        <w:t>文件应编制详细目录、连续页码，每个页面应在明显位置编制页码和总页码并页码居中；除特殊规格的图纸或方案、图片资料等外，均应按A4规格制作。</w:t>
      </w:r>
    </w:p>
    <w:p w14:paraId="1131A288">
      <w:pPr>
        <w:pStyle w:val="2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16.7投标文件封面应列明项目名称、采购编号、供应商名称、地址被授权人姓名及联系方式等信息。</w:t>
      </w:r>
    </w:p>
    <w:p w14:paraId="2225F04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投标文件须由投标人法人代表或</w:t>
      </w:r>
      <w:r>
        <w:rPr>
          <w:rFonts w:hint="eastAsia" w:ascii="宋体" w:hAnsi="宋体" w:cs="宋体"/>
          <w:color w:val="auto"/>
          <w:sz w:val="24"/>
          <w:highlight w:val="none"/>
          <w:lang w:val="en-US" w:eastAsia="zh-CN"/>
        </w:rPr>
        <w:t>经</w:t>
      </w:r>
      <w:r>
        <w:rPr>
          <w:rFonts w:hint="eastAsia" w:ascii="宋体" w:hAnsi="宋体" w:cs="宋体"/>
          <w:color w:val="auto"/>
          <w:sz w:val="24"/>
          <w:highlight w:val="none"/>
        </w:rPr>
        <w:t>法人代表正式授权的投标人代表逐页签字，按规定盖章，否则将被视为无效</w:t>
      </w:r>
      <w:r>
        <w:rPr>
          <w:rFonts w:hint="eastAsia" w:ascii="宋体" w:hAnsi="宋体" w:eastAsia="宋体" w:cs="宋体"/>
          <w:color w:val="auto"/>
          <w:sz w:val="24"/>
          <w:highlight w:val="none"/>
        </w:rPr>
        <w:t>。</w:t>
      </w:r>
    </w:p>
    <w:p w14:paraId="757A22DF">
      <w:pPr>
        <w:spacing w:line="360" w:lineRule="auto"/>
        <w:ind w:firstLine="550"/>
        <w:rPr>
          <w:rFonts w:hint="default" w:eastAsia="宋体"/>
          <w:color w:val="000000"/>
          <w:highlight w:val="none"/>
          <w:lang w:val="en-US" w:eastAsia="zh-CN"/>
        </w:rPr>
      </w:pPr>
      <w:r>
        <w:rPr>
          <w:rFonts w:hint="eastAsia" w:ascii="宋体" w:hAnsi="宋体" w:eastAsia="宋体" w:cs="宋体"/>
          <w:kern w:val="2"/>
          <w:sz w:val="24"/>
          <w:highlight w:val="none"/>
          <w:lang w:val="en-US" w:eastAsia="zh-CN" w:bidi="ar-SA"/>
        </w:rPr>
        <w:t>16.</w:t>
      </w:r>
      <w:r>
        <w:rPr>
          <w:rFonts w:hint="eastAsia" w:ascii="宋体" w:hAnsi="宋体" w:cs="宋体"/>
          <w:kern w:val="2"/>
          <w:sz w:val="24"/>
          <w:highlight w:val="none"/>
          <w:lang w:val="en-US" w:eastAsia="zh-CN" w:bidi="ar-SA"/>
        </w:rPr>
        <w:t>9</w:t>
      </w:r>
      <w:r>
        <w:rPr>
          <w:rFonts w:hint="eastAsia" w:ascii="宋体" w:hAnsi="宋体" w:eastAsia="宋体" w:cs="宋体"/>
          <w:kern w:val="2"/>
          <w:sz w:val="24"/>
          <w:highlight w:val="none"/>
          <w:lang w:val="en-US" w:eastAsia="zh-CN" w:bidi="ar-SA"/>
        </w:rPr>
        <w:t>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w:t>
      </w:r>
      <w:r>
        <w:rPr>
          <w:rFonts w:hint="eastAsia" w:ascii="宋体" w:hAnsi="宋体" w:eastAsia="宋体" w:cs="宋体"/>
          <w:color w:val="000000"/>
          <w:sz w:val="24"/>
          <w:highlight w:val="none"/>
          <w:lang w:val="en-US" w:eastAsia="zh-CN"/>
        </w:rPr>
        <w:t>块</w:t>
      </w:r>
      <w:r>
        <w:rPr>
          <w:rFonts w:hint="eastAsia" w:ascii="宋体" w:hAnsi="宋体" w:eastAsia="宋体" w:cs="宋体"/>
          <w:color w:val="000000"/>
          <w:sz w:val="24"/>
          <w:highlight w:val="none"/>
        </w:rPr>
        <w:t>《投标单位-电子投标文件视频制作手册》的相关规定。</w:t>
      </w:r>
    </w:p>
    <w:p w14:paraId="781B5504">
      <w:pPr>
        <w:spacing w:line="360" w:lineRule="auto"/>
        <w:ind w:firstLine="550"/>
        <w:rPr>
          <w:rFonts w:hint="eastAsia" w:ascii="宋体" w:hAnsi="宋体" w:eastAsia="宋体" w:cs="宋体"/>
          <w:sz w:val="24"/>
          <w:highlight w:val="none"/>
        </w:rPr>
      </w:pPr>
      <w:r>
        <w:rPr>
          <w:rFonts w:hint="eastAsia" w:ascii="宋体" w:hAnsi="宋体" w:eastAsia="宋体" w:cs="宋体"/>
          <w:b/>
          <w:sz w:val="24"/>
          <w:highlight w:val="none"/>
        </w:rPr>
        <w:t>17.报价</w:t>
      </w:r>
    </w:p>
    <w:p w14:paraId="310CD8C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17.1</w:t>
      </w:r>
      <w:r>
        <w:rPr>
          <w:rFonts w:hint="eastAsia" w:ascii="宋体" w:hAnsi="宋体" w:cs="宋体"/>
          <w:sz w:val="24"/>
          <w:highlight w:val="none"/>
          <w:lang w:eastAsia="zh-CN"/>
        </w:rPr>
        <w:t>供应商</w:t>
      </w:r>
      <w:r>
        <w:rPr>
          <w:rFonts w:hint="eastAsia" w:ascii="宋体" w:hAnsi="宋体" w:eastAsia="宋体" w:cs="宋体"/>
          <w:sz w:val="24"/>
          <w:highlight w:val="none"/>
        </w:rPr>
        <w:t>应以“包”为报价的基本单位。若整个需求分为若干包，则</w:t>
      </w:r>
      <w:r>
        <w:rPr>
          <w:rFonts w:hint="eastAsia" w:ascii="宋体" w:hAnsi="宋体" w:cs="宋体"/>
          <w:sz w:val="24"/>
          <w:highlight w:val="none"/>
          <w:lang w:eastAsia="zh-CN"/>
        </w:rPr>
        <w:t>供应商</w:t>
      </w:r>
      <w:r>
        <w:rPr>
          <w:rFonts w:hint="eastAsia" w:ascii="宋体" w:hAnsi="宋体" w:eastAsia="宋体" w:cs="宋体"/>
          <w:sz w:val="24"/>
          <w:highlight w:val="none"/>
        </w:rPr>
        <w:t>可选择其中的部分或所有包报价。包内所有项目均应报价（免费赠送的除外），否则将导致投标无效。</w:t>
      </w:r>
    </w:p>
    <w:p w14:paraId="23000B2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17.2</w:t>
      </w:r>
      <w:r>
        <w:rPr>
          <w:rFonts w:hint="eastAsia" w:ascii="宋体" w:hAnsi="宋体" w:cs="宋体"/>
          <w:sz w:val="24"/>
          <w:highlight w:val="none"/>
          <w:lang w:eastAsia="zh-CN"/>
        </w:rPr>
        <w:t>供应商</w:t>
      </w:r>
      <w:r>
        <w:rPr>
          <w:rFonts w:hint="eastAsia" w:ascii="宋体" w:hAnsi="宋体" w:cs="宋体"/>
          <w:sz w:val="24"/>
          <w:highlight w:val="none"/>
          <w:lang w:val="en-US" w:eastAsia="zh-CN"/>
        </w:rPr>
        <w:t>所投</w:t>
      </w:r>
      <w:r>
        <w:rPr>
          <w:rFonts w:hint="eastAsia" w:ascii="宋体" w:hAnsi="宋体" w:eastAsia="宋体" w:cs="宋体"/>
          <w:sz w:val="24"/>
          <w:highlight w:val="none"/>
        </w:rPr>
        <w:t>报价应包含所投服务、保险、税费、包装、加工及加工损耗、运输、现场落地、安装及安装损耗、调试、检测验收和交付后约定期限内免费维保等工作所发生的一切应有费用。投标报价为签订合同的依据。</w:t>
      </w:r>
    </w:p>
    <w:p w14:paraId="423F0648">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17.3</w:t>
      </w:r>
      <w:r>
        <w:rPr>
          <w:rFonts w:hint="eastAsia" w:ascii="宋体" w:hAnsi="宋体" w:cs="宋体"/>
          <w:sz w:val="24"/>
          <w:highlight w:val="none"/>
          <w:lang w:eastAsia="zh-CN"/>
        </w:rPr>
        <w:t>供应商</w:t>
      </w:r>
      <w:r>
        <w:rPr>
          <w:rFonts w:hint="eastAsia" w:ascii="宋体" w:hAnsi="宋体" w:eastAsia="宋体" w:cs="宋体"/>
          <w:sz w:val="24"/>
          <w:highlight w:val="none"/>
        </w:rPr>
        <w:t>应在投标文件中注明拟提供服务的单价明细和总价。</w:t>
      </w:r>
    </w:p>
    <w:p w14:paraId="25879C0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17.4除非招标文件另有规定，每一包只允许有一个最终报价，任何有选择的报价或替代方案将导致投标无效。</w:t>
      </w:r>
    </w:p>
    <w:p w14:paraId="258AB2B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17.5采购人不建议</w:t>
      </w:r>
      <w:r>
        <w:rPr>
          <w:rFonts w:hint="eastAsia" w:ascii="宋体" w:hAnsi="宋体" w:cs="宋体"/>
          <w:sz w:val="24"/>
          <w:highlight w:val="none"/>
          <w:lang w:eastAsia="zh-CN"/>
        </w:rPr>
        <w:t>供应商</w:t>
      </w:r>
      <w:r>
        <w:rPr>
          <w:rFonts w:hint="eastAsia" w:ascii="宋体" w:hAnsi="宋体" w:eastAsia="宋体" w:cs="宋体"/>
          <w:sz w:val="24"/>
          <w:highlight w:val="none"/>
        </w:rPr>
        <w:t>采用总价优惠或以总价百分比优惠的方式进行投标报价，其优惠可直接计算并体现在各项投标报价的单价中。</w:t>
      </w:r>
    </w:p>
    <w:p w14:paraId="51736E8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17.6除政策性文件规定以外，</w:t>
      </w:r>
      <w:r>
        <w:rPr>
          <w:rFonts w:hint="eastAsia" w:ascii="宋体" w:hAnsi="宋体" w:cs="宋体"/>
          <w:sz w:val="24"/>
          <w:highlight w:val="none"/>
          <w:lang w:eastAsia="zh-CN"/>
        </w:rPr>
        <w:t>供应商</w:t>
      </w:r>
      <w:r>
        <w:rPr>
          <w:rFonts w:hint="eastAsia" w:ascii="宋体" w:hAnsi="宋体" w:eastAsia="宋体" w:cs="宋体"/>
          <w:sz w:val="24"/>
          <w:highlight w:val="none"/>
        </w:rPr>
        <w:t>所报价格在合同实施期间不因市场变化因素而变动。</w:t>
      </w:r>
    </w:p>
    <w:p w14:paraId="2409A64B">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18.投标内容填写及说明</w:t>
      </w:r>
    </w:p>
    <w:p w14:paraId="07FD1846">
      <w:pPr>
        <w:spacing w:line="360" w:lineRule="auto"/>
        <w:ind w:firstLine="549"/>
        <w:rPr>
          <w:rFonts w:hint="eastAsia" w:ascii="宋体" w:hAnsi="宋体" w:eastAsia="宋体" w:cs="宋体"/>
          <w:sz w:val="24"/>
          <w:highlight w:val="none"/>
          <w:u w:val="single"/>
        </w:rPr>
      </w:pPr>
      <w:r>
        <w:rPr>
          <w:rFonts w:hint="eastAsia" w:ascii="宋体" w:hAnsi="宋体" w:eastAsia="宋体" w:cs="宋体"/>
          <w:sz w:val="24"/>
          <w:highlight w:val="none"/>
        </w:rPr>
        <w:t>18.1投标文件须对招标文件载明的投标资格、技术、资信、服务、报价等全部要求和条件做出实质性和完整的响应，</w:t>
      </w:r>
      <w:r>
        <w:rPr>
          <w:rFonts w:hint="eastAsia" w:ascii="宋体" w:hAnsi="宋体" w:eastAsia="宋体" w:cs="宋体"/>
          <w:sz w:val="24"/>
          <w:highlight w:val="none"/>
          <w:lang w:eastAsia="zh-CN"/>
        </w:rPr>
        <w:t>在投标文件中承诺</w:t>
      </w:r>
      <w:r>
        <w:rPr>
          <w:rFonts w:hint="eastAsia" w:ascii="宋体" w:hAnsi="宋体" w:eastAsia="宋体" w:cs="宋体"/>
          <w:sz w:val="24"/>
          <w:highlight w:val="none"/>
        </w:rPr>
        <w:t>如果投标文件填报的内容资料不详，或没有提供招标文件中所要求的全部资料、证明及数据，将导致投标无效。</w:t>
      </w:r>
    </w:p>
    <w:p w14:paraId="5521399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18.2</w:t>
      </w:r>
      <w:r>
        <w:rPr>
          <w:rFonts w:hint="eastAsia" w:ascii="宋体" w:hAnsi="宋体" w:cs="宋体"/>
          <w:color w:val="auto"/>
          <w:sz w:val="24"/>
          <w:highlight w:val="none"/>
        </w:rPr>
        <w:t>投标人应在投标文件中提交招标文件要求的有关证明文件（扫描或影印件上传），作为其投标文件的一部分。</w:t>
      </w:r>
    </w:p>
    <w:p w14:paraId="4BD7754A">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18.3</w:t>
      </w:r>
      <w:r>
        <w:rPr>
          <w:rFonts w:hint="eastAsia" w:ascii="宋体" w:hAnsi="宋体" w:cs="宋体"/>
          <w:sz w:val="24"/>
          <w:highlight w:val="none"/>
          <w:lang w:eastAsia="zh-CN"/>
        </w:rPr>
        <w:t>供应商</w:t>
      </w:r>
      <w:r>
        <w:rPr>
          <w:rFonts w:hint="eastAsia" w:ascii="宋体" w:hAnsi="宋体" w:eastAsia="宋体" w:cs="宋体"/>
          <w:sz w:val="24"/>
          <w:highlight w:val="none"/>
        </w:rPr>
        <w:t>应在投标文件中提交（以扫描件或影印件上传）招标文件要求的所有服务的合格性以及符合招标文件规定的证明文件（可以是手册、图纸和资料）等，并作为其投标文件的一部分。包括：</w:t>
      </w:r>
    </w:p>
    <w:p w14:paraId="2BE7C0F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18.3.1服务主要性能（内容）的详细描述；</w:t>
      </w:r>
    </w:p>
    <w:p w14:paraId="3D6F277A">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18.3.2</w:t>
      </w:r>
      <w:r>
        <w:rPr>
          <w:rFonts w:hint="eastAsia" w:ascii="宋体" w:hAnsi="宋体" w:cs="宋体"/>
          <w:sz w:val="24"/>
          <w:highlight w:val="none"/>
          <w:lang w:val="en-US" w:eastAsia="zh-CN"/>
        </w:rPr>
        <w:t>供应商应提供</w:t>
      </w:r>
      <w:r>
        <w:rPr>
          <w:rFonts w:hint="eastAsia" w:ascii="宋体" w:hAnsi="宋体" w:eastAsia="宋体" w:cs="宋体"/>
          <w:sz w:val="24"/>
          <w:highlight w:val="none"/>
        </w:rPr>
        <w:t>保证所投服务正常、安全、连续运行期间所需的所有备品、备件及专用工具的详细清单。</w:t>
      </w:r>
    </w:p>
    <w:p w14:paraId="3195913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18.4投标文件应编排有序、内容齐全、不得任意涂改或增删。如有错漏处必须修改，应在修改处加盖</w:t>
      </w:r>
      <w:r>
        <w:rPr>
          <w:rFonts w:hint="eastAsia" w:ascii="宋体" w:hAnsi="宋体" w:cs="宋体"/>
          <w:sz w:val="24"/>
          <w:highlight w:val="none"/>
          <w:lang w:eastAsia="zh-CN"/>
        </w:rPr>
        <w:t>供应商</w:t>
      </w:r>
      <w:r>
        <w:rPr>
          <w:rFonts w:hint="eastAsia" w:ascii="宋体" w:hAnsi="宋体" w:eastAsia="宋体" w:cs="宋体"/>
          <w:sz w:val="24"/>
          <w:highlight w:val="none"/>
        </w:rPr>
        <w:t>电子公章。</w:t>
      </w:r>
    </w:p>
    <w:p w14:paraId="3F581F6E">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19.投标保证金（免收）</w:t>
      </w:r>
    </w:p>
    <w:p w14:paraId="7938AAAA">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20.投标有效期</w:t>
      </w:r>
    </w:p>
    <w:p w14:paraId="5AF0099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20.1为保证采购人有足够的时间完成评标和与中标人签订合同，规定投标有效期。投标有效期期限见</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w:t>
      </w:r>
    </w:p>
    <w:p w14:paraId="287BE31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20.2在投标有效期内，</w:t>
      </w:r>
      <w:r>
        <w:rPr>
          <w:rFonts w:hint="eastAsia" w:ascii="宋体" w:hAnsi="宋体" w:cs="宋体"/>
          <w:sz w:val="24"/>
          <w:highlight w:val="none"/>
          <w:lang w:eastAsia="zh-CN"/>
        </w:rPr>
        <w:t>供应商</w:t>
      </w:r>
      <w:r>
        <w:rPr>
          <w:rFonts w:hint="eastAsia" w:ascii="宋体" w:hAnsi="宋体" w:eastAsia="宋体" w:cs="宋体"/>
          <w:sz w:val="24"/>
          <w:highlight w:val="none"/>
        </w:rPr>
        <w:t>的投标保持有效，</w:t>
      </w:r>
      <w:r>
        <w:rPr>
          <w:rFonts w:hint="eastAsia" w:ascii="宋体" w:hAnsi="宋体" w:cs="宋体"/>
          <w:sz w:val="24"/>
          <w:highlight w:val="none"/>
          <w:lang w:eastAsia="zh-CN"/>
        </w:rPr>
        <w:t>供应商</w:t>
      </w:r>
      <w:r>
        <w:rPr>
          <w:rFonts w:hint="eastAsia" w:ascii="宋体" w:hAnsi="宋体" w:eastAsia="宋体" w:cs="宋体"/>
          <w:sz w:val="24"/>
          <w:highlight w:val="none"/>
        </w:rPr>
        <w:t>不得要求撤销或修改其投标文件。</w:t>
      </w:r>
    </w:p>
    <w:p w14:paraId="43A59EC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20.3投标有效期从投标截止日起计算。</w:t>
      </w:r>
    </w:p>
    <w:p w14:paraId="4945F55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20.4在原定投标有效期满之前，如果出现特殊情况，</w:t>
      </w:r>
      <w:r>
        <w:rPr>
          <w:rFonts w:hint="eastAsia" w:ascii="宋体" w:hAnsi="宋体" w:eastAsia="宋体" w:cs="宋体"/>
          <w:bCs/>
          <w:sz w:val="24"/>
          <w:highlight w:val="none"/>
        </w:rPr>
        <w:t>采购人</w:t>
      </w:r>
      <w:r>
        <w:rPr>
          <w:rFonts w:hint="eastAsia" w:ascii="宋体" w:hAnsi="宋体" w:eastAsia="宋体" w:cs="宋体"/>
          <w:sz w:val="24"/>
          <w:highlight w:val="none"/>
        </w:rPr>
        <w:t>可以书面形式提出延长投标有效期的要求。</w:t>
      </w:r>
      <w:r>
        <w:rPr>
          <w:rFonts w:hint="eastAsia" w:ascii="宋体" w:hAnsi="宋体" w:cs="宋体"/>
          <w:sz w:val="24"/>
          <w:highlight w:val="none"/>
          <w:lang w:eastAsia="zh-CN"/>
        </w:rPr>
        <w:t>供应商</w:t>
      </w:r>
      <w:r>
        <w:rPr>
          <w:rFonts w:hint="eastAsia" w:ascii="宋体" w:hAnsi="宋体" w:eastAsia="宋体" w:cs="宋体"/>
          <w:sz w:val="24"/>
          <w:highlight w:val="none"/>
        </w:rPr>
        <w:t>以书面形式予以答复，</w:t>
      </w:r>
      <w:r>
        <w:rPr>
          <w:rFonts w:hint="eastAsia" w:ascii="宋体" w:hAnsi="宋体" w:cs="宋体"/>
          <w:sz w:val="24"/>
          <w:highlight w:val="none"/>
          <w:lang w:eastAsia="zh-CN"/>
        </w:rPr>
        <w:t>供应商</w:t>
      </w:r>
      <w:r>
        <w:rPr>
          <w:rFonts w:hint="eastAsia" w:ascii="宋体" w:hAnsi="宋体" w:eastAsia="宋体" w:cs="宋体"/>
          <w:sz w:val="24"/>
          <w:highlight w:val="none"/>
        </w:rPr>
        <w:t>可以拒绝这种要求而不被没收投标保证金。同意延长投标有效期的</w:t>
      </w:r>
      <w:r>
        <w:rPr>
          <w:rFonts w:hint="eastAsia" w:ascii="宋体" w:hAnsi="宋体" w:cs="宋体"/>
          <w:sz w:val="24"/>
          <w:highlight w:val="none"/>
          <w:lang w:eastAsia="zh-CN"/>
        </w:rPr>
        <w:t>供应商</w:t>
      </w:r>
      <w:r>
        <w:rPr>
          <w:rFonts w:hint="eastAsia" w:ascii="宋体" w:hAnsi="宋体" w:eastAsia="宋体" w:cs="宋体"/>
          <w:sz w:val="24"/>
          <w:highlight w:val="none"/>
        </w:rPr>
        <w:t>不允许修改其投标文件的实质性内容，且需要相应地延长投标保证金的有效期。</w:t>
      </w:r>
    </w:p>
    <w:p w14:paraId="39A90CD2">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21.投标文件份数和签署</w:t>
      </w:r>
    </w:p>
    <w:p w14:paraId="417D6A3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 xml:space="preserve">21.1 </w:t>
      </w:r>
      <w:r>
        <w:rPr>
          <w:rFonts w:hint="eastAsia" w:ascii="宋体" w:hAnsi="宋体" w:cs="宋体"/>
          <w:sz w:val="24"/>
          <w:highlight w:val="none"/>
          <w:lang w:eastAsia="zh-CN"/>
        </w:rPr>
        <w:t>供应商</w:t>
      </w:r>
      <w:r>
        <w:rPr>
          <w:rFonts w:hint="eastAsia" w:ascii="宋体" w:hAnsi="宋体" w:eastAsia="宋体" w:cs="宋体"/>
          <w:sz w:val="24"/>
          <w:highlight w:val="none"/>
        </w:rPr>
        <w:t>应按照</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须知前附表的要求准备投标文件。</w:t>
      </w:r>
    </w:p>
    <w:p w14:paraId="26CCC0EC">
      <w:pPr>
        <w:spacing w:line="360" w:lineRule="auto"/>
        <w:ind w:firstLine="550"/>
        <w:rPr>
          <w:rFonts w:hint="eastAsia" w:ascii="宋体" w:hAnsi="宋体" w:eastAsia="宋体" w:cs="宋体"/>
          <w:b/>
          <w:sz w:val="24"/>
          <w:highlight w:val="none"/>
        </w:rPr>
      </w:pPr>
      <w:r>
        <w:rPr>
          <w:rFonts w:hint="eastAsia" w:ascii="宋体" w:hAnsi="宋体" w:eastAsia="宋体" w:cs="宋体"/>
          <w:sz w:val="24"/>
          <w:highlight w:val="none"/>
        </w:rPr>
        <w:t>21.2投标文件均应依招标文件要求加盖</w:t>
      </w:r>
      <w:r>
        <w:rPr>
          <w:rFonts w:hint="eastAsia" w:ascii="宋体" w:hAnsi="宋体" w:cs="宋体"/>
          <w:sz w:val="24"/>
          <w:highlight w:val="none"/>
          <w:lang w:eastAsia="zh-CN"/>
        </w:rPr>
        <w:t>供应商</w:t>
      </w:r>
      <w:r>
        <w:rPr>
          <w:rFonts w:hint="eastAsia" w:ascii="宋体" w:hAnsi="宋体" w:eastAsia="宋体" w:cs="宋体"/>
          <w:sz w:val="24"/>
          <w:highlight w:val="none"/>
        </w:rPr>
        <w:t>电子签章</w:t>
      </w:r>
      <w:r>
        <w:rPr>
          <w:rFonts w:hint="eastAsia" w:ascii="宋体" w:hAnsi="宋体" w:eastAsia="宋体" w:cs="宋体"/>
          <w:b/>
          <w:sz w:val="24"/>
          <w:highlight w:val="none"/>
        </w:rPr>
        <w:t>。</w:t>
      </w:r>
    </w:p>
    <w:p w14:paraId="77A9A3C6">
      <w:pPr>
        <w:pStyle w:val="5"/>
        <w:spacing w:line="360" w:lineRule="auto"/>
        <w:ind w:firstLine="2715" w:firstLineChars="966"/>
        <w:jc w:val="both"/>
        <w:rPr>
          <w:rFonts w:hint="eastAsia" w:ascii="宋体" w:hAnsi="宋体" w:eastAsia="宋体" w:cs="宋体"/>
          <w:sz w:val="28"/>
          <w:highlight w:val="none"/>
        </w:rPr>
      </w:pPr>
      <w:bookmarkStart w:id="107" w:name="_Hlt509650572"/>
      <w:bookmarkEnd w:id="107"/>
      <w:bookmarkStart w:id="108" w:name="_Toc3045"/>
      <w:bookmarkStart w:id="109" w:name="_Toc26995"/>
      <w:bookmarkStart w:id="110" w:name="_Toc860"/>
      <w:bookmarkStart w:id="111" w:name="_Toc40975445"/>
      <w:bookmarkStart w:id="112" w:name="_Toc527725925"/>
      <w:r>
        <w:rPr>
          <w:rFonts w:hint="eastAsia" w:ascii="宋体" w:hAnsi="宋体" w:eastAsia="宋体" w:cs="宋体"/>
          <w:sz w:val="28"/>
          <w:highlight w:val="none"/>
        </w:rPr>
        <w:t>四．投标文件的递交</w:t>
      </w:r>
      <w:bookmarkEnd w:id="108"/>
      <w:bookmarkEnd w:id="109"/>
      <w:bookmarkEnd w:id="110"/>
      <w:bookmarkEnd w:id="111"/>
      <w:bookmarkEnd w:id="112"/>
      <w:bookmarkStart w:id="113" w:name="_Hlt509649414"/>
      <w:bookmarkEnd w:id="113"/>
    </w:p>
    <w:p w14:paraId="155A0288">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22.投标文件的密封和标记</w:t>
      </w:r>
    </w:p>
    <w:p w14:paraId="163FF57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5971DE27">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 xml:space="preserve">23.投标文件的递交 </w:t>
      </w:r>
    </w:p>
    <w:p w14:paraId="0A45620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23.1</w:t>
      </w:r>
      <w:r>
        <w:rPr>
          <w:rFonts w:hint="eastAsia" w:ascii="宋体" w:hAnsi="宋体" w:cs="宋体"/>
          <w:sz w:val="24"/>
          <w:highlight w:val="none"/>
          <w:lang w:eastAsia="zh-CN"/>
        </w:rPr>
        <w:t>供应商</w:t>
      </w:r>
      <w:r>
        <w:rPr>
          <w:rFonts w:hint="eastAsia" w:ascii="宋体" w:hAnsi="宋体" w:eastAsia="宋体" w:cs="宋体"/>
          <w:sz w:val="24"/>
          <w:highlight w:val="none"/>
        </w:rPr>
        <w:t>应当在招标文件要求提交投标文件的截止时间前网上投标。</w:t>
      </w:r>
    </w:p>
    <w:p w14:paraId="6E97095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23.2在招标文件要求提交投标文件的截止时间之后制作上传的投标文件为无效投标文件，</w:t>
      </w:r>
      <w:r>
        <w:rPr>
          <w:rFonts w:hint="eastAsia" w:ascii="宋体" w:hAnsi="宋体" w:eastAsia="宋体" w:cs="宋体"/>
          <w:bCs/>
          <w:sz w:val="24"/>
          <w:highlight w:val="none"/>
        </w:rPr>
        <w:t>采购人</w:t>
      </w:r>
      <w:r>
        <w:rPr>
          <w:rFonts w:hint="eastAsia" w:ascii="宋体" w:hAnsi="宋体" w:eastAsia="宋体" w:cs="宋体"/>
          <w:sz w:val="24"/>
          <w:highlight w:val="none"/>
        </w:rPr>
        <w:t>将拒绝接收。</w:t>
      </w:r>
    </w:p>
    <w:p w14:paraId="4337F919">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24.投标文件的修改和撤回</w:t>
      </w:r>
    </w:p>
    <w:p w14:paraId="5E96515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投标截止日期前，</w:t>
      </w:r>
      <w:r>
        <w:rPr>
          <w:rFonts w:hint="eastAsia" w:ascii="宋体" w:hAnsi="宋体" w:cs="宋体"/>
          <w:sz w:val="24"/>
          <w:highlight w:val="none"/>
          <w:lang w:eastAsia="zh-CN"/>
        </w:rPr>
        <w:t>供应商</w:t>
      </w:r>
      <w:r>
        <w:rPr>
          <w:rFonts w:hint="eastAsia" w:ascii="宋体" w:hAnsi="宋体" w:eastAsia="宋体" w:cs="宋体"/>
          <w:sz w:val="24"/>
          <w:highlight w:val="none"/>
        </w:rPr>
        <w:t>可以修改或撤回其投标文件；在投标截止时间后，</w:t>
      </w:r>
      <w:r>
        <w:rPr>
          <w:rFonts w:hint="eastAsia" w:ascii="宋体" w:hAnsi="宋体" w:cs="宋体"/>
          <w:sz w:val="24"/>
          <w:highlight w:val="none"/>
          <w:lang w:eastAsia="zh-CN"/>
        </w:rPr>
        <w:t>供应商</w:t>
      </w:r>
      <w:r>
        <w:rPr>
          <w:rFonts w:hint="eastAsia" w:ascii="宋体" w:hAnsi="宋体" w:eastAsia="宋体" w:cs="宋体"/>
          <w:sz w:val="24"/>
          <w:highlight w:val="none"/>
        </w:rPr>
        <w:t>不得再要求修改或撤回其投标文件。</w:t>
      </w:r>
    </w:p>
    <w:p w14:paraId="0C86E2EF">
      <w:pPr>
        <w:pStyle w:val="5"/>
        <w:spacing w:line="360" w:lineRule="auto"/>
        <w:ind w:firstLine="2996" w:firstLineChars="1066"/>
        <w:jc w:val="both"/>
        <w:rPr>
          <w:rFonts w:hint="eastAsia" w:ascii="宋体" w:hAnsi="宋体" w:eastAsia="宋体" w:cs="宋体"/>
          <w:sz w:val="28"/>
          <w:highlight w:val="none"/>
        </w:rPr>
      </w:pPr>
      <w:bookmarkStart w:id="114" w:name="_Hlt509649294"/>
      <w:bookmarkEnd w:id="114"/>
      <w:bookmarkStart w:id="115" w:name="_Toc40975446"/>
      <w:bookmarkStart w:id="116" w:name="_Toc21729"/>
      <w:bookmarkStart w:id="117" w:name="_Toc5128"/>
      <w:bookmarkStart w:id="118" w:name="_Toc11404"/>
      <w:bookmarkStart w:id="119" w:name="_Toc527725926"/>
      <w:r>
        <w:rPr>
          <w:rFonts w:hint="eastAsia" w:ascii="宋体" w:hAnsi="宋体" w:eastAsia="宋体" w:cs="宋体"/>
          <w:sz w:val="28"/>
          <w:highlight w:val="none"/>
        </w:rPr>
        <w:t>五．开标与评标</w:t>
      </w:r>
      <w:bookmarkEnd w:id="115"/>
      <w:bookmarkEnd w:id="116"/>
      <w:bookmarkEnd w:id="117"/>
      <w:bookmarkEnd w:id="118"/>
      <w:bookmarkEnd w:id="119"/>
    </w:p>
    <w:p w14:paraId="70956804">
      <w:pPr>
        <w:snapToGrid w:val="0"/>
        <w:spacing w:line="300" w:lineRule="auto"/>
        <w:ind w:firstLine="550"/>
        <w:rPr>
          <w:rFonts w:hint="eastAsia" w:ascii="宋体" w:hAnsi="宋体" w:eastAsia="宋体" w:cs="宋体"/>
          <w:b/>
          <w:sz w:val="24"/>
          <w:szCs w:val="24"/>
          <w:highlight w:val="none"/>
        </w:rPr>
      </w:pPr>
      <w:r>
        <w:rPr>
          <w:rFonts w:hint="eastAsia" w:ascii="宋体" w:hAnsi="宋体" w:eastAsia="宋体" w:cs="宋体"/>
          <w:b/>
          <w:sz w:val="24"/>
          <w:szCs w:val="24"/>
          <w:highlight w:val="none"/>
        </w:rPr>
        <w:t>25.开标</w:t>
      </w:r>
    </w:p>
    <w:p w14:paraId="1D85C7F1">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25.1本项目实行网上远程开标无须到现场提交投标文件。投标文件提交及解密详见周口市公共资源交易中心网</w:t>
      </w:r>
      <w:r>
        <w:rPr>
          <w:rFonts w:hint="eastAsia" w:hAnsi="宋体" w:eastAsia="宋体" w:cs="宋体"/>
          <w:sz w:val="24"/>
          <w:szCs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w:t>
      </w:r>
    </w:p>
    <w:p w14:paraId="2AE551D4">
      <w:pPr>
        <w:spacing w:line="360" w:lineRule="auto"/>
        <w:ind w:firstLine="549"/>
        <w:jc w:val="left"/>
        <w:rPr>
          <w:rFonts w:hint="eastAsia" w:ascii="宋体" w:hAnsi="宋体" w:eastAsia="宋体" w:cs="宋体"/>
          <w:bCs/>
          <w:sz w:val="24"/>
          <w:highlight w:val="none"/>
        </w:rPr>
      </w:pPr>
      <w:r>
        <w:rPr>
          <w:rFonts w:hint="eastAsia" w:ascii="宋体" w:hAnsi="宋体" w:eastAsia="宋体" w:cs="宋体"/>
          <w:bCs/>
          <w:sz w:val="24"/>
          <w:highlight w:val="none"/>
        </w:rPr>
        <w:t>25.2开标时，各投标单位应在规定时间内对本单位的投标文件现场解密。在解密投标文件开始时30分钟内进行解密，超时视为放弃递交投标文件。</w:t>
      </w:r>
    </w:p>
    <w:p w14:paraId="7B82CE6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25.3投标资格及投标文件的法律文本将由评审委员会在评标前进行审查。资格不符合招标文件要求和相关法律规定的，投标无效。</w:t>
      </w:r>
    </w:p>
    <w:p w14:paraId="5B4FE5BD">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25.4开标时，周口市公共资源交易中心政府采购中心将通过网上开标系统公布</w:t>
      </w:r>
      <w:r>
        <w:rPr>
          <w:rFonts w:hint="eastAsia" w:ascii="宋体" w:hAnsi="宋体" w:cs="宋体"/>
          <w:bCs/>
          <w:sz w:val="24"/>
          <w:highlight w:val="none"/>
          <w:lang w:eastAsia="zh-CN"/>
        </w:rPr>
        <w:t>供应商</w:t>
      </w:r>
      <w:r>
        <w:rPr>
          <w:rFonts w:hint="eastAsia" w:ascii="宋体" w:hAnsi="宋体" w:eastAsia="宋体" w:cs="宋体"/>
          <w:bCs/>
          <w:sz w:val="24"/>
          <w:highlight w:val="none"/>
        </w:rPr>
        <w:t>名称、投标价格，以及周口市公共资源交易中心政府采购中心认为合适的其它详细内容。</w:t>
      </w:r>
    </w:p>
    <w:p w14:paraId="7F20108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25.5在评审结束前，未得到周口市公共资源交易中心政府采购中心允许，</w:t>
      </w:r>
      <w:r>
        <w:rPr>
          <w:rFonts w:hint="eastAsia" w:ascii="宋体" w:hAnsi="宋体" w:cs="宋体"/>
          <w:bCs/>
          <w:sz w:val="24"/>
          <w:highlight w:val="none"/>
          <w:lang w:eastAsia="zh-CN"/>
        </w:rPr>
        <w:t>供应商</w:t>
      </w:r>
      <w:r>
        <w:rPr>
          <w:rFonts w:hint="eastAsia" w:ascii="宋体" w:hAnsi="宋体" w:eastAsia="宋体" w:cs="宋体"/>
          <w:bCs/>
          <w:sz w:val="24"/>
          <w:highlight w:val="none"/>
        </w:rPr>
        <w:t>授权代表不得离开开标现场。</w:t>
      </w:r>
    </w:p>
    <w:p w14:paraId="52EE5F93">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26.投标文件的澄清、说明或补正</w:t>
      </w:r>
    </w:p>
    <w:p w14:paraId="1A0132C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26.1为有助于投标的审查、评价和比较，评标委员会可以书面方式要求</w:t>
      </w:r>
      <w:r>
        <w:rPr>
          <w:rFonts w:hint="eastAsia" w:ascii="宋体" w:hAnsi="宋体" w:cs="宋体"/>
          <w:bCs/>
          <w:sz w:val="24"/>
          <w:highlight w:val="none"/>
          <w:lang w:eastAsia="zh-CN"/>
        </w:rPr>
        <w:t>供应商</w:t>
      </w:r>
      <w:r>
        <w:rPr>
          <w:rFonts w:hint="eastAsia" w:ascii="宋体" w:hAnsi="宋体" w:eastAsia="宋体" w:cs="宋体"/>
          <w:bCs/>
          <w:sz w:val="24"/>
          <w:highlight w:val="none"/>
        </w:rPr>
        <w:t>对投标文件中含义不明确、对同类问题表述不一致或者有明显文字和计算错误的内容作必要的澄清、说明或补正。澄清、说明或补正不得超出投标文件的范围或改变投标文件的实质性内容。</w:t>
      </w:r>
    </w:p>
    <w:p w14:paraId="4B061C0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2BE06AAF">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26.3</w:t>
      </w:r>
      <w:r>
        <w:rPr>
          <w:rFonts w:hint="eastAsia" w:ascii="宋体" w:hAnsi="宋体" w:eastAsia="宋体" w:cs="宋体"/>
          <w:bCs/>
          <w:sz w:val="24"/>
          <w:highlight w:val="none"/>
        </w:rPr>
        <w:t>开标一览表内容与投标文件中明细表内容不一致的，以开标一览表为准。</w:t>
      </w:r>
    </w:p>
    <w:p w14:paraId="6D85D3E4">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26.4 如同时出现26.2条和26.3条所述的不一致情况，以开标一览表为准。</w:t>
      </w:r>
    </w:p>
    <w:p w14:paraId="3F7A497B">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27.评标</w:t>
      </w:r>
    </w:p>
    <w:p w14:paraId="74C3FB78">
      <w:pPr>
        <w:spacing w:line="360" w:lineRule="auto"/>
        <w:ind w:firstLine="523" w:firstLineChars="218"/>
        <w:rPr>
          <w:rFonts w:hint="eastAsia" w:ascii="宋体" w:hAnsi="宋体" w:eastAsia="宋体" w:cs="宋体"/>
          <w:b/>
          <w:sz w:val="24"/>
          <w:highlight w:val="none"/>
        </w:rPr>
      </w:pPr>
      <w:r>
        <w:rPr>
          <w:rFonts w:hint="eastAsia" w:ascii="宋体" w:hAnsi="宋体" w:eastAsia="宋体" w:cs="宋体"/>
          <w:sz w:val="24"/>
          <w:highlight w:val="none"/>
        </w:rPr>
        <w:t>27.1 评委会将按照招标文件规定的评标办法对</w:t>
      </w:r>
      <w:r>
        <w:rPr>
          <w:rFonts w:hint="eastAsia" w:ascii="宋体" w:hAnsi="宋体" w:cs="宋体"/>
          <w:sz w:val="24"/>
          <w:highlight w:val="none"/>
          <w:lang w:eastAsia="zh-CN"/>
        </w:rPr>
        <w:t>供应商</w:t>
      </w:r>
      <w:r>
        <w:rPr>
          <w:rFonts w:hint="eastAsia" w:ascii="宋体" w:hAnsi="宋体" w:eastAsia="宋体" w:cs="宋体"/>
          <w:sz w:val="24"/>
          <w:highlight w:val="none"/>
        </w:rPr>
        <w:t>独立进行投标评审。投标评审分为符合性审查和综合评分。</w:t>
      </w:r>
    </w:p>
    <w:p w14:paraId="7F78157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w:t>
      </w:r>
      <w:r>
        <w:rPr>
          <w:rFonts w:hint="eastAsia" w:ascii="宋体" w:hAnsi="宋体" w:cs="宋体"/>
          <w:sz w:val="24"/>
          <w:highlight w:val="none"/>
          <w:lang w:eastAsia="zh-CN"/>
        </w:rPr>
        <w:t>供应商</w:t>
      </w:r>
      <w:r>
        <w:rPr>
          <w:rFonts w:hint="eastAsia" w:ascii="宋体" w:hAnsi="宋体" w:eastAsia="宋体" w:cs="宋体"/>
          <w:sz w:val="24"/>
          <w:highlight w:val="none"/>
        </w:rPr>
        <w:t>的义务。这些偏离或保留将会对其他实质上响应要求的</w:t>
      </w:r>
      <w:r>
        <w:rPr>
          <w:rFonts w:hint="eastAsia" w:ascii="宋体" w:hAnsi="宋体" w:cs="宋体"/>
          <w:sz w:val="24"/>
          <w:highlight w:val="none"/>
          <w:lang w:eastAsia="zh-CN"/>
        </w:rPr>
        <w:t>供应商</w:t>
      </w:r>
      <w:r>
        <w:rPr>
          <w:rFonts w:hint="eastAsia" w:ascii="宋体" w:hAnsi="宋体" w:eastAsia="宋体" w:cs="宋体"/>
          <w:sz w:val="24"/>
          <w:highlight w:val="none"/>
        </w:rPr>
        <w:t>的竞争地位产生不公正的影响。</w:t>
      </w:r>
      <w:r>
        <w:rPr>
          <w:rFonts w:hint="eastAsia" w:ascii="宋体" w:hAnsi="宋体" w:cs="宋体"/>
          <w:sz w:val="24"/>
          <w:highlight w:val="none"/>
          <w:lang w:eastAsia="zh-CN"/>
        </w:rPr>
        <w:t>供应商</w:t>
      </w:r>
      <w:r>
        <w:rPr>
          <w:rFonts w:hint="eastAsia" w:ascii="宋体" w:hAnsi="宋体" w:eastAsia="宋体" w:cs="宋体"/>
          <w:sz w:val="24"/>
          <w:highlight w:val="none"/>
        </w:rPr>
        <w:t>不得通过修改或撤销不合要求的偏离或保留而使其投标成为响应性的投标。</w:t>
      </w:r>
    </w:p>
    <w:p w14:paraId="5E37C6A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有下列情形之一的，评标委员会应当否决其投标：</w:t>
      </w:r>
    </w:p>
    <w:p w14:paraId="3EE2851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27.2.1投标文件未经投标单位电子签章的；</w:t>
      </w:r>
    </w:p>
    <w:p w14:paraId="607214C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27.2.2</w:t>
      </w:r>
      <w:r>
        <w:rPr>
          <w:rFonts w:hint="eastAsia" w:ascii="宋体" w:hAnsi="宋体" w:cs="宋体"/>
          <w:color w:val="auto"/>
          <w:sz w:val="24"/>
          <w:highlight w:val="none"/>
        </w:rPr>
        <w:t>投标文件中被授权人和法定代表人未附劳动合同的</w:t>
      </w:r>
      <w:r>
        <w:rPr>
          <w:rFonts w:hint="eastAsia" w:ascii="宋体" w:hAnsi="宋体" w:eastAsia="宋体" w:cs="宋体"/>
          <w:color w:val="auto"/>
          <w:sz w:val="24"/>
          <w:highlight w:val="none"/>
        </w:rPr>
        <w:t>；</w:t>
      </w:r>
    </w:p>
    <w:p w14:paraId="0CC7A99A">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27.2.3</w:t>
      </w:r>
      <w:r>
        <w:rPr>
          <w:rFonts w:hint="eastAsia" w:ascii="宋体" w:hAnsi="宋体" w:cs="宋体"/>
          <w:sz w:val="24"/>
          <w:highlight w:val="none"/>
          <w:lang w:eastAsia="zh-CN"/>
        </w:rPr>
        <w:t>供应商</w:t>
      </w:r>
      <w:r>
        <w:rPr>
          <w:rFonts w:hint="eastAsia" w:ascii="宋体" w:hAnsi="宋体" w:eastAsia="宋体" w:cs="宋体"/>
          <w:sz w:val="24"/>
          <w:highlight w:val="none"/>
        </w:rPr>
        <w:t>不符合国家或者招标文件规定的资格条件；</w:t>
      </w:r>
    </w:p>
    <w:p w14:paraId="7564AD05">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27.2.4同一</w:t>
      </w:r>
      <w:r>
        <w:rPr>
          <w:rFonts w:hint="eastAsia" w:ascii="宋体" w:hAnsi="宋体" w:cs="宋体"/>
          <w:sz w:val="24"/>
          <w:highlight w:val="none"/>
          <w:lang w:eastAsia="zh-CN"/>
        </w:rPr>
        <w:t>供应商</w:t>
      </w:r>
      <w:r>
        <w:rPr>
          <w:rFonts w:hint="eastAsia" w:ascii="宋体" w:hAnsi="宋体" w:eastAsia="宋体" w:cs="宋体"/>
          <w:sz w:val="24"/>
          <w:highlight w:val="none"/>
        </w:rPr>
        <w:t>提交两个以上不同的投标文件或者投标报价，但招标文件要求提交备选投标的除外；</w:t>
      </w:r>
    </w:p>
    <w:p w14:paraId="2FA56CFB">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27.2.5投标报价或者某些分项报价明显不合理或者低于成本，有可能影响商品质量和不能诚信履约；</w:t>
      </w:r>
    </w:p>
    <w:p w14:paraId="303825C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27.2.6</w:t>
      </w:r>
      <w:r>
        <w:rPr>
          <w:rFonts w:hint="eastAsia" w:ascii="宋体" w:hAnsi="宋体" w:cs="宋体"/>
          <w:color w:val="auto"/>
          <w:sz w:val="24"/>
          <w:highlight w:val="none"/>
        </w:rPr>
        <w:t>投标人没有将“廉洁自律承诺书”附在投标文件中</w:t>
      </w:r>
      <w:r>
        <w:rPr>
          <w:rFonts w:hint="eastAsia" w:ascii="宋体" w:hAnsi="宋体" w:eastAsia="宋体" w:cs="宋体"/>
          <w:color w:val="auto"/>
          <w:sz w:val="24"/>
          <w:highlight w:val="none"/>
        </w:rPr>
        <w:t>；</w:t>
      </w:r>
    </w:p>
    <w:p w14:paraId="056DDB6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27.2.7投标文件没有对招标文件的实质性要求和条件作出响应；</w:t>
      </w:r>
    </w:p>
    <w:p w14:paraId="3F1CFFB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有串通投标、弄虚作假、行贿等违法行为；</w:t>
      </w:r>
    </w:p>
    <w:p w14:paraId="7EBADE5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27.3如果投标文件未通过投标符合性审查，投标无效。</w:t>
      </w:r>
    </w:p>
    <w:p w14:paraId="5DDE835A">
      <w:pPr>
        <w:spacing w:line="360" w:lineRule="auto"/>
        <w:ind w:firstLine="549"/>
        <w:rPr>
          <w:rFonts w:hint="eastAsia" w:ascii="宋体" w:hAnsi="宋体" w:eastAsia="宋体" w:cs="宋体"/>
          <w:sz w:val="24"/>
          <w:highlight w:val="none"/>
        </w:rPr>
      </w:pPr>
      <w:r>
        <w:rPr>
          <w:rFonts w:hint="eastAsia" w:ascii="宋体" w:hAnsi="宋体" w:eastAsia="宋体" w:cs="宋体"/>
          <w:color w:val="auto"/>
          <w:sz w:val="24"/>
          <w:highlight w:val="none"/>
        </w:rPr>
        <w:t>27.4</w:t>
      </w:r>
      <w:r>
        <w:rPr>
          <w:rFonts w:hint="eastAsia" w:ascii="宋体" w:hAnsi="宋体" w:cs="宋体"/>
          <w:color w:val="auto"/>
          <w:sz w:val="24"/>
          <w:highlight w:val="none"/>
        </w:rPr>
        <w:t>投标人对投标质量无承诺的</w:t>
      </w:r>
      <w:r>
        <w:rPr>
          <w:rFonts w:hint="eastAsia" w:ascii="宋体" w:hAnsi="宋体" w:eastAsia="宋体" w:cs="宋体"/>
          <w:color w:val="auto"/>
          <w:sz w:val="24"/>
          <w:highlight w:val="none"/>
        </w:rPr>
        <w:t>。</w:t>
      </w:r>
    </w:p>
    <w:p w14:paraId="21CB854B">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28</w:t>
      </w:r>
      <w:r>
        <w:rPr>
          <w:rFonts w:hint="eastAsia" w:ascii="宋体" w:hAnsi="宋体" w:eastAsia="宋体" w:cs="宋体"/>
          <w:b/>
          <w:sz w:val="24"/>
          <w:highlight w:val="none"/>
        </w:rPr>
        <w:t>.</w:t>
      </w:r>
      <w:r>
        <w:rPr>
          <w:rFonts w:hint="eastAsia" w:ascii="宋体" w:hAnsi="宋体" w:eastAsia="宋体" w:cs="宋体"/>
          <w:b/>
          <w:bCs/>
          <w:sz w:val="24"/>
          <w:highlight w:val="none"/>
        </w:rPr>
        <w:t>废标处理</w:t>
      </w:r>
    </w:p>
    <w:p w14:paraId="08D4177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28.1在招标采购中，出现下列情形之一的，周口市公共资源交易中心政府采购中心有权宣布废标：</w:t>
      </w:r>
    </w:p>
    <w:p w14:paraId="34AF1CC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28.1.1符合专业条件的</w:t>
      </w:r>
      <w:r>
        <w:rPr>
          <w:rFonts w:hint="eastAsia" w:ascii="宋体" w:hAnsi="宋体" w:cs="宋体"/>
          <w:sz w:val="24"/>
          <w:highlight w:val="none"/>
          <w:lang w:eastAsia="zh-CN"/>
        </w:rPr>
        <w:t>供应商</w:t>
      </w:r>
      <w:r>
        <w:rPr>
          <w:rFonts w:hint="eastAsia" w:ascii="宋体" w:hAnsi="宋体" w:eastAsia="宋体" w:cs="宋体"/>
          <w:sz w:val="24"/>
          <w:highlight w:val="none"/>
        </w:rPr>
        <w:t>或对招标文件作实质响应的</w:t>
      </w:r>
      <w:r>
        <w:rPr>
          <w:rFonts w:hint="eastAsia" w:ascii="宋体" w:hAnsi="宋体" w:cs="宋体"/>
          <w:sz w:val="24"/>
          <w:highlight w:val="none"/>
          <w:lang w:eastAsia="zh-CN"/>
        </w:rPr>
        <w:t>供应商</w:t>
      </w:r>
      <w:r>
        <w:rPr>
          <w:rFonts w:hint="eastAsia" w:ascii="宋体" w:hAnsi="宋体" w:eastAsia="宋体" w:cs="宋体"/>
          <w:sz w:val="24"/>
          <w:highlight w:val="none"/>
        </w:rPr>
        <w:t>不足三家的；</w:t>
      </w:r>
    </w:p>
    <w:p w14:paraId="5877D30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28.1.2</w:t>
      </w:r>
      <w:r>
        <w:rPr>
          <w:rFonts w:hint="eastAsia" w:ascii="宋体" w:hAnsi="宋体" w:cs="宋体"/>
          <w:sz w:val="24"/>
          <w:highlight w:val="none"/>
          <w:lang w:eastAsia="zh-CN"/>
        </w:rPr>
        <w:t>供应商</w:t>
      </w:r>
      <w:r>
        <w:rPr>
          <w:rFonts w:hint="eastAsia" w:ascii="宋体" w:hAnsi="宋体" w:eastAsia="宋体" w:cs="宋体"/>
          <w:sz w:val="24"/>
          <w:highlight w:val="none"/>
        </w:rPr>
        <w:t>的报价均超过采购预算，采购人不能支付的；</w:t>
      </w:r>
    </w:p>
    <w:p w14:paraId="3E926201">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28.1.3出现影响采购公正的违法、违规行为的；</w:t>
      </w:r>
    </w:p>
    <w:p w14:paraId="3C0BAD2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28.1.4因重大变故，采购任务取消的。</w:t>
      </w:r>
    </w:p>
    <w:p w14:paraId="2AE3E67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废标后，周口市公共资源交易中心政府采购中心会把废标理由通知所有</w:t>
      </w:r>
      <w:r>
        <w:rPr>
          <w:rFonts w:hint="eastAsia" w:ascii="宋体" w:hAnsi="宋体" w:cs="宋体"/>
          <w:sz w:val="24"/>
          <w:highlight w:val="none"/>
          <w:lang w:eastAsia="zh-CN"/>
        </w:rPr>
        <w:t>供应商</w:t>
      </w:r>
      <w:r>
        <w:rPr>
          <w:rFonts w:hint="eastAsia" w:ascii="宋体" w:hAnsi="宋体" w:eastAsia="宋体" w:cs="宋体"/>
          <w:sz w:val="24"/>
          <w:highlight w:val="none"/>
        </w:rPr>
        <w:t>。</w:t>
      </w:r>
    </w:p>
    <w:p w14:paraId="698BFC6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28.2 因上条第一款、第二款规定情形导致废标的，若采购人提出申请，报经政府采购监督管理部门批准，可现场改为竞争性谈判，</w:t>
      </w:r>
      <w:r>
        <w:rPr>
          <w:rFonts w:hint="eastAsia" w:ascii="宋体" w:hAnsi="宋体" w:cs="宋体"/>
          <w:sz w:val="24"/>
          <w:highlight w:val="none"/>
          <w:lang w:eastAsia="zh-CN"/>
        </w:rPr>
        <w:t>供应商</w:t>
      </w:r>
      <w:r>
        <w:rPr>
          <w:rFonts w:hint="eastAsia" w:ascii="宋体" w:hAnsi="宋体" w:eastAsia="宋体" w:cs="宋体"/>
          <w:sz w:val="24"/>
          <w:highlight w:val="none"/>
        </w:rPr>
        <w:t>有下列情形之一的，不得参加谈判：</w:t>
      </w:r>
    </w:p>
    <w:p w14:paraId="552DF38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28.2.1放弃参加投标的；</w:t>
      </w:r>
    </w:p>
    <w:p w14:paraId="092DD2F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28.2.2未经周口市公共资源交易中心政府采购中心允许，离开开标现场通知不上的；</w:t>
      </w:r>
    </w:p>
    <w:p w14:paraId="0A077F5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28.2.3不符合招标文件列明的专业条件的；</w:t>
      </w:r>
    </w:p>
    <w:p w14:paraId="6FEA860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28.2.4未按规定交纳谈判保证金的；</w:t>
      </w:r>
    </w:p>
    <w:p w14:paraId="7854F88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28.2.5有影响采购公正的违法、违规行为造成项目废标的；</w:t>
      </w:r>
    </w:p>
    <w:p w14:paraId="70170F9A">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28.2.6其他不符合竞争性谈判条件的情况。</w:t>
      </w:r>
    </w:p>
    <w:p w14:paraId="4C3519AF">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28.3采购方式现场改为竞争性谈判时，</w:t>
      </w:r>
      <w:r>
        <w:rPr>
          <w:rFonts w:hint="eastAsia" w:ascii="宋体" w:hAnsi="宋体" w:eastAsia="宋体" w:cs="宋体"/>
          <w:sz w:val="24"/>
          <w:highlight w:val="none"/>
        </w:rPr>
        <w:t>周口市公共资源交易中心政府采购中心</w:t>
      </w:r>
      <w:r>
        <w:rPr>
          <w:rFonts w:hint="eastAsia" w:ascii="宋体" w:hAnsi="宋体" w:eastAsia="宋体" w:cs="宋体"/>
          <w:sz w:val="24"/>
          <w:szCs w:val="24"/>
          <w:highlight w:val="none"/>
        </w:rPr>
        <w:t>以《招标流标现场转谈判邀请函》方式函告投标现场各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授权代表签字确认参加谈判。放弃谈判的视同自动放弃本项目的投标资格。竞争性谈判应当至少有两家及以上</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参加。如参加谈判的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少于两家，谈判做流标处理。</w:t>
      </w:r>
    </w:p>
    <w:p w14:paraId="2568C3FC">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28.3.1谈判时，若</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未能在评委会指定时间内（原则上不超过60分钟）提交符合要求的补充资料或未作出实质性响应的，投标无效。经过审查符合谈判要求的有效</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少于两家的，谈判做流标处理。</w:t>
      </w:r>
    </w:p>
    <w:p w14:paraId="6826E83C">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28.3.2投标文件的报价视为谈判时的首次报价，未唱标转谈判的，谈判时不公开</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各轮报价。已经唱标而转谈判的，谈判前公布各参与谈判的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首轮报价。</w:t>
      </w:r>
    </w:p>
    <w:p w14:paraId="5090767E">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28.3.3在谈判内容不作实质性变更及重大调整的前提下，</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次轮报价不得高于上一轮报价。</w:t>
      </w:r>
    </w:p>
    <w:p w14:paraId="357D856F">
      <w:pPr>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29</w:t>
      </w:r>
      <w:r>
        <w:rPr>
          <w:rFonts w:hint="eastAsia" w:ascii="宋体" w:hAnsi="宋体" w:eastAsia="宋体" w:cs="宋体"/>
          <w:b/>
          <w:sz w:val="24"/>
          <w:highlight w:val="none"/>
        </w:rPr>
        <w:t>.</w:t>
      </w:r>
      <w:r>
        <w:rPr>
          <w:rFonts w:hint="eastAsia" w:ascii="宋体" w:hAnsi="宋体" w:eastAsia="宋体" w:cs="宋体"/>
          <w:b/>
          <w:bCs/>
          <w:sz w:val="24"/>
          <w:highlight w:val="none"/>
        </w:rPr>
        <w:t>二次采购</w:t>
      </w:r>
    </w:p>
    <w:p w14:paraId="6477AAC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项目废标后，周口市公共资源交易中心政府采购中心可能发布二次公告（投标邀请），进行二次采购。</w:t>
      </w:r>
    </w:p>
    <w:p w14:paraId="12F44D2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前款所述“二次”，系指项目废标后的重新公告及采购，并不仅限于项目的第二次公告及采购。</w:t>
      </w:r>
    </w:p>
    <w:p w14:paraId="0F1B8174">
      <w:pPr>
        <w:pStyle w:val="5"/>
        <w:spacing w:line="360" w:lineRule="auto"/>
        <w:ind w:firstLine="2715" w:firstLineChars="966"/>
        <w:jc w:val="both"/>
        <w:rPr>
          <w:rFonts w:hint="eastAsia" w:ascii="宋体" w:hAnsi="宋体" w:eastAsia="宋体" w:cs="宋体"/>
          <w:sz w:val="28"/>
          <w:highlight w:val="none"/>
        </w:rPr>
      </w:pPr>
      <w:bookmarkStart w:id="120" w:name="_Toc32663"/>
      <w:bookmarkStart w:id="121" w:name="_Toc7660"/>
      <w:bookmarkStart w:id="122" w:name="_Toc527725927"/>
      <w:bookmarkStart w:id="123" w:name="_Toc20916"/>
      <w:bookmarkStart w:id="124" w:name="_Toc40975447"/>
      <w:bookmarkStart w:id="125" w:name="_Toc516969091"/>
      <w:r>
        <w:rPr>
          <w:rFonts w:hint="eastAsia" w:ascii="宋体" w:hAnsi="宋体" w:eastAsia="宋体" w:cs="宋体"/>
          <w:sz w:val="28"/>
          <w:highlight w:val="none"/>
        </w:rPr>
        <w:t>六．定标与签订合同</w:t>
      </w:r>
      <w:bookmarkEnd w:id="120"/>
      <w:bookmarkEnd w:id="121"/>
      <w:bookmarkEnd w:id="122"/>
      <w:bookmarkEnd w:id="123"/>
      <w:bookmarkEnd w:id="124"/>
      <w:bookmarkEnd w:id="125"/>
    </w:p>
    <w:p w14:paraId="1391E9B8">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30.定标</w:t>
      </w:r>
    </w:p>
    <w:p w14:paraId="69599F6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30.1 投标符合性审查后，评委会应当按招标文件规定的综合评分办法提出独立评审意见，推荐中标候选人。</w:t>
      </w:r>
    </w:p>
    <w:p w14:paraId="5D4D4B9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30.2采购人应当自收到评审报告之日起5个工作日内在评审报告推荐的中标或者成交候选人中按顺序确定中标或者成交供应商。</w:t>
      </w:r>
    </w:p>
    <w:p w14:paraId="7A54560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2A677C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78B849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30.4原则上把合同授予实质上响应招标文件要求的排名最前的中标候选人或通过上条资格审查的中标候选人。</w:t>
      </w:r>
    </w:p>
    <w:p w14:paraId="6F6B0B7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30.5 最低报价并不是中标的保证。</w:t>
      </w:r>
    </w:p>
    <w:p w14:paraId="0CF91CB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30.6凡发现中标候选人有下列行为之一的，其中标无效，并移交政府采购监督管理部门依法处理：</w:t>
      </w:r>
    </w:p>
    <w:p w14:paraId="1F14DD81">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 以他人名义投标、或提供虚假材料弄虚作假谋取中标的；</w:t>
      </w:r>
    </w:p>
    <w:p w14:paraId="36B46312">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30.6.1.1以他人名义投标，是指使用通过受让或者租借等方式获取的资格、资质证书投标。</w:t>
      </w:r>
    </w:p>
    <w:p w14:paraId="2DB89AA4">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30.6.1.2有</w:t>
      </w:r>
      <w:r>
        <w:rPr>
          <w:rFonts w:hint="eastAsia" w:ascii="宋体" w:hAnsi="宋体" w:cs="宋体"/>
          <w:sz w:val="24"/>
          <w:highlight w:val="none"/>
          <w:lang w:eastAsia="zh-CN"/>
        </w:rPr>
        <w:t>供应商</w:t>
      </w:r>
      <w:r>
        <w:rPr>
          <w:rFonts w:hint="eastAsia" w:ascii="宋体" w:hAnsi="宋体" w:eastAsia="宋体" w:cs="宋体"/>
          <w:sz w:val="24"/>
          <w:highlight w:val="none"/>
        </w:rPr>
        <w:t>有下列情形之一的，属于弄虚作假的行为：</w:t>
      </w:r>
    </w:p>
    <w:p w14:paraId="76FBB9B0">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30.6.1.2.1使用伪造、变造的许可证件；</w:t>
      </w:r>
    </w:p>
    <w:p w14:paraId="6B357871">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30.6.1.2.2提供虚假的财务状况或者业绩；</w:t>
      </w:r>
    </w:p>
    <w:p w14:paraId="675E26C0">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30.6.1.2.3提供虚假的项目负责人或者主要技术人员简历、劳动关系证明；</w:t>
      </w:r>
    </w:p>
    <w:p w14:paraId="7AAF1FEE">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30.6.1.2.4提供虚假的信用状况；</w:t>
      </w:r>
    </w:p>
    <w:p w14:paraId="4A609217">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30.6.1.2.5其他弄虚作假的行为。</w:t>
      </w:r>
    </w:p>
    <w:p w14:paraId="2E50B05F">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30.6.2与采购人、其他供应商或者采购代理机构名称工作人员恶意串通的；</w:t>
      </w:r>
    </w:p>
    <w:p w14:paraId="4521D3B4">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30.6.3向采购人、评审专家、采购代理机构工作人员行贿或者提供其他不正当利益的；</w:t>
      </w:r>
    </w:p>
    <w:p w14:paraId="6AC6A07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30.6.4有法律、法规规定的其他损害采购人利益和社会公共利益情形的；</w:t>
      </w:r>
    </w:p>
    <w:p w14:paraId="68C308F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30.6.5其他违反招投标法律、法规和规章强制性规定的行为。</w:t>
      </w:r>
    </w:p>
    <w:p w14:paraId="3600748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30.7周口市公共资源交易中心政府采购中心将在政府采购相关网站上发布评审结果公告。</w:t>
      </w:r>
    </w:p>
    <w:p w14:paraId="4E349151">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31.中标通知书</w:t>
      </w:r>
    </w:p>
    <w:p w14:paraId="6D0A937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372766B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31.2周口市公共资源交易中心政府采购中心对未中标的</w:t>
      </w:r>
      <w:r>
        <w:rPr>
          <w:rFonts w:hint="eastAsia" w:ascii="宋体" w:hAnsi="宋体" w:cs="宋体"/>
          <w:sz w:val="24"/>
          <w:highlight w:val="none"/>
          <w:lang w:eastAsia="zh-CN"/>
        </w:rPr>
        <w:t>供应商</w:t>
      </w:r>
      <w:r>
        <w:rPr>
          <w:rFonts w:hint="eastAsia" w:ascii="宋体" w:hAnsi="宋体" w:eastAsia="宋体" w:cs="宋体"/>
          <w:sz w:val="24"/>
          <w:highlight w:val="none"/>
        </w:rPr>
        <w:t>不做未中标原因的解释。</w:t>
      </w:r>
    </w:p>
    <w:p w14:paraId="0AC59C6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31.3评审结果确定后，中标人请及时到周口市公共资源交易中心政府采购中心领取中标通知书。</w:t>
      </w:r>
    </w:p>
    <w:p w14:paraId="13521B4E">
      <w:pPr>
        <w:spacing w:line="360" w:lineRule="auto"/>
        <w:ind w:firstLine="549"/>
        <w:rPr>
          <w:rFonts w:hint="eastAsia" w:ascii="宋体" w:hAnsi="宋体" w:eastAsia="宋体" w:cs="宋体"/>
          <w:sz w:val="24"/>
          <w:szCs w:val="22"/>
          <w:highlight w:val="none"/>
        </w:rPr>
      </w:pPr>
      <w:r>
        <w:rPr>
          <w:rFonts w:hint="eastAsia" w:ascii="宋体" w:hAnsi="宋体" w:eastAsia="宋体" w:cs="宋体"/>
          <w:sz w:val="24"/>
          <w:szCs w:val="22"/>
          <w:highlight w:val="none"/>
        </w:rPr>
        <w:t>32.中标服务费</w:t>
      </w:r>
    </w:p>
    <w:p w14:paraId="3438E124">
      <w:pPr>
        <w:spacing w:line="360" w:lineRule="auto"/>
        <w:rPr>
          <w:rFonts w:hint="eastAsia" w:ascii="宋体" w:hAnsi="宋体" w:eastAsia="宋体" w:cs="宋体"/>
          <w:bCs/>
          <w:sz w:val="24"/>
          <w:highlight w:val="none"/>
        </w:rPr>
      </w:pPr>
      <w:r>
        <w:rPr>
          <w:rFonts w:hint="eastAsia" w:ascii="宋体" w:hAnsi="宋体" w:eastAsia="宋体" w:cs="宋体"/>
          <w:b/>
          <w:sz w:val="24"/>
          <w:highlight w:val="none"/>
        </w:rPr>
        <w:t xml:space="preserve">    </w:t>
      </w:r>
      <w:r>
        <w:rPr>
          <w:rFonts w:hint="eastAsia" w:ascii="宋体" w:hAnsi="宋体" w:eastAsia="宋体" w:cs="宋体"/>
          <w:bCs/>
          <w:sz w:val="24"/>
          <w:highlight w:val="none"/>
        </w:rPr>
        <w:t>本项目免收中标服务费</w:t>
      </w:r>
    </w:p>
    <w:p w14:paraId="61755066">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33.履约保证金</w:t>
      </w:r>
    </w:p>
    <w:p w14:paraId="607F8986">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无</w:t>
      </w:r>
    </w:p>
    <w:p w14:paraId="3A2A33C0">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34.签订合同</w:t>
      </w:r>
    </w:p>
    <w:p w14:paraId="3994E885">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34.1</w:t>
      </w:r>
      <w:r>
        <w:rPr>
          <w:rFonts w:hint="eastAsia" w:ascii="宋体" w:hAnsi="宋体" w:cs="宋体"/>
          <w:sz w:val="24"/>
          <w:highlight w:val="none"/>
          <w:lang w:val="en-US" w:eastAsia="zh-CN"/>
        </w:rPr>
        <w:t>供应商需在投标文件中承诺若中标</w:t>
      </w:r>
      <w:r>
        <w:rPr>
          <w:rFonts w:hint="eastAsia" w:ascii="宋体" w:hAnsi="宋体" w:eastAsia="宋体" w:cs="宋体"/>
          <w:sz w:val="24"/>
          <w:highlight w:val="none"/>
        </w:rPr>
        <w:t>中标人应在中标通知书发出之日起七日历日内（具体时间、地点见中标通知书）与采购人签订合同。招标文件、中标人的投标文件及澄清文件等，均作为合同的附件。</w:t>
      </w:r>
    </w:p>
    <w:p w14:paraId="535CAFE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w:t>
      </w:r>
      <w:r>
        <w:rPr>
          <w:rFonts w:hint="eastAsia" w:ascii="宋体" w:hAnsi="宋体" w:cs="宋体"/>
          <w:sz w:val="24"/>
          <w:highlight w:val="none"/>
          <w:lang w:val="en-US" w:eastAsia="zh-CN"/>
        </w:rPr>
        <w:t>供应商需在投标文件中对此项做出承 诺。</w:t>
      </w:r>
      <w:r>
        <w:rPr>
          <w:rFonts w:hint="eastAsia" w:ascii="宋体" w:hAnsi="宋体" w:eastAsia="宋体" w:cs="宋体"/>
          <w:sz w:val="24"/>
          <w:highlight w:val="none"/>
        </w:rPr>
        <w:t>对任何因双方擅自变更合同引起的问题周口市公共资源交易中心政府采购中心概不负责，合同风险由双方自行承担。</w:t>
      </w:r>
    </w:p>
    <w:p w14:paraId="6CA1E2C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34.3采购人保留以书面形式要求合同的卖方对其所投服务的装运方式、交货地点及服务细则等作适当调整的权利。</w:t>
      </w:r>
    </w:p>
    <w:p w14:paraId="41C4C1C7">
      <w:pPr>
        <w:spacing w:line="360" w:lineRule="auto"/>
        <w:ind w:firstLine="549"/>
        <w:rPr>
          <w:rFonts w:hint="eastAsia" w:ascii="宋体" w:hAnsi="宋体" w:eastAsia="宋体" w:cs="宋体"/>
          <w:sz w:val="24"/>
          <w:highlight w:val="none"/>
        </w:rPr>
      </w:pPr>
      <w:r>
        <w:rPr>
          <w:rFonts w:hint="eastAsia" w:ascii="宋体" w:hAnsi="宋体" w:eastAsia="宋体" w:cs="宋体"/>
          <w:b/>
          <w:sz w:val="24"/>
          <w:highlight w:val="none"/>
        </w:rPr>
        <w:t>35.验收</w:t>
      </w:r>
    </w:p>
    <w:p w14:paraId="3FC67B0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由采购人自行组织对供应商的履约验收。</w:t>
      </w:r>
    </w:p>
    <w:p w14:paraId="40045E84">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36</w:t>
      </w:r>
      <w:r>
        <w:rPr>
          <w:rFonts w:hint="eastAsia" w:ascii="宋体" w:hAnsi="宋体" w:eastAsia="宋体" w:cs="宋体"/>
          <w:b/>
          <w:sz w:val="24"/>
          <w:highlight w:val="none"/>
        </w:rPr>
        <w:t>.</w:t>
      </w:r>
      <w:r>
        <w:rPr>
          <w:rFonts w:hint="eastAsia" w:ascii="宋体" w:hAnsi="宋体" w:eastAsia="宋体" w:cs="宋体"/>
          <w:b/>
          <w:bCs/>
          <w:sz w:val="24"/>
          <w:highlight w:val="none"/>
        </w:rPr>
        <w:t>质疑</w:t>
      </w:r>
    </w:p>
    <w:p w14:paraId="37C514F1">
      <w:pPr>
        <w:spacing w:line="360" w:lineRule="auto"/>
        <w:ind w:firstLine="523" w:firstLineChars="218"/>
        <w:rPr>
          <w:rFonts w:hint="eastAsia" w:ascii="宋体" w:hAnsi="宋体" w:eastAsia="宋体" w:cs="宋体"/>
          <w:bCs/>
          <w:sz w:val="24"/>
          <w:highlight w:val="none"/>
          <w:lang w:eastAsia="zh-CN"/>
        </w:rPr>
      </w:pPr>
      <w:r>
        <w:rPr>
          <w:rFonts w:hint="eastAsia" w:ascii="宋体" w:hAnsi="宋体" w:eastAsia="宋体" w:cs="宋体"/>
          <w:bCs/>
          <w:sz w:val="24"/>
          <w:highlight w:val="none"/>
        </w:rPr>
        <w:t>36.1</w:t>
      </w:r>
      <w:r>
        <w:rPr>
          <w:rFonts w:hint="eastAsia" w:ascii="宋体" w:hAnsi="宋体" w:cs="宋体"/>
          <w:bCs/>
          <w:sz w:val="24"/>
          <w:highlight w:val="none"/>
          <w:lang w:eastAsia="zh-CN"/>
        </w:rPr>
        <w:t>供应商</w:t>
      </w:r>
      <w:r>
        <w:rPr>
          <w:rFonts w:hint="eastAsia" w:ascii="宋体" w:hAnsi="宋体" w:cs="宋体"/>
          <w:bCs/>
          <w:sz w:val="24"/>
          <w:highlight w:val="none"/>
        </w:rPr>
        <w:t>认为采购过程、中标结果使自己的合法权益受到损害的，可以在知道或应当知道自己的权益受到损害之日起7个工作日内，由</w:t>
      </w:r>
      <w:r>
        <w:rPr>
          <w:rFonts w:hint="eastAsia" w:ascii="宋体" w:hAnsi="宋体" w:cs="宋体"/>
          <w:bCs/>
          <w:sz w:val="24"/>
          <w:highlight w:val="none"/>
          <w:lang w:eastAsia="zh-CN"/>
        </w:rPr>
        <w:t>供应商</w:t>
      </w:r>
      <w:r>
        <w:rPr>
          <w:rFonts w:hint="eastAsia" w:ascii="宋体" w:hAnsi="宋体" w:cs="宋体"/>
          <w:bCs/>
          <w:sz w:val="24"/>
          <w:highlight w:val="none"/>
        </w:rPr>
        <w:t>授权代表（或法人代表）</w:t>
      </w:r>
      <w:r>
        <w:rPr>
          <w:rFonts w:hint="eastAsia" w:ascii="宋体" w:hAnsi="宋体" w:cs="宋体"/>
          <w:bCs/>
          <w:sz w:val="24"/>
          <w:highlight w:val="none"/>
          <w:lang w:val="en-US" w:eastAsia="zh-CN"/>
        </w:rPr>
        <w:t>按照相关规定</w:t>
      </w:r>
      <w:r>
        <w:rPr>
          <w:rFonts w:hint="eastAsia" w:ascii="宋体" w:hAnsi="宋体" w:cs="宋体"/>
          <w:bCs/>
          <w:sz w:val="24"/>
          <w:highlight w:val="none"/>
        </w:rPr>
        <w:t>，向</w:t>
      </w:r>
      <w:r>
        <w:rPr>
          <w:rFonts w:hint="eastAsia" w:ascii="宋体" w:hAnsi="宋体" w:cs="宋体"/>
          <w:sz w:val="24"/>
          <w:highlight w:val="none"/>
        </w:rPr>
        <w:t>采购人</w:t>
      </w:r>
      <w:r>
        <w:rPr>
          <w:rFonts w:hint="eastAsia" w:ascii="宋体" w:hAnsi="宋体" w:cs="宋体"/>
          <w:bCs/>
          <w:sz w:val="24"/>
          <w:highlight w:val="none"/>
        </w:rPr>
        <w:t>提出质疑，逾期不予受理。</w:t>
      </w:r>
    </w:p>
    <w:p w14:paraId="06AA5A0A">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36.2质疑书内容应包括质疑的详细理由和依据，并提供有关证明资料。</w:t>
      </w:r>
    </w:p>
    <w:p w14:paraId="3BE47C04">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36.3 有以下情形之一的，视为无效质疑：</w:t>
      </w:r>
    </w:p>
    <w:p w14:paraId="15941E2B">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36.3.1 未按规定时间或规定手续提交质疑的；</w:t>
      </w:r>
    </w:p>
    <w:p w14:paraId="7948D8C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36.3.2 质疑内容含糊不清、没有提供详细理由和依据，无法进行核查的；</w:t>
      </w:r>
    </w:p>
    <w:p w14:paraId="097969F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36.3.3 其他不符合质疑程序和有关规定的。</w:t>
      </w:r>
    </w:p>
    <w:p w14:paraId="011AA69E">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被判定无效质疑的，采购人将书面回复投标单位其质疑无效的理由，并记录无效质疑一次。</w:t>
      </w:r>
    </w:p>
    <w:p w14:paraId="6C01C227">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36.4</w:t>
      </w:r>
      <w:r>
        <w:rPr>
          <w:rFonts w:hint="eastAsia" w:ascii="宋体" w:hAnsi="宋体" w:eastAsia="宋体" w:cs="宋体"/>
          <w:sz w:val="24"/>
          <w:highlight w:val="none"/>
        </w:rPr>
        <w:t>采购人</w:t>
      </w:r>
      <w:r>
        <w:rPr>
          <w:rFonts w:hint="eastAsia" w:ascii="宋体" w:hAnsi="宋体" w:eastAsia="宋体" w:cs="宋体"/>
          <w:bCs/>
          <w:sz w:val="24"/>
          <w:highlight w:val="none"/>
        </w:rPr>
        <w:t>将在受到书面质疑后7个工作日内审查质疑事项，作出答复或相关处理决定，并以书面形式通知质疑人，但答复的内容不涉及商业秘密。</w:t>
      </w:r>
    </w:p>
    <w:p w14:paraId="3A8E1928">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36.5</w:t>
      </w:r>
      <w:r>
        <w:rPr>
          <w:rFonts w:hint="eastAsia" w:ascii="宋体" w:hAnsi="宋体" w:eastAsia="宋体" w:cs="宋体"/>
          <w:bCs/>
          <w:sz w:val="24"/>
          <w:highlight w:val="none"/>
        </w:rPr>
        <w:t>投诉人有下列情形之一的，属于虚假、恶意投诉，</w:t>
      </w:r>
      <w:r>
        <w:rPr>
          <w:rFonts w:hint="eastAsia" w:ascii="宋体" w:hAnsi="宋体" w:eastAsia="宋体" w:cs="宋体"/>
          <w:sz w:val="24"/>
          <w:highlight w:val="none"/>
        </w:rPr>
        <w:t>政府采购监督管理部门</w:t>
      </w:r>
      <w:r>
        <w:rPr>
          <w:rFonts w:hint="eastAsia" w:ascii="宋体" w:hAnsi="宋体" w:eastAsia="宋体" w:cs="宋体"/>
          <w:bCs/>
          <w:sz w:val="24"/>
          <w:highlight w:val="none"/>
        </w:rPr>
        <w:t>将驳回投诉，将其列入不良行为记录名单，并依法予以处罚：</w:t>
      </w:r>
    </w:p>
    <w:p w14:paraId="399A2EEF">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36.5.1一年内三次以上投诉均查无实据的；</w:t>
      </w:r>
    </w:p>
    <w:p w14:paraId="54ACCCE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36.5.2捏造事实、提供虚假投诉材料或提供以非法手段取得的证明材料质疑的；</w:t>
      </w:r>
    </w:p>
    <w:p w14:paraId="1F3FCF6D">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36.5.3其他经认定属于虚假、恶意投诉的行为</w:t>
      </w:r>
      <w:r>
        <w:rPr>
          <w:rFonts w:hint="eastAsia" w:ascii="宋体" w:hAnsi="宋体" w:eastAsia="宋体" w:cs="宋体"/>
          <w:bCs/>
          <w:sz w:val="24"/>
          <w:highlight w:val="none"/>
        </w:rPr>
        <w:t>。</w:t>
      </w:r>
    </w:p>
    <w:p w14:paraId="0DFB4334">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37.未尽事宜</w:t>
      </w:r>
    </w:p>
    <w:p w14:paraId="240F474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37.1按《中华人民共和国政府采购法》及其他有关法律法规的规定执行。</w:t>
      </w:r>
    </w:p>
    <w:p w14:paraId="35CBD7AE">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rPr>
        <w:t>38.解释权</w:t>
      </w:r>
    </w:p>
    <w:p w14:paraId="0CB3AD54">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38.1本招标文件的解释权属于采购人。</w:t>
      </w:r>
    </w:p>
    <w:p w14:paraId="66F1D5D1">
      <w:pPr>
        <w:spacing w:line="360" w:lineRule="auto"/>
        <w:rPr>
          <w:rFonts w:hint="eastAsia" w:ascii="宋体" w:hAnsi="宋体" w:eastAsia="宋体" w:cs="宋体"/>
          <w:bCs/>
          <w:sz w:val="24"/>
          <w:highlight w:val="none"/>
        </w:rPr>
      </w:pPr>
    </w:p>
    <w:p w14:paraId="6B65E485">
      <w:pPr>
        <w:pStyle w:val="31"/>
        <w:spacing w:beforeLines="0" w:afterLines="0" w:line="460" w:lineRule="exact"/>
        <w:ind w:left="0" w:leftChars="0" w:firstLine="0" w:firstLineChars="0"/>
        <w:jc w:val="both"/>
        <w:rPr>
          <w:rFonts w:hint="eastAsia"/>
          <w:highlight w:val="none"/>
          <w:lang w:val="en-US" w:eastAsia="zh-CN"/>
        </w:rPr>
      </w:pPr>
    </w:p>
    <w:p w14:paraId="2154F209">
      <w:pPr>
        <w:pStyle w:val="31"/>
        <w:spacing w:beforeLines="0" w:afterLines="0" w:line="460" w:lineRule="exact"/>
        <w:ind w:left="0" w:leftChars="0" w:firstLine="0" w:firstLineChars="0"/>
        <w:jc w:val="both"/>
        <w:rPr>
          <w:rFonts w:hint="eastAsia"/>
          <w:highlight w:val="none"/>
          <w:lang w:val="en-US" w:eastAsia="zh-CN"/>
        </w:rPr>
      </w:pPr>
    </w:p>
    <w:p w14:paraId="5834A740">
      <w:pPr>
        <w:pStyle w:val="31"/>
        <w:spacing w:beforeLines="0" w:afterLines="0" w:line="460" w:lineRule="exact"/>
        <w:ind w:left="0" w:leftChars="0" w:firstLine="0" w:firstLineChars="0"/>
        <w:jc w:val="both"/>
        <w:rPr>
          <w:rFonts w:hint="eastAsia"/>
          <w:highlight w:val="none"/>
          <w:lang w:val="en-US" w:eastAsia="zh-CN"/>
        </w:rPr>
      </w:pPr>
    </w:p>
    <w:p w14:paraId="7FE3A068">
      <w:pPr>
        <w:pStyle w:val="31"/>
        <w:spacing w:beforeLines="0" w:afterLines="0" w:line="460" w:lineRule="exact"/>
        <w:ind w:left="0" w:leftChars="0" w:firstLine="0" w:firstLineChars="0"/>
        <w:jc w:val="both"/>
        <w:rPr>
          <w:rFonts w:hint="eastAsia"/>
          <w:highlight w:val="none"/>
          <w:lang w:val="en-US" w:eastAsia="zh-CN"/>
        </w:rPr>
      </w:pPr>
    </w:p>
    <w:p w14:paraId="6B504046">
      <w:pPr>
        <w:pStyle w:val="31"/>
        <w:spacing w:beforeLines="0" w:afterLines="0" w:line="460" w:lineRule="exact"/>
        <w:ind w:left="0" w:leftChars="0" w:firstLine="0" w:firstLineChars="0"/>
        <w:jc w:val="both"/>
        <w:rPr>
          <w:rFonts w:hint="eastAsia"/>
          <w:highlight w:val="none"/>
          <w:lang w:val="en-US" w:eastAsia="zh-CN"/>
        </w:rPr>
      </w:pPr>
    </w:p>
    <w:p w14:paraId="7E37B4ED">
      <w:pPr>
        <w:pStyle w:val="31"/>
        <w:spacing w:beforeLines="0" w:afterLines="0" w:line="460" w:lineRule="exact"/>
        <w:ind w:left="0" w:leftChars="0" w:firstLine="0" w:firstLineChars="0"/>
        <w:jc w:val="both"/>
        <w:rPr>
          <w:rFonts w:hint="eastAsia"/>
          <w:highlight w:val="none"/>
          <w:lang w:val="en-US" w:eastAsia="zh-CN"/>
        </w:rPr>
      </w:pPr>
    </w:p>
    <w:p w14:paraId="59574297">
      <w:pPr>
        <w:pStyle w:val="31"/>
        <w:spacing w:beforeLines="0" w:afterLines="0" w:line="460" w:lineRule="exact"/>
        <w:ind w:left="0" w:leftChars="0" w:firstLine="0" w:firstLineChars="0"/>
        <w:jc w:val="both"/>
        <w:rPr>
          <w:rFonts w:hint="eastAsia"/>
          <w:highlight w:val="none"/>
          <w:lang w:val="en-US" w:eastAsia="zh-CN"/>
        </w:rPr>
      </w:pPr>
    </w:p>
    <w:p w14:paraId="5E5C6098">
      <w:pPr>
        <w:pStyle w:val="31"/>
        <w:spacing w:beforeLines="0" w:afterLines="0" w:line="460" w:lineRule="exact"/>
        <w:ind w:left="0" w:leftChars="0" w:firstLine="0" w:firstLineChars="0"/>
        <w:jc w:val="both"/>
        <w:rPr>
          <w:rFonts w:hint="eastAsia"/>
          <w:highlight w:val="none"/>
          <w:lang w:val="en-US" w:eastAsia="zh-CN"/>
        </w:rPr>
      </w:pPr>
    </w:p>
    <w:p w14:paraId="4781F73E">
      <w:pPr>
        <w:pStyle w:val="31"/>
        <w:spacing w:beforeLines="0" w:afterLines="0" w:line="460" w:lineRule="exact"/>
        <w:ind w:left="0" w:leftChars="0" w:firstLine="0" w:firstLineChars="0"/>
        <w:jc w:val="both"/>
        <w:rPr>
          <w:rFonts w:hint="eastAsia"/>
          <w:highlight w:val="none"/>
          <w:lang w:val="en-US" w:eastAsia="zh-CN"/>
        </w:rPr>
        <w:sectPr>
          <w:pgSz w:w="11906" w:h="16838"/>
          <w:pgMar w:top="1389" w:right="1304" w:bottom="1440" w:left="1304" w:header="851" w:footer="992" w:gutter="0"/>
          <w:cols w:space="720" w:num="1"/>
          <w:docGrid w:linePitch="312" w:charSpace="0"/>
        </w:sectPr>
      </w:pPr>
    </w:p>
    <w:p w14:paraId="044A47E6">
      <w:pPr>
        <w:pStyle w:val="31"/>
        <w:spacing w:beforeLines="0" w:afterLines="0" w:line="460" w:lineRule="exact"/>
        <w:ind w:left="0" w:leftChars="0" w:firstLine="0" w:firstLineChars="0"/>
        <w:jc w:val="both"/>
        <w:rPr>
          <w:rFonts w:hint="eastAsia"/>
          <w:highlight w:val="none"/>
          <w:lang w:val="en-US" w:eastAsia="zh-CN"/>
        </w:rPr>
      </w:pPr>
    </w:p>
    <w:p w14:paraId="79ACEAAB">
      <w:pPr>
        <w:pStyle w:val="4"/>
        <w:spacing w:before="0" w:after="0" w:line="500" w:lineRule="exact"/>
        <w:ind w:firstLine="0"/>
        <w:jc w:val="center"/>
        <w:rPr>
          <w:rFonts w:hint="eastAsia" w:ascii="宋体" w:hAnsi="宋体" w:eastAsia="宋体" w:cs="宋体"/>
          <w:w w:val="92"/>
          <w:highlight w:val="none"/>
          <w:lang w:val="en-US"/>
        </w:rPr>
      </w:pPr>
      <w:bookmarkStart w:id="126" w:name="_Toc17699_WPSOffice_Level1"/>
      <w:r>
        <w:rPr>
          <w:rFonts w:hint="eastAsia" w:ascii="宋体" w:hAnsi="宋体" w:eastAsia="宋体" w:cs="宋体"/>
          <w:bCs/>
          <w:caps/>
          <w:smallCaps/>
          <w:sz w:val="32"/>
          <w:szCs w:val="32"/>
          <w:highlight w:val="none"/>
          <w:lang w:val="en-US"/>
        </w:rPr>
        <w:t>第六章</w:t>
      </w:r>
    </w:p>
    <w:p w14:paraId="1C5AEFF4">
      <w:pPr>
        <w:pStyle w:val="4"/>
        <w:spacing w:before="0" w:after="0" w:line="500" w:lineRule="exact"/>
        <w:ind w:firstLine="0"/>
        <w:rPr>
          <w:rFonts w:hint="eastAsia" w:ascii="宋体" w:hAnsi="宋体" w:eastAsia="宋体" w:cs="宋体"/>
          <w:b w:val="0"/>
          <w:sz w:val="32"/>
          <w:szCs w:val="32"/>
          <w:highlight w:val="none"/>
          <w:lang w:val="en-US"/>
        </w:rPr>
      </w:pPr>
      <w:r>
        <w:rPr>
          <w:rFonts w:hint="eastAsia" w:ascii="宋体" w:hAnsi="宋体" w:eastAsia="宋体" w:cs="宋体"/>
          <w:b w:val="0"/>
          <w:w w:val="92"/>
          <w:sz w:val="32"/>
          <w:szCs w:val="32"/>
          <w:highlight w:val="none"/>
          <w:lang w:val="en-US"/>
        </w:rPr>
        <w:t>周口市</w:t>
      </w:r>
      <w:r>
        <w:rPr>
          <w:rFonts w:hint="eastAsia" w:ascii="宋体" w:hAnsi="宋体" w:eastAsia="宋体" w:cs="宋体"/>
          <w:b w:val="0"/>
          <w:sz w:val="32"/>
          <w:szCs w:val="32"/>
          <w:highlight w:val="none"/>
          <w:lang w:val="en-US"/>
        </w:rPr>
        <w:t>政府采购合同（服务类）标准文本</w:t>
      </w:r>
    </w:p>
    <w:p w14:paraId="16665238">
      <w:pPr>
        <w:ind w:firstLine="640" w:firstLineChars="200"/>
        <w:jc w:val="both"/>
        <w:rPr>
          <w:rFonts w:hint="eastAsia" w:ascii="宋体" w:hAnsi="宋体" w:eastAsia="宋体" w:cs="宋体"/>
          <w:sz w:val="32"/>
          <w:szCs w:val="32"/>
          <w:highlight w:val="none"/>
          <w:lang w:val="en-US"/>
        </w:rPr>
      </w:pPr>
    </w:p>
    <w:p w14:paraId="3FC03859">
      <w:pPr>
        <w:pStyle w:val="31"/>
        <w:spacing w:beforeLines="0" w:afterLines="0"/>
        <w:ind w:left="0" w:firstLine="640" w:firstLineChars="200"/>
        <w:jc w:val="both"/>
        <w:rPr>
          <w:rFonts w:hint="eastAsia" w:ascii="宋体" w:hAnsi="宋体" w:eastAsia="宋体" w:cs="宋体"/>
          <w:sz w:val="32"/>
          <w:szCs w:val="32"/>
          <w:highlight w:val="none"/>
          <w:lang w:val="en-US"/>
        </w:rPr>
      </w:pPr>
    </w:p>
    <w:p w14:paraId="4FF102FA">
      <w:pPr>
        <w:pStyle w:val="31"/>
        <w:spacing w:beforeLines="0" w:afterLines="0"/>
        <w:ind w:left="0" w:firstLine="640" w:firstLineChars="200"/>
        <w:jc w:val="both"/>
        <w:rPr>
          <w:rFonts w:hint="eastAsia" w:ascii="宋体" w:hAnsi="宋体" w:eastAsia="宋体" w:cs="宋体"/>
          <w:sz w:val="32"/>
          <w:szCs w:val="32"/>
          <w:highlight w:val="none"/>
          <w:lang w:val="en-US"/>
        </w:rPr>
      </w:pPr>
    </w:p>
    <w:p w14:paraId="6678DBF7">
      <w:pPr>
        <w:pStyle w:val="31"/>
        <w:spacing w:beforeLines="0" w:afterLines="0"/>
        <w:ind w:left="0" w:firstLine="600" w:firstLineChars="200"/>
        <w:jc w:val="both"/>
        <w:rPr>
          <w:rFonts w:hint="eastAsia" w:ascii="宋体" w:hAnsi="宋体" w:eastAsia="宋体" w:cs="宋体"/>
          <w:sz w:val="30"/>
          <w:szCs w:val="30"/>
          <w:highlight w:val="none"/>
          <w:lang w:val="en-US"/>
        </w:rPr>
      </w:pPr>
    </w:p>
    <w:p w14:paraId="54BA417B">
      <w:pPr>
        <w:pStyle w:val="31"/>
        <w:spacing w:beforeLines="0" w:afterLines="0"/>
        <w:ind w:left="0" w:firstLine="600" w:firstLineChars="200"/>
        <w:jc w:val="both"/>
        <w:rPr>
          <w:rFonts w:hint="eastAsia" w:ascii="宋体" w:hAnsi="宋体" w:eastAsia="宋体" w:cs="宋体"/>
          <w:sz w:val="30"/>
          <w:szCs w:val="30"/>
          <w:highlight w:val="none"/>
          <w:lang w:val="en-US"/>
        </w:rPr>
      </w:pPr>
    </w:p>
    <w:p w14:paraId="429CADD8">
      <w:pPr>
        <w:pStyle w:val="31"/>
        <w:spacing w:beforeLines="0" w:afterLines="0"/>
        <w:ind w:left="0" w:firstLine="600" w:firstLineChars="200"/>
        <w:jc w:val="both"/>
        <w:rPr>
          <w:rFonts w:hint="eastAsia" w:ascii="宋体" w:hAnsi="宋体" w:eastAsia="宋体" w:cs="宋体"/>
          <w:sz w:val="30"/>
          <w:szCs w:val="30"/>
          <w:highlight w:val="none"/>
          <w:lang w:val="en-US"/>
        </w:rPr>
      </w:pPr>
    </w:p>
    <w:p w14:paraId="28BF918A">
      <w:pPr>
        <w:pStyle w:val="31"/>
        <w:spacing w:beforeLines="0" w:afterLines="0"/>
        <w:ind w:left="0" w:firstLine="600" w:firstLineChars="200"/>
        <w:jc w:val="both"/>
        <w:rPr>
          <w:rFonts w:hint="eastAsia" w:ascii="宋体" w:hAnsi="宋体" w:eastAsia="宋体" w:cs="宋体"/>
          <w:sz w:val="30"/>
          <w:szCs w:val="30"/>
          <w:highlight w:val="none"/>
          <w:lang w:val="en-US"/>
        </w:rPr>
      </w:pPr>
    </w:p>
    <w:p w14:paraId="173AE2AF">
      <w:pPr>
        <w:pStyle w:val="31"/>
        <w:spacing w:beforeLines="0" w:afterLines="0"/>
        <w:ind w:left="0" w:firstLine="600" w:firstLineChars="200"/>
        <w:jc w:val="both"/>
        <w:rPr>
          <w:rFonts w:hint="eastAsia" w:ascii="宋体" w:hAnsi="宋体" w:eastAsia="宋体" w:cs="宋体"/>
          <w:sz w:val="30"/>
          <w:szCs w:val="30"/>
          <w:highlight w:val="none"/>
          <w:lang w:val="en-US"/>
        </w:rPr>
      </w:pPr>
    </w:p>
    <w:p w14:paraId="3308D787">
      <w:pPr>
        <w:pStyle w:val="31"/>
        <w:spacing w:beforeLines="0" w:afterLines="0"/>
        <w:ind w:left="0" w:firstLine="600" w:firstLineChars="200"/>
        <w:jc w:val="both"/>
        <w:rPr>
          <w:rFonts w:hint="eastAsia" w:ascii="宋体" w:hAnsi="宋体" w:eastAsia="宋体" w:cs="宋体"/>
          <w:sz w:val="30"/>
          <w:szCs w:val="30"/>
          <w:highlight w:val="none"/>
          <w:lang w:val="en-US"/>
        </w:rPr>
      </w:pPr>
    </w:p>
    <w:p w14:paraId="190357AC">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7D315238">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10AF6B6">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4B6B11FB">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86709C">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3F9293F7">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0F1FF81">
      <w:pPr>
        <w:pStyle w:val="31"/>
        <w:spacing w:beforeLines="0" w:afterLines="0"/>
        <w:ind w:left="0" w:firstLine="600" w:firstLineChars="200"/>
        <w:jc w:val="both"/>
        <w:rPr>
          <w:rFonts w:hint="eastAsia" w:ascii="宋体" w:hAnsi="宋体" w:eastAsia="宋体" w:cs="宋体"/>
          <w:sz w:val="30"/>
          <w:szCs w:val="30"/>
          <w:highlight w:val="none"/>
          <w:lang w:val="en-US"/>
        </w:rPr>
      </w:pPr>
    </w:p>
    <w:p w14:paraId="1C9F3CFD">
      <w:pPr>
        <w:pStyle w:val="31"/>
        <w:spacing w:beforeLines="0" w:afterLines="0"/>
        <w:ind w:left="0" w:firstLine="600" w:firstLineChars="200"/>
        <w:jc w:val="both"/>
        <w:rPr>
          <w:rFonts w:hint="eastAsia" w:ascii="宋体" w:hAnsi="宋体" w:eastAsia="宋体" w:cs="宋体"/>
          <w:sz w:val="30"/>
          <w:szCs w:val="30"/>
          <w:highlight w:val="none"/>
          <w:lang w:val="en-US"/>
        </w:rPr>
      </w:pPr>
    </w:p>
    <w:p w14:paraId="5E58FA8A">
      <w:pPr>
        <w:pStyle w:val="31"/>
        <w:spacing w:beforeLines="0" w:afterLines="0"/>
        <w:ind w:left="0" w:firstLine="600" w:firstLineChars="200"/>
        <w:jc w:val="both"/>
        <w:rPr>
          <w:rFonts w:hint="eastAsia" w:ascii="宋体" w:hAnsi="宋体" w:eastAsia="宋体" w:cs="宋体"/>
          <w:sz w:val="30"/>
          <w:szCs w:val="30"/>
          <w:highlight w:val="none"/>
          <w:lang w:val="en-US"/>
        </w:rPr>
      </w:pPr>
    </w:p>
    <w:p w14:paraId="662E5821">
      <w:pPr>
        <w:pStyle w:val="31"/>
        <w:spacing w:beforeLines="0" w:afterLines="0"/>
        <w:ind w:left="0" w:firstLine="600" w:firstLineChars="200"/>
        <w:jc w:val="both"/>
        <w:rPr>
          <w:rFonts w:hint="eastAsia" w:ascii="宋体" w:hAnsi="宋体" w:eastAsia="宋体" w:cs="宋体"/>
          <w:sz w:val="30"/>
          <w:szCs w:val="30"/>
          <w:highlight w:val="none"/>
          <w:lang w:val="en-US"/>
        </w:rPr>
      </w:pPr>
    </w:p>
    <w:p w14:paraId="2C7B10ED">
      <w:pPr>
        <w:pStyle w:val="31"/>
        <w:spacing w:beforeLines="0" w:afterLines="0"/>
        <w:ind w:left="0" w:firstLine="600" w:firstLineChars="200"/>
        <w:jc w:val="both"/>
        <w:rPr>
          <w:rFonts w:hint="eastAsia" w:ascii="宋体" w:hAnsi="宋体" w:eastAsia="宋体" w:cs="宋体"/>
          <w:sz w:val="30"/>
          <w:szCs w:val="30"/>
          <w:highlight w:val="none"/>
          <w:lang w:val="en-US"/>
        </w:rPr>
      </w:pPr>
    </w:p>
    <w:p w14:paraId="76793ED2">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5A208BB2">
      <w:pPr>
        <w:pStyle w:val="31"/>
        <w:spacing w:beforeLines="0" w:afterLines="0" w:line="440" w:lineRule="exact"/>
        <w:ind w:left="0"/>
        <w:jc w:val="both"/>
        <w:rPr>
          <w:rFonts w:hint="eastAsia" w:ascii="宋体" w:hAnsi="宋体" w:eastAsia="宋体" w:cs="宋体"/>
          <w:sz w:val="30"/>
          <w:szCs w:val="30"/>
          <w:highlight w:val="none"/>
        </w:rPr>
      </w:pPr>
    </w:p>
    <w:p w14:paraId="764D9971">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48E04BF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11B8DC2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4B065335">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276D18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304B80A6">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546FDF5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884D21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7CE17360">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197392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4D2F3B3">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0AF3F399">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EAB350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C206959">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E7B9800">
      <w:pPr>
        <w:pStyle w:val="31"/>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58AB3655">
      <w:pPr>
        <w:pStyle w:val="31"/>
        <w:spacing w:beforeLines="0" w:afterLines="0" w:line="440" w:lineRule="exact"/>
        <w:ind w:left="0"/>
        <w:jc w:val="center"/>
        <w:rPr>
          <w:rFonts w:hint="eastAsia" w:ascii="宋体" w:hAnsi="宋体" w:eastAsia="宋体" w:cs="宋体"/>
          <w:bCs/>
          <w:sz w:val="32"/>
          <w:szCs w:val="32"/>
          <w:highlight w:val="none"/>
        </w:rPr>
      </w:pPr>
    </w:p>
    <w:p w14:paraId="419F7101">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1484BDC">
      <w:pPr>
        <w:pStyle w:val="3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0BCF783A">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lang w:val="en-US" w:eastAsia="zh-CN"/>
        </w:rPr>
        <w:t>投标人需在投标文件中书面声明</w:t>
      </w:r>
      <w:r>
        <w:rPr>
          <w:rFonts w:hint="eastAsia" w:ascii="宋体" w:hAnsi="宋体" w:eastAsia="宋体" w:cs="宋体"/>
          <w:sz w:val="21"/>
          <w:szCs w:val="21"/>
          <w:highlight w:val="none"/>
          <w:lang w:val="en-US"/>
        </w:rPr>
        <w:t>不得以次充优，随意降低服务标准和水平</w:t>
      </w:r>
      <w:r>
        <w:rPr>
          <w:rFonts w:hint="eastAsia" w:ascii="宋体" w:hAnsi="宋体" w:eastAsia="宋体" w:cs="宋体"/>
          <w:sz w:val="21"/>
          <w:szCs w:val="21"/>
          <w:highlight w:val="none"/>
        </w:rPr>
        <w:t>；</w:t>
      </w:r>
    </w:p>
    <w:p w14:paraId="632489EF">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4965FF25">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60490EDE">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75E9B875">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5F3C17D2">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F59AB1B">
      <w:pPr>
        <w:bidi w:val="0"/>
        <w:rPr>
          <w:rFonts w:hint="eastAsia"/>
          <w:highlight w:val="none"/>
        </w:rPr>
      </w:pPr>
    </w:p>
    <w:p w14:paraId="0412ACE8">
      <w:pPr>
        <w:pStyle w:val="25"/>
        <w:rPr>
          <w:rFonts w:hint="eastAsia"/>
          <w:highlight w:val="none"/>
        </w:rPr>
      </w:pPr>
    </w:p>
    <w:p w14:paraId="4E6E14EC">
      <w:pPr>
        <w:rPr>
          <w:rFonts w:hint="eastAsia" w:ascii="宋体" w:hAnsi="宋体" w:eastAsia="宋体" w:cs="宋体"/>
          <w:b w:val="0"/>
          <w:bCs w:val="0"/>
          <w:sz w:val="21"/>
          <w:szCs w:val="21"/>
          <w:highlight w:val="none"/>
        </w:rPr>
      </w:pPr>
    </w:p>
    <w:p w14:paraId="07CCCC95">
      <w:pPr>
        <w:pStyle w:val="25"/>
        <w:rPr>
          <w:rFonts w:hint="eastAsia" w:ascii="宋体" w:hAnsi="宋体" w:eastAsia="宋体" w:cs="宋体"/>
          <w:b w:val="0"/>
          <w:bCs w:val="0"/>
          <w:sz w:val="21"/>
          <w:szCs w:val="21"/>
          <w:highlight w:val="none"/>
        </w:rPr>
      </w:pPr>
    </w:p>
    <w:p w14:paraId="4E87D718">
      <w:pPr>
        <w:pStyle w:val="6"/>
        <w:rPr>
          <w:rFonts w:hint="eastAsia" w:ascii="宋体" w:hAnsi="宋体" w:eastAsia="宋体" w:cs="宋体"/>
          <w:b w:val="0"/>
          <w:bCs w:val="0"/>
          <w:sz w:val="21"/>
          <w:szCs w:val="21"/>
          <w:highlight w:val="none"/>
        </w:rPr>
      </w:pPr>
    </w:p>
    <w:p w14:paraId="31C17F95">
      <w:pPr>
        <w:rPr>
          <w:rFonts w:hint="eastAsia" w:ascii="宋体" w:hAnsi="宋体" w:eastAsia="宋体" w:cs="宋体"/>
          <w:b w:val="0"/>
          <w:bCs w:val="0"/>
          <w:sz w:val="21"/>
          <w:szCs w:val="21"/>
          <w:highlight w:val="none"/>
        </w:rPr>
      </w:pPr>
    </w:p>
    <w:p w14:paraId="3EB5FAD0">
      <w:pPr>
        <w:pStyle w:val="25"/>
        <w:rPr>
          <w:rFonts w:hint="eastAsia" w:ascii="宋体" w:hAnsi="宋体" w:eastAsia="宋体" w:cs="宋体"/>
          <w:b w:val="0"/>
          <w:bCs w:val="0"/>
          <w:sz w:val="21"/>
          <w:szCs w:val="21"/>
          <w:highlight w:val="none"/>
        </w:rPr>
      </w:pPr>
    </w:p>
    <w:p w14:paraId="00502AD3">
      <w:pPr>
        <w:pStyle w:val="6"/>
        <w:rPr>
          <w:rFonts w:hint="eastAsia" w:ascii="宋体" w:hAnsi="宋体" w:eastAsia="宋体" w:cs="宋体"/>
          <w:b w:val="0"/>
          <w:bCs w:val="0"/>
          <w:sz w:val="21"/>
          <w:szCs w:val="21"/>
          <w:highlight w:val="none"/>
        </w:rPr>
      </w:pPr>
    </w:p>
    <w:p w14:paraId="650151D2">
      <w:pPr>
        <w:rPr>
          <w:rFonts w:hint="eastAsia" w:ascii="宋体" w:hAnsi="宋体" w:eastAsia="宋体" w:cs="宋体"/>
          <w:b w:val="0"/>
          <w:bCs w:val="0"/>
          <w:sz w:val="21"/>
          <w:szCs w:val="21"/>
          <w:highlight w:val="none"/>
        </w:rPr>
      </w:pPr>
    </w:p>
    <w:p w14:paraId="4C0E3B10">
      <w:pPr>
        <w:pStyle w:val="25"/>
        <w:rPr>
          <w:rFonts w:hint="eastAsia" w:ascii="宋体" w:hAnsi="宋体" w:eastAsia="宋体" w:cs="宋体"/>
          <w:b w:val="0"/>
          <w:bCs w:val="0"/>
          <w:sz w:val="21"/>
          <w:szCs w:val="21"/>
          <w:highlight w:val="none"/>
        </w:rPr>
      </w:pPr>
    </w:p>
    <w:p w14:paraId="2BEACF36">
      <w:pPr>
        <w:pStyle w:val="6"/>
        <w:rPr>
          <w:rFonts w:hint="eastAsia" w:ascii="宋体" w:hAnsi="宋体" w:eastAsia="宋体" w:cs="宋体"/>
          <w:b w:val="0"/>
          <w:bCs w:val="0"/>
          <w:sz w:val="21"/>
          <w:szCs w:val="21"/>
          <w:highlight w:val="none"/>
        </w:rPr>
      </w:pPr>
    </w:p>
    <w:p w14:paraId="7E36B5A9">
      <w:pPr>
        <w:rPr>
          <w:rFonts w:hint="eastAsia" w:ascii="宋体" w:hAnsi="宋体" w:eastAsia="宋体" w:cs="宋体"/>
          <w:b w:val="0"/>
          <w:bCs w:val="0"/>
          <w:sz w:val="21"/>
          <w:szCs w:val="21"/>
          <w:highlight w:val="none"/>
        </w:rPr>
      </w:pPr>
    </w:p>
    <w:p w14:paraId="1625ED78">
      <w:pPr>
        <w:pStyle w:val="25"/>
        <w:rPr>
          <w:rFonts w:hint="eastAsia" w:ascii="宋体" w:hAnsi="宋体" w:eastAsia="宋体" w:cs="宋体"/>
          <w:b w:val="0"/>
          <w:bCs w:val="0"/>
          <w:sz w:val="21"/>
          <w:szCs w:val="21"/>
          <w:highlight w:val="none"/>
        </w:rPr>
      </w:pPr>
    </w:p>
    <w:p w14:paraId="23A13323">
      <w:pPr>
        <w:pStyle w:val="6"/>
        <w:rPr>
          <w:rFonts w:hint="eastAsia" w:ascii="宋体" w:hAnsi="宋体" w:eastAsia="宋体" w:cs="宋体"/>
          <w:b w:val="0"/>
          <w:bCs w:val="0"/>
          <w:sz w:val="21"/>
          <w:szCs w:val="21"/>
          <w:highlight w:val="none"/>
        </w:rPr>
      </w:pPr>
    </w:p>
    <w:p w14:paraId="7B582B9E">
      <w:pPr>
        <w:rPr>
          <w:rFonts w:hint="eastAsia" w:ascii="宋体" w:hAnsi="宋体" w:eastAsia="宋体" w:cs="宋体"/>
          <w:b w:val="0"/>
          <w:bCs w:val="0"/>
          <w:sz w:val="21"/>
          <w:szCs w:val="21"/>
          <w:highlight w:val="none"/>
        </w:rPr>
      </w:pPr>
    </w:p>
    <w:p w14:paraId="5AF5F610">
      <w:pPr>
        <w:pStyle w:val="25"/>
        <w:rPr>
          <w:rFonts w:hint="eastAsia" w:ascii="宋体" w:hAnsi="宋体" w:eastAsia="宋体" w:cs="宋体"/>
          <w:b w:val="0"/>
          <w:bCs w:val="0"/>
          <w:sz w:val="21"/>
          <w:szCs w:val="21"/>
          <w:highlight w:val="none"/>
        </w:rPr>
      </w:pPr>
    </w:p>
    <w:p w14:paraId="44DDC220">
      <w:pPr>
        <w:pStyle w:val="6"/>
        <w:rPr>
          <w:rFonts w:hint="eastAsia" w:ascii="宋体" w:hAnsi="宋体" w:eastAsia="宋体" w:cs="宋体"/>
          <w:b w:val="0"/>
          <w:bCs w:val="0"/>
          <w:sz w:val="21"/>
          <w:szCs w:val="21"/>
          <w:highlight w:val="none"/>
        </w:rPr>
      </w:pPr>
    </w:p>
    <w:p w14:paraId="7177F91F">
      <w:pPr>
        <w:rPr>
          <w:rFonts w:hint="eastAsia" w:ascii="宋体" w:hAnsi="宋体" w:eastAsia="宋体" w:cs="宋体"/>
          <w:b w:val="0"/>
          <w:bCs w:val="0"/>
          <w:sz w:val="21"/>
          <w:szCs w:val="21"/>
          <w:highlight w:val="none"/>
        </w:rPr>
      </w:pPr>
    </w:p>
    <w:p w14:paraId="3B62CA7F">
      <w:pPr>
        <w:pStyle w:val="25"/>
        <w:rPr>
          <w:rFonts w:hint="eastAsia" w:ascii="宋体" w:hAnsi="宋体" w:eastAsia="宋体" w:cs="宋体"/>
          <w:b w:val="0"/>
          <w:bCs w:val="0"/>
          <w:sz w:val="21"/>
          <w:szCs w:val="21"/>
          <w:highlight w:val="none"/>
        </w:rPr>
      </w:pPr>
    </w:p>
    <w:p w14:paraId="75A83EBC">
      <w:pPr>
        <w:pStyle w:val="6"/>
        <w:rPr>
          <w:rFonts w:hint="eastAsia" w:ascii="宋体" w:hAnsi="宋体" w:eastAsia="宋体" w:cs="宋体"/>
          <w:b w:val="0"/>
          <w:bCs w:val="0"/>
          <w:sz w:val="21"/>
          <w:szCs w:val="21"/>
          <w:highlight w:val="none"/>
        </w:rPr>
      </w:pPr>
    </w:p>
    <w:p w14:paraId="664542A1">
      <w:pPr>
        <w:rPr>
          <w:rFonts w:hint="eastAsia" w:ascii="宋体" w:hAnsi="宋体" w:eastAsia="宋体" w:cs="宋体"/>
          <w:b w:val="0"/>
          <w:bCs w:val="0"/>
          <w:sz w:val="21"/>
          <w:szCs w:val="21"/>
          <w:highlight w:val="none"/>
        </w:rPr>
      </w:pPr>
    </w:p>
    <w:p w14:paraId="0847AEC8">
      <w:pPr>
        <w:pStyle w:val="25"/>
        <w:rPr>
          <w:rFonts w:hint="eastAsia" w:ascii="宋体" w:hAnsi="宋体" w:eastAsia="宋体" w:cs="宋体"/>
          <w:b w:val="0"/>
          <w:bCs w:val="0"/>
          <w:sz w:val="21"/>
          <w:szCs w:val="21"/>
          <w:highlight w:val="none"/>
        </w:rPr>
      </w:pPr>
    </w:p>
    <w:p w14:paraId="30C7E401">
      <w:pPr>
        <w:pStyle w:val="6"/>
        <w:rPr>
          <w:rFonts w:hint="eastAsia" w:ascii="宋体" w:hAnsi="宋体" w:eastAsia="宋体" w:cs="宋体"/>
          <w:b w:val="0"/>
          <w:bCs w:val="0"/>
          <w:sz w:val="21"/>
          <w:szCs w:val="21"/>
          <w:highlight w:val="none"/>
        </w:rPr>
      </w:pPr>
    </w:p>
    <w:p w14:paraId="302B5687">
      <w:pPr>
        <w:rPr>
          <w:rFonts w:hint="eastAsia" w:ascii="宋体" w:hAnsi="宋体" w:eastAsia="宋体" w:cs="宋体"/>
          <w:b w:val="0"/>
          <w:bCs w:val="0"/>
          <w:sz w:val="21"/>
          <w:szCs w:val="21"/>
          <w:highlight w:val="none"/>
        </w:rPr>
      </w:pPr>
    </w:p>
    <w:p w14:paraId="5CD153D5">
      <w:pPr>
        <w:pStyle w:val="25"/>
        <w:rPr>
          <w:rFonts w:hint="eastAsia" w:ascii="宋体" w:hAnsi="宋体" w:eastAsia="宋体" w:cs="宋体"/>
          <w:b w:val="0"/>
          <w:bCs w:val="0"/>
          <w:sz w:val="21"/>
          <w:szCs w:val="21"/>
          <w:highlight w:val="none"/>
        </w:rPr>
      </w:pPr>
    </w:p>
    <w:p w14:paraId="237C4B2F">
      <w:pPr>
        <w:pStyle w:val="6"/>
        <w:rPr>
          <w:rFonts w:hint="eastAsia" w:ascii="宋体" w:hAnsi="宋体" w:eastAsia="宋体" w:cs="宋体"/>
          <w:b w:val="0"/>
          <w:bCs w:val="0"/>
          <w:sz w:val="21"/>
          <w:szCs w:val="21"/>
          <w:highlight w:val="none"/>
        </w:rPr>
      </w:pPr>
    </w:p>
    <w:p w14:paraId="28DDEC15">
      <w:pPr>
        <w:rPr>
          <w:rFonts w:hint="eastAsia" w:ascii="宋体" w:hAnsi="宋体" w:eastAsia="宋体" w:cs="宋体"/>
          <w:b w:val="0"/>
          <w:bCs w:val="0"/>
          <w:sz w:val="21"/>
          <w:szCs w:val="21"/>
          <w:highlight w:val="none"/>
        </w:rPr>
      </w:pPr>
    </w:p>
    <w:p w14:paraId="2C83B219">
      <w:pPr>
        <w:pStyle w:val="25"/>
        <w:rPr>
          <w:rFonts w:hint="eastAsia" w:ascii="宋体" w:hAnsi="宋体" w:eastAsia="宋体" w:cs="宋体"/>
          <w:b w:val="0"/>
          <w:bCs w:val="0"/>
          <w:sz w:val="21"/>
          <w:szCs w:val="21"/>
          <w:highlight w:val="none"/>
        </w:rPr>
      </w:pPr>
    </w:p>
    <w:p w14:paraId="0258159A">
      <w:pPr>
        <w:pStyle w:val="6"/>
        <w:rPr>
          <w:rFonts w:hint="eastAsia" w:ascii="宋体" w:hAnsi="宋体" w:eastAsia="宋体" w:cs="宋体"/>
          <w:b w:val="0"/>
          <w:bCs w:val="0"/>
          <w:sz w:val="21"/>
          <w:szCs w:val="21"/>
          <w:highlight w:val="none"/>
        </w:rPr>
      </w:pPr>
    </w:p>
    <w:p w14:paraId="1CD6C8E0">
      <w:pPr>
        <w:rPr>
          <w:rFonts w:hint="eastAsia" w:ascii="宋体" w:hAnsi="宋体" w:eastAsia="宋体" w:cs="宋体"/>
          <w:b w:val="0"/>
          <w:bCs w:val="0"/>
          <w:sz w:val="21"/>
          <w:szCs w:val="21"/>
          <w:highlight w:val="none"/>
        </w:rPr>
      </w:pPr>
    </w:p>
    <w:p w14:paraId="1A66C6F1">
      <w:pPr>
        <w:pStyle w:val="25"/>
        <w:rPr>
          <w:rFonts w:hint="eastAsia" w:ascii="宋体" w:hAnsi="宋体" w:eastAsia="宋体" w:cs="宋体"/>
          <w:b w:val="0"/>
          <w:bCs w:val="0"/>
          <w:sz w:val="21"/>
          <w:szCs w:val="21"/>
          <w:highlight w:val="none"/>
        </w:rPr>
      </w:pPr>
    </w:p>
    <w:p w14:paraId="1478B7B4">
      <w:pPr>
        <w:pStyle w:val="6"/>
        <w:rPr>
          <w:rFonts w:hint="eastAsia" w:ascii="宋体" w:hAnsi="宋体" w:eastAsia="宋体" w:cs="宋体"/>
          <w:b w:val="0"/>
          <w:bCs w:val="0"/>
          <w:sz w:val="21"/>
          <w:szCs w:val="21"/>
          <w:highlight w:val="none"/>
        </w:rPr>
      </w:pPr>
    </w:p>
    <w:p w14:paraId="068F8D06">
      <w:pPr>
        <w:rPr>
          <w:rFonts w:hint="eastAsia" w:ascii="宋体" w:hAnsi="宋体" w:eastAsia="宋体" w:cs="宋体"/>
          <w:b w:val="0"/>
          <w:bCs w:val="0"/>
          <w:sz w:val="21"/>
          <w:szCs w:val="21"/>
          <w:highlight w:val="none"/>
        </w:rPr>
      </w:pPr>
    </w:p>
    <w:p w14:paraId="4ED42E2C">
      <w:pPr>
        <w:pStyle w:val="25"/>
        <w:rPr>
          <w:rFonts w:hint="eastAsia" w:ascii="宋体" w:hAnsi="宋体" w:eastAsia="宋体" w:cs="宋体"/>
          <w:b w:val="0"/>
          <w:bCs w:val="0"/>
          <w:sz w:val="21"/>
          <w:szCs w:val="21"/>
          <w:highlight w:val="none"/>
        </w:rPr>
      </w:pPr>
    </w:p>
    <w:p w14:paraId="686036AD">
      <w:pPr>
        <w:pStyle w:val="6"/>
        <w:rPr>
          <w:rFonts w:hint="eastAsia" w:ascii="宋体" w:hAnsi="宋体" w:eastAsia="宋体" w:cs="宋体"/>
          <w:b w:val="0"/>
          <w:bCs w:val="0"/>
          <w:sz w:val="21"/>
          <w:szCs w:val="21"/>
          <w:highlight w:val="none"/>
        </w:rPr>
      </w:pPr>
    </w:p>
    <w:p w14:paraId="1CFAF950">
      <w:pPr>
        <w:rPr>
          <w:rFonts w:hint="eastAsia" w:ascii="宋体" w:hAnsi="宋体" w:eastAsia="宋体" w:cs="宋体"/>
          <w:b w:val="0"/>
          <w:bCs w:val="0"/>
          <w:sz w:val="21"/>
          <w:szCs w:val="21"/>
          <w:highlight w:val="none"/>
        </w:rPr>
      </w:pPr>
    </w:p>
    <w:p w14:paraId="44AEDF99">
      <w:pPr>
        <w:pStyle w:val="25"/>
        <w:rPr>
          <w:rFonts w:hint="eastAsia" w:ascii="宋体" w:hAnsi="宋体" w:eastAsia="宋体" w:cs="宋体"/>
          <w:b w:val="0"/>
          <w:bCs w:val="0"/>
          <w:sz w:val="21"/>
          <w:szCs w:val="21"/>
          <w:highlight w:val="none"/>
        </w:rPr>
      </w:pPr>
    </w:p>
    <w:p w14:paraId="05229325">
      <w:pPr>
        <w:pStyle w:val="6"/>
        <w:rPr>
          <w:rFonts w:hint="eastAsia" w:ascii="宋体" w:hAnsi="宋体" w:eastAsia="宋体" w:cs="宋体"/>
          <w:b w:val="0"/>
          <w:bCs w:val="0"/>
          <w:sz w:val="21"/>
          <w:szCs w:val="21"/>
          <w:highlight w:val="none"/>
        </w:rPr>
      </w:pPr>
    </w:p>
    <w:p w14:paraId="26506A1D">
      <w:pPr>
        <w:rPr>
          <w:rFonts w:hint="eastAsia" w:ascii="宋体" w:hAnsi="宋体" w:eastAsia="宋体" w:cs="宋体"/>
          <w:b w:val="0"/>
          <w:bCs w:val="0"/>
          <w:sz w:val="21"/>
          <w:szCs w:val="21"/>
          <w:highlight w:val="none"/>
        </w:rPr>
      </w:pPr>
    </w:p>
    <w:p w14:paraId="43A4E4A6">
      <w:pPr>
        <w:pStyle w:val="25"/>
        <w:rPr>
          <w:rFonts w:hint="eastAsia" w:ascii="宋体" w:hAnsi="宋体" w:eastAsia="宋体" w:cs="宋体"/>
          <w:b w:val="0"/>
          <w:bCs w:val="0"/>
          <w:sz w:val="21"/>
          <w:szCs w:val="21"/>
          <w:highlight w:val="none"/>
        </w:rPr>
      </w:pPr>
    </w:p>
    <w:p w14:paraId="325F9D65">
      <w:pPr>
        <w:pStyle w:val="6"/>
        <w:rPr>
          <w:rFonts w:hint="eastAsia"/>
          <w:highlight w:val="none"/>
        </w:rPr>
      </w:pPr>
    </w:p>
    <w:p w14:paraId="4905133A">
      <w:pPr>
        <w:pStyle w:val="4"/>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65F2063B">
      <w:pPr>
        <w:spacing w:line="360" w:lineRule="auto"/>
        <w:ind w:firstLine="420" w:firstLineChars="200"/>
        <w:jc w:val="both"/>
        <w:rPr>
          <w:rFonts w:hint="eastAsia" w:ascii="宋体" w:hAnsi="宋体" w:eastAsia="宋体" w:cs="宋体"/>
          <w:szCs w:val="27"/>
          <w:highlight w:val="none"/>
        </w:rPr>
      </w:pPr>
    </w:p>
    <w:p w14:paraId="49A0BDE3">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11661E6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EE87244">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54ED45A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2346F4A6">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F1ABD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13F6146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szCs w:val="27"/>
          <w:highlight w:val="none"/>
          <w:lang w:val="en-US" w:eastAsia="zh-CN"/>
        </w:rPr>
        <w:t>政府</w:t>
      </w:r>
      <w:r>
        <w:rPr>
          <w:rFonts w:hint="eastAsia" w:ascii="宋体" w:hAnsi="宋体" w:eastAsia="宋体" w:cs="宋体"/>
          <w:szCs w:val="27"/>
          <w:highlight w:val="none"/>
        </w:rPr>
        <w:t>采购法》、《中华人民共和国合同法》之规定，经甲乙双方充分协商，特订立本合同，以便共同遵守。</w:t>
      </w:r>
    </w:p>
    <w:p w14:paraId="7F34F94C">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4DD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43E61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D537DC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0E0D47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260B1C8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0A3B84E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6E74FA4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05578C7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511A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BD111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E8D8BD8">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50E631B">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2523C1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F8A27CD">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ABC3722">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B74EA8A">
            <w:pPr>
              <w:spacing w:line="360" w:lineRule="auto"/>
              <w:ind w:firstLine="420" w:firstLineChars="200"/>
              <w:jc w:val="both"/>
              <w:rPr>
                <w:rFonts w:hint="eastAsia" w:ascii="宋体" w:hAnsi="宋体" w:eastAsia="宋体" w:cs="宋体"/>
                <w:highlight w:val="none"/>
              </w:rPr>
            </w:pPr>
          </w:p>
        </w:tc>
      </w:tr>
      <w:tr w14:paraId="1D64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79786FC">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B1ED799">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60E0E3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07135CE">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45F2987">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43A09B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F170CF3">
            <w:pPr>
              <w:spacing w:line="360" w:lineRule="auto"/>
              <w:ind w:firstLine="420" w:firstLineChars="200"/>
              <w:jc w:val="both"/>
              <w:rPr>
                <w:rFonts w:hint="eastAsia" w:ascii="宋体" w:hAnsi="宋体" w:eastAsia="宋体" w:cs="宋体"/>
                <w:highlight w:val="none"/>
              </w:rPr>
            </w:pPr>
          </w:p>
        </w:tc>
      </w:tr>
      <w:tr w14:paraId="0EF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C4085C3">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CF26CD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DCCC7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143A0FF">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13ACC6E4">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34CCD66">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2B16676">
            <w:pPr>
              <w:spacing w:line="360" w:lineRule="auto"/>
              <w:ind w:firstLine="420" w:firstLineChars="200"/>
              <w:jc w:val="both"/>
              <w:rPr>
                <w:rFonts w:hint="eastAsia" w:ascii="宋体" w:hAnsi="宋体" w:eastAsia="宋体" w:cs="宋体"/>
                <w:highlight w:val="none"/>
              </w:rPr>
            </w:pPr>
          </w:p>
        </w:tc>
      </w:tr>
      <w:tr w14:paraId="15D9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19F2CB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4D40541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2A654BFE">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5A0A42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894AD3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F8D9714">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33CAAB9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6DC7BE8F">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2350FA2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63355ED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3B3C4CE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第四条</w:t>
      </w:r>
      <w:r>
        <w:rPr>
          <w:rFonts w:hint="eastAsia" w:ascii="宋体" w:hAnsi="宋体" w:eastAsia="宋体" w:cs="宋体"/>
          <w:sz w:val="21"/>
          <w:szCs w:val="21"/>
          <w:highlight w:val="none"/>
          <w:lang w:val="en-US"/>
        </w:rPr>
        <w:t xml:space="preserve">  </w:t>
      </w:r>
      <w:r>
        <w:rPr>
          <w:rFonts w:hint="eastAsia" w:ascii="宋体" w:hAnsi="宋体" w:eastAsia="宋体" w:cs="宋体"/>
          <w:sz w:val="21"/>
          <w:szCs w:val="21"/>
          <w:highlight w:val="none"/>
        </w:rPr>
        <w:t>费用及支付方式</w:t>
      </w:r>
    </w:p>
    <w:p w14:paraId="131B0CB1">
      <w:pPr>
        <w:pStyle w:val="2"/>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(一)本项目</w:t>
      </w:r>
      <w:r>
        <w:rPr>
          <w:rFonts w:hint="eastAsia" w:ascii="宋体" w:hAnsi="宋体" w:eastAsia="宋体" w:cs="宋体"/>
          <w:b/>
          <w:sz w:val="21"/>
          <w:szCs w:val="21"/>
          <w:highlight w:val="none"/>
          <w:lang w:val="en-US"/>
        </w:rPr>
        <w:t>费用有以</w:t>
      </w:r>
      <w:r>
        <w:rPr>
          <w:rFonts w:hint="eastAsia" w:ascii="宋体" w:hAnsi="宋体" w:eastAsia="宋体" w:cs="宋体"/>
          <w:b/>
          <w:sz w:val="21"/>
          <w:szCs w:val="21"/>
          <w:highlight w:val="none"/>
        </w:rPr>
        <w:t>下组成：</w:t>
      </w:r>
    </w:p>
    <w:p w14:paraId="61FAF56A">
      <w:pPr>
        <w:pStyle w:val="2"/>
        <w:kinsoku w:val="0"/>
        <w:overflowPunct w:val="0"/>
        <w:spacing w:line="364"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 万元；</w:t>
      </w:r>
    </w:p>
    <w:p w14:paraId="75CFF4BD">
      <w:pPr>
        <w:pStyle w:val="2"/>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 万元；</w:t>
      </w:r>
    </w:p>
    <w:p w14:paraId="0E0401CF">
      <w:pPr>
        <w:pStyle w:val="2"/>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p w14:paraId="1602B524">
      <w:pPr>
        <w:pStyle w:val="2"/>
        <w:kinsoku w:val="0"/>
        <w:overflowPunct w:val="0"/>
        <w:spacing w:line="360"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(二)费用支付方式：</w:t>
      </w:r>
    </w:p>
    <w:p w14:paraId="009FF8C1">
      <w:pPr>
        <w:pStyle w:val="2"/>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1、XXXX；</w:t>
      </w:r>
    </w:p>
    <w:p w14:paraId="67B5629D">
      <w:pPr>
        <w:pStyle w:val="2"/>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2、XXXX ；</w:t>
      </w:r>
    </w:p>
    <w:p w14:paraId="2A54A56C">
      <w:pPr>
        <w:pStyle w:val="2"/>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3、在支付前甲方对乙方的服务进行考核或验收，合格的支付相应款 项。乙方须向甲方出具合法有效完整的完税发票及凭证资料进行支付结算。</w:t>
      </w:r>
    </w:p>
    <w:p w14:paraId="4919F702">
      <w:pPr>
        <w:pStyle w:val="2"/>
        <w:kinsoku w:val="0"/>
        <w:overflowPunct w:val="0"/>
        <w:spacing w:line="360" w:lineRule="auto"/>
        <w:ind w:left="0" w:firstLine="422" w:firstLineChars="200"/>
        <w:jc w:val="both"/>
        <w:rPr>
          <w:rFonts w:hint="eastAsia" w:ascii="宋体" w:hAnsi="宋体" w:eastAsia="宋体" w:cs="宋体"/>
          <w:sz w:val="21"/>
          <w:szCs w:val="21"/>
          <w:highlight w:val="none"/>
        </w:rPr>
      </w:pPr>
      <w:r>
        <w:rPr>
          <w:rFonts w:hint="eastAsia" w:ascii="宋体" w:hAnsi="宋体" w:eastAsia="宋体" w:cs="宋体"/>
          <w:b/>
          <w:sz w:val="21"/>
          <w:szCs w:val="21"/>
          <w:highlight w:val="none"/>
        </w:rPr>
        <w:t>第五条</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 xml:space="preserve">付款条件   </w:t>
      </w:r>
      <w:r>
        <w:rPr>
          <w:rFonts w:hint="eastAsia" w:ascii="宋体" w:hAnsi="宋体" w:eastAsia="宋体" w:cs="宋体"/>
          <w:sz w:val="21"/>
          <w:szCs w:val="21"/>
          <w:highlight w:val="none"/>
        </w:rPr>
        <w:t xml:space="preserve">               </w:t>
      </w:r>
    </w:p>
    <w:p w14:paraId="2C54C66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本合同以人民币付款。</w:t>
      </w:r>
    </w:p>
    <w:p w14:paraId="331E803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该项目是否实行预付款：</w:t>
      </w:r>
    </w:p>
    <w:p w14:paraId="3AE11EB3">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实行预付款的条件和比例：</w:t>
      </w:r>
    </w:p>
    <w:p w14:paraId="73C86B4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合同款项结算方式和支付比例：</w:t>
      </w:r>
      <w:r>
        <w:rPr>
          <w:rFonts w:hint="eastAsia" w:ascii="宋体" w:hAnsi="宋体" w:eastAsia="宋体" w:cs="宋体"/>
          <w:sz w:val="21"/>
          <w:szCs w:val="21"/>
          <w:highlight w:val="none"/>
          <w:lang w:val="en-US"/>
        </w:rPr>
        <w:t xml:space="preserve">   </w:t>
      </w:r>
    </w:p>
    <w:p w14:paraId="70EC43B6">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rPr>
        <w:t>(</w:t>
      </w:r>
      <w:r>
        <w:rPr>
          <w:rFonts w:hint="eastAsia" w:ascii="宋体" w:hAnsi="宋体" w:eastAsia="宋体" w:cs="宋体"/>
          <w:sz w:val="21"/>
          <w:szCs w:val="21"/>
          <w:highlight w:val="none"/>
        </w:rPr>
        <w:t>具体付款方式</w:t>
      </w:r>
      <w:r>
        <w:rPr>
          <w:rFonts w:hint="eastAsia" w:ascii="宋体" w:hAnsi="宋体" w:eastAsia="宋体" w:cs="宋体"/>
          <w:sz w:val="21"/>
          <w:szCs w:val="21"/>
          <w:highlight w:val="none"/>
          <w:u w:val="single"/>
        </w:rPr>
        <w:t>按</w:t>
      </w:r>
      <w:r>
        <w:rPr>
          <w:rFonts w:hint="eastAsia" w:ascii="宋体" w:hAnsi="宋体" w:cs="宋体"/>
          <w:sz w:val="21"/>
          <w:szCs w:val="21"/>
          <w:highlight w:val="none"/>
          <w:u w:val="single"/>
          <w:lang w:eastAsia="zh-CN"/>
        </w:rPr>
        <w:t>供应商</w:t>
      </w:r>
      <w:r>
        <w:rPr>
          <w:rFonts w:hint="eastAsia" w:ascii="宋体" w:hAnsi="宋体" w:eastAsia="宋体" w:cs="宋体"/>
          <w:sz w:val="21"/>
          <w:szCs w:val="21"/>
          <w:highlight w:val="none"/>
          <w:u w:val="single"/>
        </w:rPr>
        <w:t>须知前附表以及采、购双方的具体约定</w:t>
      </w:r>
    </w:p>
    <w:p w14:paraId="55969FCA">
      <w:pPr>
        <w:pStyle w:val="31"/>
        <w:spacing w:beforeLines="0" w:afterLines="0" w:line="360" w:lineRule="auto"/>
        <w:ind w:left="0" w:firstLine="422" w:firstLineChars="200"/>
        <w:jc w:val="both"/>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第六条  验收方法</w:t>
      </w:r>
    </w:p>
    <w:p w14:paraId="51B29BDF">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F0EE42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E90A1A">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3、甲方视情况可以邀请参加本项目的其他</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或者第三方机构参与验收，参与验收的</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或者第三方机构的意见作为验收书的参考资料一并存档。</w:t>
      </w:r>
    </w:p>
    <w:p w14:paraId="230A290A">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66BE715">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检测、验收费用承担方式：</w:t>
      </w:r>
    </w:p>
    <w:p w14:paraId="70143207">
      <w:pPr>
        <w:pStyle w:val="2"/>
        <w:kinsoku w:val="0"/>
        <w:overflowPunct w:val="0"/>
        <w:spacing w:line="360"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第七条 知识产权</w:t>
      </w:r>
    </w:p>
    <w:p w14:paraId="6360B15C">
      <w:pPr>
        <w:pStyle w:val="2"/>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乙方应在投标文件中书面保证所提供的服务或其任何一部分均不会侵犯任何第三方的专利权、商标权或著作权。</w:t>
      </w:r>
    </w:p>
    <w:p w14:paraId="7DA29C66">
      <w:pPr>
        <w:bidi w:val="0"/>
        <w:spacing w:line="360" w:lineRule="auto"/>
        <w:ind w:firstLine="422" w:firstLineChars="200"/>
        <w:rPr>
          <w:rFonts w:hint="eastAsia"/>
          <w:highlight w:val="none"/>
        </w:rPr>
      </w:pPr>
      <w:r>
        <w:rPr>
          <w:rFonts w:hint="eastAsia"/>
          <w:b/>
          <w:bCs/>
          <w:highlight w:val="none"/>
        </w:rPr>
        <w:t>第八条 无产权瑕疵条款</w:t>
      </w:r>
    </w:p>
    <w:p w14:paraId="327F0B1B">
      <w:pPr>
        <w:pStyle w:val="2"/>
        <w:keepNext w:val="0"/>
        <w:keepLines w:val="0"/>
        <w:pageBreakBefore w:val="0"/>
        <w:widowControl w:val="0"/>
        <w:kinsoku/>
        <w:wordWrap/>
        <w:overflowPunct w:val="0"/>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乙方应在投标文件中书面保证所提供的服务的所有权完全属于乙方且无任何抵押、查封等产权瑕疵。如有产权瑕疵的，视为乙方违约。乙方应负担由此而产生的一切损失。</w:t>
      </w:r>
    </w:p>
    <w:p w14:paraId="75636A97">
      <w:pPr>
        <w:keepNext w:val="0"/>
        <w:keepLines w:val="0"/>
        <w:pageBreakBefore w:val="0"/>
        <w:widowControl w:val="0"/>
        <w:kinsoku/>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第九条  履约（或质量）保证金</w:t>
      </w:r>
    </w:p>
    <w:p w14:paraId="27F7945B">
      <w:pPr>
        <w:keepNext w:val="0"/>
        <w:keepLines w:val="0"/>
        <w:pageBreakBefore w:val="0"/>
        <w:widowControl w:val="0"/>
        <w:kinsoku/>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0FB8FF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2.若确需质量保证金的，质量保证金不得超过合同总价款的5%</w:t>
      </w:r>
    </w:p>
    <w:p w14:paraId="31889161">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3.如乙方未能履行其合同规定的任何义务，甲方有权从履约保证金中取得补偿。</w:t>
      </w:r>
    </w:p>
    <w:p w14:paraId="700B88CB">
      <w:pPr>
        <w:bidi w:val="0"/>
        <w:spacing w:line="360" w:lineRule="auto"/>
        <w:ind w:firstLine="442" w:firstLineChars="200"/>
        <w:rPr>
          <w:rFonts w:hint="eastAsia" w:ascii="宋体" w:hAnsi="宋体" w:eastAsia="宋体" w:cs="宋体"/>
          <w:szCs w:val="21"/>
          <w:highlight w:val="none"/>
        </w:rPr>
      </w:pPr>
      <w:r>
        <w:rPr>
          <w:rFonts w:hint="eastAsia"/>
          <w:b/>
          <w:bCs/>
          <w:sz w:val="22"/>
          <w:szCs w:val="21"/>
          <w:highlight w:val="none"/>
        </w:rPr>
        <w:t>第十条 甲方的权利和义务</w:t>
      </w:r>
    </w:p>
    <w:p w14:paraId="6CD7162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5A40CA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2、甲方有权依据双方签订的考评办法对乙方提供的服务进行定期考评。当考评结果未达到标准时，有权依据考评办法约定的数额扣除履约保证金。</w:t>
      </w:r>
    </w:p>
    <w:p w14:paraId="28F72098">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3、负责检查监督乙方管理工作的实施及制度的执行情况。</w:t>
      </w:r>
    </w:p>
    <w:p w14:paraId="66156AB4">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4、根据本合同规定，按时向乙方支付应付服务费用。</w:t>
      </w:r>
    </w:p>
    <w:p w14:paraId="4D8C6D0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5、国家法律、法规所规定由甲方承担的其他责任    </w:t>
      </w:r>
      <w:r>
        <w:rPr>
          <w:rFonts w:hint="eastAsia" w:ascii="宋体" w:hAnsi="宋体" w:eastAsia="宋体" w:cs="宋体"/>
          <w:sz w:val="21"/>
          <w:szCs w:val="21"/>
          <w:highlight w:val="none"/>
          <w:lang w:val="en-US"/>
        </w:rPr>
        <w:t xml:space="preserve">           </w:t>
      </w:r>
    </w:p>
    <w:p w14:paraId="782FDCDF">
      <w:pPr>
        <w:pStyle w:val="2"/>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第十一条 乙方的权利和义务</w:t>
      </w:r>
    </w:p>
    <w:p w14:paraId="71E4E715">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1、对本合同规定的委托服务范围内的项目享有管理权及服务义务。</w:t>
      </w:r>
    </w:p>
    <w:p w14:paraId="69D8BF3C">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2、根据本合同的规定向甲方收取相关服务费用，并有权在本项目管理范围内管理及合理使用。</w:t>
      </w:r>
    </w:p>
    <w:p w14:paraId="15507D3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3、及时向甲方通告本项目服务范围内有关服务的重大事项，及时配合处理投诉。</w:t>
      </w:r>
    </w:p>
    <w:p w14:paraId="6269EFD4">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4、接受项目行业管理部门及政府有关部门的指导，接受甲方的监督。</w:t>
      </w:r>
    </w:p>
    <w:p w14:paraId="03F18E78">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5、国家法律、法规所规定由乙方承担的其它责任。</w:t>
      </w:r>
    </w:p>
    <w:p w14:paraId="32BE6F56">
      <w:pPr>
        <w:pStyle w:val="2"/>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第十二条 违约责任</w:t>
      </w:r>
    </w:p>
    <w:p w14:paraId="29CBB1E1">
      <w:pPr>
        <w:pStyle w:val="2"/>
        <w:kinsoku w:val="0"/>
        <w:overflowPunct w:val="0"/>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1、甲乙双方必须遵守本合同并执行合同中的各项规定，保证本合同的正常履行。</w:t>
      </w:r>
    </w:p>
    <w:p w14:paraId="319881A8">
      <w:pPr>
        <w:pStyle w:val="2"/>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2、甲方逾期付款的，除应及时付足款项外，应向乙方偿付欠款总额万分之 /天的违约金；逾期付款超过 天的，乙方有权终止合同。</w:t>
      </w:r>
    </w:p>
    <w:p w14:paraId="02A4C0AD">
      <w:pPr>
        <w:pStyle w:val="2"/>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2B12F7">
      <w:pPr>
        <w:pStyle w:val="2"/>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4、变更、中止或者终止合同，有过错的一方应当承担赔偿责任，双方都有过错的，各自承担相应的责任。</w:t>
      </w:r>
    </w:p>
    <w:p w14:paraId="77F4B96A">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第十三条 转让与分包</w:t>
      </w:r>
    </w:p>
    <w:p w14:paraId="125EA5EA">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1.除甲方事先书面同意外，乙方不得部分转让或全部转让其应履行的合同义务。</w:t>
      </w:r>
    </w:p>
    <w:p w14:paraId="4904CC2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337496E">
      <w:pPr>
        <w:spacing w:line="360" w:lineRule="auto"/>
        <w:ind w:firstLine="422" w:firstLineChars="200"/>
        <w:jc w:val="both"/>
        <w:rPr>
          <w:rFonts w:hint="eastAsia" w:ascii="宋体" w:hAnsi="宋体" w:eastAsia="宋体" w:cs="宋体"/>
          <w:b w:val="0"/>
          <w:bCs w:val="0"/>
          <w:sz w:val="21"/>
          <w:szCs w:val="21"/>
          <w:highlight w:val="none"/>
        </w:rPr>
      </w:pPr>
      <w:r>
        <w:rPr>
          <w:rFonts w:hint="eastAsia" w:ascii="宋体" w:hAnsi="宋体" w:eastAsia="宋体" w:cs="宋体"/>
          <w:b/>
          <w:bCs/>
          <w:sz w:val="21"/>
          <w:szCs w:val="21"/>
          <w:highlight w:val="none"/>
        </w:rPr>
        <w:t>第十四条</w:t>
      </w:r>
      <w:r>
        <w:rPr>
          <w:rFonts w:hint="eastAsia" w:ascii="宋体" w:hAnsi="宋体" w:eastAsia="宋体" w:cs="宋体"/>
          <w:b w:val="0"/>
          <w:bCs w:val="0"/>
          <w:sz w:val="21"/>
          <w:szCs w:val="21"/>
          <w:highlight w:val="none"/>
        </w:rPr>
        <w:t xml:space="preserve"> 合同文件及资料的使用</w:t>
      </w:r>
    </w:p>
    <w:p w14:paraId="7E0C20D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1.乙方在未经甲方同意的情况下，不得将合同、合同中的规定、有关计划、图纸、样本或甲方为上述内容向乙方提供的资料透露给任何人。</w:t>
      </w:r>
    </w:p>
    <w:p w14:paraId="0E834D4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2.除非执行合同需要，在事先未得到甲方同意的情况下，乙方不得使用前款所列的任何文件和资料。</w:t>
      </w:r>
    </w:p>
    <w:p w14:paraId="12A7D8EE">
      <w:pPr>
        <w:bidi w:val="0"/>
        <w:spacing w:line="360" w:lineRule="auto"/>
        <w:ind w:firstLine="422" w:firstLineChars="200"/>
        <w:rPr>
          <w:rFonts w:hint="eastAsia"/>
          <w:b/>
          <w:bCs/>
          <w:highlight w:val="none"/>
        </w:rPr>
      </w:pPr>
      <w:r>
        <w:rPr>
          <w:rFonts w:hint="eastAsia"/>
          <w:b/>
          <w:bCs/>
          <w:highlight w:val="none"/>
        </w:rPr>
        <w:t>第十五条 不可抗力事件处理</w:t>
      </w:r>
    </w:p>
    <w:p w14:paraId="71C4A67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13D2B6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B72B416">
      <w:pPr>
        <w:bidi w:val="0"/>
        <w:spacing w:line="360" w:lineRule="auto"/>
        <w:ind w:firstLine="422" w:firstLineChars="200"/>
        <w:rPr>
          <w:rFonts w:hint="eastAsia"/>
          <w:b/>
          <w:bCs/>
          <w:sz w:val="21"/>
          <w:szCs w:val="20"/>
          <w:highlight w:val="none"/>
        </w:rPr>
      </w:pPr>
      <w:r>
        <w:rPr>
          <w:rFonts w:hint="eastAsia"/>
          <w:b/>
          <w:bCs/>
          <w:sz w:val="21"/>
          <w:szCs w:val="20"/>
          <w:highlight w:val="none"/>
        </w:rPr>
        <w:t>第十六条 合同纠纷调处</w:t>
      </w:r>
    </w:p>
    <w:p w14:paraId="33325411">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1.按本合同规定应该偿付的违约金、赔偿金、保管保养费和各种经济损失，应当在明确责任后10天内，按银行规定的结算办法付清，否则按逾期付款处理。</w:t>
      </w:r>
    </w:p>
    <w:p w14:paraId="6DF22D5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 w:val="21"/>
          <w:szCs w:val="21"/>
          <w:highlight w:val="none"/>
          <w:u w:val="single"/>
        </w:rPr>
        <w:t>周口仲裁委员会</w:t>
      </w:r>
      <w:r>
        <w:rPr>
          <w:rFonts w:hint="eastAsia" w:ascii="宋体" w:hAnsi="宋体" w:eastAsia="宋体" w:cs="宋体"/>
          <w:sz w:val="21"/>
          <w:szCs w:val="21"/>
          <w:highlight w:val="none"/>
        </w:rPr>
        <w:t>申请仲裁。②向合同签订地有级别管辖权的人民法院起诉。</w:t>
      </w:r>
    </w:p>
    <w:p w14:paraId="62963FCD">
      <w:pPr>
        <w:bidi w:val="0"/>
        <w:spacing w:line="360" w:lineRule="auto"/>
        <w:ind w:firstLine="420" w:firstLineChars="200"/>
        <w:rPr>
          <w:rFonts w:hint="eastAsia"/>
          <w:highlight w:val="none"/>
          <w:lang w:val="en-US"/>
        </w:rPr>
      </w:pPr>
      <w:r>
        <w:rPr>
          <w:rFonts w:hint="eastAsia"/>
          <w:highlight w:val="none"/>
          <w:lang w:val="en-US"/>
        </w:rPr>
        <w:t>3</w:t>
      </w:r>
      <w:r>
        <w:rPr>
          <w:rFonts w:hint="eastAsia"/>
          <w:highlight w:val="none"/>
          <w:lang w:val="en-US" w:eastAsia="zh-CN"/>
        </w:rPr>
        <w:t>.甲、乙双方均有权利向本项目具有监管职能的政府采购监督管理部门举报反映对方在合同履约中的违法违纪行为。</w:t>
      </w:r>
    </w:p>
    <w:p w14:paraId="49530277">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第十七条 其他</w:t>
      </w:r>
    </w:p>
    <w:p w14:paraId="73FAD7D8">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 </w:t>
      </w:r>
      <w:r>
        <w:rPr>
          <w:rFonts w:hint="eastAsia" w:ascii="宋体" w:hAnsi="宋体" w:eastAsia="宋体" w:cs="宋体"/>
          <w:sz w:val="21"/>
          <w:szCs w:val="21"/>
          <w:highlight w:val="none"/>
        </w:rPr>
        <w:t>下列关于周口市公共资源交易中心政府采购代理机构名称</w:t>
      </w:r>
      <w:r>
        <w:rPr>
          <w:rFonts w:hint="eastAsia" w:ascii="宋体" w:hAnsi="宋体" w:eastAsia="宋体" w:cs="宋体"/>
          <w:sz w:val="21"/>
          <w:szCs w:val="21"/>
          <w:highlight w:val="none"/>
          <w:u w:val="single"/>
        </w:rPr>
        <w:t>某项目（项目编号：某编号）</w:t>
      </w:r>
      <w:r>
        <w:rPr>
          <w:rFonts w:hint="eastAsia" w:ascii="宋体" w:hAnsi="宋体" w:eastAsia="宋体" w:cs="宋体"/>
          <w:sz w:val="21"/>
          <w:szCs w:val="21"/>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397C64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430D5FA0">
      <w:pPr>
        <w:spacing w:line="360" w:lineRule="auto"/>
        <w:ind w:firstLine="420" w:firstLineChars="200"/>
        <w:jc w:val="both"/>
        <w:rPr>
          <w:rFonts w:hint="eastAsia" w:ascii="宋体" w:hAnsi="宋体" w:eastAsia="宋体" w:cs="宋体"/>
          <w:szCs w:val="27"/>
          <w:highlight w:val="none"/>
        </w:rPr>
      </w:pPr>
    </w:p>
    <w:p w14:paraId="1466446D">
      <w:pPr>
        <w:pStyle w:val="26"/>
        <w:ind w:firstLine="240"/>
        <w:rPr>
          <w:rFonts w:hint="eastAsia" w:ascii="宋体" w:hAnsi="宋体" w:eastAsia="宋体" w:cs="宋体"/>
          <w:highlight w:val="none"/>
        </w:rPr>
      </w:pPr>
    </w:p>
    <w:p w14:paraId="417D8B2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0AC6905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435B1D1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10C56D42">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109ACDF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B3DFD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2846491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F78D296">
      <w:pPr>
        <w:spacing w:line="640" w:lineRule="exact"/>
        <w:ind w:firstLine="420" w:firstLineChars="200"/>
        <w:jc w:val="both"/>
        <w:rPr>
          <w:rFonts w:hint="eastAsia" w:ascii="宋体" w:hAnsi="宋体" w:eastAsia="宋体" w:cs="宋体"/>
          <w:szCs w:val="27"/>
          <w:highlight w:val="none"/>
          <w:u w:val="single"/>
        </w:rPr>
      </w:pPr>
    </w:p>
    <w:p w14:paraId="3C85C81C">
      <w:pPr>
        <w:spacing w:line="900" w:lineRule="exact"/>
        <w:jc w:val="center"/>
        <w:rPr>
          <w:rFonts w:hint="eastAsia" w:ascii="宋体" w:hAnsi="宋体" w:eastAsia="宋体" w:cs="宋体"/>
          <w:szCs w:val="27"/>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p>
    <w:p w14:paraId="20F9AE62">
      <w:pPr>
        <w:pStyle w:val="26"/>
        <w:rPr>
          <w:rFonts w:hint="eastAsia" w:ascii="宋体" w:hAnsi="宋体" w:eastAsia="宋体" w:cs="宋体"/>
          <w:szCs w:val="27"/>
          <w:highlight w:val="none"/>
        </w:rPr>
      </w:pPr>
    </w:p>
    <w:p w14:paraId="23AB4DB6">
      <w:pPr>
        <w:pStyle w:val="3"/>
        <w:bidi w:val="0"/>
        <w:rPr>
          <w:rFonts w:hint="eastAsia" w:ascii="宋体" w:hAnsi="宋体" w:eastAsia="宋体" w:cs="宋体"/>
          <w:highlight w:val="none"/>
        </w:rPr>
      </w:pPr>
      <w:bookmarkStart w:id="127" w:name="_Toc30894"/>
      <w:r>
        <w:rPr>
          <w:rFonts w:hint="eastAsia" w:ascii="宋体" w:hAnsi="宋体" w:eastAsia="宋体" w:cs="宋体"/>
          <w:highlight w:val="none"/>
        </w:rPr>
        <w:t>第七章 投标文件格式</w:t>
      </w:r>
      <w:bookmarkEnd w:id="126"/>
      <w:bookmarkEnd w:id="127"/>
    </w:p>
    <w:p w14:paraId="1DD5B8BA">
      <w:pPr>
        <w:pStyle w:val="15"/>
        <w:rPr>
          <w:rFonts w:hint="eastAsia" w:ascii="宋体" w:hAnsi="宋体" w:eastAsia="宋体" w:cs="宋体"/>
          <w:highlight w:val="none"/>
        </w:rPr>
      </w:pPr>
      <w:bookmarkStart w:id="128" w:name="_Hlt509738509"/>
      <w:bookmarkStart w:id="129" w:name="_Hlt519045391"/>
      <w:bookmarkStart w:id="130" w:name="_Hlt509738521"/>
    </w:p>
    <w:p w14:paraId="576EAFFF">
      <w:pPr>
        <w:pStyle w:val="15"/>
        <w:rPr>
          <w:rFonts w:hint="eastAsia" w:ascii="宋体" w:hAnsi="宋体" w:eastAsia="宋体" w:cs="宋体"/>
          <w:highlight w:val="none"/>
        </w:rPr>
        <w:sectPr>
          <w:pgSz w:w="11906" w:h="16838"/>
          <w:pgMar w:top="1389" w:right="1304" w:bottom="1440" w:left="1304" w:header="851" w:footer="992" w:gutter="0"/>
          <w:cols w:space="720" w:num="1"/>
          <w:docGrid w:linePitch="312" w:charSpace="0"/>
        </w:sectPr>
      </w:pPr>
    </w:p>
    <w:p w14:paraId="5C1A6495">
      <w:pPr>
        <w:pStyle w:val="19"/>
        <w:rPr>
          <w:rFonts w:hint="eastAsia" w:ascii="宋体" w:hAnsi="宋体" w:eastAsia="宋体" w:cs="宋体"/>
          <w:highlight w:val="none"/>
        </w:rPr>
      </w:pPr>
      <w:bookmarkStart w:id="131" w:name="_Toc20284_WPSOffice_Level2"/>
      <w:r>
        <w:rPr>
          <w:rFonts w:hint="eastAsia" w:ascii="宋体" w:hAnsi="宋体" w:eastAsia="宋体" w:cs="宋体"/>
          <w:highlight w:val="none"/>
        </w:rPr>
        <w:t>投标文件资料清单</w:t>
      </w:r>
      <w:bookmarkEnd w:id="131"/>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F50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5DFE9DA">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5460" w:type="dxa"/>
            <w:noWrap w:val="0"/>
            <w:vAlign w:val="center"/>
          </w:tcPr>
          <w:p w14:paraId="669C3000">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资料名称</w:t>
            </w:r>
          </w:p>
        </w:tc>
        <w:tc>
          <w:tcPr>
            <w:tcW w:w="1854" w:type="dxa"/>
            <w:noWrap w:val="0"/>
            <w:vAlign w:val="center"/>
          </w:tcPr>
          <w:p w14:paraId="0C56A0DF">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页码范围</w:t>
            </w:r>
          </w:p>
        </w:tc>
      </w:tr>
      <w:tr w14:paraId="6D4DB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0018F42">
            <w:pPr>
              <w:jc w:val="center"/>
              <w:rPr>
                <w:rFonts w:hint="eastAsia" w:ascii="宋体" w:hAnsi="宋体" w:eastAsia="宋体" w:cs="宋体"/>
                <w:sz w:val="24"/>
                <w:highlight w:val="none"/>
              </w:rPr>
            </w:pPr>
            <w:r>
              <w:rPr>
                <w:rFonts w:hint="eastAsia" w:ascii="宋体" w:hAnsi="宋体" w:eastAsia="宋体" w:cs="宋体"/>
                <w:sz w:val="24"/>
                <w:highlight w:val="none"/>
              </w:rPr>
              <w:t>一</w:t>
            </w:r>
          </w:p>
        </w:tc>
        <w:tc>
          <w:tcPr>
            <w:tcW w:w="5460" w:type="dxa"/>
            <w:noWrap w:val="0"/>
            <w:vAlign w:val="center"/>
          </w:tcPr>
          <w:p w14:paraId="569C6F44">
            <w:pPr>
              <w:rPr>
                <w:rFonts w:hint="eastAsia" w:ascii="宋体" w:hAnsi="宋体" w:eastAsia="宋体" w:cs="宋体"/>
                <w:highlight w:val="none"/>
                <w:u w:val="single"/>
              </w:rPr>
            </w:pPr>
            <w:r>
              <w:rPr>
                <w:rFonts w:hint="eastAsia" w:ascii="宋体" w:hAnsi="宋体" w:eastAsia="宋体" w:cs="宋体"/>
                <w:bCs/>
                <w:sz w:val="24"/>
                <w:highlight w:val="none"/>
              </w:rPr>
              <w:t>开标一览表</w:t>
            </w:r>
          </w:p>
        </w:tc>
        <w:tc>
          <w:tcPr>
            <w:tcW w:w="1854" w:type="dxa"/>
            <w:noWrap w:val="0"/>
            <w:vAlign w:val="center"/>
          </w:tcPr>
          <w:p w14:paraId="1238C998">
            <w:pPr>
              <w:spacing w:line="360" w:lineRule="auto"/>
              <w:jc w:val="center"/>
              <w:rPr>
                <w:rFonts w:hint="eastAsia" w:ascii="宋体" w:hAnsi="宋体" w:eastAsia="宋体" w:cs="宋体"/>
                <w:b/>
                <w:sz w:val="24"/>
                <w:highlight w:val="none"/>
              </w:rPr>
            </w:pPr>
          </w:p>
        </w:tc>
      </w:tr>
      <w:tr w14:paraId="1F93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113123C">
            <w:pPr>
              <w:jc w:val="center"/>
              <w:rPr>
                <w:rFonts w:hint="eastAsia" w:ascii="宋体" w:hAnsi="宋体" w:eastAsia="宋体" w:cs="宋体"/>
                <w:sz w:val="24"/>
                <w:highlight w:val="none"/>
              </w:rPr>
            </w:pPr>
            <w:r>
              <w:rPr>
                <w:rFonts w:hint="eastAsia" w:ascii="宋体" w:hAnsi="宋体" w:eastAsia="宋体" w:cs="宋体"/>
                <w:sz w:val="24"/>
                <w:highlight w:val="none"/>
              </w:rPr>
              <w:t>二</w:t>
            </w:r>
          </w:p>
        </w:tc>
        <w:tc>
          <w:tcPr>
            <w:tcW w:w="5460" w:type="dxa"/>
            <w:noWrap w:val="0"/>
            <w:vAlign w:val="center"/>
          </w:tcPr>
          <w:p w14:paraId="1CEB26AF">
            <w:pPr>
              <w:rPr>
                <w:rFonts w:hint="eastAsia" w:ascii="宋体" w:hAnsi="宋体" w:eastAsia="宋体" w:cs="宋体"/>
                <w:bCs/>
                <w:sz w:val="24"/>
                <w:highlight w:val="none"/>
              </w:rPr>
            </w:pPr>
            <w:r>
              <w:rPr>
                <w:rFonts w:hint="eastAsia" w:ascii="宋体" w:hAnsi="宋体" w:cs="宋体"/>
                <w:sz w:val="24"/>
                <w:highlight w:val="none"/>
                <w:lang w:eastAsia="zh-CN"/>
              </w:rPr>
              <w:t>供应商</w:t>
            </w:r>
            <w:r>
              <w:rPr>
                <w:rFonts w:hint="eastAsia" w:ascii="宋体" w:hAnsi="宋体" w:eastAsia="宋体" w:cs="宋体"/>
                <w:sz w:val="24"/>
                <w:highlight w:val="none"/>
              </w:rPr>
              <w:t>情况综合简介</w:t>
            </w:r>
          </w:p>
        </w:tc>
        <w:tc>
          <w:tcPr>
            <w:tcW w:w="1854" w:type="dxa"/>
            <w:noWrap w:val="0"/>
            <w:vAlign w:val="center"/>
          </w:tcPr>
          <w:p w14:paraId="0B09DC75">
            <w:pPr>
              <w:spacing w:line="360" w:lineRule="auto"/>
              <w:jc w:val="center"/>
              <w:rPr>
                <w:rFonts w:hint="eastAsia" w:ascii="宋体" w:hAnsi="宋体" w:eastAsia="宋体" w:cs="宋体"/>
                <w:b/>
                <w:sz w:val="24"/>
                <w:highlight w:val="none"/>
              </w:rPr>
            </w:pPr>
          </w:p>
        </w:tc>
      </w:tr>
      <w:tr w14:paraId="57A9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C912C0B">
            <w:pPr>
              <w:jc w:val="center"/>
              <w:rPr>
                <w:rFonts w:hint="eastAsia" w:ascii="宋体" w:hAnsi="宋体" w:eastAsia="宋体" w:cs="宋体"/>
                <w:bCs/>
                <w:sz w:val="24"/>
                <w:highlight w:val="none"/>
              </w:rPr>
            </w:pPr>
            <w:r>
              <w:rPr>
                <w:rFonts w:hint="eastAsia" w:ascii="宋体" w:hAnsi="宋体" w:eastAsia="宋体" w:cs="宋体"/>
                <w:bCs/>
                <w:sz w:val="24"/>
                <w:highlight w:val="none"/>
              </w:rPr>
              <w:t>三</w:t>
            </w:r>
          </w:p>
        </w:tc>
        <w:tc>
          <w:tcPr>
            <w:tcW w:w="5460" w:type="dxa"/>
            <w:noWrap w:val="0"/>
            <w:vAlign w:val="center"/>
          </w:tcPr>
          <w:p w14:paraId="767039E5">
            <w:pPr>
              <w:rPr>
                <w:rFonts w:hint="eastAsia" w:ascii="宋体" w:hAnsi="宋体" w:eastAsia="宋体" w:cs="宋体"/>
                <w:bCs/>
                <w:sz w:val="24"/>
                <w:highlight w:val="none"/>
              </w:rPr>
            </w:pPr>
            <w:r>
              <w:rPr>
                <w:rFonts w:hint="eastAsia" w:ascii="宋体" w:hAnsi="宋体" w:eastAsia="宋体" w:cs="宋体"/>
                <w:bCs/>
                <w:sz w:val="24"/>
                <w:highlight w:val="none"/>
              </w:rPr>
              <w:t>投标函</w:t>
            </w:r>
          </w:p>
        </w:tc>
        <w:tc>
          <w:tcPr>
            <w:tcW w:w="1854" w:type="dxa"/>
            <w:noWrap w:val="0"/>
            <w:vAlign w:val="center"/>
          </w:tcPr>
          <w:p w14:paraId="1A2F8B60">
            <w:pPr>
              <w:spacing w:line="360" w:lineRule="auto"/>
              <w:jc w:val="center"/>
              <w:rPr>
                <w:rFonts w:hint="eastAsia" w:ascii="宋体" w:hAnsi="宋体" w:eastAsia="宋体" w:cs="宋体"/>
                <w:b/>
                <w:sz w:val="24"/>
                <w:highlight w:val="none"/>
              </w:rPr>
            </w:pPr>
          </w:p>
        </w:tc>
      </w:tr>
      <w:tr w14:paraId="5EC3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CFD8582">
            <w:pPr>
              <w:jc w:val="center"/>
              <w:rPr>
                <w:rFonts w:hint="eastAsia" w:ascii="宋体" w:hAnsi="宋体" w:eastAsia="宋体" w:cs="宋体"/>
                <w:sz w:val="24"/>
                <w:highlight w:val="none"/>
              </w:rPr>
            </w:pPr>
            <w:r>
              <w:rPr>
                <w:rFonts w:hint="eastAsia" w:ascii="宋体" w:hAnsi="宋体" w:eastAsia="宋体" w:cs="宋体"/>
                <w:sz w:val="24"/>
                <w:highlight w:val="none"/>
              </w:rPr>
              <w:t>四</w:t>
            </w:r>
          </w:p>
        </w:tc>
        <w:tc>
          <w:tcPr>
            <w:tcW w:w="5460" w:type="dxa"/>
            <w:noWrap w:val="0"/>
            <w:vAlign w:val="center"/>
          </w:tcPr>
          <w:p w14:paraId="55D084FC">
            <w:pPr>
              <w:rPr>
                <w:rFonts w:hint="eastAsia" w:ascii="宋体" w:hAnsi="宋体" w:eastAsia="宋体" w:cs="宋体"/>
                <w:bCs/>
                <w:highlight w:val="none"/>
              </w:rPr>
            </w:pPr>
            <w:r>
              <w:rPr>
                <w:rFonts w:hint="eastAsia" w:ascii="宋体" w:hAnsi="宋体" w:eastAsia="宋体" w:cs="宋体"/>
                <w:sz w:val="24"/>
                <w:highlight w:val="none"/>
              </w:rPr>
              <w:t>投标响应表</w:t>
            </w:r>
          </w:p>
        </w:tc>
        <w:tc>
          <w:tcPr>
            <w:tcW w:w="1854" w:type="dxa"/>
            <w:noWrap w:val="0"/>
            <w:vAlign w:val="center"/>
          </w:tcPr>
          <w:p w14:paraId="1D83BCD5">
            <w:pPr>
              <w:spacing w:line="360" w:lineRule="auto"/>
              <w:jc w:val="center"/>
              <w:rPr>
                <w:rFonts w:hint="eastAsia" w:ascii="宋体" w:hAnsi="宋体" w:eastAsia="宋体" w:cs="宋体"/>
                <w:b/>
                <w:sz w:val="24"/>
                <w:highlight w:val="none"/>
              </w:rPr>
            </w:pPr>
          </w:p>
        </w:tc>
      </w:tr>
      <w:tr w14:paraId="5359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D3A64B1">
            <w:pPr>
              <w:jc w:val="center"/>
              <w:rPr>
                <w:rFonts w:hint="eastAsia" w:ascii="宋体" w:hAnsi="宋体" w:eastAsia="宋体" w:cs="宋体"/>
                <w:sz w:val="24"/>
                <w:highlight w:val="none"/>
              </w:rPr>
            </w:pPr>
            <w:r>
              <w:rPr>
                <w:rFonts w:hint="eastAsia" w:ascii="宋体" w:hAnsi="宋体" w:eastAsia="宋体" w:cs="宋体"/>
                <w:sz w:val="24"/>
                <w:highlight w:val="none"/>
              </w:rPr>
              <w:t>五</w:t>
            </w:r>
          </w:p>
        </w:tc>
        <w:tc>
          <w:tcPr>
            <w:tcW w:w="5460" w:type="dxa"/>
            <w:noWrap w:val="0"/>
            <w:vAlign w:val="center"/>
          </w:tcPr>
          <w:p w14:paraId="7997C1A7">
            <w:pPr>
              <w:rPr>
                <w:rFonts w:hint="eastAsia" w:ascii="宋体" w:hAnsi="宋体" w:eastAsia="宋体" w:cs="宋体"/>
                <w:bCs/>
                <w:sz w:val="24"/>
                <w:highlight w:val="none"/>
              </w:rPr>
            </w:pPr>
            <w:r>
              <w:rPr>
                <w:rFonts w:hint="eastAsia" w:ascii="宋体" w:hAnsi="宋体" w:eastAsia="宋体" w:cs="宋体"/>
                <w:sz w:val="24"/>
                <w:highlight w:val="none"/>
              </w:rPr>
              <w:t>服务质量承诺</w:t>
            </w:r>
          </w:p>
        </w:tc>
        <w:tc>
          <w:tcPr>
            <w:tcW w:w="1854" w:type="dxa"/>
            <w:noWrap w:val="0"/>
            <w:vAlign w:val="center"/>
          </w:tcPr>
          <w:p w14:paraId="742BF7F9">
            <w:pPr>
              <w:spacing w:line="360" w:lineRule="auto"/>
              <w:jc w:val="center"/>
              <w:rPr>
                <w:rFonts w:hint="eastAsia" w:ascii="宋体" w:hAnsi="宋体" w:eastAsia="宋体" w:cs="宋体"/>
                <w:b/>
                <w:sz w:val="24"/>
                <w:highlight w:val="none"/>
              </w:rPr>
            </w:pPr>
          </w:p>
        </w:tc>
      </w:tr>
      <w:tr w14:paraId="3C49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3003C60">
            <w:pPr>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六</w:t>
            </w:r>
          </w:p>
        </w:tc>
        <w:tc>
          <w:tcPr>
            <w:tcW w:w="5460" w:type="dxa"/>
            <w:noWrap w:val="0"/>
            <w:vAlign w:val="center"/>
          </w:tcPr>
          <w:p w14:paraId="06EEF674">
            <w:pPr>
              <w:rPr>
                <w:rFonts w:hint="eastAsia" w:ascii="宋体" w:hAnsi="宋体" w:eastAsia="宋体" w:cs="宋体"/>
                <w:sz w:val="24"/>
                <w:highlight w:val="none"/>
              </w:rPr>
            </w:pPr>
            <w:r>
              <w:rPr>
                <w:rFonts w:hint="eastAsia" w:ascii="宋体" w:hAnsi="宋体" w:eastAsia="宋体" w:cs="宋体"/>
                <w:sz w:val="24"/>
                <w:highlight w:val="none"/>
              </w:rPr>
              <w:t>有关证明文件</w:t>
            </w:r>
          </w:p>
        </w:tc>
        <w:tc>
          <w:tcPr>
            <w:tcW w:w="1854" w:type="dxa"/>
            <w:noWrap w:val="0"/>
            <w:vAlign w:val="center"/>
          </w:tcPr>
          <w:p w14:paraId="1E16E18A">
            <w:pPr>
              <w:spacing w:line="360" w:lineRule="auto"/>
              <w:rPr>
                <w:rFonts w:hint="eastAsia" w:ascii="宋体" w:hAnsi="宋体" w:eastAsia="宋体" w:cs="宋体"/>
                <w:b/>
                <w:sz w:val="24"/>
                <w:highlight w:val="none"/>
              </w:rPr>
            </w:pPr>
          </w:p>
        </w:tc>
      </w:tr>
      <w:tr w14:paraId="08C9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12DA45CF">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七</w:t>
            </w:r>
          </w:p>
        </w:tc>
        <w:tc>
          <w:tcPr>
            <w:tcW w:w="5460" w:type="dxa"/>
            <w:noWrap w:val="0"/>
            <w:vAlign w:val="center"/>
          </w:tcPr>
          <w:p w14:paraId="23B5A008">
            <w:pPr>
              <w:rPr>
                <w:rFonts w:hint="eastAsia" w:ascii="宋体" w:hAnsi="宋体" w:eastAsia="宋体" w:cs="宋体"/>
                <w:sz w:val="24"/>
                <w:highlight w:val="none"/>
              </w:rPr>
            </w:pPr>
            <w:r>
              <w:rPr>
                <w:rFonts w:hint="eastAsia" w:ascii="宋体" w:hAnsi="宋体" w:eastAsia="宋体" w:cs="宋体"/>
                <w:sz w:val="24"/>
                <w:highlight w:val="none"/>
              </w:rPr>
              <w:t>中小企业声明函</w:t>
            </w:r>
          </w:p>
        </w:tc>
        <w:tc>
          <w:tcPr>
            <w:tcW w:w="1854" w:type="dxa"/>
            <w:noWrap w:val="0"/>
            <w:vAlign w:val="center"/>
          </w:tcPr>
          <w:p w14:paraId="014CA112">
            <w:pPr>
              <w:spacing w:line="360" w:lineRule="auto"/>
              <w:rPr>
                <w:rFonts w:hint="eastAsia" w:ascii="宋体" w:hAnsi="宋体" w:eastAsia="宋体" w:cs="宋体"/>
                <w:b/>
                <w:sz w:val="24"/>
                <w:highlight w:val="none"/>
              </w:rPr>
            </w:pPr>
          </w:p>
        </w:tc>
      </w:tr>
      <w:tr w14:paraId="65A8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7E5638BB">
            <w:pPr>
              <w:ind w:firstLine="240" w:firstLineChars="1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八</w:t>
            </w:r>
          </w:p>
        </w:tc>
        <w:tc>
          <w:tcPr>
            <w:tcW w:w="5460" w:type="dxa"/>
            <w:noWrap w:val="0"/>
            <w:vAlign w:val="center"/>
          </w:tcPr>
          <w:p w14:paraId="4ED8711C">
            <w:pPr>
              <w:rPr>
                <w:rFonts w:hint="eastAsia" w:ascii="宋体" w:hAnsi="宋体" w:eastAsia="宋体" w:cs="宋体"/>
                <w:sz w:val="24"/>
                <w:highlight w:val="none"/>
              </w:rPr>
            </w:pPr>
            <w:r>
              <w:rPr>
                <w:rFonts w:hint="eastAsia" w:ascii="宋体" w:hAnsi="宋体" w:eastAsia="宋体" w:cs="宋体"/>
                <w:sz w:val="24"/>
                <w:highlight w:val="none"/>
              </w:rPr>
              <w:t>售后服务</w:t>
            </w:r>
          </w:p>
        </w:tc>
        <w:tc>
          <w:tcPr>
            <w:tcW w:w="1854" w:type="dxa"/>
            <w:noWrap w:val="0"/>
            <w:vAlign w:val="center"/>
          </w:tcPr>
          <w:p w14:paraId="39FC8A46">
            <w:pPr>
              <w:spacing w:line="360" w:lineRule="auto"/>
              <w:rPr>
                <w:rFonts w:hint="eastAsia" w:ascii="宋体" w:hAnsi="宋体" w:eastAsia="宋体" w:cs="宋体"/>
                <w:b/>
                <w:sz w:val="24"/>
                <w:highlight w:val="none"/>
              </w:rPr>
            </w:pPr>
          </w:p>
        </w:tc>
      </w:tr>
      <w:tr w14:paraId="37AE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670BBE03">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九</w:t>
            </w:r>
          </w:p>
        </w:tc>
        <w:tc>
          <w:tcPr>
            <w:tcW w:w="5460" w:type="dxa"/>
            <w:noWrap w:val="0"/>
            <w:vAlign w:val="center"/>
          </w:tcPr>
          <w:p w14:paraId="1B9542B2">
            <w:pPr>
              <w:rPr>
                <w:rFonts w:hint="eastAsia" w:ascii="宋体" w:hAnsi="宋体" w:eastAsia="宋体" w:cs="宋体"/>
                <w:sz w:val="24"/>
                <w:highlight w:val="none"/>
              </w:rPr>
            </w:pPr>
            <w:r>
              <w:rPr>
                <w:rFonts w:hint="eastAsia" w:ascii="宋体" w:hAnsi="宋体" w:eastAsia="宋体" w:cs="宋体"/>
                <w:sz w:val="24"/>
                <w:highlight w:val="none"/>
              </w:rPr>
              <w:t>所投服务的技术资料等</w:t>
            </w:r>
          </w:p>
        </w:tc>
        <w:tc>
          <w:tcPr>
            <w:tcW w:w="1854" w:type="dxa"/>
            <w:noWrap w:val="0"/>
            <w:vAlign w:val="center"/>
          </w:tcPr>
          <w:p w14:paraId="0585AD28">
            <w:pPr>
              <w:spacing w:line="360" w:lineRule="auto"/>
              <w:rPr>
                <w:rFonts w:hint="eastAsia" w:ascii="宋体" w:hAnsi="宋体" w:eastAsia="宋体" w:cs="宋体"/>
                <w:b/>
                <w:sz w:val="24"/>
                <w:highlight w:val="none"/>
              </w:rPr>
            </w:pPr>
          </w:p>
        </w:tc>
      </w:tr>
      <w:tr w14:paraId="751E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C05C8D7">
            <w:pPr>
              <w:jc w:val="center"/>
              <w:rPr>
                <w:rFonts w:hint="eastAsia" w:ascii="宋体" w:hAnsi="宋体" w:eastAsia="宋体" w:cs="宋体"/>
                <w:sz w:val="24"/>
                <w:highlight w:val="none"/>
              </w:rPr>
            </w:pPr>
            <w:r>
              <w:rPr>
                <w:rFonts w:hint="eastAsia" w:ascii="宋体" w:hAnsi="宋体" w:eastAsia="宋体" w:cs="宋体"/>
                <w:sz w:val="24"/>
                <w:highlight w:val="none"/>
              </w:rPr>
              <w:t>十</w:t>
            </w:r>
          </w:p>
        </w:tc>
        <w:tc>
          <w:tcPr>
            <w:tcW w:w="5460" w:type="dxa"/>
            <w:noWrap w:val="0"/>
            <w:vAlign w:val="center"/>
          </w:tcPr>
          <w:p w14:paraId="52E8AC5D">
            <w:pPr>
              <w:rPr>
                <w:rFonts w:hint="eastAsia" w:ascii="宋体" w:hAnsi="宋体" w:eastAsia="宋体" w:cs="宋体"/>
                <w:sz w:val="24"/>
                <w:highlight w:val="none"/>
              </w:rPr>
            </w:pPr>
            <w:r>
              <w:rPr>
                <w:rFonts w:hint="eastAsia" w:ascii="宋体" w:hAnsi="宋体" w:eastAsia="宋体" w:cs="宋体"/>
                <w:sz w:val="24"/>
                <w:highlight w:val="none"/>
              </w:rPr>
              <w:t>其他</w:t>
            </w:r>
            <w:r>
              <w:rPr>
                <w:rFonts w:hint="eastAsia" w:ascii="宋体" w:hAnsi="宋体" w:cs="宋体"/>
                <w:sz w:val="24"/>
                <w:highlight w:val="none"/>
                <w:lang w:eastAsia="zh-CN"/>
              </w:rPr>
              <w:t>供应商</w:t>
            </w:r>
            <w:r>
              <w:rPr>
                <w:rFonts w:hint="eastAsia" w:ascii="宋体" w:hAnsi="宋体" w:eastAsia="宋体" w:cs="宋体"/>
                <w:sz w:val="24"/>
                <w:highlight w:val="none"/>
              </w:rPr>
              <w:t>认为需要提供得材料等</w:t>
            </w:r>
          </w:p>
        </w:tc>
        <w:tc>
          <w:tcPr>
            <w:tcW w:w="1854" w:type="dxa"/>
            <w:noWrap w:val="0"/>
            <w:vAlign w:val="center"/>
          </w:tcPr>
          <w:p w14:paraId="5FE259D0">
            <w:pPr>
              <w:spacing w:line="360" w:lineRule="auto"/>
              <w:rPr>
                <w:rFonts w:hint="eastAsia" w:ascii="宋体" w:hAnsi="宋体" w:eastAsia="宋体" w:cs="宋体"/>
                <w:b/>
                <w:sz w:val="24"/>
                <w:highlight w:val="none"/>
              </w:rPr>
            </w:pPr>
          </w:p>
        </w:tc>
      </w:tr>
      <w:tr w14:paraId="42C9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264E9D2">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rPr>
              <w:t>十</w:t>
            </w:r>
            <w:r>
              <w:rPr>
                <w:rFonts w:hint="eastAsia" w:ascii="宋体" w:hAnsi="宋体" w:cs="宋体"/>
                <w:sz w:val="24"/>
                <w:highlight w:val="none"/>
                <w:lang w:val="en-US" w:eastAsia="zh-CN"/>
              </w:rPr>
              <w:t>一</w:t>
            </w:r>
          </w:p>
        </w:tc>
        <w:tc>
          <w:tcPr>
            <w:tcW w:w="5460" w:type="dxa"/>
            <w:noWrap w:val="0"/>
            <w:vAlign w:val="center"/>
          </w:tcPr>
          <w:p w14:paraId="296668F2">
            <w:pPr>
              <w:jc w:val="both"/>
              <w:rPr>
                <w:rFonts w:hint="eastAsia" w:ascii="宋体" w:hAnsi="宋体" w:eastAsia="宋体" w:cs="宋体"/>
                <w:sz w:val="24"/>
                <w:highlight w:val="none"/>
              </w:rPr>
            </w:pPr>
            <w:r>
              <w:rPr>
                <w:rFonts w:hint="eastAsia" w:ascii="宋体" w:hAnsi="宋体" w:eastAsia="宋体" w:cs="宋体"/>
                <w:sz w:val="24"/>
                <w:highlight w:val="none"/>
              </w:rPr>
              <w:t>政府采购供应商诚信承诺书</w:t>
            </w:r>
          </w:p>
        </w:tc>
        <w:tc>
          <w:tcPr>
            <w:tcW w:w="1854" w:type="dxa"/>
            <w:noWrap w:val="0"/>
            <w:vAlign w:val="center"/>
          </w:tcPr>
          <w:p w14:paraId="0DE0F1C6">
            <w:pPr>
              <w:spacing w:line="360" w:lineRule="auto"/>
              <w:rPr>
                <w:rFonts w:hint="eastAsia" w:ascii="宋体" w:hAnsi="宋体" w:eastAsia="宋体" w:cs="宋体"/>
                <w:b/>
                <w:sz w:val="24"/>
                <w:highlight w:val="none"/>
              </w:rPr>
            </w:pPr>
          </w:p>
        </w:tc>
      </w:tr>
      <w:tr w14:paraId="4693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6F32176D">
            <w:pPr>
              <w:spacing w:line="500" w:lineRule="exact"/>
              <w:rPr>
                <w:rFonts w:hint="eastAsia" w:ascii="宋体" w:hAnsi="宋体" w:eastAsia="宋体" w:cs="宋体"/>
                <w:b/>
                <w:sz w:val="28"/>
                <w:highlight w:val="none"/>
              </w:rPr>
            </w:pPr>
            <w:r>
              <w:rPr>
                <w:rFonts w:hint="eastAsia" w:ascii="宋体" w:hAnsi="宋体" w:eastAsia="宋体" w:cs="宋体"/>
                <w:b/>
                <w:sz w:val="28"/>
                <w:highlight w:val="none"/>
              </w:rPr>
              <w:t>备注：投标文件资料清单是</w:t>
            </w:r>
            <w:r>
              <w:rPr>
                <w:rFonts w:hint="eastAsia" w:ascii="宋体" w:hAnsi="宋体" w:cs="宋体"/>
                <w:b/>
                <w:sz w:val="28"/>
                <w:highlight w:val="none"/>
                <w:lang w:eastAsia="zh-CN"/>
              </w:rPr>
              <w:t>供应商</w:t>
            </w:r>
            <w:r>
              <w:rPr>
                <w:rFonts w:hint="eastAsia" w:ascii="宋体" w:hAnsi="宋体" w:eastAsia="宋体" w:cs="宋体"/>
                <w:b/>
                <w:sz w:val="28"/>
                <w:highlight w:val="none"/>
              </w:rPr>
              <w:t>制作投标文件的参考格式，并非必须格式，请各位</w:t>
            </w:r>
            <w:r>
              <w:rPr>
                <w:rFonts w:hint="eastAsia" w:ascii="宋体" w:hAnsi="宋体" w:cs="宋体"/>
                <w:b/>
                <w:sz w:val="28"/>
                <w:highlight w:val="none"/>
                <w:lang w:eastAsia="zh-CN"/>
              </w:rPr>
              <w:t>供应商</w:t>
            </w:r>
            <w:r>
              <w:rPr>
                <w:rFonts w:hint="eastAsia" w:ascii="宋体" w:hAnsi="宋体" w:eastAsia="宋体" w:cs="宋体"/>
                <w:b/>
                <w:sz w:val="28"/>
                <w:highlight w:val="none"/>
              </w:rPr>
              <w:t>根据所投项目需要自行增减，是否依据了本格式或自行增减了多少格式并不是废标的条款。</w:t>
            </w:r>
          </w:p>
        </w:tc>
      </w:tr>
    </w:tbl>
    <w:p w14:paraId="2FA1D6A0">
      <w:pPr>
        <w:spacing w:line="500" w:lineRule="exact"/>
        <w:rPr>
          <w:rFonts w:hint="eastAsia" w:ascii="宋体" w:hAnsi="宋体" w:eastAsia="宋体" w:cs="宋体"/>
          <w:sz w:val="28"/>
          <w:highlight w:val="none"/>
        </w:rPr>
      </w:pPr>
    </w:p>
    <w:p w14:paraId="3CF32AFB">
      <w:pPr>
        <w:pStyle w:val="15"/>
        <w:rPr>
          <w:rFonts w:hint="eastAsia" w:ascii="宋体" w:hAnsi="宋体" w:eastAsia="宋体" w:cs="宋体"/>
          <w:highlight w:val="none"/>
        </w:rPr>
      </w:pPr>
    </w:p>
    <w:p w14:paraId="0F0D5D6F">
      <w:pPr>
        <w:pStyle w:val="15"/>
        <w:rPr>
          <w:rFonts w:hint="eastAsia" w:ascii="宋体" w:hAnsi="宋体" w:eastAsia="宋体" w:cs="宋体"/>
          <w:highlight w:val="none"/>
        </w:rPr>
      </w:pPr>
    </w:p>
    <w:p w14:paraId="3D627256">
      <w:pPr>
        <w:pStyle w:val="15"/>
        <w:rPr>
          <w:rFonts w:hint="eastAsia" w:ascii="宋体" w:hAnsi="宋体" w:eastAsia="宋体" w:cs="宋体"/>
          <w:highlight w:val="none"/>
        </w:rPr>
      </w:pPr>
    </w:p>
    <w:p w14:paraId="434437AB">
      <w:pPr>
        <w:pStyle w:val="15"/>
        <w:rPr>
          <w:rFonts w:hint="eastAsia" w:ascii="宋体" w:hAnsi="宋体" w:eastAsia="宋体" w:cs="宋体"/>
          <w:highlight w:val="none"/>
        </w:rPr>
      </w:pPr>
    </w:p>
    <w:p w14:paraId="674607C1">
      <w:pPr>
        <w:bidi w:val="0"/>
        <w:rPr>
          <w:rFonts w:hint="eastAsia"/>
          <w:highlight w:val="none"/>
          <w:lang w:eastAsia="zh-CN"/>
        </w:rPr>
      </w:pPr>
      <w:bookmarkStart w:id="132" w:name="_Toc2396_WPSOffice_Level2"/>
      <w:bookmarkStart w:id="133" w:name="_Toc40975449"/>
      <w:bookmarkStart w:id="134" w:name="_Toc197934561"/>
    </w:p>
    <w:p w14:paraId="72312B7D">
      <w:pPr>
        <w:pStyle w:val="25"/>
        <w:rPr>
          <w:rFonts w:hint="eastAsia"/>
          <w:highlight w:val="none"/>
          <w:lang w:eastAsia="zh-CN"/>
        </w:rPr>
      </w:pPr>
    </w:p>
    <w:p w14:paraId="06769FB4">
      <w:pPr>
        <w:pStyle w:val="6"/>
        <w:rPr>
          <w:rFonts w:hint="eastAsia"/>
          <w:highlight w:val="none"/>
          <w:lang w:eastAsia="zh-CN"/>
        </w:rPr>
      </w:pPr>
    </w:p>
    <w:p w14:paraId="4C420036">
      <w:pPr>
        <w:rPr>
          <w:rFonts w:hint="eastAsia"/>
          <w:highlight w:val="none"/>
          <w:lang w:eastAsia="zh-CN"/>
        </w:rPr>
      </w:pPr>
    </w:p>
    <w:p w14:paraId="00CA9161">
      <w:pPr>
        <w:pStyle w:val="25"/>
        <w:rPr>
          <w:rFonts w:hint="eastAsia"/>
          <w:highlight w:val="none"/>
          <w:lang w:eastAsia="zh-CN"/>
        </w:rPr>
      </w:pPr>
    </w:p>
    <w:p w14:paraId="272BEF04">
      <w:pPr>
        <w:rPr>
          <w:rFonts w:hint="eastAsia" w:ascii="宋体" w:hAnsi="宋体" w:eastAsia="宋体" w:cs="宋体"/>
          <w:sz w:val="28"/>
          <w:highlight w:val="none"/>
          <w:lang w:eastAsia="zh-CN"/>
        </w:rPr>
      </w:pPr>
    </w:p>
    <w:p w14:paraId="68B50C07">
      <w:pPr>
        <w:pStyle w:val="25"/>
        <w:rPr>
          <w:rFonts w:hint="eastAsia" w:ascii="宋体" w:hAnsi="宋体" w:eastAsia="宋体" w:cs="宋体"/>
          <w:sz w:val="28"/>
          <w:highlight w:val="none"/>
          <w:lang w:eastAsia="zh-CN"/>
        </w:rPr>
      </w:pPr>
    </w:p>
    <w:p w14:paraId="604FFA15">
      <w:pPr>
        <w:pStyle w:val="6"/>
        <w:rPr>
          <w:rFonts w:hint="eastAsia"/>
          <w:highlight w:val="none"/>
          <w:lang w:eastAsia="zh-CN"/>
        </w:rPr>
      </w:pPr>
    </w:p>
    <w:p w14:paraId="28BA3E91">
      <w:pPr>
        <w:pStyle w:val="5"/>
        <w:bidi w:val="0"/>
        <w:rPr>
          <w:rFonts w:hint="eastAsia"/>
          <w:highlight w:val="none"/>
        </w:rPr>
      </w:pPr>
      <w:bookmarkStart w:id="135" w:name="_Toc5255"/>
      <w:bookmarkStart w:id="136" w:name="_Toc17431"/>
      <w:bookmarkStart w:id="137" w:name="_Toc11226"/>
      <w:r>
        <w:rPr>
          <w:rFonts w:hint="eastAsia"/>
          <w:highlight w:val="none"/>
        </w:rPr>
        <w:t>一．开标一览表</w:t>
      </w:r>
      <w:bookmarkEnd w:id="132"/>
      <w:bookmarkEnd w:id="133"/>
      <w:bookmarkEnd w:id="134"/>
      <w:bookmarkEnd w:id="135"/>
      <w:bookmarkEnd w:id="136"/>
      <w:bookmarkEnd w:id="137"/>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3FA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8FBAF19">
            <w:pPr>
              <w:widowControl/>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0311A4E2">
            <w:pPr>
              <w:spacing w:line="360" w:lineRule="exact"/>
              <w:jc w:val="center"/>
              <w:rPr>
                <w:rFonts w:hint="eastAsia" w:ascii="宋体" w:hAnsi="宋体" w:eastAsia="宋体" w:cs="宋体"/>
                <w:bCs/>
                <w:sz w:val="24"/>
                <w:highlight w:val="none"/>
                <w:u w:val="single"/>
              </w:rPr>
            </w:pPr>
          </w:p>
        </w:tc>
      </w:tr>
      <w:tr w14:paraId="24C0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63AE7F4">
            <w:pPr>
              <w:spacing w:line="360" w:lineRule="exact"/>
              <w:jc w:val="center"/>
              <w:rPr>
                <w:rFonts w:hint="eastAsia" w:ascii="宋体" w:hAnsi="宋体" w:eastAsia="宋体" w:cs="宋体"/>
                <w:b/>
                <w:sz w:val="24"/>
                <w:highlight w:val="none"/>
              </w:rPr>
            </w:pPr>
            <w:r>
              <w:rPr>
                <w:rFonts w:hint="eastAsia" w:ascii="宋体" w:hAnsi="宋体" w:cs="宋体"/>
                <w:b/>
                <w:sz w:val="24"/>
                <w:highlight w:val="none"/>
                <w:lang w:eastAsia="zh-CN"/>
              </w:rPr>
              <w:t>供应商</w:t>
            </w:r>
            <w:r>
              <w:rPr>
                <w:rFonts w:hint="eastAsia" w:ascii="宋体" w:hAnsi="宋体" w:eastAsia="宋体" w:cs="宋体"/>
                <w:b/>
                <w:sz w:val="24"/>
                <w:highlight w:val="none"/>
              </w:rPr>
              <w:t>全称</w:t>
            </w:r>
          </w:p>
        </w:tc>
        <w:tc>
          <w:tcPr>
            <w:tcW w:w="6309" w:type="dxa"/>
            <w:tcBorders>
              <w:top w:val="nil"/>
            </w:tcBorders>
            <w:noWrap w:val="0"/>
            <w:vAlign w:val="center"/>
          </w:tcPr>
          <w:p w14:paraId="6FF7F703">
            <w:pPr>
              <w:spacing w:line="360" w:lineRule="auto"/>
              <w:rPr>
                <w:rFonts w:hint="eastAsia" w:ascii="宋体" w:hAnsi="宋体" w:eastAsia="宋体" w:cs="宋体"/>
                <w:sz w:val="24"/>
                <w:highlight w:val="none"/>
              </w:rPr>
            </w:pPr>
          </w:p>
        </w:tc>
      </w:tr>
      <w:tr w14:paraId="229C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11CC0F3">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投标范围</w:t>
            </w:r>
          </w:p>
        </w:tc>
        <w:tc>
          <w:tcPr>
            <w:tcW w:w="6309" w:type="dxa"/>
            <w:tcBorders>
              <w:top w:val="nil"/>
            </w:tcBorders>
            <w:noWrap w:val="0"/>
            <w:vAlign w:val="center"/>
          </w:tcPr>
          <w:p w14:paraId="07B8D6E5">
            <w:pPr>
              <w:widowControl/>
              <w:spacing w:line="360" w:lineRule="exact"/>
              <w:rPr>
                <w:rFonts w:hint="eastAsia" w:ascii="宋体" w:hAnsi="宋体" w:eastAsia="宋体" w:cs="宋体"/>
                <w:b/>
                <w:sz w:val="24"/>
                <w:highlight w:val="none"/>
              </w:rPr>
            </w:pPr>
          </w:p>
        </w:tc>
      </w:tr>
      <w:tr w14:paraId="1499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0B0FAB1">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1、最终投标报价</w:t>
            </w:r>
          </w:p>
          <w:p w14:paraId="6D0F3F0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（人民币）</w:t>
            </w:r>
          </w:p>
          <w:p w14:paraId="0E4DAC5D">
            <w:pPr>
              <w:spacing w:line="360" w:lineRule="exact"/>
              <w:rPr>
                <w:rFonts w:hint="eastAsia" w:ascii="宋体" w:hAnsi="宋体" w:eastAsia="宋体" w:cs="宋体"/>
                <w:highlight w:val="none"/>
              </w:rPr>
            </w:pPr>
          </w:p>
        </w:tc>
        <w:tc>
          <w:tcPr>
            <w:tcW w:w="6309" w:type="dxa"/>
            <w:tcBorders>
              <w:top w:val="nil"/>
            </w:tcBorders>
            <w:noWrap w:val="0"/>
            <w:vAlign w:val="center"/>
          </w:tcPr>
          <w:p w14:paraId="6222B1F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 xml:space="preserve">1、投标报价：        元、大写：         </w:t>
            </w:r>
          </w:p>
          <w:p w14:paraId="0E6F4006">
            <w:pPr>
              <w:pStyle w:val="20"/>
              <w:ind w:right="-21" w:firstLine="540"/>
              <w:rPr>
                <w:rFonts w:hint="eastAsia" w:ascii="宋体" w:hAnsi="宋体" w:eastAsia="宋体" w:cs="宋体"/>
                <w:highlight w:val="none"/>
                <w:lang w:val="en-US" w:eastAsia="zh-CN"/>
              </w:rPr>
            </w:pPr>
          </w:p>
        </w:tc>
      </w:tr>
      <w:tr w14:paraId="065E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2C508303">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309" w:type="dxa"/>
            <w:tcBorders>
              <w:top w:val="nil"/>
            </w:tcBorders>
            <w:noWrap w:val="0"/>
            <w:vAlign w:val="center"/>
          </w:tcPr>
          <w:p w14:paraId="11A405A5">
            <w:pPr>
              <w:spacing w:line="360" w:lineRule="auto"/>
              <w:jc w:val="left"/>
              <w:rPr>
                <w:rFonts w:hint="eastAsia" w:ascii="宋体" w:hAnsi="宋体" w:eastAsia="宋体" w:cs="宋体"/>
                <w:sz w:val="24"/>
                <w:szCs w:val="28"/>
                <w:highlight w:val="none"/>
              </w:rPr>
            </w:pPr>
          </w:p>
        </w:tc>
      </w:tr>
    </w:tbl>
    <w:p w14:paraId="78BA3528">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供应商名称：（电子签章）</w:t>
      </w:r>
    </w:p>
    <w:p w14:paraId="64DCB7D2">
      <w:pPr>
        <w:spacing w:line="380" w:lineRule="exact"/>
        <w:ind w:right="640" w:firstLine="1560" w:firstLineChars="650"/>
        <w:rPr>
          <w:rFonts w:hint="eastAsia" w:ascii="宋体" w:hAnsi="宋体" w:eastAsia="宋体" w:cs="宋体"/>
          <w:sz w:val="24"/>
          <w:highlight w:val="none"/>
        </w:rPr>
      </w:pPr>
    </w:p>
    <w:p w14:paraId="02ECC469">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授权委托人：</w:t>
      </w:r>
    </w:p>
    <w:p w14:paraId="297CBC40">
      <w:pPr>
        <w:spacing w:line="380" w:lineRule="exact"/>
        <w:jc w:val="center"/>
        <w:rPr>
          <w:rFonts w:hint="eastAsia" w:ascii="宋体" w:hAnsi="宋体" w:eastAsia="宋体" w:cs="宋体"/>
          <w:sz w:val="24"/>
          <w:highlight w:val="none"/>
        </w:rPr>
      </w:pPr>
    </w:p>
    <w:p w14:paraId="691B7C44">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39E40CEC">
      <w:pPr>
        <w:spacing w:before="100" w:beforeAutospacing="1" w:after="100" w:afterAutospacing="1"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w:t>
      </w:r>
    </w:p>
    <w:p w14:paraId="5A28CC16">
      <w:pPr>
        <w:spacing w:line="500" w:lineRule="exact"/>
        <w:jc w:val="center"/>
        <w:rPr>
          <w:rFonts w:hint="eastAsia" w:ascii="宋体" w:hAnsi="宋体" w:eastAsia="宋体" w:cs="宋体"/>
          <w:b/>
          <w:bCs/>
          <w:sz w:val="30"/>
          <w:highlight w:val="none"/>
        </w:rPr>
      </w:pPr>
    </w:p>
    <w:p w14:paraId="4480CD61">
      <w:pPr>
        <w:pStyle w:val="25"/>
        <w:rPr>
          <w:rFonts w:hint="eastAsia"/>
          <w:highlight w:val="none"/>
        </w:rPr>
      </w:pPr>
    </w:p>
    <w:p w14:paraId="1E0A65B1">
      <w:pPr>
        <w:spacing w:line="500" w:lineRule="exact"/>
        <w:jc w:val="center"/>
        <w:rPr>
          <w:rFonts w:hint="eastAsia" w:ascii="宋体" w:hAnsi="宋体" w:eastAsia="宋体" w:cs="宋体"/>
          <w:b/>
          <w:bCs/>
          <w:sz w:val="30"/>
          <w:highlight w:val="none"/>
        </w:rPr>
      </w:pPr>
    </w:p>
    <w:p w14:paraId="6B986139">
      <w:pPr>
        <w:spacing w:line="500" w:lineRule="exact"/>
        <w:jc w:val="center"/>
        <w:rPr>
          <w:rFonts w:hint="eastAsia" w:ascii="宋体" w:hAnsi="宋体" w:eastAsia="宋体" w:cs="宋体"/>
          <w:b/>
          <w:bCs/>
          <w:sz w:val="30"/>
          <w:highlight w:val="none"/>
        </w:rPr>
      </w:pPr>
    </w:p>
    <w:p w14:paraId="3D22298F">
      <w:pPr>
        <w:pStyle w:val="5"/>
        <w:rPr>
          <w:rFonts w:hint="eastAsia" w:ascii="宋体" w:hAnsi="宋体" w:eastAsia="宋体" w:cs="宋体"/>
          <w:sz w:val="28"/>
          <w:highlight w:val="none"/>
        </w:rPr>
      </w:pPr>
      <w:bookmarkStart w:id="138" w:name="_Hlt533409360"/>
      <w:bookmarkEnd w:id="138"/>
      <w:bookmarkStart w:id="139" w:name="_Hlt509716873"/>
      <w:bookmarkEnd w:id="139"/>
      <w:bookmarkStart w:id="140" w:name="_Hlt533408409"/>
      <w:bookmarkEnd w:id="140"/>
      <w:bookmarkStart w:id="141" w:name="_Hlt519045798"/>
      <w:bookmarkEnd w:id="141"/>
      <w:bookmarkStart w:id="142" w:name="_Hlt533408916"/>
      <w:bookmarkEnd w:id="142"/>
      <w:bookmarkStart w:id="143" w:name="_Toc11175_WPSOffice_Level2"/>
      <w:bookmarkStart w:id="144" w:name="_Toc6108"/>
      <w:bookmarkStart w:id="145" w:name="_Toc516969097"/>
      <w:bookmarkStart w:id="146" w:name="_Toc18070"/>
      <w:bookmarkStart w:id="147" w:name="_Toc40975450"/>
      <w:bookmarkStart w:id="148" w:name="_Toc32321"/>
      <w:bookmarkStart w:id="149" w:name="_Toc197934563"/>
      <w:r>
        <w:rPr>
          <w:rFonts w:hint="eastAsia" w:ascii="宋体" w:hAnsi="宋体" w:eastAsia="宋体" w:cs="宋体"/>
          <w:sz w:val="28"/>
          <w:highlight w:val="none"/>
        </w:rPr>
        <w:t>二．</w:t>
      </w:r>
      <w:r>
        <w:rPr>
          <w:rFonts w:hint="eastAsia" w:hAnsi="宋体" w:cs="宋体"/>
          <w:sz w:val="28"/>
          <w:highlight w:val="none"/>
          <w:lang w:eastAsia="zh-CN"/>
        </w:rPr>
        <w:t>供应商</w:t>
      </w:r>
      <w:r>
        <w:rPr>
          <w:rFonts w:hint="eastAsia" w:ascii="宋体" w:hAnsi="宋体" w:eastAsia="宋体" w:cs="宋体"/>
          <w:sz w:val="28"/>
          <w:highlight w:val="none"/>
        </w:rPr>
        <w:t>综合情况简介</w:t>
      </w:r>
      <w:bookmarkEnd w:id="143"/>
      <w:bookmarkEnd w:id="144"/>
      <w:bookmarkEnd w:id="145"/>
      <w:bookmarkEnd w:id="146"/>
      <w:bookmarkEnd w:id="147"/>
      <w:bookmarkEnd w:id="148"/>
    </w:p>
    <w:p w14:paraId="4C7C2731">
      <w:pPr>
        <w:spacing w:line="500" w:lineRule="exact"/>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64475DD2">
      <w:pPr>
        <w:pStyle w:val="25"/>
        <w:rPr>
          <w:rFonts w:hint="eastAsia" w:ascii="宋体" w:hAnsi="宋体" w:eastAsia="宋体" w:cs="宋体"/>
          <w:sz w:val="24"/>
          <w:highlight w:val="none"/>
        </w:rPr>
      </w:pPr>
    </w:p>
    <w:p w14:paraId="36F500CD">
      <w:pPr>
        <w:pStyle w:val="6"/>
        <w:rPr>
          <w:rFonts w:hint="eastAsia" w:ascii="宋体" w:hAnsi="宋体" w:eastAsia="宋体" w:cs="宋体"/>
          <w:sz w:val="24"/>
          <w:highlight w:val="none"/>
        </w:rPr>
      </w:pPr>
    </w:p>
    <w:p w14:paraId="5C19A6DD">
      <w:pPr>
        <w:rPr>
          <w:rFonts w:hint="eastAsia" w:ascii="宋体" w:hAnsi="宋体" w:eastAsia="宋体" w:cs="宋体"/>
          <w:sz w:val="24"/>
          <w:highlight w:val="none"/>
        </w:rPr>
      </w:pPr>
    </w:p>
    <w:p w14:paraId="38D4EC75">
      <w:pPr>
        <w:pStyle w:val="25"/>
        <w:rPr>
          <w:rFonts w:hint="eastAsia" w:ascii="宋体" w:hAnsi="宋体" w:eastAsia="宋体" w:cs="宋体"/>
          <w:sz w:val="24"/>
          <w:highlight w:val="none"/>
        </w:rPr>
      </w:pPr>
    </w:p>
    <w:p w14:paraId="64622B13">
      <w:pPr>
        <w:pStyle w:val="6"/>
        <w:rPr>
          <w:rFonts w:hint="eastAsia" w:ascii="宋体" w:hAnsi="宋体" w:eastAsia="宋体" w:cs="宋体"/>
          <w:sz w:val="24"/>
          <w:highlight w:val="none"/>
        </w:rPr>
      </w:pPr>
    </w:p>
    <w:p w14:paraId="24C942E3">
      <w:pPr>
        <w:rPr>
          <w:rFonts w:hint="eastAsia" w:ascii="宋体" w:hAnsi="宋体" w:eastAsia="宋体" w:cs="宋体"/>
          <w:sz w:val="24"/>
          <w:highlight w:val="none"/>
        </w:rPr>
      </w:pPr>
    </w:p>
    <w:p w14:paraId="77B6C145">
      <w:pPr>
        <w:pStyle w:val="25"/>
        <w:rPr>
          <w:rFonts w:hint="eastAsia" w:ascii="宋体" w:hAnsi="宋体" w:eastAsia="宋体" w:cs="宋体"/>
          <w:sz w:val="24"/>
          <w:highlight w:val="none"/>
        </w:rPr>
      </w:pPr>
    </w:p>
    <w:p w14:paraId="02E9A2D8">
      <w:pPr>
        <w:pStyle w:val="6"/>
        <w:rPr>
          <w:rFonts w:hint="eastAsia" w:ascii="宋体" w:hAnsi="宋体" w:eastAsia="宋体" w:cs="宋体"/>
          <w:sz w:val="24"/>
          <w:highlight w:val="none"/>
        </w:rPr>
      </w:pPr>
    </w:p>
    <w:p w14:paraId="09BD4B7B">
      <w:pPr>
        <w:rPr>
          <w:rFonts w:hint="eastAsia" w:ascii="宋体" w:hAnsi="宋体" w:eastAsia="宋体" w:cs="宋体"/>
          <w:sz w:val="24"/>
          <w:highlight w:val="none"/>
        </w:rPr>
      </w:pPr>
    </w:p>
    <w:p w14:paraId="50102BBC">
      <w:pPr>
        <w:pStyle w:val="25"/>
        <w:rPr>
          <w:rFonts w:hint="eastAsia" w:ascii="宋体" w:hAnsi="宋体" w:eastAsia="宋体" w:cs="宋体"/>
          <w:sz w:val="24"/>
          <w:highlight w:val="none"/>
        </w:rPr>
      </w:pPr>
    </w:p>
    <w:p w14:paraId="675EC01D">
      <w:pPr>
        <w:pStyle w:val="6"/>
        <w:rPr>
          <w:rFonts w:hint="eastAsia" w:ascii="宋体" w:hAnsi="宋体" w:eastAsia="宋体" w:cs="宋体"/>
          <w:sz w:val="24"/>
          <w:highlight w:val="none"/>
        </w:rPr>
      </w:pPr>
    </w:p>
    <w:p w14:paraId="166D70F0">
      <w:pPr>
        <w:rPr>
          <w:rFonts w:hint="eastAsia" w:ascii="宋体" w:hAnsi="宋体" w:eastAsia="宋体" w:cs="宋体"/>
          <w:sz w:val="24"/>
          <w:highlight w:val="none"/>
        </w:rPr>
      </w:pPr>
    </w:p>
    <w:p w14:paraId="0ED547E1">
      <w:pPr>
        <w:pStyle w:val="25"/>
        <w:rPr>
          <w:rFonts w:hint="eastAsia" w:ascii="宋体" w:hAnsi="宋体" w:eastAsia="宋体" w:cs="宋体"/>
          <w:sz w:val="24"/>
          <w:highlight w:val="none"/>
        </w:rPr>
      </w:pPr>
    </w:p>
    <w:p w14:paraId="7E4146B9">
      <w:pPr>
        <w:pStyle w:val="6"/>
        <w:rPr>
          <w:rFonts w:hint="eastAsia" w:ascii="宋体" w:hAnsi="宋体" w:eastAsia="宋体" w:cs="宋体"/>
          <w:sz w:val="24"/>
          <w:highlight w:val="none"/>
        </w:rPr>
      </w:pPr>
    </w:p>
    <w:p w14:paraId="2214868F">
      <w:pPr>
        <w:rPr>
          <w:rFonts w:hint="eastAsia" w:ascii="宋体" w:hAnsi="宋体" w:eastAsia="宋体" w:cs="宋体"/>
          <w:sz w:val="24"/>
          <w:highlight w:val="none"/>
        </w:rPr>
      </w:pPr>
    </w:p>
    <w:p w14:paraId="118564B5">
      <w:pPr>
        <w:pStyle w:val="25"/>
        <w:rPr>
          <w:rFonts w:hint="eastAsia" w:ascii="宋体" w:hAnsi="宋体" w:eastAsia="宋体" w:cs="宋体"/>
          <w:sz w:val="24"/>
          <w:highlight w:val="none"/>
        </w:rPr>
      </w:pPr>
    </w:p>
    <w:p w14:paraId="01D83DC7">
      <w:pPr>
        <w:pStyle w:val="6"/>
        <w:rPr>
          <w:rFonts w:hint="eastAsia" w:ascii="宋体" w:hAnsi="宋体" w:eastAsia="宋体" w:cs="宋体"/>
          <w:sz w:val="24"/>
          <w:highlight w:val="none"/>
        </w:rPr>
      </w:pPr>
    </w:p>
    <w:p w14:paraId="32390E93">
      <w:pPr>
        <w:rPr>
          <w:rFonts w:hint="eastAsia" w:ascii="宋体" w:hAnsi="宋体" w:eastAsia="宋体" w:cs="宋体"/>
          <w:sz w:val="24"/>
          <w:highlight w:val="none"/>
        </w:rPr>
      </w:pPr>
    </w:p>
    <w:p w14:paraId="450F7E2B">
      <w:pPr>
        <w:pStyle w:val="25"/>
        <w:rPr>
          <w:rFonts w:hint="eastAsia" w:ascii="宋体" w:hAnsi="宋体" w:eastAsia="宋体" w:cs="宋体"/>
          <w:sz w:val="24"/>
          <w:highlight w:val="none"/>
        </w:rPr>
      </w:pPr>
    </w:p>
    <w:p w14:paraId="2164C953">
      <w:pPr>
        <w:pStyle w:val="6"/>
        <w:rPr>
          <w:rFonts w:hint="eastAsia" w:ascii="宋体" w:hAnsi="宋体" w:eastAsia="宋体" w:cs="宋体"/>
          <w:sz w:val="24"/>
          <w:highlight w:val="none"/>
        </w:rPr>
      </w:pPr>
    </w:p>
    <w:p w14:paraId="2F95CEE9">
      <w:pPr>
        <w:rPr>
          <w:rFonts w:hint="eastAsia" w:ascii="宋体" w:hAnsi="宋体" w:eastAsia="宋体" w:cs="宋体"/>
          <w:sz w:val="24"/>
          <w:highlight w:val="none"/>
        </w:rPr>
      </w:pPr>
    </w:p>
    <w:p w14:paraId="23F5F4BD">
      <w:pPr>
        <w:pStyle w:val="25"/>
        <w:rPr>
          <w:rFonts w:hint="eastAsia" w:ascii="宋体" w:hAnsi="宋体" w:eastAsia="宋体" w:cs="宋体"/>
          <w:sz w:val="24"/>
          <w:highlight w:val="none"/>
        </w:rPr>
      </w:pPr>
    </w:p>
    <w:p w14:paraId="2672446B">
      <w:pPr>
        <w:pStyle w:val="6"/>
        <w:rPr>
          <w:rFonts w:hint="eastAsia" w:ascii="宋体" w:hAnsi="宋体" w:eastAsia="宋体" w:cs="宋体"/>
          <w:sz w:val="24"/>
          <w:highlight w:val="none"/>
        </w:rPr>
      </w:pPr>
    </w:p>
    <w:p w14:paraId="3A8096E1">
      <w:pPr>
        <w:rPr>
          <w:rFonts w:hint="eastAsia" w:ascii="宋体" w:hAnsi="宋体" w:eastAsia="宋体" w:cs="宋体"/>
          <w:sz w:val="24"/>
          <w:highlight w:val="none"/>
        </w:rPr>
      </w:pPr>
    </w:p>
    <w:p w14:paraId="0616A167">
      <w:pPr>
        <w:pStyle w:val="25"/>
        <w:rPr>
          <w:rFonts w:hint="eastAsia" w:ascii="宋体" w:hAnsi="宋体" w:eastAsia="宋体" w:cs="宋体"/>
          <w:sz w:val="24"/>
          <w:highlight w:val="none"/>
        </w:rPr>
      </w:pPr>
    </w:p>
    <w:p w14:paraId="0FCB7073">
      <w:pPr>
        <w:pStyle w:val="6"/>
        <w:rPr>
          <w:rFonts w:hint="eastAsia" w:ascii="宋体" w:hAnsi="宋体" w:eastAsia="宋体" w:cs="宋体"/>
          <w:sz w:val="24"/>
          <w:highlight w:val="none"/>
        </w:rPr>
      </w:pPr>
    </w:p>
    <w:p w14:paraId="05F10263">
      <w:pPr>
        <w:rPr>
          <w:rFonts w:hint="eastAsia" w:ascii="宋体" w:hAnsi="宋体" w:eastAsia="宋体" w:cs="宋体"/>
          <w:sz w:val="24"/>
          <w:highlight w:val="none"/>
        </w:rPr>
      </w:pPr>
    </w:p>
    <w:p w14:paraId="4FA03D76">
      <w:pPr>
        <w:pStyle w:val="25"/>
        <w:rPr>
          <w:rFonts w:hint="eastAsia" w:ascii="宋体" w:hAnsi="宋体" w:eastAsia="宋体" w:cs="宋体"/>
          <w:sz w:val="24"/>
          <w:highlight w:val="none"/>
        </w:rPr>
      </w:pPr>
    </w:p>
    <w:p w14:paraId="2D123A37">
      <w:pPr>
        <w:pStyle w:val="6"/>
        <w:rPr>
          <w:rFonts w:hint="eastAsia" w:ascii="宋体" w:hAnsi="宋体" w:eastAsia="宋体" w:cs="宋体"/>
          <w:sz w:val="24"/>
          <w:highlight w:val="none"/>
        </w:rPr>
      </w:pPr>
    </w:p>
    <w:p w14:paraId="336170F5">
      <w:pPr>
        <w:rPr>
          <w:rFonts w:hint="eastAsia" w:ascii="宋体" w:hAnsi="宋体" w:eastAsia="宋体" w:cs="宋体"/>
          <w:sz w:val="24"/>
          <w:highlight w:val="none"/>
        </w:rPr>
      </w:pPr>
    </w:p>
    <w:p w14:paraId="315048C8">
      <w:pPr>
        <w:pStyle w:val="25"/>
        <w:rPr>
          <w:rFonts w:hint="eastAsia" w:ascii="宋体" w:hAnsi="宋体" w:eastAsia="宋体" w:cs="宋体"/>
          <w:sz w:val="24"/>
          <w:highlight w:val="none"/>
        </w:rPr>
      </w:pPr>
    </w:p>
    <w:p w14:paraId="510D5FB8">
      <w:pPr>
        <w:pStyle w:val="6"/>
        <w:rPr>
          <w:rFonts w:hint="eastAsia" w:ascii="宋体" w:hAnsi="宋体" w:eastAsia="宋体" w:cs="宋体"/>
          <w:sz w:val="24"/>
          <w:highlight w:val="none"/>
        </w:rPr>
      </w:pPr>
    </w:p>
    <w:p w14:paraId="7941DF40">
      <w:pPr>
        <w:rPr>
          <w:rFonts w:hint="eastAsia" w:ascii="宋体" w:hAnsi="宋体" w:eastAsia="宋体" w:cs="宋体"/>
          <w:sz w:val="24"/>
          <w:highlight w:val="none"/>
        </w:rPr>
      </w:pPr>
    </w:p>
    <w:p w14:paraId="3521EC81">
      <w:pPr>
        <w:pStyle w:val="25"/>
        <w:rPr>
          <w:rFonts w:hint="eastAsia" w:ascii="宋体" w:hAnsi="宋体" w:eastAsia="宋体" w:cs="宋体"/>
          <w:sz w:val="24"/>
          <w:highlight w:val="none"/>
        </w:rPr>
      </w:pPr>
    </w:p>
    <w:p w14:paraId="50CBBBF9">
      <w:pPr>
        <w:pStyle w:val="6"/>
        <w:rPr>
          <w:rFonts w:hint="eastAsia" w:ascii="宋体" w:hAnsi="宋体" w:eastAsia="宋体" w:cs="宋体"/>
          <w:sz w:val="24"/>
          <w:highlight w:val="none"/>
        </w:rPr>
      </w:pPr>
    </w:p>
    <w:p w14:paraId="285EEBD2">
      <w:pPr>
        <w:rPr>
          <w:rFonts w:hint="eastAsia"/>
          <w:highlight w:val="none"/>
        </w:rPr>
      </w:pPr>
    </w:p>
    <w:p w14:paraId="68BDD18F">
      <w:pPr>
        <w:pStyle w:val="15"/>
        <w:rPr>
          <w:rFonts w:hint="eastAsia" w:ascii="宋体" w:hAnsi="宋体" w:eastAsia="宋体" w:cs="宋体"/>
          <w:highlight w:val="none"/>
        </w:rPr>
      </w:pPr>
    </w:p>
    <w:p w14:paraId="0F0F69D4">
      <w:pPr>
        <w:pStyle w:val="5"/>
        <w:spacing w:after="240"/>
        <w:rPr>
          <w:rFonts w:hint="eastAsia" w:ascii="宋体" w:hAnsi="宋体" w:eastAsia="宋体" w:cs="宋体"/>
          <w:sz w:val="28"/>
          <w:highlight w:val="none"/>
        </w:rPr>
      </w:pPr>
      <w:bookmarkStart w:id="150" w:name="_Hlt509739007"/>
      <w:bookmarkEnd w:id="150"/>
      <w:bookmarkStart w:id="151" w:name="_Toc25232"/>
      <w:bookmarkStart w:id="152" w:name="_Toc516969098"/>
      <w:bookmarkStart w:id="153" w:name="_Toc40975451"/>
      <w:bookmarkStart w:id="154" w:name="_Toc23480"/>
      <w:bookmarkStart w:id="155" w:name="_Toc1391_WPSOffice_Level2"/>
      <w:bookmarkStart w:id="156" w:name="_Toc15297"/>
      <w:r>
        <w:rPr>
          <w:rFonts w:hint="eastAsia" w:ascii="宋体" w:hAnsi="宋体" w:eastAsia="宋体" w:cs="宋体"/>
          <w:sz w:val="28"/>
          <w:highlight w:val="none"/>
        </w:rPr>
        <w:t>三．投标函</w:t>
      </w:r>
      <w:bookmarkEnd w:id="151"/>
      <w:bookmarkEnd w:id="152"/>
      <w:bookmarkEnd w:id="153"/>
      <w:bookmarkEnd w:id="154"/>
      <w:bookmarkEnd w:id="155"/>
      <w:bookmarkEnd w:id="156"/>
    </w:p>
    <w:p w14:paraId="0E4DF5EC">
      <w:pPr>
        <w:pStyle w:val="12"/>
        <w:spacing w:line="360" w:lineRule="auto"/>
        <w:rPr>
          <w:rFonts w:hint="eastAsia" w:ascii="宋体" w:hAnsi="宋体" w:eastAsia="宋体" w:cs="宋体"/>
          <w:b w:val="0"/>
          <w:kern w:val="2"/>
          <w:sz w:val="24"/>
          <w:highlight w:val="none"/>
          <w:lang w:val="en-US" w:eastAsia="zh-CN" w:bidi="ar-SA"/>
        </w:rPr>
      </w:pPr>
      <w:r>
        <w:rPr>
          <w:rFonts w:hint="eastAsia" w:ascii="宋体" w:hAnsi="宋体" w:eastAsia="宋体" w:cs="宋体"/>
          <w:b w:val="0"/>
          <w:kern w:val="2"/>
          <w:sz w:val="24"/>
          <w:highlight w:val="none"/>
          <w:lang w:val="en-US" w:eastAsia="zh-CN" w:bidi="ar-SA"/>
        </w:rPr>
        <w:t>致：（采购人</w:t>
      </w:r>
      <w:r>
        <w:rPr>
          <w:rFonts w:hint="eastAsia" w:ascii="宋体" w:hAnsi="宋体"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785EDE24">
      <w:pPr>
        <w:spacing w:line="360" w:lineRule="auto"/>
        <w:ind w:left="239" w:leftChars="114" w:firstLine="386" w:firstLineChars="161"/>
        <w:rPr>
          <w:rFonts w:hint="eastAsia" w:ascii="宋体" w:hAnsi="宋体" w:eastAsia="宋体" w:cs="宋体"/>
          <w:b/>
          <w:bCs/>
          <w:sz w:val="24"/>
          <w:highlight w:val="none"/>
          <w:u w:val="single"/>
        </w:rPr>
      </w:pPr>
      <w:r>
        <w:rPr>
          <w:rFonts w:hint="eastAsia" w:ascii="宋体" w:hAnsi="宋体" w:eastAsia="宋体" w:cs="宋体"/>
          <w:sz w:val="24"/>
          <w:highlight w:val="none"/>
        </w:rPr>
        <w:t>根据贵方</w:t>
      </w:r>
      <w:r>
        <w:rPr>
          <w:rFonts w:hint="eastAsia" w:ascii="宋体" w:hAnsi="宋体" w:eastAsia="宋体" w:cs="宋体"/>
          <w:b w:val="0"/>
          <w:bCs w:val="0"/>
          <w:sz w:val="24"/>
          <w:highlight w:val="none"/>
          <w:u w:val="none"/>
          <w:lang w:val="en-US" w:eastAsia="zh-CN"/>
        </w:rPr>
        <w:t>项目名称、项目编号</w:t>
      </w:r>
      <w:r>
        <w:rPr>
          <w:rFonts w:hint="eastAsia" w:ascii="宋体" w:hAnsi="宋体" w:eastAsia="宋体" w:cs="宋体"/>
          <w:sz w:val="24"/>
          <w:highlight w:val="none"/>
        </w:rPr>
        <w:t>项目招标邀请书或招标公告，正式授权下述签字人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（姓名）代表</w:t>
      </w:r>
      <w:r>
        <w:rPr>
          <w:rFonts w:hint="eastAsia" w:ascii="宋体" w:hAnsi="宋体" w:cs="宋体"/>
          <w:sz w:val="24"/>
          <w:highlight w:val="none"/>
          <w:lang w:eastAsia="zh-CN"/>
        </w:rPr>
        <w:t>供应商</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全称），提交规定形式的投标文件。</w:t>
      </w:r>
    </w:p>
    <w:p w14:paraId="68D7251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据此函，我方兹宣布同意如下：</w:t>
      </w:r>
    </w:p>
    <w:p w14:paraId="67F7264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（1）如我公司中标，愿意按招标文件规定提供交付服务（包括税费等工作）的总报价为人民币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元，服务期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967C9B9">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（2）我方根据招标文件的规定，严格履行合同的责任和义务,并保证于买方要求的日期内完成服务，并通过买方验收。</w:t>
      </w:r>
    </w:p>
    <w:p w14:paraId="0C113745">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（3）我方承诺报价低于同类货物和服务的市场平均价格。</w:t>
      </w:r>
    </w:p>
    <w:p w14:paraId="4A1DCE14">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E6AC3A3">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（5）我方同意从招标文件规定的开标日期起遵循本投标文件，并在招标文件规定的投标有效期</w:t>
      </w:r>
      <w:r>
        <w:rPr>
          <w:rFonts w:hint="eastAsia" w:ascii="宋体" w:hAnsi="宋体" w:cs="宋体"/>
          <w:sz w:val="24"/>
          <w:highlight w:val="none"/>
          <w:lang w:val="en-US" w:eastAsia="zh-CN"/>
        </w:rPr>
        <w:t xml:space="preserve"> 天内</w:t>
      </w:r>
      <w:r>
        <w:rPr>
          <w:rFonts w:hint="eastAsia" w:ascii="宋体" w:hAnsi="宋体" w:eastAsia="宋体" w:cs="宋体"/>
          <w:sz w:val="24"/>
          <w:highlight w:val="none"/>
        </w:rPr>
        <w:t>均具有约束力。</w:t>
      </w:r>
    </w:p>
    <w:p w14:paraId="5C8153EB">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1401D79">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（7）我方完全理解贵方不一定接受最低报价的投标。</w:t>
      </w:r>
    </w:p>
    <w:p w14:paraId="0A55509C">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（8）我方同意招标文件规定的付款方式。</w:t>
      </w:r>
    </w:p>
    <w:p w14:paraId="7F423169">
      <w:pPr>
        <w:spacing w:line="360" w:lineRule="auto"/>
        <w:ind w:firstLine="630"/>
        <w:rPr>
          <w:rFonts w:hint="eastAsia" w:ascii="宋体" w:hAnsi="宋体" w:eastAsia="宋体" w:cs="宋体"/>
          <w:sz w:val="24"/>
          <w:highlight w:val="none"/>
          <w:u w:val="single"/>
        </w:rPr>
      </w:pPr>
      <w:r>
        <w:rPr>
          <w:rFonts w:hint="eastAsia" w:ascii="宋体" w:hAnsi="宋体" w:eastAsia="宋体" w:cs="宋体"/>
          <w:sz w:val="24"/>
          <w:highlight w:val="none"/>
        </w:rPr>
        <w:t>（9）与本投标有关的通讯地址：</w:t>
      </w:r>
      <w:r>
        <w:rPr>
          <w:rFonts w:hint="eastAsia" w:ascii="宋体" w:hAnsi="宋体" w:eastAsia="宋体" w:cs="宋体"/>
          <w:sz w:val="24"/>
          <w:highlight w:val="none"/>
          <w:u w:val="single"/>
        </w:rPr>
        <w:t xml:space="preserve">                                  </w:t>
      </w:r>
    </w:p>
    <w:p w14:paraId="4D2408A6">
      <w:pPr>
        <w:pStyle w:val="26"/>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2D97A5B2">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24D4F464">
      <w:pPr>
        <w:spacing w:line="380" w:lineRule="exact"/>
        <w:ind w:right="640" w:firstLine="1560" w:firstLineChars="650"/>
        <w:rPr>
          <w:rFonts w:hint="eastAsia" w:ascii="宋体" w:hAnsi="宋体" w:eastAsia="宋体" w:cs="宋体"/>
          <w:sz w:val="24"/>
          <w:highlight w:val="none"/>
        </w:rPr>
      </w:pPr>
    </w:p>
    <w:p w14:paraId="7EA1367C">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法人代表</w:t>
      </w:r>
      <w:r>
        <w:rPr>
          <w:rFonts w:hint="eastAsia" w:ascii="宋体" w:hAnsi="宋体" w:eastAsia="宋体" w:cs="宋体"/>
          <w:sz w:val="24"/>
          <w:highlight w:val="none"/>
          <w:lang w:val="en-US" w:eastAsia="zh-CN"/>
        </w:rPr>
        <w:t>和授权委托人</w:t>
      </w:r>
      <w:r>
        <w:rPr>
          <w:rFonts w:hint="eastAsia" w:ascii="宋体" w:hAnsi="宋体" w:eastAsia="宋体" w:cs="宋体"/>
          <w:sz w:val="24"/>
          <w:highlight w:val="none"/>
        </w:rPr>
        <w:t>：（签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2509BAEB">
      <w:pPr>
        <w:spacing w:line="380" w:lineRule="exact"/>
        <w:jc w:val="center"/>
        <w:rPr>
          <w:rFonts w:hint="eastAsia" w:ascii="宋体" w:hAnsi="宋体" w:eastAsia="宋体" w:cs="宋体"/>
          <w:sz w:val="24"/>
          <w:highlight w:val="none"/>
        </w:rPr>
      </w:pPr>
    </w:p>
    <w:p w14:paraId="742B8E53">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bookmarkEnd w:id="128"/>
    <w:bookmarkEnd w:id="129"/>
    <w:bookmarkEnd w:id="130"/>
    <w:bookmarkEnd w:id="149"/>
    <w:p w14:paraId="2B06FAD4">
      <w:pPr>
        <w:adjustRightInd w:val="0"/>
        <w:snapToGrid w:val="0"/>
        <w:spacing w:line="360" w:lineRule="auto"/>
        <w:rPr>
          <w:rFonts w:hint="eastAsia" w:ascii="宋体" w:hAnsi="宋体" w:eastAsia="宋体" w:cs="宋体"/>
          <w:b/>
          <w:bCs/>
          <w:sz w:val="24"/>
          <w:szCs w:val="28"/>
          <w:highlight w:val="none"/>
        </w:rPr>
      </w:pPr>
      <w:bookmarkStart w:id="157" w:name="_Toc27270_WPSOffice_Level2"/>
      <w:bookmarkStart w:id="158" w:name="_Toc197934552"/>
    </w:p>
    <w:p w14:paraId="6DF38BD5">
      <w:pPr>
        <w:pStyle w:val="15"/>
        <w:rPr>
          <w:rFonts w:hint="eastAsia" w:ascii="宋体" w:hAnsi="宋体" w:eastAsia="宋体" w:cs="宋体"/>
          <w:highlight w:val="none"/>
        </w:rPr>
      </w:pPr>
    </w:p>
    <w:p w14:paraId="5C924A83">
      <w:pPr>
        <w:pStyle w:val="15"/>
        <w:rPr>
          <w:rFonts w:hint="eastAsia" w:ascii="宋体" w:hAnsi="宋体" w:eastAsia="宋体" w:cs="宋体"/>
          <w:highlight w:val="none"/>
        </w:rPr>
      </w:pPr>
    </w:p>
    <w:p w14:paraId="1BA3C233">
      <w:pPr>
        <w:pStyle w:val="5"/>
        <w:rPr>
          <w:rFonts w:hint="eastAsia" w:ascii="宋体" w:hAnsi="宋体" w:eastAsia="宋体" w:cs="宋体"/>
          <w:sz w:val="28"/>
          <w:highlight w:val="none"/>
        </w:rPr>
      </w:pPr>
      <w:bookmarkStart w:id="159" w:name="_Toc22823"/>
      <w:bookmarkStart w:id="160" w:name="_Toc40975453"/>
      <w:bookmarkStart w:id="161" w:name="_Toc30168"/>
      <w:bookmarkStart w:id="162" w:name="_Toc3380"/>
      <w:r>
        <w:rPr>
          <w:rFonts w:hint="eastAsia" w:hAnsi="宋体" w:cs="宋体"/>
          <w:sz w:val="28"/>
          <w:highlight w:val="none"/>
          <w:lang w:val="en-US" w:eastAsia="zh-CN"/>
        </w:rPr>
        <w:t>四</w:t>
      </w:r>
      <w:r>
        <w:rPr>
          <w:rFonts w:hint="eastAsia" w:ascii="宋体" w:hAnsi="宋体" w:eastAsia="宋体" w:cs="宋体"/>
          <w:sz w:val="28"/>
          <w:highlight w:val="none"/>
        </w:rPr>
        <w:t>．投标响应表</w:t>
      </w:r>
      <w:bookmarkEnd w:id="157"/>
      <w:bookmarkEnd w:id="158"/>
      <w:bookmarkEnd w:id="159"/>
      <w:bookmarkEnd w:id="160"/>
      <w:bookmarkEnd w:id="161"/>
      <w:bookmarkEnd w:id="162"/>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CC6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34523525">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按招标文件规定填写</w:t>
            </w:r>
          </w:p>
        </w:tc>
        <w:tc>
          <w:tcPr>
            <w:tcW w:w="3534" w:type="dxa"/>
            <w:gridSpan w:val="2"/>
            <w:noWrap w:val="0"/>
            <w:vAlign w:val="center"/>
          </w:tcPr>
          <w:p w14:paraId="590F2BA7">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w:t>
            </w:r>
            <w:r>
              <w:rPr>
                <w:rFonts w:hint="eastAsia" w:hAnsi="宋体" w:cs="宋体"/>
                <w:b/>
                <w:sz w:val="24"/>
                <w:highlight w:val="none"/>
                <w:lang w:val="en-US" w:eastAsia="zh-CN"/>
              </w:rPr>
              <w:t>供应商</w:t>
            </w:r>
            <w:r>
              <w:rPr>
                <w:rFonts w:hint="eastAsia" w:ascii="宋体" w:hAnsi="宋体" w:eastAsia="宋体" w:cs="宋体"/>
                <w:b/>
                <w:sz w:val="24"/>
                <w:highlight w:val="none"/>
                <w:lang w:val="en-US" w:eastAsia="zh-CN"/>
              </w:rPr>
              <w:t>所投内容填写</w:t>
            </w:r>
          </w:p>
        </w:tc>
      </w:tr>
      <w:tr w14:paraId="3C22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3FF65C88">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第一部分：技术部分响应</w:t>
            </w:r>
          </w:p>
        </w:tc>
      </w:tr>
      <w:tr w14:paraId="2698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62E65092">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6AD686F5">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品名</w:t>
            </w:r>
          </w:p>
        </w:tc>
        <w:tc>
          <w:tcPr>
            <w:tcW w:w="2520" w:type="dxa"/>
            <w:noWrap w:val="0"/>
            <w:vAlign w:val="center"/>
          </w:tcPr>
          <w:p w14:paraId="4F5D2DDF">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招标文件要求</w:t>
            </w:r>
          </w:p>
        </w:tc>
        <w:tc>
          <w:tcPr>
            <w:tcW w:w="2310" w:type="dxa"/>
            <w:noWrap w:val="0"/>
            <w:vAlign w:val="center"/>
          </w:tcPr>
          <w:p w14:paraId="27301779">
            <w:pPr>
              <w:pStyle w:val="11"/>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投标响应</w:t>
            </w:r>
          </w:p>
          <w:p w14:paraId="4D13B71D">
            <w:pPr>
              <w:pStyle w:val="11"/>
              <w:rPr>
                <w:rFonts w:hint="eastAsia" w:ascii="宋体" w:hAnsi="宋体" w:eastAsia="宋体" w:cs="宋体"/>
                <w:b/>
                <w:sz w:val="24"/>
                <w:highlight w:val="none"/>
                <w:lang w:val="en-US" w:eastAsia="zh-CN"/>
              </w:rPr>
            </w:pPr>
          </w:p>
        </w:tc>
        <w:tc>
          <w:tcPr>
            <w:tcW w:w="1224" w:type="dxa"/>
            <w:noWrap w:val="0"/>
            <w:vAlign w:val="center"/>
          </w:tcPr>
          <w:p w14:paraId="2A44ECF8">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1804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EBFFC2A">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top"/>
          </w:tcPr>
          <w:p w14:paraId="56071D77">
            <w:pPr>
              <w:rPr>
                <w:rFonts w:hint="eastAsia" w:ascii="宋体" w:hAnsi="宋体" w:eastAsia="宋体" w:cs="宋体"/>
                <w:sz w:val="24"/>
                <w:highlight w:val="none"/>
              </w:rPr>
            </w:pPr>
          </w:p>
        </w:tc>
        <w:tc>
          <w:tcPr>
            <w:tcW w:w="2520" w:type="dxa"/>
            <w:noWrap w:val="0"/>
            <w:vAlign w:val="top"/>
          </w:tcPr>
          <w:p w14:paraId="385E6CFA">
            <w:pPr>
              <w:rPr>
                <w:rFonts w:hint="eastAsia" w:ascii="宋体" w:hAnsi="宋体" w:eastAsia="宋体" w:cs="宋体"/>
                <w:sz w:val="24"/>
                <w:highlight w:val="none"/>
              </w:rPr>
            </w:pPr>
          </w:p>
        </w:tc>
        <w:tc>
          <w:tcPr>
            <w:tcW w:w="2310" w:type="dxa"/>
            <w:noWrap w:val="0"/>
            <w:vAlign w:val="top"/>
          </w:tcPr>
          <w:p w14:paraId="2499711E">
            <w:pPr>
              <w:rPr>
                <w:rFonts w:hint="eastAsia" w:ascii="宋体" w:hAnsi="宋体" w:eastAsia="宋体" w:cs="宋体"/>
                <w:sz w:val="24"/>
                <w:highlight w:val="none"/>
              </w:rPr>
            </w:pPr>
          </w:p>
        </w:tc>
        <w:tc>
          <w:tcPr>
            <w:tcW w:w="1224" w:type="dxa"/>
            <w:noWrap w:val="0"/>
            <w:vAlign w:val="top"/>
          </w:tcPr>
          <w:p w14:paraId="0F0A6B56">
            <w:pPr>
              <w:rPr>
                <w:rFonts w:hint="eastAsia" w:ascii="宋体" w:hAnsi="宋体" w:eastAsia="宋体" w:cs="宋体"/>
                <w:sz w:val="24"/>
                <w:highlight w:val="none"/>
              </w:rPr>
            </w:pPr>
          </w:p>
        </w:tc>
      </w:tr>
      <w:tr w14:paraId="0BB7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86F683B">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top"/>
          </w:tcPr>
          <w:p w14:paraId="3345E9DC">
            <w:pPr>
              <w:rPr>
                <w:rFonts w:hint="eastAsia" w:ascii="宋体" w:hAnsi="宋体" w:eastAsia="宋体" w:cs="宋体"/>
                <w:sz w:val="24"/>
                <w:highlight w:val="none"/>
              </w:rPr>
            </w:pPr>
          </w:p>
        </w:tc>
        <w:tc>
          <w:tcPr>
            <w:tcW w:w="2520" w:type="dxa"/>
            <w:noWrap w:val="0"/>
            <w:vAlign w:val="top"/>
          </w:tcPr>
          <w:p w14:paraId="7D9BAF12">
            <w:pPr>
              <w:rPr>
                <w:rFonts w:hint="eastAsia" w:ascii="宋体" w:hAnsi="宋体" w:eastAsia="宋体" w:cs="宋体"/>
                <w:sz w:val="24"/>
                <w:highlight w:val="none"/>
              </w:rPr>
            </w:pPr>
          </w:p>
        </w:tc>
        <w:tc>
          <w:tcPr>
            <w:tcW w:w="2310" w:type="dxa"/>
            <w:noWrap w:val="0"/>
            <w:vAlign w:val="top"/>
          </w:tcPr>
          <w:p w14:paraId="7DC1AB27">
            <w:pPr>
              <w:rPr>
                <w:rFonts w:hint="eastAsia" w:ascii="宋体" w:hAnsi="宋体" w:eastAsia="宋体" w:cs="宋体"/>
                <w:sz w:val="24"/>
                <w:highlight w:val="none"/>
              </w:rPr>
            </w:pPr>
          </w:p>
        </w:tc>
        <w:tc>
          <w:tcPr>
            <w:tcW w:w="1224" w:type="dxa"/>
            <w:noWrap w:val="0"/>
            <w:vAlign w:val="top"/>
          </w:tcPr>
          <w:p w14:paraId="79151633">
            <w:pPr>
              <w:rPr>
                <w:rFonts w:hint="eastAsia" w:ascii="宋体" w:hAnsi="宋体" w:eastAsia="宋体" w:cs="宋体"/>
                <w:sz w:val="24"/>
                <w:highlight w:val="none"/>
              </w:rPr>
            </w:pPr>
          </w:p>
        </w:tc>
      </w:tr>
      <w:tr w14:paraId="3515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2EADF00">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top"/>
          </w:tcPr>
          <w:p w14:paraId="5EAB558C">
            <w:pPr>
              <w:rPr>
                <w:rFonts w:hint="eastAsia" w:ascii="宋体" w:hAnsi="宋体" w:eastAsia="宋体" w:cs="宋体"/>
                <w:sz w:val="24"/>
                <w:highlight w:val="none"/>
              </w:rPr>
            </w:pPr>
          </w:p>
        </w:tc>
        <w:tc>
          <w:tcPr>
            <w:tcW w:w="2520" w:type="dxa"/>
            <w:noWrap w:val="0"/>
            <w:vAlign w:val="top"/>
          </w:tcPr>
          <w:p w14:paraId="43D2F2EC">
            <w:pPr>
              <w:rPr>
                <w:rFonts w:hint="eastAsia" w:ascii="宋体" w:hAnsi="宋体" w:eastAsia="宋体" w:cs="宋体"/>
                <w:sz w:val="24"/>
                <w:highlight w:val="none"/>
              </w:rPr>
            </w:pPr>
          </w:p>
        </w:tc>
        <w:tc>
          <w:tcPr>
            <w:tcW w:w="2310" w:type="dxa"/>
            <w:noWrap w:val="0"/>
            <w:vAlign w:val="top"/>
          </w:tcPr>
          <w:p w14:paraId="23A5CF44">
            <w:pPr>
              <w:pStyle w:val="32"/>
              <w:rPr>
                <w:rFonts w:hint="eastAsia" w:ascii="宋体" w:hAnsi="宋体" w:eastAsia="宋体" w:cs="宋体"/>
                <w:highlight w:val="none"/>
              </w:rPr>
            </w:pPr>
          </w:p>
        </w:tc>
        <w:tc>
          <w:tcPr>
            <w:tcW w:w="1224" w:type="dxa"/>
            <w:noWrap w:val="0"/>
            <w:vAlign w:val="top"/>
          </w:tcPr>
          <w:p w14:paraId="4A918EC7">
            <w:pPr>
              <w:rPr>
                <w:rFonts w:hint="eastAsia" w:ascii="宋体" w:hAnsi="宋体" w:eastAsia="宋体" w:cs="宋体"/>
                <w:sz w:val="24"/>
                <w:highlight w:val="none"/>
              </w:rPr>
            </w:pPr>
          </w:p>
        </w:tc>
      </w:tr>
      <w:tr w14:paraId="5BC0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3C12717">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top"/>
          </w:tcPr>
          <w:p w14:paraId="7E820CA5">
            <w:pPr>
              <w:rPr>
                <w:rFonts w:hint="eastAsia" w:ascii="宋体" w:hAnsi="宋体" w:eastAsia="宋体" w:cs="宋体"/>
                <w:sz w:val="24"/>
                <w:highlight w:val="none"/>
              </w:rPr>
            </w:pPr>
          </w:p>
        </w:tc>
        <w:tc>
          <w:tcPr>
            <w:tcW w:w="2520" w:type="dxa"/>
            <w:noWrap w:val="0"/>
            <w:vAlign w:val="top"/>
          </w:tcPr>
          <w:p w14:paraId="40F23345">
            <w:pPr>
              <w:rPr>
                <w:rFonts w:hint="eastAsia" w:ascii="宋体" w:hAnsi="宋体" w:eastAsia="宋体" w:cs="宋体"/>
                <w:sz w:val="24"/>
                <w:highlight w:val="none"/>
              </w:rPr>
            </w:pPr>
          </w:p>
        </w:tc>
        <w:tc>
          <w:tcPr>
            <w:tcW w:w="2310" w:type="dxa"/>
            <w:noWrap w:val="0"/>
            <w:vAlign w:val="top"/>
          </w:tcPr>
          <w:p w14:paraId="68711505">
            <w:pPr>
              <w:rPr>
                <w:rFonts w:hint="eastAsia" w:ascii="宋体" w:hAnsi="宋体" w:eastAsia="宋体" w:cs="宋体"/>
                <w:sz w:val="24"/>
                <w:highlight w:val="none"/>
              </w:rPr>
            </w:pPr>
          </w:p>
        </w:tc>
        <w:tc>
          <w:tcPr>
            <w:tcW w:w="1224" w:type="dxa"/>
            <w:noWrap w:val="0"/>
            <w:vAlign w:val="top"/>
          </w:tcPr>
          <w:p w14:paraId="73E0AB74">
            <w:pPr>
              <w:rPr>
                <w:rFonts w:hint="eastAsia" w:ascii="宋体" w:hAnsi="宋体" w:eastAsia="宋体" w:cs="宋体"/>
                <w:sz w:val="24"/>
                <w:highlight w:val="none"/>
              </w:rPr>
            </w:pPr>
          </w:p>
        </w:tc>
      </w:tr>
      <w:tr w14:paraId="5200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11BB5CDC">
            <w:pPr>
              <w:pStyle w:val="11"/>
              <w:jc w:val="center"/>
              <w:rPr>
                <w:rFonts w:hint="eastAsia" w:ascii="宋体" w:hAnsi="宋体" w:eastAsia="宋体" w:cs="宋体"/>
                <w:sz w:val="24"/>
                <w:highlight w:val="none"/>
                <w:lang w:val="en-US" w:eastAsia="zh-CN"/>
              </w:rPr>
            </w:pPr>
            <w:r>
              <w:rPr>
                <w:rFonts w:hint="eastAsia" w:ascii="宋体" w:hAnsi="宋体" w:eastAsia="宋体" w:cs="宋体"/>
                <w:b/>
                <w:sz w:val="24"/>
                <w:highlight w:val="none"/>
                <w:lang w:val="en-US" w:eastAsia="zh-CN"/>
              </w:rPr>
              <w:t>第二部分：资信及报价部分响应</w:t>
            </w:r>
          </w:p>
        </w:tc>
      </w:tr>
      <w:tr w14:paraId="4A83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A8A5B78">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7E6F7AEF">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内容</w:t>
            </w:r>
          </w:p>
        </w:tc>
        <w:tc>
          <w:tcPr>
            <w:tcW w:w="2520" w:type="dxa"/>
            <w:noWrap w:val="0"/>
            <w:vAlign w:val="center"/>
          </w:tcPr>
          <w:p w14:paraId="06E86BE5">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招标要求</w:t>
            </w:r>
          </w:p>
        </w:tc>
        <w:tc>
          <w:tcPr>
            <w:tcW w:w="2310" w:type="dxa"/>
            <w:noWrap w:val="0"/>
            <w:vAlign w:val="center"/>
          </w:tcPr>
          <w:p w14:paraId="5B490B56">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投标承诺</w:t>
            </w:r>
          </w:p>
        </w:tc>
        <w:tc>
          <w:tcPr>
            <w:tcW w:w="1224" w:type="dxa"/>
            <w:noWrap w:val="0"/>
            <w:vAlign w:val="center"/>
          </w:tcPr>
          <w:p w14:paraId="6DA9B351">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4E14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2A3F86F">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center"/>
          </w:tcPr>
          <w:p w14:paraId="408388F8">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服务</w:t>
            </w:r>
            <w:r>
              <w:rPr>
                <w:rFonts w:hint="eastAsia" w:ascii="宋体" w:hAnsi="宋体" w:eastAsia="宋体" w:cs="宋体"/>
                <w:sz w:val="24"/>
                <w:highlight w:val="none"/>
              </w:rPr>
              <w:t>期</w:t>
            </w:r>
            <w:r>
              <w:rPr>
                <w:rFonts w:hint="eastAsia" w:ascii="宋体" w:hAnsi="宋体" w:cs="宋体"/>
                <w:sz w:val="24"/>
                <w:highlight w:val="none"/>
                <w:lang w:val="en-US" w:eastAsia="zh-CN"/>
              </w:rPr>
              <w:t>限</w:t>
            </w:r>
          </w:p>
        </w:tc>
        <w:tc>
          <w:tcPr>
            <w:tcW w:w="2520" w:type="dxa"/>
            <w:noWrap w:val="0"/>
            <w:vAlign w:val="top"/>
          </w:tcPr>
          <w:p w14:paraId="3DFB89CA">
            <w:pPr>
              <w:rPr>
                <w:rFonts w:hint="eastAsia" w:ascii="宋体" w:hAnsi="宋体" w:eastAsia="宋体" w:cs="宋体"/>
                <w:sz w:val="24"/>
                <w:highlight w:val="none"/>
              </w:rPr>
            </w:pPr>
          </w:p>
        </w:tc>
        <w:tc>
          <w:tcPr>
            <w:tcW w:w="2310" w:type="dxa"/>
            <w:noWrap w:val="0"/>
            <w:vAlign w:val="top"/>
          </w:tcPr>
          <w:p w14:paraId="36C5485D">
            <w:pPr>
              <w:rPr>
                <w:rFonts w:hint="eastAsia" w:ascii="宋体" w:hAnsi="宋体" w:eastAsia="宋体" w:cs="宋体"/>
                <w:sz w:val="24"/>
                <w:highlight w:val="none"/>
              </w:rPr>
            </w:pPr>
          </w:p>
        </w:tc>
        <w:tc>
          <w:tcPr>
            <w:tcW w:w="1224" w:type="dxa"/>
            <w:noWrap w:val="0"/>
            <w:vAlign w:val="top"/>
          </w:tcPr>
          <w:p w14:paraId="728270D0">
            <w:pPr>
              <w:rPr>
                <w:rFonts w:hint="eastAsia" w:ascii="宋体" w:hAnsi="宋体" w:eastAsia="宋体" w:cs="宋体"/>
                <w:sz w:val="24"/>
                <w:highlight w:val="none"/>
              </w:rPr>
            </w:pPr>
          </w:p>
        </w:tc>
      </w:tr>
      <w:tr w14:paraId="1312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0CA500A">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center"/>
          </w:tcPr>
          <w:p w14:paraId="67B4041E">
            <w:pPr>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质量要求</w:t>
            </w:r>
          </w:p>
        </w:tc>
        <w:tc>
          <w:tcPr>
            <w:tcW w:w="2520" w:type="dxa"/>
            <w:noWrap w:val="0"/>
            <w:vAlign w:val="top"/>
          </w:tcPr>
          <w:p w14:paraId="609130A2">
            <w:pPr>
              <w:rPr>
                <w:rFonts w:hint="eastAsia" w:ascii="宋体" w:hAnsi="宋体" w:eastAsia="宋体" w:cs="宋体"/>
                <w:sz w:val="24"/>
                <w:highlight w:val="none"/>
              </w:rPr>
            </w:pPr>
          </w:p>
        </w:tc>
        <w:tc>
          <w:tcPr>
            <w:tcW w:w="2310" w:type="dxa"/>
            <w:noWrap w:val="0"/>
            <w:vAlign w:val="top"/>
          </w:tcPr>
          <w:p w14:paraId="0310F3CD">
            <w:pPr>
              <w:rPr>
                <w:rFonts w:hint="eastAsia" w:ascii="宋体" w:hAnsi="宋体" w:eastAsia="宋体" w:cs="宋体"/>
                <w:sz w:val="24"/>
                <w:highlight w:val="none"/>
              </w:rPr>
            </w:pPr>
          </w:p>
        </w:tc>
        <w:tc>
          <w:tcPr>
            <w:tcW w:w="1224" w:type="dxa"/>
            <w:noWrap w:val="0"/>
            <w:vAlign w:val="top"/>
          </w:tcPr>
          <w:p w14:paraId="498EC7C6">
            <w:pPr>
              <w:rPr>
                <w:rFonts w:hint="eastAsia" w:ascii="宋体" w:hAnsi="宋体" w:eastAsia="宋体" w:cs="宋体"/>
                <w:sz w:val="24"/>
                <w:highlight w:val="none"/>
              </w:rPr>
            </w:pPr>
          </w:p>
        </w:tc>
      </w:tr>
      <w:tr w14:paraId="4477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40" w:type="dxa"/>
            <w:noWrap w:val="0"/>
            <w:vAlign w:val="center"/>
          </w:tcPr>
          <w:p w14:paraId="4CBEE2EB">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center"/>
          </w:tcPr>
          <w:p w14:paraId="13B81ECA">
            <w:pPr>
              <w:jc w:val="center"/>
              <w:rPr>
                <w:rFonts w:hint="eastAsia" w:ascii="宋体" w:hAnsi="宋体" w:eastAsia="宋体" w:cs="宋体"/>
                <w:sz w:val="24"/>
                <w:highlight w:val="none"/>
              </w:rPr>
            </w:pPr>
            <w:r>
              <w:rPr>
                <w:rFonts w:hint="eastAsia" w:ascii="宋体" w:hAnsi="宋体" w:eastAsia="宋体" w:cs="宋体"/>
                <w:sz w:val="24"/>
                <w:highlight w:val="none"/>
              </w:rPr>
              <w:t>付款响应</w:t>
            </w:r>
          </w:p>
        </w:tc>
        <w:tc>
          <w:tcPr>
            <w:tcW w:w="2520" w:type="dxa"/>
            <w:noWrap w:val="0"/>
            <w:vAlign w:val="top"/>
          </w:tcPr>
          <w:p w14:paraId="3A817088">
            <w:pPr>
              <w:rPr>
                <w:rFonts w:hint="eastAsia" w:ascii="宋体" w:hAnsi="宋体" w:eastAsia="宋体" w:cs="宋体"/>
                <w:sz w:val="24"/>
                <w:highlight w:val="none"/>
              </w:rPr>
            </w:pPr>
          </w:p>
        </w:tc>
        <w:tc>
          <w:tcPr>
            <w:tcW w:w="2310" w:type="dxa"/>
            <w:noWrap w:val="0"/>
            <w:vAlign w:val="top"/>
          </w:tcPr>
          <w:p w14:paraId="1F022FB6">
            <w:pPr>
              <w:rPr>
                <w:rFonts w:hint="eastAsia" w:ascii="宋体" w:hAnsi="宋体" w:eastAsia="宋体" w:cs="宋体"/>
                <w:sz w:val="24"/>
                <w:highlight w:val="none"/>
              </w:rPr>
            </w:pPr>
          </w:p>
        </w:tc>
        <w:tc>
          <w:tcPr>
            <w:tcW w:w="1224" w:type="dxa"/>
            <w:noWrap w:val="0"/>
            <w:vAlign w:val="top"/>
          </w:tcPr>
          <w:p w14:paraId="78511CB0">
            <w:pPr>
              <w:rPr>
                <w:rFonts w:hint="eastAsia" w:ascii="宋体" w:hAnsi="宋体" w:eastAsia="宋体" w:cs="宋体"/>
                <w:sz w:val="24"/>
                <w:highlight w:val="none"/>
              </w:rPr>
            </w:pPr>
          </w:p>
        </w:tc>
      </w:tr>
      <w:tr w14:paraId="1ECD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87514FF">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center"/>
          </w:tcPr>
          <w:p w14:paraId="0AE625EF">
            <w:pPr>
              <w:jc w:val="center"/>
              <w:rPr>
                <w:rFonts w:hint="eastAsia" w:ascii="宋体" w:hAnsi="宋体" w:eastAsia="宋体" w:cs="宋体"/>
                <w:sz w:val="24"/>
                <w:highlight w:val="none"/>
              </w:rPr>
            </w:pPr>
            <w:r>
              <w:rPr>
                <w:rFonts w:hint="eastAsia" w:ascii="宋体" w:hAnsi="宋体" w:eastAsia="宋体" w:cs="宋体"/>
                <w:sz w:val="24"/>
                <w:highlight w:val="none"/>
              </w:rPr>
              <w:t>其他</w:t>
            </w:r>
          </w:p>
        </w:tc>
        <w:tc>
          <w:tcPr>
            <w:tcW w:w="2520" w:type="dxa"/>
            <w:noWrap w:val="0"/>
            <w:vAlign w:val="top"/>
          </w:tcPr>
          <w:p w14:paraId="05C0FB66">
            <w:pPr>
              <w:rPr>
                <w:rFonts w:hint="eastAsia" w:ascii="宋体" w:hAnsi="宋体" w:eastAsia="宋体" w:cs="宋体"/>
                <w:sz w:val="24"/>
                <w:highlight w:val="none"/>
              </w:rPr>
            </w:pPr>
          </w:p>
        </w:tc>
        <w:tc>
          <w:tcPr>
            <w:tcW w:w="2310" w:type="dxa"/>
            <w:noWrap w:val="0"/>
            <w:vAlign w:val="top"/>
          </w:tcPr>
          <w:p w14:paraId="2362DC85">
            <w:pPr>
              <w:rPr>
                <w:rFonts w:hint="eastAsia" w:ascii="宋体" w:hAnsi="宋体" w:eastAsia="宋体" w:cs="宋体"/>
                <w:sz w:val="24"/>
                <w:highlight w:val="none"/>
              </w:rPr>
            </w:pPr>
          </w:p>
        </w:tc>
        <w:tc>
          <w:tcPr>
            <w:tcW w:w="1224" w:type="dxa"/>
            <w:noWrap w:val="0"/>
            <w:vAlign w:val="top"/>
          </w:tcPr>
          <w:p w14:paraId="1D65DAF7">
            <w:pPr>
              <w:rPr>
                <w:rFonts w:hint="eastAsia" w:ascii="宋体" w:hAnsi="宋体" w:eastAsia="宋体" w:cs="宋体"/>
                <w:sz w:val="24"/>
                <w:highlight w:val="none"/>
              </w:rPr>
            </w:pPr>
          </w:p>
        </w:tc>
      </w:tr>
    </w:tbl>
    <w:p w14:paraId="2021C447">
      <w:pPr>
        <w:spacing w:line="380" w:lineRule="exact"/>
        <w:jc w:val="left"/>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0560B945">
      <w:pPr>
        <w:spacing w:line="380" w:lineRule="exact"/>
        <w:ind w:right="640" w:firstLine="1560" w:firstLineChars="650"/>
        <w:jc w:val="left"/>
        <w:rPr>
          <w:rFonts w:hint="eastAsia" w:ascii="宋体" w:hAnsi="宋体" w:eastAsia="宋体" w:cs="宋体"/>
          <w:sz w:val="24"/>
          <w:highlight w:val="none"/>
        </w:rPr>
      </w:pPr>
    </w:p>
    <w:p w14:paraId="2E90E48D">
      <w:pPr>
        <w:spacing w:line="380" w:lineRule="exact"/>
        <w:ind w:right="640"/>
        <w:jc w:val="left"/>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161DAD35">
      <w:pPr>
        <w:jc w:val="right"/>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12830A26">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071A4FAF">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1、</w:t>
      </w:r>
      <w:r>
        <w:rPr>
          <w:rFonts w:hint="eastAsia" w:ascii="宋体" w:hAnsi="宋体" w:cs="宋体"/>
          <w:b/>
          <w:bCs/>
          <w:sz w:val="24"/>
          <w:szCs w:val="28"/>
          <w:highlight w:val="none"/>
          <w:lang w:eastAsia="zh-CN"/>
        </w:rPr>
        <w:t>供应商</w:t>
      </w:r>
      <w:r>
        <w:rPr>
          <w:rFonts w:hint="eastAsia" w:ascii="宋体" w:hAnsi="宋体" w:eastAsia="宋体" w:cs="宋体"/>
          <w:b/>
          <w:bCs/>
          <w:sz w:val="24"/>
          <w:szCs w:val="28"/>
          <w:highlight w:val="none"/>
        </w:rPr>
        <w:t>必须逐项对应描述投标服务要求，如不进行描述，仅在响应栏填“响应”或未填写的，将可能导致投标无效；</w:t>
      </w:r>
    </w:p>
    <w:p w14:paraId="57670E2C">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2、</w:t>
      </w:r>
      <w:r>
        <w:rPr>
          <w:rFonts w:hint="eastAsia" w:ascii="宋体" w:hAnsi="宋体" w:cs="宋体"/>
          <w:b/>
          <w:bCs/>
          <w:sz w:val="24"/>
          <w:szCs w:val="28"/>
          <w:highlight w:val="none"/>
          <w:lang w:eastAsia="zh-CN"/>
        </w:rPr>
        <w:t>供应商</w:t>
      </w:r>
      <w:r>
        <w:rPr>
          <w:rFonts w:hint="eastAsia" w:ascii="宋体" w:hAnsi="宋体" w:eastAsia="宋体" w:cs="宋体"/>
          <w:b/>
          <w:bCs/>
          <w:sz w:val="24"/>
          <w:szCs w:val="28"/>
          <w:highlight w:val="none"/>
        </w:rPr>
        <w:t>所投服务如与招标文件要求不一致，则须在上表偏离说明中详细注明。</w:t>
      </w:r>
    </w:p>
    <w:p w14:paraId="60BAA858">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3、响应部分可后附详细说明及技术资料，并应注明投标文件中对应的页码范围。</w:t>
      </w:r>
    </w:p>
    <w:p w14:paraId="00BF47E3">
      <w:pPr>
        <w:pStyle w:val="15"/>
        <w:rPr>
          <w:rFonts w:hint="eastAsia" w:ascii="宋体" w:hAnsi="宋体" w:eastAsia="宋体" w:cs="宋体"/>
          <w:highlight w:val="none"/>
        </w:rPr>
      </w:pPr>
    </w:p>
    <w:p w14:paraId="58E3EF8C">
      <w:pPr>
        <w:pStyle w:val="15"/>
        <w:rPr>
          <w:rFonts w:hint="eastAsia" w:ascii="宋体" w:hAnsi="宋体" w:eastAsia="宋体" w:cs="宋体"/>
          <w:highlight w:val="none"/>
        </w:rPr>
      </w:pPr>
    </w:p>
    <w:p w14:paraId="7C859D24">
      <w:pPr>
        <w:pStyle w:val="15"/>
        <w:rPr>
          <w:rFonts w:hint="eastAsia" w:ascii="宋体" w:hAnsi="宋体" w:eastAsia="宋体" w:cs="宋体"/>
          <w:highlight w:val="none"/>
        </w:rPr>
      </w:pPr>
    </w:p>
    <w:p w14:paraId="6085B68C">
      <w:pPr>
        <w:pStyle w:val="15"/>
        <w:rPr>
          <w:rFonts w:hint="eastAsia" w:ascii="宋体" w:hAnsi="宋体" w:eastAsia="宋体" w:cs="宋体"/>
          <w:highlight w:val="none"/>
          <w:lang w:eastAsia="zh-CN"/>
        </w:rPr>
      </w:pPr>
    </w:p>
    <w:p w14:paraId="5744DD73">
      <w:pPr>
        <w:pStyle w:val="15"/>
        <w:rPr>
          <w:rFonts w:hint="eastAsia" w:ascii="宋体" w:hAnsi="宋体" w:eastAsia="宋体" w:cs="宋体"/>
          <w:highlight w:val="none"/>
          <w:lang w:eastAsia="zh-CN"/>
        </w:rPr>
      </w:pPr>
    </w:p>
    <w:p w14:paraId="6CCE69BA">
      <w:pPr>
        <w:pStyle w:val="15"/>
        <w:rPr>
          <w:rFonts w:hint="eastAsia" w:ascii="宋体" w:hAnsi="宋体" w:eastAsia="宋体" w:cs="宋体"/>
          <w:highlight w:val="none"/>
          <w:lang w:eastAsia="zh-CN"/>
        </w:rPr>
      </w:pPr>
    </w:p>
    <w:p w14:paraId="7C9071DE">
      <w:pPr>
        <w:pStyle w:val="15"/>
        <w:rPr>
          <w:rFonts w:hint="eastAsia" w:ascii="宋体" w:hAnsi="宋体" w:eastAsia="宋体" w:cs="宋体"/>
          <w:highlight w:val="none"/>
        </w:rPr>
      </w:pPr>
    </w:p>
    <w:p w14:paraId="3699E6AD">
      <w:pPr>
        <w:pStyle w:val="15"/>
        <w:rPr>
          <w:rFonts w:hint="eastAsia" w:ascii="宋体" w:hAnsi="宋体" w:eastAsia="宋体" w:cs="宋体"/>
          <w:highlight w:val="none"/>
        </w:rPr>
      </w:pPr>
    </w:p>
    <w:p w14:paraId="490E4343">
      <w:pPr>
        <w:pStyle w:val="5"/>
        <w:rPr>
          <w:rFonts w:hint="eastAsia" w:ascii="宋体" w:hAnsi="宋体" w:eastAsia="宋体" w:cs="宋体"/>
          <w:sz w:val="28"/>
          <w:szCs w:val="36"/>
          <w:highlight w:val="none"/>
        </w:rPr>
      </w:pPr>
      <w:bookmarkStart w:id="163" w:name="_Hlt509738950"/>
      <w:bookmarkEnd w:id="163"/>
      <w:bookmarkStart w:id="164" w:name="_Toc19673"/>
      <w:bookmarkStart w:id="165" w:name="_Toc28604"/>
      <w:bookmarkStart w:id="166" w:name="_Toc220232400"/>
      <w:bookmarkStart w:id="167" w:name="_Toc1906"/>
      <w:bookmarkStart w:id="168" w:name="_Toc2238_WPSOffice_Level2"/>
      <w:bookmarkStart w:id="169" w:name="_Toc40975454"/>
      <w:r>
        <w:rPr>
          <w:rFonts w:hint="eastAsia" w:hAnsi="宋体" w:cs="宋体"/>
          <w:sz w:val="28"/>
          <w:highlight w:val="none"/>
          <w:lang w:val="en-US" w:eastAsia="zh-CN"/>
        </w:rPr>
        <w:t>五</w:t>
      </w:r>
      <w:r>
        <w:rPr>
          <w:rFonts w:hint="eastAsia" w:ascii="宋体" w:hAnsi="宋体" w:eastAsia="宋体" w:cs="宋体"/>
          <w:sz w:val="28"/>
          <w:highlight w:val="none"/>
        </w:rPr>
        <w:t>．</w:t>
      </w:r>
      <w:r>
        <w:rPr>
          <w:rFonts w:hint="eastAsia" w:ascii="宋体" w:hAnsi="宋体" w:eastAsia="宋体" w:cs="宋体"/>
          <w:sz w:val="28"/>
          <w:highlight w:val="none"/>
          <w:lang w:eastAsia="zh-CN"/>
        </w:rPr>
        <w:t>服务</w:t>
      </w:r>
      <w:r>
        <w:rPr>
          <w:rFonts w:hint="eastAsia" w:ascii="宋体" w:hAnsi="宋体" w:eastAsia="宋体" w:cs="宋体"/>
          <w:sz w:val="28"/>
          <w:highlight w:val="none"/>
        </w:rPr>
        <w:t>质量承诺</w:t>
      </w:r>
      <w:bookmarkEnd w:id="164"/>
      <w:bookmarkEnd w:id="165"/>
      <w:bookmarkEnd w:id="166"/>
      <w:bookmarkEnd w:id="167"/>
      <w:bookmarkEnd w:id="168"/>
      <w:bookmarkEnd w:id="169"/>
    </w:p>
    <w:p w14:paraId="36BE59FD">
      <w:pPr>
        <w:spacing w:before="48" w:beforeLines="20" w:after="48" w:afterLines="20"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008F5CF4">
      <w:pPr>
        <w:spacing w:before="48" w:beforeLines="20" w:after="48" w:afterLines="20" w:line="360" w:lineRule="auto"/>
        <w:rPr>
          <w:rFonts w:hint="eastAsia" w:ascii="宋体" w:hAnsi="宋体" w:eastAsia="宋体" w:cs="宋体"/>
          <w:sz w:val="28"/>
          <w:highlight w:val="none"/>
        </w:rPr>
      </w:pPr>
    </w:p>
    <w:p w14:paraId="404CCAFE">
      <w:pPr>
        <w:pStyle w:val="15"/>
        <w:rPr>
          <w:rFonts w:hint="eastAsia" w:ascii="宋体" w:hAnsi="宋体" w:eastAsia="宋体" w:cs="宋体"/>
          <w:highlight w:val="none"/>
        </w:rPr>
      </w:pPr>
    </w:p>
    <w:p w14:paraId="4F96172F">
      <w:pPr>
        <w:pStyle w:val="15"/>
        <w:rPr>
          <w:rFonts w:hint="eastAsia" w:ascii="宋体" w:hAnsi="宋体" w:eastAsia="宋体" w:cs="宋体"/>
          <w:highlight w:val="none"/>
        </w:rPr>
      </w:pPr>
    </w:p>
    <w:p w14:paraId="285D3642">
      <w:pPr>
        <w:pStyle w:val="15"/>
        <w:rPr>
          <w:rFonts w:hint="eastAsia" w:ascii="宋体" w:hAnsi="宋体" w:eastAsia="宋体" w:cs="宋体"/>
          <w:highlight w:val="none"/>
        </w:rPr>
      </w:pPr>
    </w:p>
    <w:p w14:paraId="4AC4DF0B">
      <w:pPr>
        <w:pStyle w:val="15"/>
        <w:rPr>
          <w:rFonts w:hint="eastAsia" w:ascii="宋体" w:hAnsi="宋体" w:eastAsia="宋体" w:cs="宋体"/>
          <w:highlight w:val="none"/>
        </w:rPr>
      </w:pPr>
    </w:p>
    <w:p w14:paraId="62F24954">
      <w:pPr>
        <w:pStyle w:val="15"/>
        <w:rPr>
          <w:rFonts w:hint="eastAsia" w:ascii="宋体" w:hAnsi="宋体" w:eastAsia="宋体" w:cs="宋体"/>
          <w:highlight w:val="none"/>
        </w:rPr>
      </w:pPr>
    </w:p>
    <w:p w14:paraId="5605004D">
      <w:pPr>
        <w:pStyle w:val="15"/>
        <w:rPr>
          <w:rFonts w:hint="eastAsia" w:ascii="宋体" w:hAnsi="宋体" w:eastAsia="宋体" w:cs="宋体"/>
          <w:highlight w:val="none"/>
        </w:rPr>
      </w:pPr>
    </w:p>
    <w:p w14:paraId="4053ED4E">
      <w:pPr>
        <w:pStyle w:val="15"/>
        <w:rPr>
          <w:rFonts w:hint="eastAsia" w:ascii="宋体" w:hAnsi="宋体" w:eastAsia="宋体" w:cs="宋体"/>
          <w:highlight w:val="none"/>
        </w:rPr>
      </w:pPr>
    </w:p>
    <w:p w14:paraId="1BFF9A45">
      <w:pPr>
        <w:pStyle w:val="15"/>
        <w:rPr>
          <w:rFonts w:hint="eastAsia" w:ascii="宋体" w:hAnsi="宋体" w:eastAsia="宋体" w:cs="宋体"/>
          <w:highlight w:val="none"/>
        </w:rPr>
      </w:pPr>
    </w:p>
    <w:p w14:paraId="28731633">
      <w:pPr>
        <w:pStyle w:val="15"/>
        <w:rPr>
          <w:rFonts w:hint="eastAsia" w:ascii="宋体" w:hAnsi="宋体" w:eastAsia="宋体" w:cs="宋体"/>
          <w:highlight w:val="none"/>
        </w:rPr>
      </w:pPr>
    </w:p>
    <w:p w14:paraId="5E7C8B61">
      <w:pPr>
        <w:pStyle w:val="15"/>
        <w:rPr>
          <w:rFonts w:hint="eastAsia" w:ascii="宋体" w:hAnsi="宋体" w:eastAsia="宋体" w:cs="宋体"/>
          <w:highlight w:val="none"/>
        </w:rPr>
      </w:pPr>
    </w:p>
    <w:p w14:paraId="106AAAE9">
      <w:pPr>
        <w:pStyle w:val="15"/>
        <w:rPr>
          <w:rFonts w:hint="eastAsia" w:ascii="宋体" w:hAnsi="宋体" w:eastAsia="宋体" w:cs="宋体"/>
          <w:highlight w:val="none"/>
        </w:rPr>
      </w:pPr>
    </w:p>
    <w:p w14:paraId="3367A366">
      <w:pPr>
        <w:pStyle w:val="15"/>
        <w:rPr>
          <w:rFonts w:hint="eastAsia" w:ascii="宋体" w:hAnsi="宋体" w:eastAsia="宋体" w:cs="宋体"/>
          <w:highlight w:val="none"/>
        </w:rPr>
      </w:pPr>
    </w:p>
    <w:p w14:paraId="51A2A297">
      <w:pPr>
        <w:pStyle w:val="15"/>
        <w:rPr>
          <w:rFonts w:hint="eastAsia" w:ascii="宋体" w:hAnsi="宋体" w:eastAsia="宋体" w:cs="宋体"/>
          <w:highlight w:val="none"/>
        </w:rPr>
      </w:pPr>
    </w:p>
    <w:p w14:paraId="30C1B1D0">
      <w:pPr>
        <w:pStyle w:val="15"/>
        <w:rPr>
          <w:rFonts w:hint="eastAsia" w:ascii="宋体" w:hAnsi="宋体" w:eastAsia="宋体" w:cs="宋体"/>
          <w:highlight w:val="none"/>
        </w:rPr>
      </w:pPr>
    </w:p>
    <w:p w14:paraId="0B78C5C9">
      <w:pPr>
        <w:pStyle w:val="15"/>
        <w:rPr>
          <w:rFonts w:hint="eastAsia" w:ascii="宋体" w:hAnsi="宋体" w:eastAsia="宋体" w:cs="宋体"/>
          <w:highlight w:val="none"/>
        </w:rPr>
      </w:pPr>
    </w:p>
    <w:p w14:paraId="398CFC86">
      <w:pPr>
        <w:pStyle w:val="15"/>
        <w:rPr>
          <w:rFonts w:hint="eastAsia" w:ascii="宋体" w:hAnsi="宋体" w:eastAsia="宋体" w:cs="宋体"/>
          <w:highlight w:val="none"/>
        </w:rPr>
      </w:pPr>
    </w:p>
    <w:p w14:paraId="74747D92">
      <w:pPr>
        <w:pStyle w:val="15"/>
        <w:rPr>
          <w:rFonts w:hint="eastAsia" w:ascii="宋体" w:hAnsi="宋体" w:eastAsia="宋体" w:cs="宋体"/>
          <w:highlight w:val="none"/>
        </w:rPr>
      </w:pPr>
    </w:p>
    <w:p w14:paraId="6E4EFF67">
      <w:pPr>
        <w:pStyle w:val="15"/>
        <w:rPr>
          <w:rFonts w:hint="eastAsia" w:ascii="宋体" w:hAnsi="宋体" w:eastAsia="宋体" w:cs="宋体"/>
          <w:highlight w:val="none"/>
        </w:rPr>
      </w:pPr>
    </w:p>
    <w:p w14:paraId="53B2C225">
      <w:pPr>
        <w:pStyle w:val="15"/>
        <w:rPr>
          <w:rFonts w:hint="eastAsia" w:ascii="宋体" w:hAnsi="宋体" w:eastAsia="宋体" w:cs="宋体"/>
          <w:highlight w:val="none"/>
        </w:rPr>
      </w:pPr>
    </w:p>
    <w:p w14:paraId="3FAA7B72">
      <w:pPr>
        <w:pStyle w:val="15"/>
        <w:rPr>
          <w:rFonts w:hint="eastAsia" w:ascii="宋体" w:hAnsi="宋体" w:eastAsia="宋体" w:cs="宋体"/>
          <w:highlight w:val="none"/>
        </w:rPr>
      </w:pPr>
    </w:p>
    <w:p w14:paraId="1BC9B93A">
      <w:pPr>
        <w:pStyle w:val="15"/>
        <w:rPr>
          <w:rFonts w:hint="eastAsia" w:ascii="宋体" w:hAnsi="宋体" w:eastAsia="宋体" w:cs="宋体"/>
          <w:highlight w:val="none"/>
        </w:rPr>
      </w:pPr>
    </w:p>
    <w:p w14:paraId="1D4CB259">
      <w:pPr>
        <w:pStyle w:val="15"/>
        <w:rPr>
          <w:rFonts w:hint="eastAsia" w:ascii="宋体" w:hAnsi="宋体" w:eastAsia="宋体" w:cs="宋体"/>
          <w:highlight w:val="none"/>
        </w:rPr>
      </w:pPr>
    </w:p>
    <w:p w14:paraId="375DD7AE">
      <w:pPr>
        <w:pStyle w:val="15"/>
        <w:rPr>
          <w:rFonts w:hint="eastAsia" w:ascii="宋体" w:hAnsi="宋体" w:eastAsia="宋体" w:cs="宋体"/>
          <w:highlight w:val="none"/>
        </w:rPr>
      </w:pPr>
    </w:p>
    <w:p w14:paraId="34DD0F34">
      <w:pPr>
        <w:pStyle w:val="15"/>
        <w:rPr>
          <w:rFonts w:hint="eastAsia" w:ascii="宋体" w:hAnsi="宋体" w:eastAsia="宋体" w:cs="宋体"/>
          <w:highlight w:val="none"/>
        </w:rPr>
      </w:pPr>
    </w:p>
    <w:p w14:paraId="1620B896">
      <w:pPr>
        <w:pStyle w:val="15"/>
        <w:rPr>
          <w:rFonts w:hint="eastAsia" w:ascii="宋体" w:hAnsi="宋体" w:eastAsia="宋体" w:cs="宋体"/>
          <w:highlight w:val="none"/>
        </w:rPr>
      </w:pPr>
    </w:p>
    <w:p w14:paraId="28FCC4CE">
      <w:pPr>
        <w:pStyle w:val="15"/>
        <w:rPr>
          <w:rFonts w:hint="eastAsia" w:ascii="宋体" w:hAnsi="宋体" w:eastAsia="宋体" w:cs="宋体"/>
          <w:highlight w:val="none"/>
        </w:rPr>
      </w:pPr>
    </w:p>
    <w:p w14:paraId="413F35FF">
      <w:pPr>
        <w:pStyle w:val="15"/>
        <w:rPr>
          <w:rFonts w:hint="eastAsia" w:ascii="宋体" w:hAnsi="宋体" w:eastAsia="宋体" w:cs="宋体"/>
          <w:highlight w:val="none"/>
        </w:rPr>
      </w:pPr>
    </w:p>
    <w:p w14:paraId="7C20D875">
      <w:pPr>
        <w:pStyle w:val="15"/>
        <w:rPr>
          <w:rFonts w:hint="eastAsia" w:ascii="宋体" w:hAnsi="宋体" w:eastAsia="宋体" w:cs="宋体"/>
          <w:highlight w:val="none"/>
        </w:rPr>
      </w:pPr>
    </w:p>
    <w:p w14:paraId="12927083">
      <w:pPr>
        <w:pStyle w:val="15"/>
        <w:rPr>
          <w:rFonts w:hint="eastAsia" w:ascii="宋体" w:hAnsi="宋体" w:eastAsia="宋体" w:cs="宋体"/>
          <w:highlight w:val="none"/>
        </w:rPr>
      </w:pPr>
    </w:p>
    <w:p w14:paraId="54294BBC">
      <w:pPr>
        <w:pStyle w:val="15"/>
        <w:rPr>
          <w:rFonts w:hint="eastAsia" w:ascii="宋体" w:hAnsi="宋体" w:eastAsia="宋体" w:cs="宋体"/>
          <w:highlight w:val="none"/>
        </w:rPr>
      </w:pPr>
    </w:p>
    <w:p w14:paraId="6A9A5568">
      <w:pPr>
        <w:pStyle w:val="15"/>
        <w:rPr>
          <w:rFonts w:hint="eastAsia" w:ascii="宋体" w:hAnsi="宋体" w:eastAsia="宋体" w:cs="宋体"/>
          <w:highlight w:val="none"/>
        </w:rPr>
      </w:pPr>
    </w:p>
    <w:p w14:paraId="6569E71F">
      <w:pPr>
        <w:pStyle w:val="15"/>
        <w:rPr>
          <w:rFonts w:hint="eastAsia" w:ascii="宋体" w:hAnsi="宋体" w:eastAsia="宋体" w:cs="宋体"/>
          <w:highlight w:val="none"/>
        </w:rPr>
      </w:pPr>
    </w:p>
    <w:p w14:paraId="588A9882">
      <w:pPr>
        <w:pStyle w:val="15"/>
        <w:rPr>
          <w:rFonts w:hint="eastAsia" w:ascii="宋体" w:hAnsi="宋体" w:eastAsia="宋体" w:cs="宋体"/>
          <w:highlight w:val="none"/>
        </w:rPr>
      </w:pPr>
    </w:p>
    <w:p w14:paraId="6CD60A24">
      <w:pPr>
        <w:pStyle w:val="15"/>
        <w:rPr>
          <w:rFonts w:hint="eastAsia" w:ascii="宋体" w:hAnsi="宋体" w:eastAsia="宋体" w:cs="宋体"/>
          <w:highlight w:val="none"/>
        </w:rPr>
      </w:pPr>
    </w:p>
    <w:p w14:paraId="58ECA7C4">
      <w:pPr>
        <w:pStyle w:val="15"/>
        <w:rPr>
          <w:rFonts w:hint="eastAsia" w:ascii="宋体" w:hAnsi="宋体" w:eastAsia="宋体" w:cs="宋体"/>
          <w:highlight w:val="none"/>
        </w:rPr>
      </w:pPr>
    </w:p>
    <w:p w14:paraId="7EEC0C22">
      <w:pPr>
        <w:pStyle w:val="15"/>
        <w:rPr>
          <w:rFonts w:hint="eastAsia" w:ascii="宋体" w:hAnsi="宋体" w:eastAsia="宋体" w:cs="宋体"/>
          <w:highlight w:val="none"/>
        </w:rPr>
      </w:pPr>
    </w:p>
    <w:p w14:paraId="218B4ACC">
      <w:pPr>
        <w:pStyle w:val="15"/>
        <w:rPr>
          <w:rFonts w:hint="eastAsia" w:ascii="宋体" w:hAnsi="宋体" w:eastAsia="宋体" w:cs="宋体"/>
          <w:highlight w:val="none"/>
        </w:rPr>
      </w:pPr>
    </w:p>
    <w:p w14:paraId="311D41CF">
      <w:pPr>
        <w:pStyle w:val="15"/>
        <w:rPr>
          <w:rFonts w:hint="eastAsia" w:ascii="宋体" w:hAnsi="宋体" w:eastAsia="宋体" w:cs="宋体"/>
          <w:highlight w:val="none"/>
        </w:rPr>
      </w:pPr>
    </w:p>
    <w:p w14:paraId="5EE150BA">
      <w:pPr>
        <w:pStyle w:val="15"/>
        <w:rPr>
          <w:rFonts w:hint="eastAsia" w:ascii="宋体" w:hAnsi="宋体" w:eastAsia="宋体" w:cs="宋体"/>
          <w:highlight w:val="none"/>
        </w:rPr>
      </w:pPr>
    </w:p>
    <w:p w14:paraId="4DDCBAB3">
      <w:pPr>
        <w:pStyle w:val="15"/>
        <w:rPr>
          <w:rFonts w:hint="eastAsia" w:ascii="宋体" w:hAnsi="宋体" w:eastAsia="宋体" w:cs="宋体"/>
          <w:highlight w:val="none"/>
        </w:rPr>
      </w:pPr>
    </w:p>
    <w:p w14:paraId="592E430D">
      <w:pPr>
        <w:pStyle w:val="15"/>
        <w:rPr>
          <w:rFonts w:hint="eastAsia" w:ascii="宋体" w:hAnsi="宋体" w:eastAsia="宋体" w:cs="宋体"/>
          <w:highlight w:val="none"/>
        </w:rPr>
      </w:pPr>
    </w:p>
    <w:p w14:paraId="30E169AA">
      <w:pPr>
        <w:pStyle w:val="15"/>
        <w:rPr>
          <w:rFonts w:hint="eastAsia" w:ascii="宋体" w:hAnsi="宋体" w:eastAsia="宋体" w:cs="宋体"/>
          <w:highlight w:val="none"/>
        </w:rPr>
      </w:pPr>
    </w:p>
    <w:p w14:paraId="2051C217">
      <w:pPr>
        <w:pStyle w:val="15"/>
        <w:rPr>
          <w:rFonts w:hint="eastAsia" w:ascii="宋体" w:hAnsi="宋体" w:eastAsia="宋体" w:cs="宋体"/>
          <w:highlight w:val="none"/>
        </w:rPr>
      </w:pPr>
    </w:p>
    <w:p w14:paraId="6FA32E07">
      <w:pPr>
        <w:pStyle w:val="15"/>
        <w:rPr>
          <w:rFonts w:hint="eastAsia" w:ascii="宋体" w:hAnsi="宋体" w:eastAsia="宋体" w:cs="宋体"/>
          <w:highlight w:val="none"/>
        </w:rPr>
      </w:pPr>
    </w:p>
    <w:p w14:paraId="6A9B0016">
      <w:pPr>
        <w:pStyle w:val="15"/>
        <w:rPr>
          <w:rFonts w:hint="eastAsia" w:ascii="宋体" w:hAnsi="宋体" w:eastAsia="宋体" w:cs="宋体"/>
          <w:highlight w:val="none"/>
        </w:rPr>
      </w:pPr>
    </w:p>
    <w:p w14:paraId="52EBE2F7">
      <w:pPr>
        <w:pStyle w:val="15"/>
        <w:rPr>
          <w:rFonts w:hint="eastAsia" w:ascii="宋体" w:hAnsi="宋体" w:eastAsia="宋体" w:cs="宋体"/>
          <w:highlight w:val="none"/>
        </w:rPr>
      </w:pPr>
    </w:p>
    <w:p w14:paraId="4662F17A">
      <w:pPr>
        <w:pStyle w:val="15"/>
        <w:rPr>
          <w:rFonts w:hint="eastAsia" w:ascii="宋体" w:hAnsi="宋体" w:eastAsia="宋体" w:cs="宋体"/>
          <w:highlight w:val="none"/>
        </w:rPr>
      </w:pPr>
    </w:p>
    <w:p w14:paraId="0388ECF3">
      <w:pPr>
        <w:pStyle w:val="5"/>
        <w:rPr>
          <w:rFonts w:hint="eastAsia" w:ascii="宋体" w:hAnsi="宋体" w:eastAsia="宋体" w:cs="宋体"/>
          <w:sz w:val="28"/>
          <w:szCs w:val="36"/>
          <w:highlight w:val="none"/>
        </w:rPr>
      </w:pPr>
      <w:bookmarkStart w:id="170" w:name="_Toc8310"/>
      <w:bookmarkStart w:id="171" w:name="_Toc235"/>
      <w:bookmarkStart w:id="172" w:name="_Toc5312_WPSOffice_Level2"/>
      <w:bookmarkStart w:id="173" w:name="_Toc516969105"/>
      <w:bookmarkStart w:id="174" w:name="_Toc220232402"/>
      <w:bookmarkStart w:id="175" w:name="_Toc25061"/>
      <w:bookmarkStart w:id="176" w:name="_Toc40975456"/>
      <w:r>
        <w:rPr>
          <w:rFonts w:hint="eastAsia" w:hAnsi="宋体" w:cs="宋体"/>
          <w:sz w:val="28"/>
          <w:highlight w:val="none"/>
          <w:lang w:val="en-US" w:eastAsia="zh-CN"/>
        </w:rPr>
        <w:t>六</w:t>
      </w:r>
      <w:r>
        <w:rPr>
          <w:rFonts w:hint="eastAsia" w:ascii="宋体" w:hAnsi="宋体" w:eastAsia="宋体" w:cs="宋体"/>
          <w:sz w:val="28"/>
          <w:highlight w:val="none"/>
        </w:rPr>
        <w:t>．有关证明文件</w:t>
      </w:r>
      <w:bookmarkEnd w:id="170"/>
      <w:bookmarkEnd w:id="171"/>
      <w:bookmarkEnd w:id="172"/>
      <w:bookmarkEnd w:id="173"/>
      <w:bookmarkEnd w:id="174"/>
      <w:bookmarkEnd w:id="175"/>
      <w:bookmarkEnd w:id="176"/>
    </w:p>
    <w:p w14:paraId="6380D05C">
      <w:pPr>
        <w:tabs>
          <w:tab w:val="left" w:pos="462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提供符合投标邀请（招标公告）、需求一览表及评标办法规定的相关证明文件。</w:t>
      </w:r>
    </w:p>
    <w:p w14:paraId="2748AEA6">
      <w:pPr>
        <w:tabs>
          <w:tab w:val="left" w:pos="4620"/>
        </w:tabs>
        <w:spacing w:line="360" w:lineRule="auto"/>
        <w:ind w:firstLine="480" w:firstLineChars="200"/>
        <w:rPr>
          <w:rFonts w:hint="eastAsia" w:ascii="宋体" w:hAnsi="宋体" w:eastAsia="宋体" w:cs="宋体"/>
          <w:sz w:val="24"/>
          <w:highlight w:val="none"/>
        </w:rPr>
      </w:pPr>
    </w:p>
    <w:p w14:paraId="3218AD08">
      <w:pPr>
        <w:tabs>
          <w:tab w:val="left" w:pos="4620"/>
        </w:tabs>
        <w:spacing w:line="360" w:lineRule="auto"/>
        <w:ind w:firstLine="480" w:firstLineChars="200"/>
        <w:rPr>
          <w:rFonts w:hint="eastAsia" w:ascii="宋体" w:hAnsi="宋体" w:eastAsia="宋体" w:cs="宋体"/>
          <w:sz w:val="24"/>
          <w:highlight w:val="none"/>
        </w:rPr>
      </w:pPr>
    </w:p>
    <w:p w14:paraId="3A8B65D1">
      <w:pPr>
        <w:tabs>
          <w:tab w:val="left" w:pos="4620"/>
        </w:tabs>
        <w:spacing w:line="360" w:lineRule="auto"/>
        <w:ind w:firstLine="480" w:firstLineChars="200"/>
        <w:rPr>
          <w:rFonts w:hint="eastAsia" w:ascii="宋体" w:hAnsi="宋体" w:eastAsia="宋体" w:cs="宋体"/>
          <w:sz w:val="24"/>
          <w:highlight w:val="none"/>
        </w:rPr>
      </w:pPr>
    </w:p>
    <w:p w14:paraId="5A06817A">
      <w:pPr>
        <w:tabs>
          <w:tab w:val="left" w:pos="4620"/>
        </w:tabs>
        <w:spacing w:line="360" w:lineRule="auto"/>
        <w:ind w:firstLine="480" w:firstLineChars="200"/>
        <w:rPr>
          <w:rFonts w:hint="eastAsia" w:ascii="宋体" w:hAnsi="宋体" w:eastAsia="宋体" w:cs="宋体"/>
          <w:sz w:val="24"/>
          <w:highlight w:val="none"/>
        </w:rPr>
      </w:pPr>
    </w:p>
    <w:p w14:paraId="34E92EC3">
      <w:pPr>
        <w:tabs>
          <w:tab w:val="left" w:pos="4620"/>
        </w:tabs>
        <w:spacing w:line="360" w:lineRule="auto"/>
        <w:ind w:firstLine="480" w:firstLineChars="200"/>
        <w:rPr>
          <w:rFonts w:hint="eastAsia" w:ascii="宋体" w:hAnsi="宋体" w:eastAsia="宋体" w:cs="宋体"/>
          <w:sz w:val="24"/>
          <w:highlight w:val="none"/>
        </w:rPr>
      </w:pPr>
    </w:p>
    <w:p w14:paraId="5B7DA3EC">
      <w:pPr>
        <w:tabs>
          <w:tab w:val="left" w:pos="4620"/>
        </w:tabs>
        <w:spacing w:line="360" w:lineRule="auto"/>
        <w:ind w:firstLine="480" w:firstLineChars="200"/>
        <w:rPr>
          <w:rFonts w:hint="eastAsia" w:ascii="宋体" w:hAnsi="宋体" w:eastAsia="宋体" w:cs="宋体"/>
          <w:sz w:val="24"/>
          <w:highlight w:val="none"/>
        </w:rPr>
      </w:pPr>
    </w:p>
    <w:p w14:paraId="598656E9">
      <w:pPr>
        <w:tabs>
          <w:tab w:val="left" w:pos="4620"/>
        </w:tabs>
        <w:spacing w:line="360" w:lineRule="auto"/>
        <w:ind w:firstLine="480" w:firstLineChars="200"/>
        <w:rPr>
          <w:rFonts w:hint="eastAsia" w:ascii="宋体" w:hAnsi="宋体" w:eastAsia="宋体" w:cs="宋体"/>
          <w:sz w:val="24"/>
          <w:highlight w:val="none"/>
        </w:rPr>
      </w:pPr>
    </w:p>
    <w:p w14:paraId="13DB1649">
      <w:pPr>
        <w:tabs>
          <w:tab w:val="left" w:pos="4620"/>
        </w:tabs>
        <w:spacing w:line="360" w:lineRule="auto"/>
        <w:ind w:firstLine="480" w:firstLineChars="200"/>
        <w:rPr>
          <w:rFonts w:hint="eastAsia" w:ascii="宋体" w:hAnsi="宋体" w:eastAsia="宋体" w:cs="宋体"/>
          <w:sz w:val="24"/>
          <w:highlight w:val="none"/>
        </w:rPr>
      </w:pPr>
    </w:p>
    <w:p w14:paraId="55C53461">
      <w:pPr>
        <w:tabs>
          <w:tab w:val="left" w:pos="4620"/>
        </w:tabs>
        <w:spacing w:line="360" w:lineRule="auto"/>
        <w:ind w:firstLine="480" w:firstLineChars="200"/>
        <w:rPr>
          <w:rFonts w:hint="eastAsia" w:ascii="宋体" w:hAnsi="宋体" w:eastAsia="宋体" w:cs="宋体"/>
          <w:sz w:val="24"/>
          <w:highlight w:val="none"/>
        </w:rPr>
      </w:pPr>
    </w:p>
    <w:p w14:paraId="49B36403">
      <w:pPr>
        <w:tabs>
          <w:tab w:val="left" w:pos="4620"/>
        </w:tabs>
        <w:spacing w:line="360" w:lineRule="auto"/>
        <w:ind w:firstLine="480" w:firstLineChars="200"/>
        <w:rPr>
          <w:rFonts w:hint="eastAsia" w:ascii="宋体" w:hAnsi="宋体" w:eastAsia="宋体" w:cs="宋体"/>
          <w:sz w:val="24"/>
          <w:highlight w:val="none"/>
        </w:rPr>
      </w:pPr>
    </w:p>
    <w:p w14:paraId="5B29B5CE">
      <w:pPr>
        <w:tabs>
          <w:tab w:val="left" w:pos="4620"/>
        </w:tabs>
        <w:spacing w:line="360" w:lineRule="auto"/>
        <w:ind w:firstLine="480" w:firstLineChars="200"/>
        <w:rPr>
          <w:rFonts w:hint="eastAsia" w:ascii="宋体" w:hAnsi="宋体" w:eastAsia="宋体" w:cs="宋体"/>
          <w:sz w:val="24"/>
          <w:highlight w:val="none"/>
        </w:rPr>
      </w:pPr>
    </w:p>
    <w:p w14:paraId="6FF49915">
      <w:pPr>
        <w:tabs>
          <w:tab w:val="left" w:pos="4620"/>
        </w:tabs>
        <w:spacing w:line="360" w:lineRule="auto"/>
        <w:ind w:firstLine="480" w:firstLineChars="200"/>
        <w:rPr>
          <w:rFonts w:hint="eastAsia" w:ascii="宋体" w:hAnsi="宋体" w:eastAsia="宋体" w:cs="宋体"/>
          <w:sz w:val="24"/>
          <w:highlight w:val="none"/>
        </w:rPr>
      </w:pPr>
    </w:p>
    <w:p w14:paraId="5B75966A">
      <w:pPr>
        <w:pStyle w:val="25"/>
        <w:rPr>
          <w:rFonts w:hint="eastAsia" w:ascii="宋体" w:hAnsi="宋体" w:eastAsia="宋体" w:cs="宋体"/>
          <w:sz w:val="24"/>
          <w:highlight w:val="none"/>
        </w:rPr>
      </w:pPr>
    </w:p>
    <w:p w14:paraId="36BDA49A">
      <w:pPr>
        <w:pStyle w:val="6"/>
        <w:rPr>
          <w:rFonts w:hint="eastAsia" w:ascii="宋体" w:hAnsi="宋体" w:eastAsia="宋体" w:cs="宋体"/>
          <w:sz w:val="24"/>
          <w:highlight w:val="none"/>
        </w:rPr>
      </w:pPr>
    </w:p>
    <w:p w14:paraId="74D5C1F4">
      <w:pPr>
        <w:rPr>
          <w:rFonts w:hint="eastAsia" w:ascii="宋体" w:hAnsi="宋体" w:eastAsia="宋体" w:cs="宋体"/>
          <w:sz w:val="24"/>
          <w:highlight w:val="none"/>
        </w:rPr>
      </w:pPr>
    </w:p>
    <w:p w14:paraId="1CE05C10">
      <w:pPr>
        <w:pStyle w:val="25"/>
        <w:rPr>
          <w:rFonts w:hint="eastAsia" w:ascii="宋体" w:hAnsi="宋体" w:eastAsia="宋体" w:cs="宋体"/>
          <w:sz w:val="24"/>
          <w:highlight w:val="none"/>
        </w:rPr>
      </w:pPr>
    </w:p>
    <w:p w14:paraId="0DB72656">
      <w:pPr>
        <w:pStyle w:val="6"/>
        <w:rPr>
          <w:rFonts w:hint="eastAsia" w:ascii="宋体" w:hAnsi="宋体" w:eastAsia="宋体" w:cs="宋体"/>
          <w:sz w:val="24"/>
          <w:highlight w:val="none"/>
        </w:rPr>
      </w:pPr>
    </w:p>
    <w:p w14:paraId="501D5A18">
      <w:pPr>
        <w:rPr>
          <w:rFonts w:hint="eastAsia" w:ascii="宋体" w:hAnsi="宋体" w:eastAsia="宋体" w:cs="宋体"/>
          <w:sz w:val="24"/>
          <w:highlight w:val="none"/>
        </w:rPr>
      </w:pPr>
    </w:p>
    <w:p w14:paraId="54A5F2C5">
      <w:pPr>
        <w:pStyle w:val="25"/>
        <w:rPr>
          <w:rFonts w:hint="eastAsia" w:ascii="宋体" w:hAnsi="宋体" w:eastAsia="宋体" w:cs="宋体"/>
          <w:sz w:val="24"/>
          <w:highlight w:val="none"/>
        </w:rPr>
      </w:pPr>
    </w:p>
    <w:p w14:paraId="3F4466A9">
      <w:pPr>
        <w:pStyle w:val="6"/>
        <w:rPr>
          <w:rFonts w:hint="eastAsia" w:ascii="宋体" w:hAnsi="宋体" w:eastAsia="宋体" w:cs="宋体"/>
          <w:sz w:val="24"/>
          <w:highlight w:val="none"/>
        </w:rPr>
      </w:pPr>
    </w:p>
    <w:p w14:paraId="335C9978">
      <w:pPr>
        <w:rPr>
          <w:rFonts w:hint="eastAsia" w:ascii="宋体" w:hAnsi="宋体" w:eastAsia="宋体" w:cs="宋体"/>
          <w:sz w:val="24"/>
          <w:highlight w:val="none"/>
        </w:rPr>
      </w:pPr>
    </w:p>
    <w:p w14:paraId="571AD9E8">
      <w:pPr>
        <w:pStyle w:val="25"/>
        <w:rPr>
          <w:rFonts w:hint="eastAsia" w:ascii="宋体" w:hAnsi="宋体" w:eastAsia="宋体" w:cs="宋体"/>
          <w:sz w:val="24"/>
          <w:highlight w:val="none"/>
        </w:rPr>
      </w:pPr>
    </w:p>
    <w:p w14:paraId="31396AB7">
      <w:pPr>
        <w:pStyle w:val="6"/>
        <w:rPr>
          <w:rFonts w:hint="eastAsia" w:ascii="宋体" w:hAnsi="宋体" w:eastAsia="宋体" w:cs="宋体"/>
          <w:sz w:val="24"/>
          <w:highlight w:val="none"/>
        </w:rPr>
      </w:pPr>
    </w:p>
    <w:p w14:paraId="08C75B49">
      <w:pPr>
        <w:rPr>
          <w:rFonts w:hint="eastAsia" w:ascii="宋体" w:hAnsi="宋体" w:eastAsia="宋体" w:cs="宋体"/>
          <w:sz w:val="24"/>
          <w:highlight w:val="none"/>
        </w:rPr>
      </w:pPr>
    </w:p>
    <w:p w14:paraId="28C29197">
      <w:pPr>
        <w:pStyle w:val="25"/>
        <w:rPr>
          <w:rFonts w:hint="eastAsia" w:ascii="宋体" w:hAnsi="宋体" w:eastAsia="宋体" w:cs="宋体"/>
          <w:sz w:val="24"/>
          <w:highlight w:val="none"/>
        </w:rPr>
      </w:pPr>
    </w:p>
    <w:p w14:paraId="4C4971FE">
      <w:pPr>
        <w:pStyle w:val="6"/>
        <w:rPr>
          <w:rFonts w:hint="eastAsia" w:ascii="宋体" w:hAnsi="宋体" w:eastAsia="宋体" w:cs="宋体"/>
          <w:sz w:val="24"/>
          <w:highlight w:val="none"/>
        </w:rPr>
      </w:pPr>
    </w:p>
    <w:p w14:paraId="700B597F">
      <w:pPr>
        <w:rPr>
          <w:rFonts w:hint="eastAsia" w:ascii="宋体" w:hAnsi="宋体" w:eastAsia="宋体" w:cs="宋体"/>
          <w:sz w:val="24"/>
          <w:highlight w:val="none"/>
        </w:rPr>
      </w:pPr>
    </w:p>
    <w:p w14:paraId="5178D236">
      <w:pPr>
        <w:pStyle w:val="25"/>
        <w:rPr>
          <w:rFonts w:hint="eastAsia"/>
          <w:highlight w:val="none"/>
        </w:rPr>
      </w:pPr>
    </w:p>
    <w:p w14:paraId="4FB3BA08">
      <w:pPr>
        <w:tabs>
          <w:tab w:val="left" w:pos="4620"/>
        </w:tabs>
        <w:spacing w:line="360" w:lineRule="auto"/>
        <w:ind w:firstLine="480" w:firstLineChars="200"/>
        <w:rPr>
          <w:rFonts w:hint="eastAsia" w:ascii="宋体" w:hAnsi="宋体" w:eastAsia="宋体" w:cs="宋体"/>
          <w:sz w:val="24"/>
          <w:highlight w:val="none"/>
        </w:rPr>
      </w:pPr>
    </w:p>
    <w:p w14:paraId="31F4434F">
      <w:pPr>
        <w:tabs>
          <w:tab w:val="left" w:pos="4620"/>
        </w:tabs>
        <w:spacing w:line="360" w:lineRule="auto"/>
        <w:rPr>
          <w:rFonts w:hint="eastAsia" w:ascii="宋体" w:hAnsi="宋体" w:eastAsia="宋体" w:cs="宋体"/>
          <w:sz w:val="24"/>
          <w:highlight w:val="none"/>
        </w:rPr>
      </w:pPr>
    </w:p>
    <w:p w14:paraId="09545C1C">
      <w:pPr>
        <w:tabs>
          <w:tab w:val="left" w:pos="4620"/>
        </w:tabs>
        <w:spacing w:line="360" w:lineRule="auto"/>
        <w:ind w:firstLine="480" w:firstLineChars="200"/>
        <w:rPr>
          <w:rFonts w:hint="eastAsia" w:ascii="宋体" w:hAnsi="宋体" w:eastAsia="宋体" w:cs="宋体"/>
          <w:sz w:val="24"/>
          <w:highlight w:val="none"/>
        </w:rPr>
      </w:pPr>
    </w:p>
    <w:p w14:paraId="51036F70">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680D8BAD">
      <w:pPr>
        <w:pStyle w:val="5"/>
        <w:numPr>
          <w:ilvl w:val="0"/>
          <w:numId w:val="0"/>
        </w:numPr>
        <w:bidi w:val="0"/>
        <w:jc w:val="center"/>
        <w:rPr>
          <w:rFonts w:hint="eastAsia"/>
          <w:b/>
          <w:bCs/>
          <w:sz w:val="32"/>
          <w:szCs w:val="32"/>
          <w:highlight w:val="none"/>
        </w:rPr>
      </w:pPr>
      <w:r>
        <w:rPr>
          <w:rFonts w:hint="eastAsia"/>
          <w:highlight w:val="none"/>
          <w:lang w:val="en-US" w:eastAsia="zh-CN"/>
        </w:rPr>
        <w:t>七．</w:t>
      </w:r>
      <w:r>
        <w:rPr>
          <w:rFonts w:hint="eastAsia"/>
          <w:highlight w:val="none"/>
        </w:rPr>
        <w:t>中小企业声明函（工程、服务）</w:t>
      </w:r>
    </w:p>
    <w:p w14:paraId="1473C2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452EB1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万元，属于（中型企业、小型企业、微型企业）； </w:t>
      </w:r>
    </w:p>
    <w:p w14:paraId="19DD57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696956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16CEB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本企业对上述声明内容的真实性负责。如有虚假，将依法承担相应责任。 </w:t>
      </w:r>
    </w:p>
    <w:p w14:paraId="7F96F9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72B39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5C01B09C">
      <w:pPr>
        <w:pStyle w:val="25"/>
        <w:rPr>
          <w:rFonts w:hint="eastAsia" w:ascii="宋体" w:hAnsi="宋体" w:eastAsia="宋体" w:cs="宋体"/>
          <w:sz w:val="24"/>
          <w:szCs w:val="24"/>
          <w:highlight w:val="none"/>
        </w:rPr>
      </w:pPr>
    </w:p>
    <w:p w14:paraId="4CABB122">
      <w:pPr>
        <w:pStyle w:val="6"/>
        <w:rPr>
          <w:rFonts w:hint="eastAsia" w:ascii="宋体" w:hAnsi="宋体" w:eastAsia="宋体" w:cs="宋体"/>
          <w:sz w:val="24"/>
          <w:szCs w:val="24"/>
          <w:highlight w:val="none"/>
        </w:rPr>
      </w:pPr>
    </w:p>
    <w:p w14:paraId="50B571B5">
      <w:pPr>
        <w:rPr>
          <w:rFonts w:hint="eastAsia" w:ascii="宋体" w:hAnsi="宋体" w:eastAsia="宋体" w:cs="宋体"/>
          <w:sz w:val="24"/>
          <w:szCs w:val="24"/>
          <w:highlight w:val="none"/>
        </w:rPr>
      </w:pPr>
    </w:p>
    <w:p w14:paraId="4B13440A">
      <w:pPr>
        <w:pStyle w:val="25"/>
        <w:rPr>
          <w:rFonts w:hint="eastAsia" w:ascii="宋体" w:hAnsi="宋体" w:eastAsia="宋体" w:cs="宋体"/>
          <w:sz w:val="24"/>
          <w:szCs w:val="24"/>
          <w:highlight w:val="none"/>
        </w:rPr>
      </w:pPr>
    </w:p>
    <w:p w14:paraId="3C5C8CC7">
      <w:pPr>
        <w:pStyle w:val="6"/>
        <w:rPr>
          <w:rFonts w:hint="eastAsia"/>
          <w:highlight w:val="none"/>
        </w:rPr>
      </w:pPr>
    </w:p>
    <w:p w14:paraId="2D25B5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01AA8A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7060B1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8"/>
          <w:highlight w:val="none"/>
          <w:lang w:val="en-US" w:eastAsia="zh-CN"/>
        </w:rPr>
      </w:pPr>
    </w:p>
    <w:p w14:paraId="64624B50">
      <w:pPr>
        <w:rPr>
          <w:rFonts w:hint="eastAsia" w:ascii="宋体" w:hAnsi="宋体" w:eastAsia="宋体" w:cs="宋体"/>
          <w:sz w:val="28"/>
          <w:szCs w:val="28"/>
          <w:highlight w:val="none"/>
        </w:rPr>
      </w:pPr>
    </w:p>
    <w:p w14:paraId="67AE9737">
      <w:pPr>
        <w:rPr>
          <w:rFonts w:hint="eastAsia" w:ascii="宋体" w:hAnsi="宋体" w:eastAsia="宋体" w:cs="宋体"/>
          <w:sz w:val="28"/>
          <w:szCs w:val="28"/>
          <w:highlight w:val="none"/>
        </w:rPr>
      </w:pPr>
      <w:bookmarkStart w:id="177" w:name="_Toc220232403"/>
    </w:p>
    <w:p w14:paraId="4078DFB4">
      <w:pPr>
        <w:rPr>
          <w:rFonts w:hint="eastAsia" w:ascii="宋体" w:hAnsi="宋体" w:eastAsia="宋体" w:cs="宋体"/>
          <w:sz w:val="28"/>
          <w:szCs w:val="28"/>
          <w:highlight w:val="none"/>
        </w:rPr>
      </w:pPr>
    </w:p>
    <w:bookmarkEnd w:id="177"/>
    <w:p w14:paraId="43E8762E">
      <w:pPr>
        <w:pStyle w:val="5"/>
        <w:jc w:val="center"/>
        <w:rPr>
          <w:rFonts w:hint="eastAsia" w:ascii="宋体" w:hAnsi="宋体" w:eastAsia="宋体" w:cs="宋体"/>
          <w:sz w:val="36"/>
          <w:szCs w:val="36"/>
          <w:highlight w:val="none"/>
        </w:rPr>
      </w:pPr>
      <w:bookmarkStart w:id="178" w:name="_Hlt526418103"/>
      <w:bookmarkEnd w:id="178"/>
      <w:bookmarkStart w:id="179" w:name="_Hlt526418111"/>
      <w:bookmarkEnd w:id="179"/>
      <w:bookmarkStart w:id="180" w:name="_Toc516969110"/>
      <w:bookmarkStart w:id="181" w:name="_Toc2532_WPSOffice_Level2"/>
      <w:bookmarkStart w:id="182" w:name="_Toc220232405"/>
      <w:r>
        <w:rPr>
          <w:rFonts w:hint="eastAsia" w:ascii="宋体" w:hAnsi="宋体" w:eastAsia="宋体" w:cs="宋体"/>
          <w:sz w:val="28"/>
          <w:highlight w:val="none"/>
        </w:rPr>
        <w:br w:type="page"/>
      </w:r>
      <w:bookmarkStart w:id="183" w:name="_Toc40975458"/>
      <w:bookmarkStart w:id="184" w:name="_Toc10948"/>
      <w:bookmarkStart w:id="185" w:name="_Toc2639"/>
      <w:bookmarkStart w:id="186" w:name="_Toc3638"/>
      <w:r>
        <w:rPr>
          <w:rFonts w:hint="eastAsia" w:hAnsi="宋体" w:cs="宋体"/>
          <w:sz w:val="28"/>
          <w:highlight w:val="none"/>
          <w:lang w:val="en-US" w:eastAsia="zh-CN"/>
        </w:rPr>
        <w:t>八</w:t>
      </w:r>
      <w:r>
        <w:rPr>
          <w:rFonts w:hint="eastAsia" w:ascii="宋体" w:hAnsi="宋体" w:eastAsia="宋体" w:cs="宋体"/>
          <w:sz w:val="28"/>
          <w:highlight w:val="none"/>
        </w:rPr>
        <w:t>．售后服务</w:t>
      </w:r>
      <w:bookmarkEnd w:id="180"/>
      <w:bookmarkEnd w:id="181"/>
      <w:bookmarkEnd w:id="182"/>
      <w:bookmarkEnd w:id="183"/>
      <w:bookmarkEnd w:id="184"/>
      <w:bookmarkEnd w:id="185"/>
      <w:bookmarkEnd w:id="186"/>
    </w:p>
    <w:p w14:paraId="168F4CE8">
      <w:pPr>
        <w:jc w:val="center"/>
        <w:rPr>
          <w:rFonts w:hint="eastAsia" w:ascii="宋体" w:hAnsi="宋体" w:eastAsia="宋体" w:cs="宋体"/>
          <w:sz w:val="28"/>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1AAD3915">
      <w:pPr>
        <w:spacing w:line="500" w:lineRule="exact"/>
        <w:jc w:val="center"/>
        <w:rPr>
          <w:rFonts w:hint="eastAsia" w:ascii="宋体" w:hAnsi="宋体" w:eastAsia="宋体" w:cs="宋体"/>
          <w:b/>
          <w:bCs/>
          <w:sz w:val="30"/>
          <w:highlight w:val="none"/>
        </w:rPr>
      </w:pPr>
      <w:bookmarkStart w:id="187" w:name="_Hlt526418107"/>
      <w:bookmarkEnd w:id="187"/>
    </w:p>
    <w:p w14:paraId="6CFA776A">
      <w:pPr>
        <w:pStyle w:val="5"/>
        <w:rPr>
          <w:rFonts w:hint="eastAsia" w:ascii="宋体" w:hAnsi="宋体" w:eastAsia="宋体" w:cs="宋体"/>
          <w:sz w:val="44"/>
          <w:highlight w:val="none"/>
        </w:rPr>
      </w:pPr>
      <w:bookmarkStart w:id="188" w:name="_Toc359404312"/>
      <w:bookmarkStart w:id="189" w:name="_Hlt509738384"/>
      <w:bookmarkStart w:id="190" w:name="_Toc516969111"/>
      <w:bookmarkStart w:id="191" w:name="_Toc40975459"/>
      <w:bookmarkStart w:id="192" w:name="_Toc30338_WPSOffice_Level2"/>
      <w:bookmarkStart w:id="193" w:name="_Toc197934560"/>
      <w:bookmarkStart w:id="194" w:name="_Toc27099"/>
      <w:bookmarkStart w:id="195" w:name="_Toc26966"/>
      <w:bookmarkStart w:id="196" w:name="_Toc10813"/>
      <w:r>
        <w:rPr>
          <w:rFonts w:hint="eastAsia" w:hAnsi="宋体" w:cs="宋体"/>
          <w:sz w:val="28"/>
          <w:highlight w:val="none"/>
          <w:lang w:val="en-US" w:eastAsia="zh-CN"/>
        </w:rPr>
        <w:t>九</w:t>
      </w:r>
      <w:r>
        <w:rPr>
          <w:rFonts w:hint="eastAsia" w:ascii="宋体" w:hAnsi="宋体" w:eastAsia="宋体" w:cs="宋体"/>
          <w:sz w:val="28"/>
          <w:highlight w:val="none"/>
        </w:rPr>
        <w:t>、所投</w:t>
      </w:r>
      <w:r>
        <w:rPr>
          <w:rFonts w:hint="eastAsia" w:ascii="宋体" w:hAnsi="宋体" w:eastAsia="宋体" w:cs="宋体"/>
          <w:sz w:val="28"/>
          <w:highlight w:val="none"/>
          <w:lang w:eastAsia="zh-CN"/>
        </w:rPr>
        <w:t>服务</w:t>
      </w:r>
      <w:r>
        <w:rPr>
          <w:rFonts w:hint="eastAsia" w:ascii="宋体" w:hAnsi="宋体" w:eastAsia="宋体" w:cs="宋体"/>
          <w:sz w:val="28"/>
          <w:highlight w:val="none"/>
        </w:rPr>
        <w:t>的技术资料等</w:t>
      </w:r>
      <w:bookmarkEnd w:id="188"/>
      <w:bookmarkEnd w:id="189"/>
      <w:bookmarkEnd w:id="190"/>
      <w:bookmarkEnd w:id="191"/>
      <w:bookmarkEnd w:id="192"/>
      <w:bookmarkEnd w:id="193"/>
      <w:bookmarkEnd w:id="194"/>
      <w:bookmarkEnd w:id="195"/>
      <w:bookmarkEnd w:id="196"/>
      <w:bookmarkStart w:id="197" w:name="_Hlt509650291"/>
      <w:bookmarkEnd w:id="197"/>
    </w:p>
    <w:p w14:paraId="1C25BE38">
      <w:pPr>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可自行制作格式，可附产品技术彩页）</w:t>
      </w:r>
    </w:p>
    <w:p w14:paraId="7C285398">
      <w:pPr>
        <w:jc w:val="center"/>
        <w:rPr>
          <w:rFonts w:hint="eastAsia" w:ascii="宋体" w:hAnsi="宋体" w:eastAsia="宋体" w:cs="宋体"/>
          <w:sz w:val="24"/>
          <w:highlight w:val="none"/>
        </w:rPr>
      </w:pPr>
    </w:p>
    <w:p w14:paraId="08A6B28F">
      <w:pPr>
        <w:jc w:val="center"/>
        <w:rPr>
          <w:rFonts w:hint="eastAsia" w:ascii="宋体" w:hAnsi="宋体" w:eastAsia="宋体" w:cs="宋体"/>
          <w:sz w:val="24"/>
          <w:highlight w:val="none"/>
        </w:rPr>
      </w:pPr>
    </w:p>
    <w:p w14:paraId="13E555FF">
      <w:pPr>
        <w:jc w:val="center"/>
        <w:rPr>
          <w:rFonts w:hint="eastAsia" w:ascii="宋体" w:hAnsi="宋体" w:eastAsia="宋体" w:cs="宋体"/>
          <w:sz w:val="24"/>
          <w:highlight w:val="none"/>
        </w:rPr>
      </w:pPr>
    </w:p>
    <w:p w14:paraId="4362360E">
      <w:pPr>
        <w:pStyle w:val="5"/>
        <w:rPr>
          <w:rFonts w:hint="eastAsia" w:ascii="宋体" w:hAnsi="宋体" w:eastAsia="宋体" w:cs="宋体"/>
          <w:sz w:val="28"/>
          <w:highlight w:val="none"/>
        </w:rPr>
      </w:pPr>
      <w:bookmarkStart w:id="198" w:name="_Toc10283"/>
      <w:bookmarkStart w:id="199" w:name="_Toc17042"/>
      <w:bookmarkStart w:id="200" w:name="_Toc1814"/>
      <w:r>
        <w:rPr>
          <w:rFonts w:hint="eastAsia" w:ascii="宋体" w:hAnsi="宋体" w:eastAsia="宋体" w:cs="宋体"/>
          <w:sz w:val="28"/>
          <w:highlight w:val="none"/>
        </w:rPr>
        <w:t>十、其他</w:t>
      </w:r>
      <w:r>
        <w:rPr>
          <w:rFonts w:hint="eastAsia" w:hAnsi="宋体" w:cs="宋体"/>
          <w:sz w:val="28"/>
          <w:highlight w:val="none"/>
          <w:lang w:eastAsia="zh-CN"/>
        </w:rPr>
        <w:t>供应商</w:t>
      </w:r>
      <w:r>
        <w:rPr>
          <w:rFonts w:hint="eastAsia" w:ascii="宋体" w:hAnsi="宋体" w:eastAsia="宋体" w:cs="宋体"/>
          <w:sz w:val="28"/>
          <w:highlight w:val="none"/>
        </w:rPr>
        <w:t>认为需要提供得材料等</w:t>
      </w:r>
      <w:bookmarkEnd w:id="198"/>
      <w:bookmarkEnd w:id="199"/>
      <w:bookmarkEnd w:id="200"/>
    </w:p>
    <w:p w14:paraId="63F8A007">
      <w:pPr>
        <w:bidi w:val="0"/>
        <w:rPr>
          <w:rFonts w:hint="eastAsia"/>
          <w:highlight w:val="none"/>
        </w:rPr>
      </w:pPr>
    </w:p>
    <w:p w14:paraId="53F1CBC0">
      <w:pPr>
        <w:jc w:val="center"/>
        <w:rPr>
          <w:rFonts w:hint="eastAsia" w:ascii="宋体" w:hAnsi="宋体" w:eastAsia="宋体" w:cs="宋体"/>
          <w:sz w:val="24"/>
          <w:highlight w:val="none"/>
        </w:rPr>
      </w:pPr>
    </w:p>
    <w:p w14:paraId="0AB31FAC">
      <w:pPr>
        <w:jc w:val="center"/>
        <w:rPr>
          <w:rFonts w:hint="eastAsia" w:ascii="宋体" w:hAnsi="宋体" w:eastAsia="宋体" w:cs="宋体"/>
          <w:sz w:val="24"/>
          <w:highlight w:val="none"/>
        </w:rPr>
      </w:pPr>
    </w:p>
    <w:p w14:paraId="20A0D1B0">
      <w:pPr>
        <w:jc w:val="center"/>
        <w:rPr>
          <w:rFonts w:hint="eastAsia" w:ascii="宋体" w:hAnsi="宋体" w:eastAsia="宋体" w:cs="宋体"/>
          <w:sz w:val="24"/>
          <w:highlight w:val="none"/>
        </w:rPr>
      </w:pPr>
    </w:p>
    <w:p w14:paraId="0841E89D">
      <w:pPr>
        <w:jc w:val="center"/>
        <w:rPr>
          <w:rFonts w:hint="eastAsia" w:ascii="宋体" w:hAnsi="宋体" w:eastAsia="宋体" w:cs="宋体"/>
          <w:sz w:val="24"/>
          <w:highlight w:val="none"/>
        </w:rPr>
      </w:pPr>
    </w:p>
    <w:p w14:paraId="6AD33F4D">
      <w:pPr>
        <w:jc w:val="center"/>
        <w:rPr>
          <w:rFonts w:hint="eastAsia" w:ascii="宋体" w:hAnsi="宋体" w:eastAsia="宋体" w:cs="宋体"/>
          <w:sz w:val="24"/>
          <w:highlight w:val="none"/>
        </w:rPr>
      </w:pPr>
    </w:p>
    <w:p w14:paraId="3E861F8A">
      <w:pPr>
        <w:jc w:val="center"/>
        <w:rPr>
          <w:rFonts w:hint="eastAsia" w:ascii="宋体" w:hAnsi="宋体" w:eastAsia="宋体" w:cs="宋体"/>
          <w:sz w:val="24"/>
          <w:highlight w:val="none"/>
        </w:rPr>
      </w:pPr>
    </w:p>
    <w:p w14:paraId="0BC898C8">
      <w:pPr>
        <w:jc w:val="center"/>
        <w:rPr>
          <w:rFonts w:hint="eastAsia" w:ascii="宋体" w:hAnsi="宋体" w:eastAsia="宋体" w:cs="宋体"/>
          <w:sz w:val="24"/>
          <w:highlight w:val="none"/>
        </w:rPr>
      </w:pPr>
    </w:p>
    <w:p w14:paraId="6C70666A">
      <w:pPr>
        <w:jc w:val="center"/>
        <w:rPr>
          <w:rFonts w:hint="eastAsia" w:ascii="宋体" w:hAnsi="宋体" w:eastAsia="宋体" w:cs="宋体"/>
          <w:sz w:val="24"/>
          <w:highlight w:val="none"/>
        </w:rPr>
      </w:pPr>
    </w:p>
    <w:p w14:paraId="3BA5165A">
      <w:pPr>
        <w:jc w:val="center"/>
        <w:rPr>
          <w:rFonts w:hint="eastAsia" w:ascii="宋体" w:hAnsi="宋体" w:eastAsia="宋体" w:cs="宋体"/>
          <w:sz w:val="24"/>
          <w:highlight w:val="none"/>
        </w:rPr>
      </w:pPr>
    </w:p>
    <w:p w14:paraId="3874AC73">
      <w:pPr>
        <w:jc w:val="center"/>
        <w:rPr>
          <w:rFonts w:hint="eastAsia" w:ascii="宋体" w:hAnsi="宋体" w:eastAsia="宋体" w:cs="宋体"/>
          <w:sz w:val="24"/>
          <w:highlight w:val="none"/>
        </w:rPr>
      </w:pPr>
    </w:p>
    <w:p w14:paraId="7C490BD3">
      <w:pPr>
        <w:jc w:val="center"/>
        <w:rPr>
          <w:rFonts w:hint="eastAsia" w:ascii="宋体" w:hAnsi="宋体" w:eastAsia="宋体" w:cs="宋体"/>
          <w:sz w:val="24"/>
          <w:highlight w:val="none"/>
        </w:rPr>
      </w:pPr>
    </w:p>
    <w:p w14:paraId="3E3A7AA7">
      <w:pPr>
        <w:jc w:val="center"/>
        <w:rPr>
          <w:rFonts w:hint="eastAsia" w:ascii="宋体" w:hAnsi="宋体" w:eastAsia="宋体" w:cs="宋体"/>
          <w:sz w:val="24"/>
          <w:highlight w:val="none"/>
        </w:rPr>
      </w:pPr>
    </w:p>
    <w:p w14:paraId="4F653A4B">
      <w:pPr>
        <w:pStyle w:val="15"/>
        <w:rPr>
          <w:rFonts w:hint="eastAsia" w:ascii="宋体" w:hAnsi="宋体" w:eastAsia="宋体" w:cs="宋体"/>
          <w:highlight w:val="none"/>
        </w:rPr>
      </w:pPr>
    </w:p>
    <w:p w14:paraId="5FFC2340">
      <w:pPr>
        <w:pStyle w:val="15"/>
        <w:rPr>
          <w:rFonts w:hint="eastAsia" w:ascii="宋体" w:hAnsi="宋体" w:eastAsia="宋体" w:cs="宋体"/>
          <w:highlight w:val="none"/>
        </w:rPr>
      </w:pPr>
    </w:p>
    <w:p w14:paraId="17719E55">
      <w:pPr>
        <w:pStyle w:val="15"/>
        <w:rPr>
          <w:rFonts w:hint="eastAsia" w:ascii="宋体" w:hAnsi="宋体" w:eastAsia="宋体" w:cs="宋体"/>
          <w:highlight w:val="none"/>
        </w:rPr>
      </w:pPr>
    </w:p>
    <w:p w14:paraId="372CBA17">
      <w:pPr>
        <w:pStyle w:val="15"/>
        <w:rPr>
          <w:rFonts w:hint="eastAsia" w:ascii="宋体" w:hAnsi="宋体" w:eastAsia="宋体" w:cs="宋体"/>
          <w:highlight w:val="none"/>
        </w:rPr>
      </w:pPr>
    </w:p>
    <w:p w14:paraId="42769ADB">
      <w:pPr>
        <w:pStyle w:val="15"/>
        <w:rPr>
          <w:rFonts w:hint="eastAsia" w:ascii="宋体" w:hAnsi="宋体" w:eastAsia="宋体" w:cs="宋体"/>
          <w:highlight w:val="none"/>
        </w:rPr>
      </w:pPr>
    </w:p>
    <w:p w14:paraId="7C2AE57B">
      <w:pPr>
        <w:pStyle w:val="15"/>
        <w:rPr>
          <w:rFonts w:hint="eastAsia" w:ascii="宋体" w:hAnsi="宋体" w:eastAsia="宋体" w:cs="宋体"/>
          <w:highlight w:val="none"/>
        </w:rPr>
      </w:pPr>
    </w:p>
    <w:p w14:paraId="1E935D78">
      <w:pPr>
        <w:pStyle w:val="15"/>
        <w:rPr>
          <w:rFonts w:hint="eastAsia" w:ascii="宋体" w:hAnsi="宋体" w:eastAsia="宋体" w:cs="宋体"/>
          <w:highlight w:val="none"/>
        </w:rPr>
      </w:pPr>
    </w:p>
    <w:p w14:paraId="25C25B2F">
      <w:pPr>
        <w:jc w:val="center"/>
        <w:rPr>
          <w:rFonts w:hint="eastAsia" w:ascii="宋体" w:hAnsi="宋体" w:eastAsia="宋体" w:cs="宋体"/>
          <w:sz w:val="24"/>
          <w:highlight w:val="none"/>
        </w:rPr>
      </w:pPr>
    </w:p>
    <w:p w14:paraId="73F95633">
      <w:pPr>
        <w:jc w:val="center"/>
        <w:rPr>
          <w:rFonts w:hint="eastAsia" w:ascii="宋体" w:hAnsi="宋体" w:eastAsia="宋体" w:cs="宋体"/>
          <w:sz w:val="24"/>
          <w:highlight w:val="none"/>
        </w:rPr>
      </w:pPr>
    </w:p>
    <w:p w14:paraId="03316A73">
      <w:pPr>
        <w:jc w:val="center"/>
        <w:rPr>
          <w:rFonts w:hint="eastAsia" w:ascii="宋体" w:hAnsi="宋体" w:eastAsia="宋体" w:cs="宋体"/>
          <w:sz w:val="24"/>
          <w:highlight w:val="none"/>
        </w:rPr>
      </w:pPr>
    </w:p>
    <w:p w14:paraId="39082E59">
      <w:pPr>
        <w:jc w:val="center"/>
        <w:rPr>
          <w:rFonts w:hint="eastAsia" w:ascii="宋体" w:hAnsi="宋体" w:eastAsia="宋体" w:cs="宋体"/>
          <w:sz w:val="24"/>
          <w:highlight w:val="none"/>
        </w:rPr>
      </w:pPr>
    </w:p>
    <w:p w14:paraId="42E79D79">
      <w:pPr>
        <w:jc w:val="center"/>
        <w:rPr>
          <w:rFonts w:hint="eastAsia" w:ascii="宋体" w:hAnsi="宋体" w:eastAsia="宋体" w:cs="宋体"/>
          <w:sz w:val="24"/>
          <w:highlight w:val="none"/>
        </w:rPr>
      </w:pPr>
    </w:p>
    <w:p w14:paraId="1CE0F496">
      <w:pPr>
        <w:pStyle w:val="15"/>
        <w:rPr>
          <w:rFonts w:hint="eastAsia" w:ascii="宋体" w:hAnsi="宋体" w:eastAsia="宋体" w:cs="宋体"/>
          <w:highlight w:val="none"/>
        </w:rPr>
      </w:pPr>
    </w:p>
    <w:p w14:paraId="3236FCCE">
      <w:pPr>
        <w:pStyle w:val="15"/>
        <w:rPr>
          <w:rFonts w:hint="eastAsia" w:ascii="宋体" w:hAnsi="宋体" w:eastAsia="宋体" w:cs="宋体"/>
          <w:highlight w:val="none"/>
        </w:rPr>
      </w:pPr>
    </w:p>
    <w:p w14:paraId="3BEBA58A">
      <w:pPr>
        <w:pStyle w:val="5"/>
        <w:bidi w:val="0"/>
        <w:rPr>
          <w:rFonts w:hint="eastAsia"/>
          <w:highlight w:val="none"/>
        </w:rPr>
      </w:pPr>
      <w:r>
        <w:rPr>
          <w:rFonts w:hint="eastAsia"/>
          <w:highlight w:val="none"/>
        </w:rPr>
        <w:t>十</w:t>
      </w:r>
      <w:r>
        <w:rPr>
          <w:rFonts w:hint="eastAsia"/>
          <w:highlight w:val="none"/>
          <w:lang w:val="en-US" w:eastAsia="zh-CN"/>
        </w:rPr>
        <w:t>一</w:t>
      </w:r>
      <w:r>
        <w:rPr>
          <w:rFonts w:hint="eastAsia"/>
          <w:highlight w:val="none"/>
        </w:rPr>
        <w:t>、政府采购供应商诚信承诺书</w:t>
      </w:r>
    </w:p>
    <w:p w14:paraId="6560B0E4">
      <w:pPr>
        <w:spacing w:line="380" w:lineRule="exact"/>
        <w:jc w:val="center"/>
        <w:rPr>
          <w:rFonts w:hint="eastAsia" w:ascii="宋体" w:hAnsi="宋体" w:eastAsia="宋体" w:cs="宋体"/>
          <w:b/>
          <w:sz w:val="24"/>
          <w:highlight w:val="none"/>
        </w:rPr>
      </w:pPr>
    </w:p>
    <w:p w14:paraId="424C99FB">
      <w:pPr>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CF79AD">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（一）提供虚假材料谋取中标;</w:t>
      </w:r>
    </w:p>
    <w:p w14:paraId="7DDD7A0F">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7C323423">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（三）与招标采购单位、其他</w:t>
      </w:r>
      <w:r>
        <w:rPr>
          <w:rFonts w:hint="eastAsia" w:ascii="宋体" w:hAnsi="宋体" w:cs="宋体"/>
          <w:sz w:val="24"/>
          <w:highlight w:val="none"/>
          <w:lang w:eastAsia="zh-CN"/>
        </w:rPr>
        <w:t>供应商</w:t>
      </w:r>
      <w:r>
        <w:rPr>
          <w:rFonts w:hint="eastAsia" w:ascii="宋体" w:hAnsi="宋体" w:eastAsia="宋体" w:cs="宋体"/>
          <w:sz w:val="24"/>
          <w:highlight w:val="none"/>
        </w:rPr>
        <w:t>恶意串通;</w:t>
      </w:r>
    </w:p>
    <w:p w14:paraId="195BF5EA">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2CA83F4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03096CD5">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6CFCEE56">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403D51B3">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5B62FF07">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（九）无正当理由，拒绝履行合同义务;</w:t>
      </w:r>
    </w:p>
    <w:p w14:paraId="573F2DCC">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（十）无正当理由放弃中标（成交）项目;</w:t>
      </w:r>
    </w:p>
    <w:p w14:paraId="74C9B1D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（十ー）擅自或与与采购人串通或接受采购人要求，在履约合同中通过减少</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数量，更服务标准等，却仍按原合同进行虚假验收或终止政府采购合同;</w:t>
      </w:r>
    </w:p>
    <w:p w14:paraId="6735C4D5">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40593BCE">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283ED1DF">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3A464F7B">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456F15A4">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0E6EC395">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35B0D34B">
      <w:pPr>
        <w:spacing w:line="380" w:lineRule="exact"/>
        <w:jc w:val="center"/>
        <w:rPr>
          <w:rFonts w:hint="eastAsia" w:ascii="宋体" w:hAnsi="宋体" w:eastAsia="宋体" w:cs="宋体"/>
          <w:sz w:val="24"/>
          <w:highlight w:val="none"/>
        </w:rPr>
      </w:pPr>
    </w:p>
    <w:p w14:paraId="3FAB997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63F0D2BD">
      <w:pPr>
        <w:spacing w:line="380" w:lineRule="exact"/>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w:t>
      </w:r>
    </w:p>
    <w:p w14:paraId="6A099A2A">
      <w:pPr>
        <w:spacing w:line="380" w:lineRule="exact"/>
        <w:jc w:val="center"/>
        <w:rPr>
          <w:rFonts w:hint="eastAsia" w:ascii="宋体" w:hAnsi="宋体" w:eastAsia="宋体" w:cs="宋体"/>
          <w:sz w:val="24"/>
          <w:highlight w:val="none"/>
        </w:rPr>
      </w:pPr>
    </w:p>
    <w:p w14:paraId="6F32BAFA">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法人代表</w:t>
      </w:r>
      <w:r>
        <w:rPr>
          <w:rFonts w:hint="eastAsia" w:ascii="宋体" w:hAnsi="宋体" w:eastAsia="宋体" w:cs="宋体"/>
          <w:sz w:val="24"/>
          <w:highlight w:val="none"/>
          <w:lang w:val="en-US" w:eastAsia="zh-CN"/>
        </w:rPr>
        <w:t>和</w:t>
      </w:r>
      <w:r>
        <w:rPr>
          <w:rFonts w:hint="eastAsia" w:ascii="宋体" w:hAnsi="宋体" w:eastAsia="宋体" w:cs="宋体"/>
          <w:sz w:val="24"/>
          <w:highlight w:val="none"/>
        </w:rPr>
        <w:t>授权委托人：（签</w:t>
      </w:r>
      <w:r>
        <w:rPr>
          <w:rFonts w:hint="eastAsia" w:ascii="宋体" w:hAnsi="宋体" w:eastAsia="宋体" w:cs="宋体"/>
          <w:sz w:val="24"/>
          <w:highlight w:val="none"/>
          <w:lang w:val="en-US" w:eastAsia="zh-CN"/>
        </w:rPr>
        <w:t>章</w:t>
      </w:r>
      <w:r>
        <w:rPr>
          <w:rFonts w:hint="eastAsia" w:ascii="宋体" w:hAnsi="宋体" w:eastAsia="宋体" w:cs="宋体"/>
          <w:sz w:val="24"/>
          <w:highlight w:val="none"/>
        </w:rPr>
        <w:t>）</w:t>
      </w:r>
    </w:p>
    <w:p w14:paraId="654FC8A2">
      <w:pPr>
        <w:spacing w:line="380" w:lineRule="exact"/>
        <w:jc w:val="center"/>
        <w:rPr>
          <w:rFonts w:hint="eastAsia" w:ascii="宋体" w:hAnsi="宋体" w:eastAsia="宋体" w:cs="宋体"/>
          <w:sz w:val="24"/>
          <w:highlight w:val="none"/>
        </w:rPr>
      </w:pPr>
    </w:p>
    <w:p w14:paraId="7E73DC71">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2A381049">
      <w:pPr>
        <w:pStyle w:val="26"/>
        <w:ind w:firstLine="210"/>
        <w:rPr>
          <w:rFonts w:hint="eastAsia" w:ascii="宋体" w:hAnsi="宋体" w:eastAsia="宋体" w:cs="宋体"/>
          <w:highlight w:val="none"/>
        </w:rPr>
      </w:pPr>
    </w:p>
    <w:p w14:paraId="3A890DF5">
      <w:pPr>
        <w:pStyle w:val="3"/>
        <w:bidi w:val="0"/>
        <w:rPr>
          <w:rFonts w:hint="eastAsia" w:ascii="宋体" w:hAnsi="宋体" w:eastAsia="宋体" w:cs="宋体"/>
          <w:highlight w:val="none"/>
        </w:rPr>
      </w:pPr>
      <w:bookmarkStart w:id="201" w:name="_Toc12913"/>
      <w:r>
        <w:rPr>
          <w:rFonts w:hint="eastAsia" w:ascii="宋体" w:hAnsi="宋体" w:eastAsia="宋体" w:cs="宋体"/>
          <w:highlight w:val="none"/>
        </w:rPr>
        <w:t>周口市政府采购合同融资政策告知函</w:t>
      </w:r>
      <w:bookmarkEnd w:id="201"/>
    </w:p>
    <w:p w14:paraId="1E085F52">
      <w:pPr>
        <w:pStyle w:val="26"/>
        <w:ind w:firstLine="240"/>
        <w:rPr>
          <w:rFonts w:hint="eastAsia" w:ascii="宋体" w:hAnsi="宋体" w:eastAsia="宋体" w:cs="宋体"/>
          <w:sz w:val="24"/>
          <w:szCs w:val="24"/>
          <w:highlight w:val="none"/>
        </w:rPr>
      </w:pPr>
    </w:p>
    <w:p w14:paraId="18531060">
      <w:pPr>
        <w:pStyle w:val="26"/>
        <w:ind w:firstLine="240"/>
        <w:rPr>
          <w:rFonts w:hint="eastAsia" w:ascii="宋体" w:hAnsi="宋体" w:eastAsia="宋体" w:cs="宋体"/>
          <w:sz w:val="24"/>
          <w:szCs w:val="24"/>
          <w:highlight w:val="none"/>
        </w:rPr>
      </w:pPr>
    </w:p>
    <w:p w14:paraId="6E89FDA2">
      <w:pPr>
        <w:pStyle w:val="26"/>
        <w:ind w:firstLine="240"/>
        <w:rPr>
          <w:rFonts w:hint="eastAsia" w:ascii="宋体" w:hAnsi="宋体" w:eastAsia="宋体" w:cs="宋体"/>
          <w:sz w:val="24"/>
          <w:szCs w:val="24"/>
          <w:highlight w:val="none"/>
        </w:rPr>
      </w:pPr>
    </w:p>
    <w:p w14:paraId="7587F911">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各供应商：</w:t>
      </w:r>
    </w:p>
    <w:p w14:paraId="1EBC1315">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欢迎贵公司参与周口市政府采购活动！</w:t>
      </w:r>
    </w:p>
    <w:p w14:paraId="1E46E193">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8E2687">
      <w:pPr>
        <w:pStyle w:val="18"/>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贷款渠道和提供贷款的金融机构，可在河南省政府采购网“河南省政府采购合同融资平台”查询联系。</w:t>
      </w:r>
    </w:p>
    <w:p w14:paraId="2CED0DF4">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AD7BD1E">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236F09BD">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DC2EC1C">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516AEF29">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6F996C0B">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2D9C601C">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ED0DA99">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7FD9BF5">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102C0813">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52CF57B6">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560C58F">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14DEFE6">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19601D8">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FC1FB93">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169E56E">
      <w:pPr>
        <w:pStyle w:val="26"/>
        <w:ind w:left="0" w:leftChars="0" w:firstLine="0" w:firstLineChars="0"/>
        <w:rPr>
          <w:rFonts w:hint="eastAsia" w:ascii="宋体" w:hAnsi="宋体" w:eastAsia="宋体" w:cs="宋体"/>
          <w:sz w:val="24"/>
          <w:szCs w:val="24"/>
          <w:highlight w:val="none"/>
        </w:rPr>
      </w:pPr>
    </w:p>
    <w:p w14:paraId="6FBE935F">
      <w:pPr>
        <w:rPr>
          <w:highlight w:val="none"/>
        </w:rPr>
      </w:pPr>
    </w:p>
    <w:p w14:paraId="2BD86CA7">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19C8F">
    <w:pPr>
      <w:pStyle w:val="13"/>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0EB3F91">
                          <w:pPr>
                            <w:pStyle w:val="13"/>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40EB3F91">
                    <w:pPr>
                      <w:pStyle w:val="13"/>
                      <w:rPr>
                        <w:rStyle w:val="24"/>
                        <w:rFonts w:hint="eastAsia"/>
                      </w:rPr>
                    </w:pPr>
                    <w:r>
                      <w:fldChar w:fldCharType="begin"/>
                    </w:r>
                    <w:r>
                      <w:rPr>
                        <w:rStyle w:val="24"/>
                      </w:rPr>
                      <w:instrText xml:space="preserve">PAGE   \* MERGEFORMAT</w:instrText>
                    </w:r>
                    <w:r>
                      <w:fldChar w:fldCharType="separate"/>
                    </w:r>
                    <w:r>
                      <w:rPr>
                        <w:rStyle w:val="24"/>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26696"/>
    <w:multiLevelType w:val="singleLevel"/>
    <w:tmpl w:val="94526696"/>
    <w:lvl w:ilvl="0" w:tentative="0">
      <w:start w:val="1"/>
      <w:numFmt w:val="decimal"/>
      <w:lvlText w:val="%1."/>
      <w:lvlJc w:val="left"/>
      <w:pPr>
        <w:tabs>
          <w:tab w:val="left" w:pos="312"/>
        </w:tabs>
      </w:pPr>
    </w:lvl>
  </w:abstractNum>
  <w:abstractNum w:abstractNumId="1">
    <w:nsid w:val="1223B73C"/>
    <w:multiLevelType w:val="singleLevel"/>
    <w:tmpl w:val="1223B73C"/>
    <w:lvl w:ilvl="0" w:tentative="0">
      <w:start w:val="1"/>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62403DEC"/>
    <w:rsid w:val="087B6A7B"/>
    <w:rsid w:val="0B437949"/>
    <w:rsid w:val="0EB97BEC"/>
    <w:rsid w:val="0FE02217"/>
    <w:rsid w:val="125F7BDE"/>
    <w:rsid w:val="14473B08"/>
    <w:rsid w:val="15A87505"/>
    <w:rsid w:val="1B230FF9"/>
    <w:rsid w:val="233D0CCE"/>
    <w:rsid w:val="253352B5"/>
    <w:rsid w:val="277906A0"/>
    <w:rsid w:val="2ACC7FF6"/>
    <w:rsid w:val="38EB0A86"/>
    <w:rsid w:val="3F680FE6"/>
    <w:rsid w:val="47827AB2"/>
    <w:rsid w:val="4804016F"/>
    <w:rsid w:val="516E6F68"/>
    <w:rsid w:val="5335632C"/>
    <w:rsid w:val="57417B42"/>
    <w:rsid w:val="57F976E9"/>
    <w:rsid w:val="58057D47"/>
    <w:rsid w:val="58A3650F"/>
    <w:rsid w:val="5DEA5872"/>
    <w:rsid w:val="5F864151"/>
    <w:rsid w:val="62403DEC"/>
    <w:rsid w:val="65AB02D0"/>
    <w:rsid w:val="694A23C9"/>
    <w:rsid w:val="69D8371A"/>
    <w:rsid w:val="71924DDF"/>
    <w:rsid w:val="71DE36A5"/>
    <w:rsid w:val="76E61883"/>
    <w:rsid w:val="78992CEF"/>
    <w:rsid w:val="7B651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4">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5">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3">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Arial"/>
      <w:sz w:val="28"/>
    </w:rPr>
  </w:style>
  <w:style w:type="paragraph" w:styleId="6">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Indent"/>
    <w:basedOn w:val="1"/>
    <w:next w:val="1"/>
    <w:qFormat/>
    <w:uiPriority w:val="0"/>
    <w:pPr>
      <w:ind w:firstLine="645"/>
    </w:pPr>
    <w:rPr>
      <w:rFonts w:ascii="楷体_GB2312" w:eastAsia="楷体_GB2312"/>
      <w:sz w:val="32"/>
    </w:rPr>
  </w:style>
  <w:style w:type="paragraph" w:styleId="10">
    <w:name w:val="HTML Address"/>
    <w:basedOn w:val="1"/>
    <w:qFormat/>
    <w:uiPriority w:val="0"/>
    <w:rPr>
      <w:i/>
    </w:rPr>
  </w:style>
  <w:style w:type="paragraph" w:styleId="11">
    <w:name w:val="Plain Text"/>
    <w:basedOn w:val="1"/>
    <w:next w:val="2"/>
    <w:qFormat/>
    <w:uiPriority w:val="0"/>
    <w:rPr>
      <w:rFonts w:ascii="宋体" w:hAnsi="Courier New"/>
    </w:rPr>
  </w:style>
  <w:style w:type="paragraph" w:styleId="12">
    <w:name w:val="Date"/>
    <w:basedOn w:val="1"/>
    <w:next w:val="1"/>
    <w:qFormat/>
    <w:uiPriority w:val="0"/>
    <w:rPr>
      <w:b/>
      <w:sz w:val="2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footnote text"/>
    <w:basedOn w:val="1"/>
    <w:qFormat/>
    <w:uiPriority w:val="99"/>
    <w:pPr>
      <w:snapToGrid w:val="0"/>
      <w:jc w:val="left"/>
    </w:pPr>
    <w:rPr>
      <w:sz w:val="18"/>
      <w:szCs w:val="18"/>
    </w:rPr>
  </w:style>
  <w:style w:type="paragraph" w:styleId="16">
    <w:name w:val="toc 2"/>
    <w:basedOn w:val="1"/>
    <w:next w:val="1"/>
    <w:qFormat/>
    <w:uiPriority w:val="39"/>
    <w:pPr>
      <w:ind w:left="210"/>
      <w:jc w:val="left"/>
    </w:pPr>
    <w:rPr>
      <w:smallCaps/>
      <w:sz w:val="28"/>
      <w:szCs w:val="24"/>
    </w:rPr>
  </w:style>
  <w:style w:type="paragraph" w:styleId="17">
    <w:name w:val="Body Text 2"/>
    <w:basedOn w:val="1"/>
    <w:next w:val="2"/>
    <w:qFormat/>
    <w:uiPriority w:val="0"/>
    <w:pPr>
      <w:spacing w:line="360" w:lineRule="auto"/>
    </w:pPr>
    <w:rPr>
      <w:sz w:val="24"/>
      <w:szCs w:val="20"/>
    </w:rPr>
  </w:style>
  <w:style w:type="paragraph" w:styleId="1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9">
    <w:name w:val="index 1"/>
    <w:basedOn w:val="1"/>
    <w:next w:val="1"/>
    <w:qFormat/>
    <w:uiPriority w:val="0"/>
    <w:pPr>
      <w:jc w:val="center"/>
    </w:pPr>
    <w:rPr>
      <w:rFonts w:ascii="仿宋_GB2312" w:eastAsia="仿宋_GB2312"/>
      <w:b/>
      <w:bCs/>
      <w:sz w:val="28"/>
    </w:rPr>
  </w:style>
  <w:style w:type="paragraph" w:styleId="20">
    <w:name w:val="Body Text First Indent"/>
    <w:basedOn w:val="2"/>
    <w:next w:val="2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1">
    <w:name w:val="Body Text First Indent 2"/>
    <w:basedOn w:val="9"/>
    <w:next w:val="1"/>
    <w:qFormat/>
    <w:uiPriority w:val="0"/>
    <w:pPr>
      <w:spacing w:after="120"/>
      <w:ind w:left="420" w:firstLine="210"/>
    </w:pPr>
    <w:rPr>
      <w:rFonts w:ascii="Times New Roman"/>
    </w:rPr>
  </w:style>
  <w:style w:type="character" w:styleId="24">
    <w:name w:val="page number"/>
    <w:basedOn w:val="23"/>
    <w:qFormat/>
    <w:uiPriority w:val="0"/>
  </w:style>
  <w:style w:type="paragraph" w:customStyle="1" w:styleId="25">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9">
    <w:name w:val="Table Text"/>
    <w:qFormat/>
    <w:uiPriority w:val="0"/>
    <w:pPr>
      <w:snapToGrid w:val="0"/>
      <w:spacing w:before="80" w:after="80"/>
    </w:pPr>
    <w:rPr>
      <w:rFonts w:ascii="Arial" w:hAnsi="Arial" w:eastAsia="宋体" w:cs="Times New Roman"/>
      <w:kern w:val="2"/>
      <w:sz w:val="18"/>
      <w:szCs w:val="18"/>
      <w:lang w:val="en-US" w:eastAsia="zh-CN" w:bidi="ar-SA"/>
    </w:rPr>
  </w:style>
  <w:style w:type="paragraph" w:customStyle="1" w:styleId="30">
    <w:name w:val="Default"/>
    <w:basedOn w:val="11"/>
    <w:next w:val="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18039</Words>
  <Characters>19170</Characters>
  <Lines>0</Lines>
  <Paragraphs>0</Paragraphs>
  <TotalTime>38</TotalTime>
  <ScaleCrop>false</ScaleCrop>
  <LinksUpToDate>false</LinksUpToDate>
  <CharactersWithSpaces>19519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2026-06-17T09:41:00Z</dcterms:created>
  <dc:creator>雪Angel丹妮</dc:creator>
  <cp:lastModifiedBy>user</cp:lastModifiedBy>
  <dcterms:modified xsi:type="dcterms:W3CDTF">2026-09-15T07:40:40Z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4CF85D04E3004644911544F04B058AF1_13</vt:lpwstr>
  </property>
  <property fmtid="{D5CDD505-2E9C-101B-9397-08002B2CF9AE}" pid="4" name="KSOTemplateDocerSaveRecord">
    <vt:lpwstr>eyJoZGlkIjoiMGI2ZDFmZmVjNjhiYmI3Nzg5YTgxNzM4YzkzMWZjMzEiLCJ1c2VySWQiOiIxMDQyNjE2NTI1In0=</vt:lpwstr>
  </property>
</Properties>
</file>