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95729">
      <w:r>
        <w:rPr>
          <w:rFonts w:hint="eastAsia" w:ascii="微软雅黑" w:hAnsi="微软雅黑" w:eastAsia="微软雅黑" w:cs="微软雅黑"/>
          <w:b w:val="0"/>
          <w:bCs w:val="0"/>
          <w:i w:val="0"/>
          <w:iCs w:val="0"/>
          <w:color w:val="000000"/>
          <w:kern w:val="0"/>
          <w:sz w:val="21"/>
          <w:szCs w:val="21"/>
          <w:lang w:val="en-US" w:eastAsia="zh-CN" w:bidi="ar"/>
        </w:rPr>
        <w:t>本项目一包中”河南秉创环境科技有限公司投标总价与单价不符合，按照招标文件第30页3.2.2条投标报价为各分项报价金额之和，投标报价与分项报价的合价不一致的，应以各分项合价累计数为准，修正投标报价，修正后的投标报价超过预算控制金额“和”洛阳胜天清洁服务有限责任公司投标价格低于预算金额的65%，按照招标文件第21页，6.4.1条要求，投标（响应）报价低于采购项目最高限价65%的，评审委员会启动异常低价投标（响应）审查。投标单位在招标文件规定的时间内未对澄清问题进行回复说明“故以上两家未通过符合性审查；二包中”河南秉创环境科技有限公司（总价与单价不符合，按照招标文件第30页3.2.2条投标报价为各分项报价金额之和，投标报价与分项报价的合价不一致的，应以各分项合价累计数为准，修正投标报价，修正后的投标报价超过预算控制金额。）和洛阳胜天清洁服务有限责任公司（投标报价低于预算金额的65%，按照招标文件第21页，6.4.1条要求，投标（响应）报价低于采购项目最高限价65%的，评审委员会启动异常低价投标（响应）审查。投标单位在招标文件规定的时间内未提供有效的项目具体成本测算等与报价合理性相关的书面说明及必要的证明材料），故以上两家未通过符合性审查；三包中“河南秉创环境科技有限公司的总价与单价不符合，按照招标文件第30页3.2.2条投标报价为各分项报价金额之和，投标报价与分项报价的合价不一致的，应以各分项合价累计数为准，修正投标报价，修正后的投标报价超过预算控制金额。洛阳胜天清洁服务有限责任公司的投标报价低于预算金额的65%，按照招标文件第21页，6.4.1条要求，投标（响应）报价低于采购项目最高限价65%的，评审委员会启动异常低价投标（响应）审查。投标单位在招标文件规定的时间内未提供有效的项目具体成本测算等与报价合理性相关的书面说明及必要的证明材料），故以上两家未通过符合性审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155CA3"/>
    <w:rsid w:val="6C155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2026-07-02T08:39:00Z</dcterms:created>
  <dc:creator>Administrator</dc:creator>
  <cp:lastModifiedBy>Administrator</cp:lastModifiedBy>
  <dcterms:modified xsi:type="dcterms:W3CDTF">2026-07-02T08:39:58Z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3AAD63A6528847448B0C4309FE090099_11</vt:lpwstr>
  </property>
  <property fmtid="{D5CDD505-2E9C-101B-9397-08002B2CF9AE}" pid="4" name="KSOTemplateDocerSaveRecord">
    <vt:lpwstr>eyJoZGlkIjoiN2QxOWY4ZTE3ZjY3YzM0ZGIzMGM1ZjEyYTEwOWJhZDkiLCJ1c2VySWQiOiIzMDIzNTE5MTYifQ==</vt:lpwstr>
  </property>
</Properties>
</file>