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2F663">
      <w:pPr>
        <w:spacing w:before="43" w:line="232" w:lineRule="auto"/>
        <w:ind w:left="2"/>
        <w:rPr>
          <w:rFonts w:ascii="楷体" w:hAnsi="楷体" w:eastAsia="楷体" w:cs="楷体"/>
          <w:color w:val="auto"/>
          <w:sz w:val="20"/>
          <w:szCs w:val="20"/>
        </w:rPr>
      </w:pPr>
      <w:r>
        <w:rPr>
          <w:rFonts w:ascii="楷体" w:hAnsi="楷体" w:eastAsia="楷体" w:cs="楷体"/>
          <w:color w:val="auto"/>
          <w:spacing w:val="8"/>
          <w:sz w:val="20"/>
          <w:szCs w:val="20"/>
        </w:rPr>
        <w:t>公开 公平 公正 诚信</w:t>
      </w:r>
    </w:p>
    <w:p w14:paraId="257704DA">
      <w:pPr>
        <w:pStyle w:val="3"/>
        <w:spacing w:line="252" w:lineRule="auto"/>
        <w:rPr>
          <w:color w:val="auto"/>
        </w:rPr>
      </w:pPr>
      <w:r>
        <w:rPr>
          <w:color w:val="auto"/>
        </w:rPr>
        <w:pict>
          <v:shape id="_x0000_s1026" o:spid="_x0000_s1026" style="position:absolute;left:0pt;margin-left:0pt;margin-top:0.45pt;height:0.75pt;width:462.1pt;z-index:251660288;mso-width-relative:page;mso-height-relative:page;" fillcolor="#000000" filled="t" stroked="f" coordsize="9242,15" path="m0,0l9241,0,9241,14,0,14,0,0xe">
            <v:path/>
            <v:fill on="t" focussize="0,0"/>
            <v:stroke on="f"/>
            <v:imagedata o:title=""/>
            <o:lock v:ext="edit"/>
          </v:shape>
        </w:pict>
      </w:r>
    </w:p>
    <w:p w14:paraId="6CD99BF3">
      <w:pPr>
        <w:pStyle w:val="3"/>
        <w:spacing w:line="252" w:lineRule="auto"/>
        <w:rPr>
          <w:color w:val="auto"/>
        </w:rPr>
      </w:pPr>
    </w:p>
    <w:p w14:paraId="625FA62F">
      <w:pPr>
        <w:pStyle w:val="3"/>
        <w:spacing w:line="253" w:lineRule="auto"/>
        <w:rPr>
          <w:color w:val="auto"/>
        </w:rPr>
      </w:pPr>
    </w:p>
    <w:p w14:paraId="5652C06F">
      <w:pPr>
        <w:pStyle w:val="3"/>
        <w:spacing w:line="253" w:lineRule="auto"/>
        <w:rPr>
          <w:color w:val="auto"/>
        </w:rPr>
      </w:pPr>
    </w:p>
    <w:p w14:paraId="7C3950E1">
      <w:pPr>
        <w:spacing w:line="240" w:lineRule="auto"/>
        <w:ind w:right="0"/>
        <w:jc w:val="center"/>
        <w:rPr>
          <w:rFonts w:hint="eastAsia" w:ascii="仿宋" w:hAnsi="仿宋" w:eastAsia="仿宋" w:cs="仿宋"/>
          <w:color w:val="auto"/>
          <w:sz w:val="48"/>
          <w:szCs w:val="48"/>
          <w:lang w:eastAsia="zh-CN"/>
        </w:rPr>
      </w:pPr>
      <w:r>
        <w:rPr>
          <w:rFonts w:hint="eastAsia" w:ascii="仿宋" w:hAnsi="仿宋" w:eastAsia="仿宋" w:cs="仿宋"/>
          <w:b/>
          <w:bCs/>
          <w:color w:val="auto"/>
          <w:spacing w:val="-46"/>
          <w:w w:val="92"/>
          <w:sz w:val="48"/>
          <w:szCs w:val="48"/>
          <w:lang w:eastAsia="zh-CN"/>
        </w:rPr>
        <w:t>洛阳市孟津区机关事务服务中心文博艺术中心后勤服务项目</w:t>
      </w:r>
    </w:p>
    <w:p w14:paraId="1EA8E264">
      <w:pPr>
        <w:pStyle w:val="3"/>
        <w:spacing w:line="252" w:lineRule="auto"/>
        <w:rPr>
          <w:color w:val="auto"/>
        </w:rPr>
      </w:pPr>
    </w:p>
    <w:p w14:paraId="5B0970ED">
      <w:pPr>
        <w:pStyle w:val="3"/>
        <w:spacing w:line="252" w:lineRule="auto"/>
        <w:rPr>
          <w:color w:val="auto"/>
        </w:rPr>
      </w:pPr>
    </w:p>
    <w:p w14:paraId="31144CB3">
      <w:pPr>
        <w:pStyle w:val="3"/>
        <w:spacing w:line="252" w:lineRule="auto"/>
        <w:rPr>
          <w:color w:val="auto"/>
        </w:rPr>
      </w:pPr>
    </w:p>
    <w:p w14:paraId="23F1DFB3">
      <w:pPr>
        <w:pStyle w:val="3"/>
        <w:spacing w:line="253" w:lineRule="auto"/>
        <w:rPr>
          <w:color w:val="auto"/>
        </w:rPr>
      </w:pPr>
    </w:p>
    <w:p w14:paraId="69AE1129">
      <w:pPr>
        <w:pStyle w:val="3"/>
        <w:spacing w:line="253" w:lineRule="auto"/>
        <w:rPr>
          <w:color w:val="auto"/>
        </w:rPr>
      </w:pPr>
    </w:p>
    <w:p w14:paraId="10034244">
      <w:pPr>
        <w:pStyle w:val="3"/>
        <w:spacing w:line="253" w:lineRule="auto"/>
        <w:rPr>
          <w:color w:val="auto"/>
        </w:rPr>
      </w:pPr>
    </w:p>
    <w:p w14:paraId="3439F93D">
      <w:pPr>
        <w:spacing w:before="149" w:line="226" w:lineRule="auto"/>
        <w:jc w:val="center"/>
        <w:rPr>
          <w:rFonts w:ascii="仿宋" w:hAnsi="仿宋" w:eastAsia="仿宋" w:cs="仿宋"/>
          <w:color w:val="auto"/>
          <w:sz w:val="84"/>
          <w:szCs w:val="84"/>
        </w:rPr>
      </w:pPr>
      <w:r>
        <w:rPr>
          <w:rFonts w:ascii="仿宋" w:hAnsi="仿宋" w:eastAsia="仿宋" w:cs="仿宋"/>
          <w:b/>
          <w:bCs/>
          <w:color w:val="auto"/>
          <w:spacing w:val="-40"/>
          <w:sz w:val="84"/>
          <w:szCs w:val="84"/>
        </w:rPr>
        <w:t>招</w:t>
      </w:r>
      <w:r>
        <w:rPr>
          <w:rFonts w:hint="eastAsia" w:ascii="仿宋" w:hAnsi="仿宋" w:eastAsia="仿宋" w:cs="仿宋"/>
          <w:b/>
          <w:bCs/>
          <w:color w:val="auto"/>
          <w:spacing w:val="-40"/>
          <w:sz w:val="84"/>
          <w:szCs w:val="84"/>
          <w:lang w:val="en-US" w:eastAsia="zh-CN"/>
        </w:rPr>
        <w:t xml:space="preserve"> </w:t>
      </w:r>
      <w:r>
        <w:rPr>
          <w:rFonts w:ascii="仿宋" w:hAnsi="仿宋" w:eastAsia="仿宋" w:cs="仿宋"/>
          <w:b/>
          <w:bCs/>
          <w:color w:val="auto"/>
          <w:spacing w:val="-40"/>
          <w:sz w:val="84"/>
          <w:szCs w:val="84"/>
        </w:rPr>
        <w:t>标</w:t>
      </w:r>
      <w:r>
        <w:rPr>
          <w:rFonts w:hint="eastAsia" w:ascii="仿宋" w:hAnsi="仿宋" w:eastAsia="仿宋" w:cs="仿宋"/>
          <w:b/>
          <w:bCs/>
          <w:color w:val="auto"/>
          <w:spacing w:val="-40"/>
          <w:sz w:val="84"/>
          <w:szCs w:val="84"/>
          <w:lang w:val="en-US" w:eastAsia="zh-CN"/>
        </w:rPr>
        <w:t xml:space="preserve"> </w:t>
      </w:r>
      <w:r>
        <w:rPr>
          <w:rFonts w:ascii="仿宋" w:hAnsi="仿宋" w:eastAsia="仿宋" w:cs="仿宋"/>
          <w:b/>
          <w:bCs/>
          <w:color w:val="auto"/>
          <w:spacing w:val="-40"/>
          <w:sz w:val="84"/>
          <w:szCs w:val="84"/>
        </w:rPr>
        <w:t>文</w:t>
      </w:r>
      <w:r>
        <w:rPr>
          <w:rFonts w:hint="eastAsia" w:ascii="仿宋" w:hAnsi="仿宋" w:eastAsia="仿宋" w:cs="仿宋"/>
          <w:b/>
          <w:bCs/>
          <w:color w:val="auto"/>
          <w:spacing w:val="-40"/>
          <w:sz w:val="84"/>
          <w:szCs w:val="84"/>
          <w:lang w:val="en-US" w:eastAsia="zh-CN"/>
        </w:rPr>
        <w:t xml:space="preserve"> </w:t>
      </w:r>
      <w:r>
        <w:rPr>
          <w:rFonts w:ascii="仿宋" w:hAnsi="仿宋" w:eastAsia="仿宋" w:cs="仿宋"/>
          <w:b/>
          <w:bCs/>
          <w:color w:val="auto"/>
          <w:spacing w:val="-40"/>
          <w:sz w:val="84"/>
          <w:szCs w:val="84"/>
        </w:rPr>
        <w:t>件</w:t>
      </w:r>
    </w:p>
    <w:p w14:paraId="4F1564E0">
      <w:pPr>
        <w:pStyle w:val="3"/>
        <w:spacing w:line="269" w:lineRule="auto"/>
        <w:rPr>
          <w:color w:val="auto"/>
        </w:rPr>
      </w:pPr>
    </w:p>
    <w:p w14:paraId="15AE6107">
      <w:pPr>
        <w:pStyle w:val="3"/>
        <w:spacing w:line="269" w:lineRule="auto"/>
        <w:rPr>
          <w:color w:val="auto"/>
        </w:rPr>
      </w:pPr>
    </w:p>
    <w:p w14:paraId="712F104F">
      <w:pPr>
        <w:pStyle w:val="12"/>
        <w:ind w:firstLine="0"/>
        <w:jc w:val="center"/>
        <w:rPr>
          <w:rFonts w:hint="eastAsia" w:ascii="仿宋" w:hAnsi="仿宋" w:eastAsia="仿宋" w:cs="Times New Roman"/>
          <w:b/>
          <w:bCs/>
          <w:color w:val="auto"/>
          <w:sz w:val="32"/>
          <w:szCs w:val="32"/>
          <w:lang w:eastAsia="zh-CN"/>
        </w:rPr>
      </w:pPr>
      <w:r>
        <w:rPr>
          <w:rFonts w:hint="eastAsia" w:ascii="仿宋" w:hAnsi="仿宋" w:eastAsia="仿宋" w:cs="Times New Roman"/>
          <w:b/>
          <w:bCs/>
          <w:color w:val="auto"/>
          <w:sz w:val="32"/>
          <w:szCs w:val="32"/>
        </w:rPr>
        <w:t>项目编号:</w:t>
      </w:r>
      <w:r>
        <w:rPr>
          <w:rFonts w:hint="eastAsia" w:ascii="仿宋" w:hAnsi="仿宋" w:eastAsia="仿宋" w:cs="Times New Roman"/>
          <w:b/>
          <w:bCs/>
          <w:color w:val="auto"/>
          <w:sz w:val="32"/>
          <w:szCs w:val="32"/>
          <w:lang w:eastAsia="zh-CN"/>
        </w:rPr>
        <w:t>孟津公开</w:t>
      </w:r>
      <w:r>
        <w:rPr>
          <w:rFonts w:hint="eastAsia" w:ascii="仿宋" w:hAnsi="仿宋" w:eastAsia="仿宋" w:cs="Times New Roman"/>
          <w:b/>
          <w:bCs/>
          <w:color w:val="auto"/>
          <w:sz w:val="32"/>
          <w:szCs w:val="32"/>
          <w:lang w:val="en-US" w:eastAsia="zh-CN"/>
        </w:rPr>
        <w:t>-2026-27</w:t>
      </w:r>
    </w:p>
    <w:p w14:paraId="6BF82F2D">
      <w:pPr>
        <w:pStyle w:val="12"/>
        <w:ind w:firstLine="0"/>
        <w:jc w:val="center"/>
        <w:rPr>
          <w:rFonts w:hint="eastAsia" w:ascii="仿宋" w:hAnsi="仿宋" w:eastAsia="仿宋" w:cs="Times New Roman"/>
          <w:b/>
          <w:bCs/>
          <w:color w:val="auto"/>
          <w:sz w:val="32"/>
          <w:szCs w:val="32"/>
        </w:rPr>
      </w:pPr>
      <w:r>
        <w:rPr>
          <w:rFonts w:hint="eastAsia" w:ascii="仿宋" w:hAnsi="仿宋" w:eastAsia="仿宋" w:cs="Times New Roman"/>
          <w:b/>
          <w:bCs/>
          <w:color w:val="auto"/>
          <w:sz w:val="32"/>
          <w:szCs w:val="32"/>
        </w:rPr>
        <w:t xml:space="preserve"> </w:t>
      </w:r>
    </w:p>
    <w:p w14:paraId="3B4DCDB4">
      <w:pPr>
        <w:pStyle w:val="12"/>
        <w:ind w:firstLine="0"/>
        <w:jc w:val="center"/>
        <w:rPr>
          <w:rFonts w:hint="eastAsia" w:ascii="仿宋" w:hAnsi="仿宋" w:eastAsia="仿宋" w:cs="Times New Roman"/>
          <w:b/>
          <w:bCs/>
          <w:color w:val="auto"/>
          <w:sz w:val="32"/>
          <w:szCs w:val="32"/>
          <w:lang w:eastAsia="zh-CN"/>
        </w:rPr>
      </w:pPr>
      <w:r>
        <w:rPr>
          <w:rFonts w:hint="eastAsia" w:ascii="仿宋" w:hAnsi="仿宋" w:eastAsia="仿宋" w:cs="Times New Roman"/>
          <w:b/>
          <w:bCs/>
          <w:color w:val="auto"/>
          <w:sz w:val="32"/>
          <w:szCs w:val="32"/>
        </w:rPr>
        <w:t>交易中心编号：孟津政采招标(2026)0009号</w:t>
      </w:r>
    </w:p>
    <w:p w14:paraId="0953759E">
      <w:pPr>
        <w:pStyle w:val="14"/>
        <w:spacing w:before="108"/>
        <w:ind w:left="3165"/>
        <w:rPr>
          <w:rFonts w:ascii="仿宋" w:hAnsi="仿宋" w:eastAsia="仿宋" w:cs="Times New Roman"/>
          <w:color w:val="auto"/>
          <w:sz w:val="28"/>
        </w:rPr>
      </w:pPr>
      <w:r>
        <w:rPr>
          <w:rFonts w:ascii="仿宋" w:hAnsi="仿宋" w:eastAsia="仿宋" w:cs="Times New Roman"/>
          <w:color w:val="auto"/>
          <w:sz w:val="28"/>
        </w:rPr>
        <w:t xml:space="preserve"> </w:t>
      </w:r>
    </w:p>
    <w:p w14:paraId="4A6451E2">
      <w:pPr>
        <w:pStyle w:val="14"/>
        <w:spacing w:before="109"/>
        <w:ind w:left="3165"/>
        <w:rPr>
          <w:rFonts w:ascii="仿宋" w:hAnsi="仿宋" w:eastAsia="仿宋" w:cs="Times New Roman"/>
          <w:color w:val="auto"/>
          <w:sz w:val="28"/>
        </w:rPr>
      </w:pPr>
    </w:p>
    <w:p w14:paraId="5CC499E0">
      <w:pPr>
        <w:spacing w:line="2159" w:lineRule="exact"/>
        <w:jc w:val="center"/>
        <w:rPr>
          <w:color w:val="auto"/>
        </w:rPr>
      </w:pPr>
      <w:r>
        <w:rPr>
          <w:rFonts w:hint="eastAsia" w:ascii="宋体" w:hAnsi="宋体" w:eastAsia="宋体" w:cs="Times New Roman"/>
          <w:color w:val="auto"/>
          <w:sz w:val="30"/>
          <w:lang w:eastAsia="zh-CN"/>
        </w:rPr>
        <w:drawing>
          <wp:inline distT="0" distB="0" distL="114300" distR="114300">
            <wp:extent cx="2108835" cy="1148715"/>
            <wp:effectExtent l="0" t="0" r="9525" b="9525"/>
            <wp:docPr id="1" name="图片 1" descr="I:\照片标志\华达标志.jpg华达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照片标志\华达标志.jpg华达标志"/>
                    <pic:cNvPicPr>
                      <a:picLocks noChangeAspect="1"/>
                    </pic:cNvPicPr>
                  </pic:nvPicPr>
                  <pic:blipFill>
                    <a:blip r:embed="rId87"/>
                    <a:stretch>
                      <a:fillRect/>
                    </a:stretch>
                  </pic:blipFill>
                  <pic:spPr>
                    <a:xfrm>
                      <a:off x="0" y="0"/>
                      <a:ext cx="2108835" cy="1148715"/>
                    </a:xfrm>
                    <a:prstGeom prst="rect">
                      <a:avLst/>
                    </a:prstGeom>
                    <a:noFill/>
                    <a:ln>
                      <a:noFill/>
                    </a:ln>
                  </pic:spPr>
                </pic:pic>
              </a:graphicData>
            </a:graphic>
          </wp:inline>
        </w:drawing>
      </w:r>
    </w:p>
    <w:p w14:paraId="1B2849BD">
      <w:pPr>
        <w:pStyle w:val="3"/>
        <w:spacing w:line="262" w:lineRule="auto"/>
        <w:rPr>
          <w:color w:val="auto"/>
        </w:rPr>
      </w:pPr>
    </w:p>
    <w:p w14:paraId="4D262F1C">
      <w:pPr>
        <w:pStyle w:val="3"/>
        <w:spacing w:line="262" w:lineRule="auto"/>
        <w:rPr>
          <w:color w:val="auto"/>
        </w:rPr>
      </w:pPr>
    </w:p>
    <w:p w14:paraId="6CEDC3A0">
      <w:pPr>
        <w:pStyle w:val="3"/>
        <w:spacing w:line="262" w:lineRule="auto"/>
        <w:rPr>
          <w:color w:val="auto"/>
        </w:rPr>
      </w:pPr>
    </w:p>
    <w:p w14:paraId="6F0F636C">
      <w:pPr>
        <w:pStyle w:val="3"/>
        <w:spacing w:line="263" w:lineRule="auto"/>
        <w:rPr>
          <w:color w:val="auto"/>
        </w:rPr>
      </w:pPr>
    </w:p>
    <w:p w14:paraId="3B109652">
      <w:pPr>
        <w:pStyle w:val="3"/>
        <w:spacing w:line="263" w:lineRule="auto"/>
        <w:rPr>
          <w:color w:val="auto"/>
        </w:rPr>
      </w:pPr>
    </w:p>
    <w:p w14:paraId="008A97B9">
      <w:pPr>
        <w:pStyle w:val="3"/>
        <w:spacing w:line="263" w:lineRule="auto"/>
        <w:rPr>
          <w:color w:val="auto"/>
        </w:rPr>
      </w:pPr>
    </w:p>
    <w:p w14:paraId="710E55A9">
      <w:pPr>
        <w:widowControl w:val="0"/>
        <w:jc w:val="center"/>
        <w:rPr>
          <w:rFonts w:hint="eastAsia" w:ascii="仿宋" w:hAnsi="仿宋" w:eastAsia="仿宋" w:cs="Times New Roman"/>
          <w:b/>
          <w:bCs/>
          <w:color w:val="auto"/>
          <w:sz w:val="32"/>
          <w:lang w:val="en-US" w:eastAsia="zh-CN" w:bidi="ar-SA"/>
        </w:rPr>
      </w:pPr>
      <w:r>
        <w:rPr>
          <w:rFonts w:hint="eastAsia" w:ascii="仿宋" w:hAnsi="仿宋" w:eastAsia="仿宋" w:cs="Times New Roman"/>
          <w:b/>
          <w:bCs/>
          <w:color w:val="auto"/>
          <w:sz w:val="32"/>
          <w:lang w:val="en-US" w:eastAsia="zh-CN" w:bidi="ar-SA"/>
        </w:rPr>
        <w:t>采购人：洛阳市孟津区机关事务服务中心</w:t>
      </w:r>
    </w:p>
    <w:p w14:paraId="4C760C74">
      <w:pPr>
        <w:widowControl w:val="0"/>
        <w:jc w:val="center"/>
        <w:rPr>
          <w:rFonts w:hint="eastAsia" w:ascii="仿宋" w:hAnsi="仿宋" w:eastAsia="仿宋" w:cs="Times New Roman"/>
          <w:b/>
          <w:bCs/>
          <w:color w:val="auto"/>
          <w:sz w:val="32"/>
          <w:lang w:val="en-US" w:eastAsia="zh-CN" w:bidi="ar-SA"/>
        </w:rPr>
      </w:pPr>
    </w:p>
    <w:p w14:paraId="44F799F9">
      <w:pPr>
        <w:widowControl w:val="0"/>
        <w:jc w:val="center"/>
        <w:rPr>
          <w:rFonts w:hint="eastAsia" w:ascii="仿宋" w:hAnsi="仿宋" w:eastAsia="仿宋" w:cs="Times New Roman"/>
          <w:b/>
          <w:bCs/>
          <w:color w:val="auto"/>
          <w:sz w:val="32"/>
          <w:lang w:val="en-US" w:eastAsia="zh-CN" w:bidi="ar-SA"/>
        </w:rPr>
      </w:pPr>
      <w:r>
        <w:rPr>
          <w:rFonts w:hint="eastAsia" w:ascii="仿宋" w:hAnsi="仿宋" w:eastAsia="仿宋" w:cs="Times New Roman"/>
          <w:b/>
          <w:bCs/>
          <w:color w:val="auto"/>
          <w:sz w:val="32"/>
          <w:lang w:val="en-US" w:eastAsia="zh-CN" w:bidi="ar-SA"/>
        </w:rPr>
        <w:t>采购代理机构：洛阳市华达工程管理有限公司</w:t>
      </w:r>
    </w:p>
    <w:p w14:paraId="2F74BF89">
      <w:pPr>
        <w:widowControl w:val="0"/>
        <w:jc w:val="center"/>
        <w:rPr>
          <w:rFonts w:hint="eastAsia" w:ascii="仿宋" w:hAnsi="仿宋" w:eastAsia="仿宋" w:cs="Times New Roman"/>
          <w:b/>
          <w:bCs/>
          <w:color w:val="auto"/>
          <w:sz w:val="32"/>
          <w:lang w:val="en-US" w:eastAsia="zh-CN" w:bidi="ar-SA"/>
        </w:rPr>
      </w:pPr>
    </w:p>
    <w:p w14:paraId="3A2B1FAD">
      <w:pPr>
        <w:widowControl w:val="0"/>
        <w:jc w:val="center"/>
        <w:rPr>
          <w:rFonts w:ascii="Times New Roman" w:hAnsi="Times New Roman" w:eastAsia="宋体" w:cs="Times New Roman"/>
          <w:b/>
          <w:bCs/>
          <w:color w:val="auto"/>
          <w:lang w:val="en-US" w:eastAsia="zh-CN" w:bidi="ar-SA"/>
        </w:rPr>
      </w:pPr>
      <w:r>
        <w:rPr>
          <w:rFonts w:hint="eastAsia" w:ascii="仿宋" w:hAnsi="仿宋" w:eastAsia="仿宋" w:cs="Times New Roman"/>
          <w:b/>
          <w:bCs/>
          <w:color w:val="auto"/>
          <w:sz w:val="32"/>
          <w:lang w:val="en-US" w:eastAsia="zh-CN" w:bidi="ar-SA"/>
        </w:rPr>
        <w:t>日 期：二零二六年</w:t>
      </w:r>
      <w:r>
        <w:rPr>
          <w:rFonts w:hint="eastAsia" w:ascii="仿宋" w:hAnsi="仿宋" w:eastAsia="仿宋" w:cs="Times New Roman"/>
          <w:b/>
          <w:bCs/>
          <w:color w:val="auto"/>
          <w:sz w:val="32"/>
          <w:szCs w:val="32"/>
          <w:lang w:val="en-US" w:eastAsia="zh-CN" w:bidi="ar-SA"/>
        </w:rPr>
        <w:t>八</w:t>
      </w:r>
      <w:r>
        <w:rPr>
          <w:rFonts w:hint="eastAsia" w:ascii="仿宋" w:hAnsi="仿宋" w:eastAsia="仿宋" w:cs="Times New Roman"/>
          <w:b/>
          <w:bCs/>
          <w:color w:val="auto"/>
          <w:sz w:val="32"/>
          <w:lang w:val="en-US" w:eastAsia="zh-CN" w:bidi="ar-SA"/>
        </w:rPr>
        <w:t>月</w:t>
      </w:r>
    </w:p>
    <w:p w14:paraId="2F2DD553">
      <w:pPr>
        <w:pStyle w:val="3"/>
        <w:spacing w:line="243" w:lineRule="auto"/>
        <w:rPr>
          <w:color w:val="auto"/>
        </w:rPr>
      </w:pPr>
    </w:p>
    <w:p w14:paraId="05D7B269">
      <w:pPr>
        <w:pStyle w:val="3"/>
        <w:spacing w:line="244" w:lineRule="auto"/>
        <w:rPr>
          <w:color w:val="auto"/>
        </w:rPr>
      </w:pPr>
    </w:p>
    <w:p w14:paraId="7BFA9952">
      <w:pPr>
        <w:pStyle w:val="3"/>
        <w:spacing w:line="244" w:lineRule="auto"/>
        <w:rPr>
          <w:color w:val="auto"/>
        </w:rPr>
      </w:pPr>
    </w:p>
    <w:p w14:paraId="4579D2F0">
      <w:pPr>
        <w:pStyle w:val="3"/>
        <w:spacing w:line="244" w:lineRule="auto"/>
        <w:rPr>
          <w:color w:val="auto"/>
        </w:rPr>
      </w:pPr>
    </w:p>
    <w:p w14:paraId="142194A2">
      <w:pPr>
        <w:spacing w:before="53" w:line="188" w:lineRule="auto"/>
        <w:ind w:left="4595"/>
        <w:rPr>
          <w:rFonts w:ascii="Times New Roman" w:hAnsi="Times New Roman" w:eastAsia="Times New Roman" w:cs="Times New Roman"/>
          <w:color w:val="auto"/>
          <w:sz w:val="18"/>
          <w:szCs w:val="18"/>
        </w:rPr>
        <w:sectPr>
          <w:pgSz w:w="11906" w:h="16839"/>
          <w:pgMar w:top="668" w:right="1246" w:bottom="0" w:left="1418" w:header="0" w:footer="0" w:gutter="0"/>
          <w:cols w:space="720" w:num="1"/>
        </w:sectPr>
      </w:pPr>
    </w:p>
    <w:p w14:paraId="63F7308F">
      <w:pPr>
        <w:pStyle w:val="3"/>
        <w:rPr>
          <w:color w:val="auto"/>
        </w:rPr>
      </w:pPr>
    </w:p>
    <w:p w14:paraId="55D8D26D">
      <w:pPr>
        <w:pStyle w:val="3"/>
        <w:spacing w:line="255" w:lineRule="auto"/>
        <w:rPr>
          <w:color w:val="auto"/>
        </w:rPr>
      </w:pPr>
    </w:p>
    <w:p w14:paraId="7FB5F688">
      <w:pPr>
        <w:pStyle w:val="3"/>
        <w:spacing w:line="256" w:lineRule="auto"/>
        <w:rPr>
          <w:color w:val="auto"/>
        </w:rPr>
      </w:pPr>
    </w:p>
    <w:sdt>
      <w:sdtPr>
        <w:rPr>
          <w:rFonts w:ascii="宋体" w:hAnsi="宋体" w:eastAsia="宋体" w:cs="Arial"/>
          <w:snapToGrid w:val="0"/>
          <w:color w:val="auto"/>
          <w:kern w:val="0"/>
          <w:sz w:val="21"/>
          <w:szCs w:val="21"/>
          <w:lang w:val="en-US" w:eastAsia="en-US" w:bidi="ar-SA"/>
        </w:rPr>
        <w:id w:val="147458387"/>
        <w15:color w:val="DBDBDB"/>
        <w:docPartObj>
          <w:docPartGallery w:val="Table of Contents"/>
          <w:docPartUnique/>
        </w:docPartObj>
      </w:sdtPr>
      <w:sdtEndPr>
        <w:rPr>
          <w:rFonts w:ascii="Arial" w:hAnsi="Arial" w:eastAsia="Arial" w:cs="Arial"/>
          <w:snapToGrid w:val="0"/>
          <w:color w:val="auto"/>
          <w:kern w:val="0"/>
          <w:sz w:val="21"/>
          <w:szCs w:val="21"/>
          <w:lang w:val="en-US" w:eastAsia="en-US" w:bidi="ar-SA"/>
        </w:rPr>
      </w:sdtEndPr>
      <w:sdtContent>
        <w:p w14:paraId="05355785">
          <w:pPr>
            <w:spacing w:before="0" w:beforeLines="0" w:after="0" w:afterLines="0" w:line="240" w:lineRule="auto"/>
            <w:ind w:left="0" w:leftChars="0" w:right="0" w:rightChars="0" w:firstLine="0" w:firstLineChars="0"/>
            <w:jc w:val="center"/>
            <w:rPr>
              <w:color w:val="auto"/>
              <w:sz w:val="36"/>
              <w:szCs w:val="36"/>
            </w:rPr>
          </w:pPr>
          <w:r>
            <w:rPr>
              <w:rFonts w:ascii="宋体" w:hAnsi="宋体" w:eastAsia="宋体"/>
              <w:color w:val="auto"/>
              <w:sz w:val="36"/>
              <w:szCs w:val="36"/>
            </w:rPr>
            <w:t>目</w:t>
          </w:r>
          <w:r>
            <w:rPr>
              <w:rFonts w:hint="eastAsia" w:ascii="宋体" w:hAnsi="宋体" w:eastAsia="宋体"/>
              <w:color w:val="auto"/>
              <w:sz w:val="36"/>
              <w:szCs w:val="36"/>
              <w:lang w:val="en-US" w:eastAsia="zh-CN"/>
            </w:rPr>
            <w:t xml:space="preserve">   </w:t>
          </w:r>
          <w:r>
            <w:rPr>
              <w:rFonts w:ascii="宋体" w:hAnsi="宋体" w:eastAsia="宋体"/>
              <w:color w:val="auto"/>
              <w:sz w:val="36"/>
              <w:szCs w:val="36"/>
            </w:rPr>
            <w:t>录</w:t>
          </w:r>
        </w:p>
        <w:p w14:paraId="16D9BEC2">
          <w:pPr>
            <w:pStyle w:val="6"/>
            <w:tabs>
              <w:tab w:val="right" w:leader="dot" w:pos="9242"/>
            </w:tabs>
            <w:rPr>
              <w:color w:val="auto"/>
            </w:rPr>
          </w:pPr>
          <w:r>
            <w:rPr>
              <w:color w:val="auto"/>
            </w:rPr>
            <w:fldChar w:fldCharType="begin"/>
          </w:r>
          <w:r>
            <w:rPr>
              <w:color w:val="auto"/>
            </w:rPr>
            <w:instrText xml:space="preserve">TOC \o "1-3" \h \u </w:instrText>
          </w:r>
          <w:r>
            <w:rPr>
              <w:color w:val="auto"/>
            </w:rPr>
            <w:fldChar w:fldCharType="separate"/>
          </w:r>
        </w:p>
        <w:p w14:paraId="5E61686F">
          <w:pPr>
            <w:pStyle w:val="6"/>
            <w:tabs>
              <w:tab w:val="right" w:leader="dot" w:pos="9242"/>
            </w:tabs>
            <w:rPr>
              <w:rFonts w:hint="eastAsia" w:ascii="宋体" w:hAnsi="宋体" w:eastAsia="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_Toc10522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22"/>
              <w:sz w:val="32"/>
              <w:szCs w:val="48"/>
            </w:rPr>
            <w:t>第一章</w:t>
          </w:r>
          <w:r>
            <w:rPr>
              <w:rFonts w:hint="eastAsia" w:ascii="宋体" w:hAnsi="宋体" w:eastAsia="宋体" w:cs="宋体"/>
              <w:color w:val="auto"/>
              <w:spacing w:val="155"/>
              <w:sz w:val="32"/>
              <w:szCs w:val="48"/>
            </w:rPr>
            <w:t xml:space="preserve"> </w:t>
          </w:r>
          <w:r>
            <w:rPr>
              <w:rFonts w:hint="eastAsia" w:ascii="宋体" w:hAnsi="宋体" w:eastAsia="宋体" w:cs="宋体"/>
              <w:bCs/>
              <w:color w:val="auto"/>
              <w:spacing w:val="-22"/>
              <w:sz w:val="32"/>
              <w:szCs w:val="48"/>
            </w:rPr>
            <w:t>采购公告</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_Toc10522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7</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3969E77C">
          <w:pPr>
            <w:pStyle w:val="6"/>
            <w:tabs>
              <w:tab w:val="right" w:leader="dot" w:pos="9242"/>
            </w:tabs>
            <w:rPr>
              <w:rFonts w:hint="eastAsia" w:ascii="宋体" w:hAnsi="宋体" w:eastAsia="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_Toc20013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18"/>
              <w:sz w:val="32"/>
              <w:szCs w:val="48"/>
            </w:rPr>
            <w:t>第二章</w:t>
          </w:r>
          <w:r>
            <w:rPr>
              <w:rFonts w:hint="eastAsia" w:ascii="宋体" w:hAnsi="宋体" w:eastAsia="宋体" w:cs="宋体"/>
              <w:color w:val="auto"/>
              <w:spacing w:val="66"/>
              <w:sz w:val="32"/>
              <w:szCs w:val="48"/>
            </w:rPr>
            <w:t xml:space="preserve"> </w:t>
          </w:r>
          <w:r>
            <w:rPr>
              <w:rFonts w:hint="eastAsia" w:ascii="宋体" w:hAnsi="宋体" w:eastAsia="宋体" w:cs="宋体"/>
              <w:bCs/>
              <w:color w:val="auto"/>
              <w:spacing w:val="-18"/>
              <w:sz w:val="32"/>
              <w:szCs w:val="48"/>
            </w:rPr>
            <w:t>投标人须知</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_Toc20013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11</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0BB0ACA5">
          <w:pPr>
            <w:pStyle w:val="6"/>
            <w:tabs>
              <w:tab w:val="right" w:leader="dot" w:pos="9242"/>
            </w:tabs>
            <w:rPr>
              <w:rFonts w:hint="eastAsia" w:ascii="宋体" w:hAnsi="宋体" w:eastAsia="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_Toc6315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22"/>
              <w:sz w:val="32"/>
              <w:szCs w:val="48"/>
            </w:rPr>
            <w:t>第三章</w:t>
          </w:r>
          <w:r>
            <w:rPr>
              <w:rFonts w:hint="eastAsia" w:ascii="宋体" w:hAnsi="宋体" w:eastAsia="宋体" w:cs="宋体"/>
              <w:color w:val="auto"/>
              <w:spacing w:val="71"/>
              <w:sz w:val="32"/>
              <w:szCs w:val="48"/>
            </w:rPr>
            <w:t xml:space="preserve"> </w:t>
          </w:r>
          <w:r>
            <w:rPr>
              <w:rFonts w:hint="eastAsia" w:ascii="宋体" w:hAnsi="宋体" w:eastAsia="宋体" w:cs="宋体"/>
              <w:bCs/>
              <w:color w:val="auto"/>
              <w:spacing w:val="-22"/>
              <w:sz w:val="32"/>
              <w:szCs w:val="48"/>
            </w:rPr>
            <w:t>采购需求</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_Toc6315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29</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46BBD72B">
          <w:pPr>
            <w:pStyle w:val="6"/>
            <w:tabs>
              <w:tab w:val="right" w:leader="dot" w:pos="9242"/>
            </w:tabs>
            <w:rPr>
              <w:rFonts w:hint="eastAsia" w:ascii="宋体" w:hAnsi="宋体" w:eastAsia="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_Toc29631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23"/>
              <w:sz w:val="32"/>
              <w:szCs w:val="48"/>
            </w:rPr>
            <w:t>第四章</w:t>
          </w:r>
          <w:r>
            <w:rPr>
              <w:rFonts w:hint="eastAsia" w:ascii="宋体" w:hAnsi="宋体" w:eastAsia="宋体" w:cs="宋体"/>
              <w:color w:val="auto"/>
              <w:spacing w:val="74"/>
              <w:sz w:val="32"/>
              <w:szCs w:val="48"/>
            </w:rPr>
            <w:t xml:space="preserve"> </w:t>
          </w:r>
          <w:r>
            <w:rPr>
              <w:rFonts w:hint="eastAsia" w:ascii="宋体" w:hAnsi="宋体" w:eastAsia="宋体" w:cs="宋体"/>
              <w:bCs/>
              <w:color w:val="auto"/>
              <w:spacing w:val="-23"/>
              <w:sz w:val="32"/>
              <w:szCs w:val="48"/>
            </w:rPr>
            <w:t>合</w:t>
          </w:r>
          <w:r>
            <w:rPr>
              <w:rFonts w:hint="eastAsia" w:ascii="宋体" w:hAnsi="宋体" w:eastAsia="宋体" w:cs="宋体"/>
              <w:color w:val="auto"/>
              <w:spacing w:val="10"/>
              <w:sz w:val="32"/>
              <w:szCs w:val="48"/>
            </w:rPr>
            <w:t xml:space="preserve">  </w:t>
          </w:r>
          <w:r>
            <w:rPr>
              <w:rFonts w:hint="eastAsia" w:ascii="宋体" w:hAnsi="宋体" w:eastAsia="宋体" w:cs="宋体"/>
              <w:bCs/>
              <w:color w:val="auto"/>
              <w:spacing w:val="-23"/>
              <w:sz w:val="32"/>
              <w:szCs w:val="48"/>
            </w:rPr>
            <w:t>同</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_Toc29631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44</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674AAD92">
          <w:pPr>
            <w:pStyle w:val="6"/>
            <w:tabs>
              <w:tab w:val="right" w:leader="dot" w:pos="9242"/>
            </w:tabs>
            <w:rPr>
              <w:rFonts w:hint="eastAsia" w:ascii="宋体" w:hAnsi="宋体" w:eastAsia="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_Toc15307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21"/>
              <w:sz w:val="32"/>
              <w:szCs w:val="48"/>
            </w:rPr>
            <w:t>第五章</w:t>
          </w:r>
          <w:r>
            <w:rPr>
              <w:rFonts w:hint="eastAsia" w:ascii="宋体" w:hAnsi="宋体" w:eastAsia="宋体" w:cs="宋体"/>
              <w:color w:val="auto"/>
              <w:spacing w:val="159"/>
              <w:sz w:val="32"/>
              <w:szCs w:val="48"/>
            </w:rPr>
            <w:t xml:space="preserve"> </w:t>
          </w:r>
          <w:r>
            <w:rPr>
              <w:rFonts w:hint="eastAsia" w:ascii="宋体" w:hAnsi="宋体" w:eastAsia="宋体" w:cs="宋体"/>
              <w:bCs/>
              <w:color w:val="auto"/>
              <w:spacing w:val="-21"/>
              <w:sz w:val="32"/>
              <w:szCs w:val="48"/>
            </w:rPr>
            <w:t>资格审查与评标办法</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_Toc15307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50</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14C51344">
          <w:pPr>
            <w:pStyle w:val="6"/>
            <w:tabs>
              <w:tab w:val="right" w:leader="dot" w:pos="9242"/>
            </w:tabs>
            <w:rPr>
              <w:rFonts w:hint="eastAsia" w:ascii="宋体" w:hAnsi="宋体" w:eastAsia="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_Toc15815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20"/>
              <w:sz w:val="32"/>
              <w:szCs w:val="44"/>
            </w:rPr>
            <w:t>第六章</w:t>
          </w:r>
          <w:r>
            <w:rPr>
              <w:rFonts w:hint="eastAsia" w:ascii="宋体" w:hAnsi="宋体" w:eastAsia="宋体" w:cs="宋体"/>
              <w:color w:val="auto"/>
              <w:spacing w:val="-20"/>
              <w:sz w:val="32"/>
              <w:szCs w:val="44"/>
            </w:rPr>
            <w:t xml:space="preserve">  </w:t>
          </w:r>
          <w:r>
            <w:rPr>
              <w:rFonts w:hint="eastAsia" w:ascii="宋体" w:hAnsi="宋体" w:eastAsia="宋体" w:cs="宋体"/>
              <w:bCs/>
              <w:color w:val="auto"/>
              <w:spacing w:val="-20"/>
              <w:sz w:val="32"/>
              <w:szCs w:val="44"/>
            </w:rPr>
            <w:t>资格审查与评审标准</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_Toc15815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53</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4DFCBD6E">
          <w:pPr>
            <w:pStyle w:val="6"/>
            <w:tabs>
              <w:tab w:val="right" w:leader="dot" w:pos="9242"/>
            </w:tabs>
            <w:rPr>
              <w:color w:val="auto"/>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_Toc15604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pacing w:val="-21"/>
              <w:sz w:val="32"/>
              <w:szCs w:val="44"/>
            </w:rPr>
            <w:t>第七章</w:t>
          </w:r>
          <w:r>
            <w:rPr>
              <w:rFonts w:hint="eastAsia" w:ascii="宋体" w:hAnsi="宋体" w:eastAsia="宋体" w:cs="宋体"/>
              <w:color w:val="auto"/>
              <w:spacing w:val="58"/>
              <w:sz w:val="32"/>
              <w:szCs w:val="44"/>
            </w:rPr>
            <w:t xml:space="preserve"> </w:t>
          </w:r>
          <w:r>
            <w:rPr>
              <w:rFonts w:hint="eastAsia" w:ascii="宋体" w:hAnsi="宋体" w:eastAsia="宋体" w:cs="宋体"/>
              <w:bCs/>
              <w:color w:val="auto"/>
              <w:spacing w:val="-21"/>
              <w:sz w:val="32"/>
              <w:szCs w:val="44"/>
            </w:rPr>
            <w:t>投标文件格式</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PAGEREF _Toc15604 \h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57</w:t>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rPr>
            <w:fldChar w:fldCharType="end"/>
          </w:r>
        </w:p>
        <w:p w14:paraId="2D25826B">
          <w:pPr>
            <w:pStyle w:val="7"/>
            <w:tabs>
              <w:tab w:val="right" w:leader="dot" w:pos="9242"/>
            </w:tabs>
            <w:rPr>
              <w:color w:val="auto"/>
            </w:rPr>
          </w:pPr>
        </w:p>
        <w:p w14:paraId="5ECDCDD4">
          <w:pPr>
            <w:pStyle w:val="3"/>
            <w:spacing w:line="248" w:lineRule="auto"/>
            <w:rPr>
              <w:rFonts w:ascii="Arial" w:hAnsi="Arial" w:eastAsia="Arial" w:cs="Arial"/>
              <w:snapToGrid w:val="0"/>
              <w:color w:val="auto"/>
              <w:kern w:val="0"/>
              <w:sz w:val="21"/>
              <w:szCs w:val="21"/>
              <w:lang w:val="en-US" w:eastAsia="en-US" w:bidi="ar-SA"/>
            </w:rPr>
          </w:pPr>
          <w:r>
            <w:rPr>
              <w:color w:val="auto"/>
            </w:rPr>
            <w:fldChar w:fldCharType="end"/>
          </w:r>
        </w:p>
      </w:sdtContent>
    </w:sdt>
    <w:p w14:paraId="2FB0D703">
      <w:pPr>
        <w:pStyle w:val="3"/>
        <w:spacing w:line="248" w:lineRule="auto"/>
        <w:rPr>
          <w:rFonts w:ascii="Arial" w:hAnsi="Arial" w:eastAsia="Arial" w:cs="Arial"/>
          <w:snapToGrid w:val="0"/>
          <w:color w:val="auto"/>
          <w:kern w:val="0"/>
          <w:sz w:val="21"/>
          <w:szCs w:val="21"/>
          <w:lang w:val="en-US" w:eastAsia="en-US" w:bidi="ar-SA"/>
        </w:rPr>
      </w:pPr>
    </w:p>
    <w:p w14:paraId="5149D605">
      <w:pPr>
        <w:pStyle w:val="3"/>
        <w:spacing w:line="248" w:lineRule="auto"/>
        <w:rPr>
          <w:color w:val="auto"/>
        </w:rPr>
      </w:pPr>
    </w:p>
    <w:p w14:paraId="45FC222E">
      <w:pPr>
        <w:pStyle w:val="3"/>
        <w:spacing w:line="248" w:lineRule="auto"/>
        <w:rPr>
          <w:color w:val="auto"/>
        </w:rPr>
      </w:pPr>
    </w:p>
    <w:p w14:paraId="3321FB96">
      <w:pPr>
        <w:pStyle w:val="3"/>
        <w:spacing w:line="248" w:lineRule="auto"/>
        <w:rPr>
          <w:color w:val="auto"/>
        </w:rPr>
      </w:pPr>
    </w:p>
    <w:p w14:paraId="726929DF">
      <w:pPr>
        <w:pStyle w:val="3"/>
        <w:spacing w:line="248" w:lineRule="auto"/>
        <w:rPr>
          <w:color w:val="auto"/>
        </w:rPr>
      </w:pPr>
    </w:p>
    <w:p w14:paraId="18936422">
      <w:pPr>
        <w:pStyle w:val="3"/>
        <w:spacing w:line="249" w:lineRule="auto"/>
        <w:rPr>
          <w:color w:val="auto"/>
        </w:rPr>
      </w:pPr>
    </w:p>
    <w:p w14:paraId="6AE7B698">
      <w:pPr>
        <w:pStyle w:val="3"/>
        <w:spacing w:line="249" w:lineRule="auto"/>
        <w:rPr>
          <w:color w:val="auto"/>
        </w:rPr>
      </w:pPr>
    </w:p>
    <w:p w14:paraId="542A9C9F">
      <w:pPr>
        <w:pStyle w:val="3"/>
        <w:spacing w:line="249" w:lineRule="auto"/>
        <w:rPr>
          <w:color w:val="auto"/>
        </w:rPr>
      </w:pPr>
    </w:p>
    <w:p w14:paraId="6814F8C8">
      <w:pPr>
        <w:pStyle w:val="3"/>
        <w:spacing w:line="249" w:lineRule="auto"/>
        <w:rPr>
          <w:color w:val="auto"/>
        </w:rPr>
      </w:pPr>
    </w:p>
    <w:p w14:paraId="4C0183CF">
      <w:pPr>
        <w:pStyle w:val="3"/>
        <w:spacing w:line="249" w:lineRule="auto"/>
        <w:rPr>
          <w:color w:val="auto"/>
        </w:rPr>
      </w:pPr>
    </w:p>
    <w:p w14:paraId="28FC56D5">
      <w:pPr>
        <w:pStyle w:val="3"/>
        <w:spacing w:line="249" w:lineRule="auto"/>
        <w:rPr>
          <w:color w:val="auto"/>
        </w:rPr>
      </w:pPr>
    </w:p>
    <w:p w14:paraId="74E13520">
      <w:pPr>
        <w:pStyle w:val="3"/>
        <w:spacing w:line="249" w:lineRule="auto"/>
        <w:rPr>
          <w:color w:val="auto"/>
        </w:rPr>
      </w:pPr>
    </w:p>
    <w:p w14:paraId="717780E9">
      <w:pPr>
        <w:pStyle w:val="3"/>
        <w:spacing w:line="249" w:lineRule="auto"/>
        <w:rPr>
          <w:color w:val="auto"/>
        </w:rPr>
      </w:pPr>
    </w:p>
    <w:p w14:paraId="25E9AC5E">
      <w:pPr>
        <w:rPr>
          <w:rFonts w:ascii="仿宋" w:hAnsi="仿宋" w:eastAsia="仿宋" w:cs="仿宋"/>
          <w:b/>
          <w:bCs/>
          <w:color w:val="auto"/>
          <w:spacing w:val="-29"/>
          <w:w w:val="74"/>
          <w:sz w:val="24"/>
          <w:szCs w:val="24"/>
        </w:rPr>
      </w:pPr>
      <w:r>
        <w:rPr>
          <w:rFonts w:ascii="仿宋" w:hAnsi="仿宋" w:eastAsia="仿宋" w:cs="仿宋"/>
          <w:b/>
          <w:bCs/>
          <w:color w:val="auto"/>
          <w:spacing w:val="-29"/>
          <w:w w:val="74"/>
          <w:sz w:val="24"/>
          <w:szCs w:val="24"/>
        </w:rPr>
        <w:br w:type="page"/>
      </w:r>
    </w:p>
    <w:p w14:paraId="1C7A64C7">
      <w:pPr>
        <w:spacing w:before="78" w:line="221" w:lineRule="auto"/>
        <w:ind w:left="1551"/>
        <w:rPr>
          <w:rFonts w:ascii="仿宋" w:hAnsi="仿宋" w:eastAsia="仿宋" w:cs="仿宋"/>
          <w:color w:val="auto"/>
          <w:sz w:val="24"/>
          <w:szCs w:val="24"/>
        </w:rPr>
      </w:pPr>
      <w:r>
        <w:rPr>
          <w:rFonts w:ascii="仿宋" w:hAnsi="仿宋" w:eastAsia="仿宋" w:cs="仿宋"/>
          <w:b/>
          <w:bCs/>
          <w:color w:val="auto"/>
          <w:spacing w:val="-29"/>
          <w:w w:val="74"/>
          <w:sz w:val="24"/>
          <w:szCs w:val="24"/>
        </w:rPr>
        <w:t>洛阳市公共资源交易中心关于电子交易平台新系统上线运行的通知</w:t>
      </w:r>
    </w:p>
    <w:p w14:paraId="2CDC2BB9">
      <w:pPr>
        <w:pStyle w:val="3"/>
        <w:spacing w:line="260" w:lineRule="auto"/>
        <w:rPr>
          <w:color w:val="auto"/>
        </w:rPr>
      </w:pPr>
    </w:p>
    <w:p w14:paraId="5FE1E14E">
      <w:pPr>
        <w:pStyle w:val="3"/>
        <w:spacing w:line="261" w:lineRule="auto"/>
        <w:rPr>
          <w:color w:val="auto"/>
        </w:rPr>
      </w:pPr>
    </w:p>
    <w:p w14:paraId="7BDEF349">
      <w:pPr>
        <w:pStyle w:val="3"/>
        <w:spacing w:line="261" w:lineRule="auto"/>
        <w:rPr>
          <w:color w:val="auto"/>
        </w:rPr>
      </w:pPr>
    </w:p>
    <w:p w14:paraId="0937E877">
      <w:pPr>
        <w:spacing w:before="79" w:line="222" w:lineRule="auto"/>
        <w:ind w:left="33"/>
        <w:rPr>
          <w:rFonts w:ascii="仿宋" w:hAnsi="仿宋" w:eastAsia="仿宋" w:cs="仿宋"/>
          <w:color w:val="auto"/>
          <w:sz w:val="24"/>
          <w:szCs w:val="24"/>
        </w:rPr>
      </w:pPr>
      <w:r>
        <w:rPr>
          <w:rFonts w:ascii="仿宋" w:hAnsi="仿宋" w:eastAsia="仿宋" w:cs="仿宋"/>
          <w:color w:val="auto"/>
          <w:spacing w:val="-40"/>
          <w:w w:val="93"/>
          <w:sz w:val="24"/>
          <w:szCs w:val="24"/>
        </w:rPr>
        <w:t>各交易主体：</w:t>
      </w:r>
    </w:p>
    <w:p w14:paraId="0BA725C8">
      <w:pPr>
        <w:pStyle w:val="3"/>
        <w:spacing w:line="359" w:lineRule="auto"/>
        <w:rPr>
          <w:color w:val="auto"/>
        </w:rPr>
      </w:pPr>
    </w:p>
    <w:p w14:paraId="33810387">
      <w:pPr>
        <w:spacing w:before="65" w:line="229" w:lineRule="auto"/>
        <w:ind w:left="15"/>
        <w:rPr>
          <w:rFonts w:ascii="仿宋" w:hAnsi="仿宋" w:eastAsia="仿宋" w:cs="仿宋"/>
          <w:color w:val="auto"/>
          <w:sz w:val="20"/>
          <w:szCs w:val="20"/>
        </w:rPr>
      </w:pPr>
      <w:r>
        <w:rPr>
          <w:rFonts w:ascii="仿宋" w:hAnsi="仿宋" w:eastAsia="仿宋" w:cs="仿宋"/>
          <w:color w:val="auto"/>
          <w:spacing w:val="-21"/>
          <w:sz w:val="20"/>
          <w:szCs w:val="20"/>
        </w:rPr>
        <w:t>洛阳市公共资源电子交易平台新系统（以下简称“新系统”）于8</w:t>
      </w:r>
      <w:r>
        <w:rPr>
          <w:rFonts w:ascii="仿宋" w:hAnsi="仿宋" w:eastAsia="仿宋" w:cs="仿宋"/>
          <w:color w:val="auto"/>
          <w:spacing w:val="-26"/>
          <w:sz w:val="20"/>
          <w:szCs w:val="20"/>
        </w:rPr>
        <w:t xml:space="preserve"> </w:t>
      </w:r>
      <w:r>
        <w:rPr>
          <w:rFonts w:ascii="仿宋" w:hAnsi="仿宋" w:eastAsia="仿宋" w:cs="仿宋"/>
          <w:color w:val="auto"/>
          <w:spacing w:val="-21"/>
          <w:sz w:val="20"/>
          <w:szCs w:val="20"/>
        </w:rPr>
        <w:t>月5 日正式上线运行。现将有关事 项通知如下：</w:t>
      </w:r>
    </w:p>
    <w:p w14:paraId="6E7C9C76">
      <w:pPr>
        <w:pStyle w:val="3"/>
        <w:spacing w:line="382" w:lineRule="auto"/>
        <w:rPr>
          <w:color w:val="auto"/>
        </w:rPr>
      </w:pPr>
    </w:p>
    <w:p w14:paraId="4AA68E79">
      <w:pPr>
        <w:spacing w:before="66" w:line="228" w:lineRule="auto"/>
        <w:ind w:left="17"/>
        <w:rPr>
          <w:rFonts w:ascii="仿宋" w:hAnsi="仿宋" w:eastAsia="仿宋" w:cs="仿宋"/>
          <w:color w:val="auto"/>
          <w:sz w:val="20"/>
          <w:szCs w:val="20"/>
        </w:rPr>
      </w:pPr>
      <w:r>
        <w:rPr>
          <w:rFonts w:ascii="仿宋" w:hAnsi="仿宋" w:eastAsia="仿宋" w:cs="仿宋"/>
          <w:color w:val="auto"/>
          <w:spacing w:val="-20"/>
          <w:sz w:val="20"/>
          <w:szCs w:val="20"/>
        </w:rPr>
        <w:t>一、8</w:t>
      </w:r>
      <w:r>
        <w:rPr>
          <w:rFonts w:ascii="仿宋" w:hAnsi="仿宋" w:eastAsia="仿宋" w:cs="仿宋"/>
          <w:color w:val="auto"/>
          <w:spacing w:val="-44"/>
          <w:sz w:val="20"/>
          <w:szCs w:val="20"/>
        </w:rPr>
        <w:t xml:space="preserve"> </w:t>
      </w:r>
      <w:r>
        <w:rPr>
          <w:rFonts w:ascii="仿宋" w:hAnsi="仿宋" w:eastAsia="仿宋" w:cs="仿宋"/>
          <w:color w:val="auto"/>
          <w:spacing w:val="-20"/>
          <w:sz w:val="20"/>
          <w:szCs w:val="20"/>
        </w:rPr>
        <w:t>月5 日前已在老系统发布招标（采购）公告（变更公告</w:t>
      </w:r>
      <w:r>
        <w:rPr>
          <w:rFonts w:ascii="仿宋" w:hAnsi="仿宋" w:eastAsia="仿宋" w:cs="仿宋"/>
          <w:color w:val="auto"/>
          <w:spacing w:val="-21"/>
          <w:sz w:val="20"/>
          <w:szCs w:val="20"/>
        </w:rPr>
        <w:t>）的项目，仍在老系统完成后续工作</w:t>
      </w:r>
      <w:r>
        <w:rPr>
          <w:rFonts w:ascii="仿宋" w:hAnsi="仿宋" w:eastAsia="仿宋" w:cs="仿宋"/>
          <w:color w:val="auto"/>
          <w:spacing w:val="-42"/>
          <w:sz w:val="20"/>
          <w:szCs w:val="20"/>
        </w:rPr>
        <w:t xml:space="preserve"> </w:t>
      </w:r>
      <w:r>
        <w:rPr>
          <w:rFonts w:ascii="仿宋" w:hAnsi="仿宋" w:eastAsia="仿宋" w:cs="仿宋"/>
          <w:color w:val="auto"/>
          <w:spacing w:val="-21"/>
          <w:sz w:val="20"/>
          <w:szCs w:val="20"/>
        </w:rPr>
        <w:t>。新进场项目须在</w:t>
      </w:r>
    </w:p>
    <w:p w14:paraId="7DB19815">
      <w:pPr>
        <w:pStyle w:val="3"/>
        <w:spacing w:line="384" w:lineRule="auto"/>
        <w:rPr>
          <w:color w:val="auto"/>
        </w:rPr>
      </w:pPr>
    </w:p>
    <w:p w14:paraId="61FEE064">
      <w:pPr>
        <w:spacing w:before="65" w:line="228" w:lineRule="auto"/>
        <w:ind w:left="13"/>
        <w:rPr>
          <w:color w:val="auto"/>
        </w:rPr>
      </w:pPr>
      <w:r>
        <w:rPr>
          <w:rFonts w:ascii="仿宋" w:hAnsi="仿宋" w:eastAsia="仿宋" w:cs="仿宋"/>
          <w:color w:val="auto"/>
          <w:spacing w:val="-22"/>
          <w:sz w:val="20"/>
          <w:szCs w:val="20"/>
        </w:rPr>
        <w:t>新系统进行操作，请招标人、代理机构在发布招标公告及招标文件时，将新系统的</w:t>
      </w:r>
      <w:r>
        <w:rPr>
          <w:rFonts w:ascii="仿宋" w:hAnsi="仿宋" w:eastAsia="仿宋" w:cs="仿宋"/>
          <w:color w:val="auto"/>
          <w:spacing w:val="-24"/>
          <w:sz w:val="20"/>
          <w:szCs w:val="20"/>
        </w:rPr>
        <w:t xml:space="preserve"> </w:t>
      </w:r>
      <w:r>
        <w:rPr>
          <w:rFonts w:ascii="仿宋" w:hAnsi="仿宋" w:eastAsia="仿宋" w:cs="仿宋"/>
          <w:color w:val="auto"/>
          <w:spacing w:val="-22"/>
          <w:sz w:val="20"/>
          <w:szCs w:val="20"/>
        </w:rPr>
        <w:t>投标流程及要求予以明确，投标人</w:t>
      </w:r>
    </w:p>
    <w:p w14:paraId="2CA0ADA0">
      <w:pPr>
        <w:pStyle w:val="3"/>
        <w:spacing w:line="297" w:lineRule="auto"/>
        <w:rPr>
          <w:color w:val="auto"/>
        </w:rPr>
      </w:pPr>
    </w:p>
    <w:p w14:paraId="39138A6C">
      <w:pPr>
        <w:spacing w:before="65" w:line="229" w:lineRule="auto"/>
        <w:ind w:left="15"/>
        <w:rPr>
          <w:rFonts w:ascii="仿宋" w:hAnsi="仿宋" w:eastAsia="仿宋" w:cs="仿宋"/>
          <w:color w:val="auto"/>
          <w:sz w:val="20"/>
          <w:szCs w:val="20"/>
        </w:rPr>
      </w:pPr>
      <w:r>
        <w:rPr>
          <w:rFonts w:ascii="仿宋" w:hAnsi="仿宋" w:eastAsia="仿宋" w:cs="仿宋"/>
          <w:color w:val="auto"/>
          <w:spacing w:val="-20"/>
          <w:sz w:val="20"/>
          <w:szCs w:val="20"/>
        </w:rPr>
        <w:t>须按照招标文件和新系统的操作要求完成投标。</w:t>
      </w:r>
    </w:p>
    <w:p w14:paraId="17CF01AF">
      <w:pPr>
        <w:pStyle w:val="3"/>
        <w:spacing w:line="383" w:lineRule="auto"/>
        <w:rPr>
          <w:color w:val="auto"/>
        </w:rPr>
      </w:pPr>
    </w:p>
    <w:p w14:paraId="7306BBFF">
      <w:pPr>
        <w:spacing w:before="65" w:line="228" w:lineRule="auto"/>
        <w:ind w:left="20"/>
        <w:rPr>
          <w:rFonts w:ascii="仿宋" w:hAnsi="仿宋" w:eastAsia="仿宋" w:cs="仿宋"/>
          <w:color w:val="auto"/>
          <w:sz w:val="20"/>
          <w:szCs w:val="20"/>
        </w:rPr>
      </w:pPr>
      <w:r>
        <w:rPr>
          <w:rFonts w:ascii="仿宋" w:hAnsi="仿宋" w:eastAsia="仿宋" w:cs="仿宋"/>
          <w:color w:val="auto"/>
          <w:spacing w:val="-22"/>
          <w:sz w:val="20"/>
          <w:szCs w:val="20"/>
        </w:rPr>
        <w:t>二、新系统通过洛阳市公共资源交易中心网“飘窗”中的“新系统入口”</w:t>
      </w:r>
      <w:r>
        <w:rPr>
          <w:rFonts w:ascii="仿宋" w:hAnsi="仿宋" w:eastAsia="仿宋" w:cs="仿宋"/>
          <w:color w:val="auto"/>
          <w:spacing w:val="-23"/>
          <w:sz w:val="20"/>
          <w:szCs w:val="20"/>
        </w:rPr>
        <w:t>登录，首次在新系统参 与交易的招标人、代</w:t>
      </w:r>
    </w:p>
    <w:p w14:paraId="6EAE965C">
      <w:pPr>
        <w:pStyle w:val="3"/>
        <w:spacing w:line="386" w:lineRule="auto"/>
        <w:rPr>
          <w:color w:val="auto"/>
        </w:rPr>
      </w:pPr>
    </w:p>
    <w:p w14:paraId="6BAE6094">
      <w:pPr>
        <w:spacing w:before="65" w:line="224" w:lineRule="auto"/>
        <w:ind w:left="15"/>
        <w:rPr>
          <w:rFonts w:ascii="仿宋" w:hAnsi="仿宋" w:eastAsia="仿宋" w:cs="仿宋"/>
          <w:color w:val="auto"/>
          <w:sz w:val="20"/>
          <w:szCs w:val="20"/>
        </w:rPr>
      </w:pPr>
      <w:r>
        <w:rPr>
          <w:rFonts w:ascii="仿宋" w:hAnsi="仿宋" w:eastAsia="仿宋" w:cs="仿宋"/>
          <w:color w:val="auto"/>
          <w:spacing w:val="-17"/>
          <w:sz w:val="20"/>
          <w:szCs w:val="20"/>
        </w:rPr>
        <w:t>理机构、投标人需要在新系统（http://61.54.85.189/tpbidder</w:t>
      </w:r>
      <w:r>
        <w:rPr>
          <w:rFonts w:ascii="仿宋" w:hAnsi="仿宋" w:eastAsia="仿宋" w:cs="仿宋"/>
          <w:color w:val="auto"/>
          <w:spacing w:val="-18"/>
          <w:sz w:val="20"/>
          <w:szCs w:val="20"/>
        </w:rPr>
        <w:t>）完成账号注册 , 完善基本信息后开展交易业务。投</w:t>
      </w:r>
    </w:p>
    <w:p w14:paraId="20FBF6FB">
      <w:pPr>
        <w:pStyle w:val="3"/>
        <w:spacing w:line="387" w:lineRule="auto"/>
        <w:rPr>
          <w:color w:val="auto"/>
        </w:rPr>
      </w:pPr>
    </w:p>
    <w:p w14:paraId="519E01BA">
      <w:pPr>
        <w:spacing w:before="65" w:line="228" w:lineRule="auto"/>
        <w:ind w:left="13"/>
        <w:rPr>
          <w:rFonts w:ascii="仿宋" w:hAnsi="仿宋" w:eastAsia="仿宋" w:cs="仿宋"/>
          <w:color w:val="auto"/>
          <w:sz w:val="20"/>
          <w:szCs w:val="20"/>
        </w:rPr>
      </w:pPr>
      <w:r>
        <w:rPr>
          <w:rFonts w:ascii="仿宋" w:hAnsi="仿宋" w:eastAsia="仿宋" w:cs="仿宋"/>
          <w:color w:val="auto"/>
          <w:spacing w:val="-20"/>
          <w:sz w:val="20"/>
          <w:szCs w:val="20"/>
        </w:rPr>
        <w:t>标单位投标期间如有信息变更，请在新老系统内同步调整，以免 影响招投标活动。</w:t>
      </w:r>
    </w:p>
    <w:p w14:paraId="37563B3A">
      <w:pPr>
        <w:pStyle w:val="3"/>
        <w:spacing w:line="384" w:lineRule="auto"/>
        <w:rPr>
          <w:color w:val="auto"/>
        </w:rPr>
      </w:pPr>
    </w:p>
    <w:p w14:paraId="3A6F0ADC">
      <w:pPr>
        <w:spacing w:before="65" w:line="228" w:lineRule="auto"/>
        <w:ind w:left="20"/>
        <w:rPr>
          <w:rFonts w:ascii="仿宋" w:hAnsi="仿宋" w:eastAsia="仿宋" w:cs="仿宋"/>
          <w:color w:val="auto"/>
          <w:sz w:val="20"/>
          <w:szCs w:val="20"/>
        </w:rPr>
      </w:pPr>
      <w:r>
        <w:rPr>
          <w:rFonts w:ascii="仿宋" w:hAnsi="仿宋" w:eastAsia="仿宋" w:cs="仿宋"/>
          <w:color w:val="auto"/>
          <w:spacing w:val="-18"/>
          <w:sz w:val="20"/>
          <w:szCs w:val="20"/>
        </w:rPr>
        <w:t>三、交易主体原CA</w:t>
      </w:r>
      <w:r>
        <w:rPr>
          <w:rFonts w:ascii="仿宋" w:hAnsi="仿宋" w:eastAsia="仿宋" w:cs="仿宋"/>
          <w:color w:val="auto"/>
          <w:spacing w:val="-60"/>
          <w:sz w:val="20"/>
          <w:szCs w:val="20"/>
        </w:rPr>
        <w:t xml:space="preserve"> </w:t>
      </w:r>
      <w:r>
        <w:rPr>
          <w:rFonts w:ascii="仿宋" w:hAnsi="仿宋" w:eastAsia="仿宋" w:cs="仿宋"/>
          <w:color w:val="auto"/>
          <w:spacing w:val="-18"/>
          <w:sz w:val="20"/>
          <w:szCs w:val="20"/>
        </w:rPr>
        <w:t>数字证书（华测、深圳、北</w:t>
      </w:r>
      <w:r>
        <w:rPr>
          <w:rFonts w:ascii="仿宋" w:hAnsi="仿宋" w:eastAsia="仿宋" w:cs="仿宋"/>
          <w:color w:val="auto"/>
          <w:spacing w:val="-19"/>
          <w:sz w:val="20"/>
          <w:szCs w:val="20"/>
        </w:rPr>
        <w:t>京、信安）均可在新系统继续使用。</w:t>
      </w:r>
    </w:p>
    <w:p w14:paraId="4034E92D">
      <w:pPr>
        <w:pStyle w:val="3"/>
        <w:spacing w:line="383" w:lineRule="auto"/>
        <w:rPr>
          <w:color w:val="auto"/>
        </w:rPr>
      </w:pPr>
    </w:p>
    <w:p w14:paraId="76441666">
      <w:pPr>
        <w:spacing w:before="66" w:line="229" w:lineRule="auto"/>
        <w:ind w:left="38"/>
        <w:rPr>
          <w:rFonts w:ascii="仿宋" w:hAnsi="仿宋" w:eastAsia="仿宋" w:cs="仿宋"/>
          <w:color w:val="auto"/>
          <w:sz w:val="20"/>
          <w:szCs w:val="20"/>
        </w:rPr>
      </w:pPr>
      <w:r>
        <w:rPr>
          <w:rFonts w:ascii="仿宋" w:hAnsi="仿宋" w:eastAsia="仿宋" w:cs="仿宋"/>
          <w:color w:val="auto"/>
          <w:spacing w:val="-22"/>
          <w:sz w:val="20"/>
          <w:szCs w:val="20"/>
        </w:rPr>
        <w:t>四、请各交易主体（招标人、投标人、代理机构、竞买人）从业人员认真阅读新系统的操作手册</w:t>
      </w:r>
      <w:r>
        <w:rPr>
          <w:rFonts w:ascii="仿宋" w:hAnsi="仿宋" w:eastAsia="仿宋" w:cs="仿宋"/>
          <w:color w:val="auto"/>
          <w:spacing w:val="-45"/>
          <w:sz w:val="20"/>
          <w:szCs w:val="20"/>
        </w:rPr>
        <w:t xml:space="preserve"> </w:t>
      </w:r>
      <w:r>
        <w:rPr>
          <w:rFonts w:ascii="仿宋" w:hAnsi="仿宋" w:eastAsia="仿宋" w:cs="仿宋"/>
          <w:color w:val="auto"/>
          <w:spacing w:val="-22"/>
          <w:sz w:val="20"/>
          <w:szCs w:val="20"/>
        </w:rPr>
        <w:t>（详见网站</w:t>
      </w:r>
      <w:r>
        <w:rPr>
          <w:rFonts w:ascii="仿宋" w:hAnsi="仿宋" w:eastAsia="仿宋" w:cs="仿宋"/>
          <w:color w:val="auto"/>
          <w:spacing w:val="-23"/>
          <w:sz w:val="20"/>
          <w:szCs w:val="20"/>
        </w:rPr>
        <w:t>【办事指</w:t>
      </w:r>
    </w:p>
    <w:p w14:paraId="435CDEC1">
      <w:pPr>
        <w:pStyle w:val="3"/>
        <w:spacing w:line="386" w:lineRule="auto"/>
        <w:rPr>
          <w:color w:val="auto"/>
        </w:rPr>
      </w:pPr>
    </w:p>
    <w:p w14:paraId="01354186">
      <w:pPr>
        <w:spacing w:before="65" w:line="229" w:lineRule="auto"/>
        <w:ind w:left="24"/>
        <w:rPr>
          <w:rFonts w:ascii="仿宋" w:hAnsi="仿宋" w:eastAsia="仿宋" w:cs="仿宋"/>
          <w:color w:val="auto"/>
          <w:sz w:val="20"/>
          <w:szCs w:val="20"/>
        </w:rPr>
      </w:pPr>
      <w:r>
        <w:rPr>
          <w:rFonts w:ascii="仿宋" w:hAnsi="仿宋" w:eastAsia="仿宋" w:cs="仿宋"/>
          <w:color w:val="auto"/>
          <w:spacing w:val="-23"/>
          <w:sz w:val="20"/>
          <w:szCs w:val="20"/>
        </w:rPr>
        <w:t>南】-【办事流程】栏目-新交易平台使用</w:t>
      </w:r>
      <w:r>
        <w:rPr>
          <w:rFonts w:ascii="仿宋" w:hAnsi="仿宋" w:eastAsia="仿宋" w:cs="仿宋"/>
          <w:color w:val="auto"/>
          <w:spacing w:val="-24"/>
          <w:sz w:val="20"/>
          <w:szCs w:val="20"/>
        </w:rPr>
        <w:t>手册）。</w:t>
      </w:r>
    </w:p>
    <w:p w14:paraId="74927DB9">
      <w:pPr>
        <w:pStyle w:val="3"/>
        <w:spacing w:line="382" w:lineRule="auto"/>
        <w:rPr>
          <w:color w:val="auto"/>
        </w:rPr>
      </w:pPr>
    </w:p>
    <w:p w14:paraId="5A36EB84">
      <w:pPr>
        <w:spacing w:before="65" w:line="229" w:lineRule="auto"/>
        <w:ind w:left="17"/>
        <w:rPr>
          <w:rFonts w:ascii="仿宋" w:hAnsi="仿宋" w:eastAsia="仿宋" w:cs="仿宋"/>
          <w:color w:val="auto"/>
          <w:sz w:val="20"/>
          <w:szCs w:val="20"/>
        </w:rPr>
      </w:pPr>
      <w:r>
        <w:rPr>
          <w:rFonts w:ascii="仿宋" w:hAnsi="仿宋" w:eastAsia="仿宋" w:cs="仿宋"/>
          <w:color w:val="auto"/>
          <w:spacing w:val="-16"/>
          <w:sz w:val="20"/>
          <w:szCs w:val="20"/>
        </w:rPr>
        <w:t>五、新系统试运行期间，如有问题请及时与我们联</w:t>
      </w:r>
      <w:r>
        <w:rPr>
          <w:rFonts w:ascii="仿宋" w:hAnsi="仿宋" w:eastAsia="仿宋" w:cs="仿宋"/>
          <w:color w:val="auto"/>
          <w:spacing w:val="-17"/>
          <w:sz w:val="20"/>
          <w:szCs w:val="20"/>
        </w:rPr>
        <w:t>系。 中心信息科电话：0379-69921065/69921063</w:t>
      </w:r>
    </w:p>
    <w:p w14:paraId="6C461C81">
      <w:pPr>
        <w:pStyle w:val="3"/>
        <w:spacing w:line="383" w:lineRule="auto"/>
        <w:rPr>
          <w:color w:val="auto"/>
        </w:rPr>
      </w:pPr>
    </w:p>
    <w:p w14:paraId="3EDDB860">
      <w:pPr>
        <w:spacing w:before="65" w:line="231" w:lineRule="auto"/>
        <w:ind w:left="13"/>
        <w:rPr>
          <w:rFonts w:ascii="仿宋" w:hAnsi="仿宋" w:eastAsia="仿宋" w:cs="仿宋"/>
          <w:color w:val="auto"/>
          <w:sz w:val="20"/>
          <w:szCs w:val="20"/>
        </w:rPr>
      </w:pPr>
      <w:r>
        <w:rPr>
          <w:rFonts w:ascii="仿宋" w:hAnsi="仿宋" w:eastAsia="仿宋" w:cs="仿宋"/>
          <w:color w:val="auto"/>
          <w:spacing w:val="-15"/>
          <w:sz w:val="20"/>
          <w:szCs w:val="20"/>
        </w:rPr>
        <w:t>新点软件客服电话：400-998-0000</w:t>
      </w:r>
    </w:p>
    <w:p w14:paraId="61D138ED">
      <w:pPr>
        <w:pStyle w:val="3"/>
        <w:spacing w:line="380" w:lineRule="auto"/>
        <w:rPr>
          <w:color w:val="auto"/>
        </w:rPr>
      </w:pPr>
    </w:p>
    <w:p w14:paraId="5AB1892C">
      <w:pPr>
        <w:spacing w:before="66" w:line="231" w:lineRule="auto"/>
        <w:ind w:left="15"/>
        <w:rPr>
          <w:rFonts w:ascii="仿宋" w:hAnsi="仿宋" w:eastAsia="仿宋" w:cs="仿宋"/>
          <w:color w:val="auto"/>
          <w:sz w:val="20"/>
          <w:szCs w:val="20"/>
        </w:rPr>
      </w:pPr>
      <w:r>
        <w:rPr>
          <w:rFonts w:ascii="仿宋" w:hAnsi="仿宋" w:eastAsia="仿宋" w:cs="仿宋"/>
          <w:color w:val="auto"/>
          <w:spacing w:val="-11"/>
          <w:sz w:val="20"/>
          <w:szCs w:val="20"/>
        </w:rPr>
        <w:t>洛阳市公共资源交易中心2024</w:t>
      </w:r>
      <w:r>
        <w:rPr>
          <w:rFonts w:ascii="仿宋" w:hAnsi="仿宋" w:eastAsia="仿宋" w:cs="仿宋"/>
          <w:color w:val="auto"/>
          <w:spacing w:val="-45"/>
          <w:sz w:val="20"/>
          <w:szCs w:val="20"/>
        </w:rPr>
        <w:t xml:space="preserve"> </w:t>
      </w:r>
      <w:r>
        <w:rPr>
          <w:rFonts w:ascii="仿宋" w:hAnsi="仿宋" w:eastAsia="仿宋" w:cs="仿宋"/>
          <w:color w:val="auto"/>
          <w:spacing w:val="-11"/>
          <w:sz w:val="20"/>
          <w:szCs w:val="20"/>
        </w:rPr>
        <w:t>年8</w:t>
      </w:r>
      <w:r>
        <w:rPr>
          <w:rFonts w:ascii="仿宋" w:hAnsi="仿宋" w:eastAsia="仿宋" w:cs="仿宋"/>
          <w:color w:val="auto"/>
          <w:spacing w:val="-44"/>
          <w:sz w:val="20"/>
          <w:szCs w:val="20"/>
        </w:rPr>
        <w:t xml:space="preserve"> </w:t>
      </w:r>
      <w:r>
        <w:rPr>
          <w:rFonts w:ascii="仿宋" w:hAnsi="仿宋" w:eastAsia="仿宋" w:cs="仿宋"/>
          <w:color w:val="auto"/>
          <w:spacing w:val="-11"/>
          <w:sz w:val="20"/>
          <w:szCs w:val="20"/>
        </w:rPr>
        <w:t>月5 日</w:t>
      </w:r>
    </w:p>
    <w:p w14:paraId="6DBF5062">
      <w:pPr>
        <w:spacing w:line="231" w:lineRule="auto"/>
        <w:rPr>
          <w:rFonts w:ascii="仿宋" w:hAnsi="仿宋" w:eastAsia="仿宋" w:cs="仿宋"/>
          <w:color w:val="auto"/>
          <w:sz w:val="20"/>
          <w:szCs w:val="20"/>
        </w:rPr>
        <w:sectPr>
          <w:headerReference r:id="rId5" w:type="default"/>
          <w:footerReference r:id="rId6" w:type="default"/>
          <w:pgSz w:w="11906" w:h="16839"/>
          <w:pgMar w:top="999" w:right="1246" w:bottom="844" w:left="1418" w:header="698" w:footer="682" w:gutter="0"/>
          <w:pgNumType w:fmt="decimal" w:start="1"/>
          <w:cols w:space="720" w:num="1"/>
        </w:sectPr>
      </w:pPr>
    </w:p>
    <w:p w14:paraId="77E33265">
      <w:pPr>
        <w:pStyle w:val="3"/>
        <w:spacing w:line="279" w:lineRule="auto"/>
        <w:rPr>
          <w:color w:val="auto"/>
        </w:rPr>
      </w:pPr>
    </w:p>
    <w:p w14:paraId="173CA764">
      <w:pPr>
        <w:spacing w:before="78" w:line="223" w:lineRule="auto"/>
        <w:ind w:left="4169"/>
        <w:rPr>
          <w:rFonts w:ascii="仿宋" w:hAnsi="仿宋" w:eastAsia="仿宋" w:cs="仿宋"/>
          <w:color w:val="auto"/>
          <w:sz w:val="24"/>
          <w:szCs w:val="24"/>
        </w:rPr>
      </w:pPr>
      <w:r>
        <w:rPr>
          <w:rFonts w:ascii="仿宋" w:hAnsi="仿宋" w:eastAsia="仿宋" w:cs="仿宋"/>
          <w:b/>
          <w:bCs/>
          <w:color w:val="auto"/>
          <w:spacing w:val="-32"/>
          <w:w w:val="95"/>
          <w:sz w:val="24"/>
          <w:szCs w:val="24"/>
        </w:rPr>
        <w:t>特别提示</w:t>
      </w:r>
    </w:p>
    <w:p w14:paraId="38A1ACC4">
      <w:pPr>
        <w:spacing w:before="189" w:line="229" w:lineRule="auto"/>
        <w:ind w:left="23"/>
        <w:rPr>
          <w:rFonts w:ascii="仿宋" w:hAnsi="仿宋" w:eastAsia="仿宋" w:cs="仿宋"/>
          <w:color w:val="auto"/>
          <w:sz w:val="20"/>
          <w:szCs w:val="20"/>
        </w:rPr>
      </w:pPr>
      <w:r>
        <w:rPr>
          <w:rFonts w:ascii="仿宋" w:hAnsi="仿宋" w:eastAsia="仿宋" w:cs="仿宋"/>
          <w:color w:val="auto"/>
          <w:spacing w:val="-17"/>
          <w:sz w:val="20"/>
          <w:szCs w:val="20"/>
        </w:rPr>
        <w:t>1、投标文件制作</w:t>
      </w:r>
    </w:p>
    <w:p w14:paraId="1599A664">
      <w:pPr>
        <w:spacing w:before="219" w:line="229" w:lineRule="auto"/>
        <w:ind w:left="23"/>
        <w:rPr>
          <w:rFonts w:ascii="仿宋" w:hAnsi="仿宋" w:eastAsia="仿宋" w:cs="仿宋"/>
          <w:color w:val="auto"/>
          <w:sz w:val="20"/>
          <w:szCs w:val="20"/>
        </w:rPr>
      </w:pPr>
      <w:r>
        <w:rPr>
          <w:rFonts w:ascii="仿宋" w:hAnsi="仿宋" w:eastAsia="仿宋" w:cs="仿宋"/>
          <w:color w:val="auto"/>
          <w:spacing w:val="-20"/>
          <w:sz w:val="20"/>
          <w:szCs w:val="20"/>
        </w:rPr>
        <w:t>1.1</w:t>
      </w:r>
      <w:r>
        <w:rPr>
          <w:rFonts w:ascii="仿宋" w:hAnsi="仿宋" w:eastAsia="仿宋" w:cs="仿宋"/>
          <w:color w:val="auto"/>
          <w:spacing w:val="-44"/>
          <w:sz w:val="20"/>
          <w:szCs w:val="20"/>
        </w:rPr>
        <w:t xml:space="preserve"> </w:t>
      </w:r>
      <w:r>
        <w:rPr>
          <w:rFonts w:ascii="仿宋" w:hAnsi="仿宋" w:eastAsia="仿宋" w:cs="仿宋"/>
          <w:color w:val="auto"/>
          <w:spacing w:val="-20"/>
          <w:sz w:val="20"/>
          <w:szCs w:val="20"/>
        </w:rPr>
        <w:t>投标人登录“洛阳市公共资源交易中心”网站，按要求下载“新点响应文件制作软件”。</w:t>
      </w:r>
    </w:p>
    <w:p w14:paraId="2732F8EF">
      <w:pPr>
        <w:spacing w:before="217" w:line="380" w:lineRule="auto"/>
        <w:ind w:left="11" w:right="35" w:firstLine="11"/>
        <w:rPr>
          <w:rFonts w:ascii="仿宋" w:hAnsi="仿宋" w:eastAsia="仿宋" w:cs="仿宋"/>
          <w:color w:val="auto"/>
          <w:sz w:val="20"/>
          <w:szCs w:val="20"/>
        </w:rPr>
      </w:pPr>
      <w:r>
        <w:rPr>
          <w:rFonts w:ascii="仿宋" w:hAnsi="仿宋" w:eastAsia="仿宋" w:cs="仿宋"/>
          <w:color w:val="auto"/>
          <w:spacing w:val="-18"/>
          <w:sz w:val="20"/>
          <w:szCs w:val="20"/>
        </w:rPr>
        <w:t>1.2</w:t>
      </w:r>
      <w:r>
        <w:rPr>
          <w:rFonts w:ascii="仿宋" w:hAnsi="仿宋" w:eastAsia="仿宋" w:cs="仿宋"/>
          <w:color w:val="auto"/>
          <w:spacing w:val="-57"/>
          <w:sz w:val="20"/>
          <w:szCs w:val="20"/>
        </w:rPr>
        <w:t xml:space="preserve"> </w:t>
      </w:r>
      <w:r>
        <w:rPr>
          <w:rFonts w:ascii="仿宋" w:hAnsi="仿宋" w:eastAsia="仿宋" w:cs="仿宋"/>
          <w:color w:val="auto"/>
          <w:spacing w:val="-18"/>
          <w:sz w:val="20"/>
          <w:szCs w:val="20"/>
        </w:rPr>
        <w:t>投标人凭CA</w:t>
      </w:r>
      <w:r>
        <w:rPr>
          <w:rFonts w:ascii="仿宋" w:hAnsi="仿宋" w:eastAsia="仿宋" w:cs="仿宋"/>
          <w:color w:val="auto"/>
          <w:spacing w:val="-56"/>
          <w:sz w:val="20"/>
          <w:szCs w:val="20"/>
        </w:rPr>
        <w:t xml:space="preserve"> </w:t>
      </w:r>
      <w:r>
        <w:rPr>
          <w:rFonts w:ascii="仿宋" w:hAnsi="仿宋" w:eastAsia="仿宋" w:cs="仿宋"/>
          <w:color w:val="auto"/>
          <w:spacing w:val="-18"/>
          <w:sz w:val="20"/>
          <w:szCs w:val="20"/>
        </w:rPr>
        <w:t>锁登录，并按网上提示自行下载招标文件。使用“新点投标文件制作软件”按要求</w:t>
      </w:r>
      <w:r>
        <w:rPr>
          <w:rFonts w:ascii="仿宋" w:hAnsi="仿宋" w:eastAsia="仿宋" w:cs="仿宋"/>
          <w:color w:val="auto"/>
          <w:spacing w:val="-26"/>
          <w:sz w:val="20"/>
          <w:szCs w:val="20"/>
        </w:rPr>
        <w:t xml:space="preserve"> </w:t>
      </w:r>
      <w:r>
        <w:rPr>
          <w:rFonts w:ascii="仿宋" w:hAnsi="仿宋" w:eastAsia="仿宋" w:cs="仿宋"/>
          <w:color w:val="auto"/>
          <w:spacing w:val="-18"/>
          <w:sz w:val="20"/>
          <w:szCs w:val="20"/>
        </w:rPr>
        <w:t>制作电子投标文</w:t>
      </w:r>
      <w:r>
        <w:rPr>
          <w:rFonts w:ascii="仿宋" w:hAnsi="仿宋" w:eastAsia="仿宋" w:cs="仿宋"/>
          <w:color w:val="auto"/>
          <w:sz w:val="20"/>
          <w:szCs w:val="20"/>
        </w:rPr>
        <w:t xml:space="preserve"> </w:t>
      </w:r>
      <w:r>
        <w:rPr>
          <w:rFonts w:ascii="仿宋" w:hAnsi="仿宋" w:eastAsia="仿宋" w:cs="仿宋"/>
          <w:color w:val="auto"/>
          <w:spacing w:val="-22"/>
          <w:sz w:val="20"/>
          <w:szCs w:val="20"/>
        </w:rPr>
        <w:t>件。投标人在制作电子投标文件时，应按要求进行电子签章。投标人编辑</w:t>
      </w:r>
      <w:r>
        <w:rPr>
          <w:rFonts w:ascii="仿宋" w:hAnsi="仿宋" w:eastAsia="仿宋" w:cs="仿宋"/>
          <w:color w:val="auto"/>
          <w:spacing w:val="-23"/>
          <w:sz w:val="20"/>
          <w:szCs w:val="20"/>
        </w:rPr>
        <w:t>电子投标文 件时，根据招标文件要求用法定</w:t>
      </w:r>
      <w:r>
        <w:rPr>
          <w:rFonts w:ascii="仿宋" w:hAnsi="仿宋" w:eastAsia="仿宋" w:cs="仿宋"/>
          <w:color w:val="auto"/>
          <w:sz w:val="20"/>
          <w:szCs w:val="20"/>
        </w:rPr>
        <w:t xml:space="preserve"> </w:t>
      </w:r>
      <w:r>
        <w:rPr>
          <w:rFonts w:ascii="仿宋" w:hAnsi="仿宋" w:eastAsia="仿宋" w:cs="仿宋"/>
          <w:color w:val="auto"/>
          <w:spacing w:val="-18"/>
          <w:sz w:val="20"/>
          <w:szCs w:val="20"/>
        </w:rPr>
        <w:t>代表人CA</w:t>
      </w:r>
      <w:r>
        <w:rPr>
          <w:rFonts w:ascii="仿宋" w:hAnsi="仿宋" w:eastAsia="仿宋" w:cs="仿宋"/>
          <w:color w:val="auto"/>
          <w:spacing w:val="-58"/>
          <w:sz w:val="20"/>
          <w:szCs w:val="20"/>
        </w:rPr>
        <w:t xml:space="preserve"> </w:t>
      </w:r>
      <w:r>
        <w:rPr>
          <w:rFonts w:ascii="仿宋" w:hAnsi="仿宋" w:eastAsia="仿宋" w:cs="仿宋"/>
          <w:color w:val="auto"/>
          <w:spacing w:val="-18"/>
          <w:sz w:val="20"/>
          <w:szCs w:val="20"/>
        </w:rPr>
        <w:t>锁和企业CA</w:t>
      </w:r>
      <w:r>
        <w:rPr>
          <w:rFonts w:ascii="仿宋" w:hAnsi="仿宋" w:eastAsia="仿宋" w:cs="仿宋"/>
          <w:color w:val="auto"/>
          <w:spacing w:val="-55"/>
          <w:sz w:val="20"/>
          <w:szCs w:val="20"/>
        </w:rPr>
        <w:t xml:space="preserve"> </w:t>
      </w:r>
      <w:r>
        <w:rPr>
          <w:rFonts w:ascii="仿宋" w:hAnsi="仿宋" w:eastAsia="仿宋" w:cs="仿宋"/>
          <w:color w:val="auto"/>
          <w:spacing w:val="-18"/>
          <w:sz w:val="20"/>
          <w:szCs w:val="20"/>
        </w:rPr>
        <w:t>锁进行签章制作；最后一步生成电子投标文件（*.</w:t>
      </w:r>
      <w:r>
        <w:rPr>
          <w:rFonts w:ascii="仿宋" w:hAnsi="仿宋" w:eastAsia="仿宋" w:cs="仿宋"/>
          <w:color w:val="auto"/>
          <w:spacing w:val="-53"/>
          <w:sz w:val="20"/>
          <w:szCs w:val="20"/>
        </w:rPr>
        <w:t xml:space="preserve"> </w:t>
      </w:r>
      <w:r>
        <w:rPr>
          <w:rFonts w:ascii="仿宋" w:hAnsi="仿宋" w:eastAsia="仿宋" w:cs="仿宋"/>
          <w:color w:val="auto"/>
          <w:spacing w:val="-18"/>
          <w:sz w:val="20"/>
          <w:szCs w:val="20"/>
        </w:rPr>
        <w:t>l</w:t>
      </w:r>
      <w:r>
        <w:rPr>
          <w:rFonts w:ascii="仿宋" w:hAnsi="仿宋" w:eastAsia="仿宋" w:cs="仿宋"/>
          <w:color w:val="auto"/>
          <w:spacing w:val="-19"/>
          <w:sz w:val="20"/>
          <w:szCs w:val="20"/>
        </w:rPr>
        <w:t>ytf</w:t>
      </w:r>
      <w:r>
        <w:rPr>
          <w:rFonts w:ascii="仿宋" w:hAnsi="仿宋" w:eastAsia="仿宋" w:cs="仿宋"/>
          <w:color w:val="auto"/>
          <w:spacing w:val="-57"/>
          <w:sz w:val="20"/>
          <w:szCs w:val="20"/>
        </w:rPr>
        <w:t xml:space="preserve"> </w:t>
      </w:r>
      <w:r>
        <w:rPr>
          <w:rFonts w:ascii="仿宋" w:hAnsi="仿宋" w:eastAsia="仿宋" w:cs="仿宋"/>
          <w:color w:val="auto"/>
          <w:spacing w:val="-19"/>
          <w:sz w:val="20"/>
          <w:szCs w:val="20"/>
        </w:rPr>
        <w:t>格式）时，只能用本单位的企业CA</w:t>
      </w:r>
      <w:r>
        <w:rPr>
          <w:rFonts w:ascii="仿宋" w:hAnsi="仿宋" w:eastAsia="仿宋" w:cs="仿宋"/>
          <w:color w:val="auto"/>
          <w:spacing w:val="-56"/>
          <w:sz w:val="20"/>
          <w:szCs w:val="20"/>
        </w:rPr>
        <w:t xml:space="preserve"> </w:t>
      </w:r>
      <w:r>
        <w:rPr>
          <w:rFonts w:ascii="仿宋" w:hAnsi="仿宋" w:eastAsia="仿宋" w:cs="仿宋"/>
          <w:color w:val="auto"/>
          <w:spacing w:val="-19"/>
          <w:sz w:val="20"/>
          <w:szCs w:val="20"/>
        </w:rPr>
        <w:t>锁。</w:t>
      </w:r>
      <w:r>
        <w:rPr>
          <w:rFonts w:ascii="仿宋" w:hAnsi="仿宋" w:eastAsia="仿宋" w:cs="仿宋"/>
          <w:color w:val="auto"/>
          <w:sz w:val="20"/>
          <w:szCs w:val="20"/>
        </w:rPr>
        <w:t xml:space="preserve"> </w:t>
      </w:r>
      <w:r>
        <w:rPr>
          <w:rFonts w:ascii="仿宋" w:hAnsi="仿宋" w:eastAsia="仿宋" w:cs="仿宋"/>
          <w:color w:val="auto"/>
          <w:spacing w:val="-20"/>
          <w:sz w:val="20"/>
          <w:szCs w:val="20"/>
        </w:rPr>
        <w:t>联合体投标的，投标文件由联合体牵头人按上述规定进行 签章。</w:t>
      </w:r>
    </w:p>
    <w:p w14:paraId="6C0E3A8B">
      <w:pPr>
        <w:spacing w:before="218" w:line="331" w:lineRule="auto"/>
        <w:ind w:left="13" w:right="94" w:firstLine="9"/>
        <w:rPr>
          <w:rFonts w:ascii="仿宋" w:hAnsi="仿宋" w:eastAsia="仿宋" w:cs="仿宋"/>
          <w:color w:val="auto"/>
          <w:sz w:val="20"/>
          <w:szCs w:val="20"/>
        </w:rPr>
      </w:pPr>
      <w:r>
        <w:rPr>
          <w:rFonts w:ascii="仿宋" w:hAnsi="仿宋" w:eastAsia="仿宋" w:cs="仿宋"/>
          <w:color w:val="auto"/>
          <w:spacing w:val="-21"/>
          <w:sz w:val="20"/>
          <w:szCs w:val="20"/>
        </w:rPr>
        <w:t>1.3</w:t>
      </w:r>
      <w:r>
        <w:rPr>
          <w:rFonts w:ascii="仿宋" w:hAnsi="仿宋" w:eastAsia="仿宋" w:cs="仿宋"/>
          <w:color w:val="auto"/>
          <w:spacing w:val="-60"/>
          <w:sz w:val="20"/>
          <w:szCs w:val="20"/>
        </w:rPr>
        <w:t xml:space="preserve"> </w:t>
      </w:r>
      <w:r>
        <w:rPr>
          <w:rFonts w:ascii="仿宋" w:hAnsi="仿宋" w:eastAsia="仿宋" w:cs="仿宋"/>
          <w:color w:val="auto"/>
          <w:spacing w:val="-21"/>
          <w:sz w:val="20"/>
          <w:szCs w:val="20"/>
        </w:rPr>
        <w:t>加密的电子投标文件为“洛阳市公共资源交易中心”网站提供的“新点投标文件制作软件”制 作生成</w:t>
      </w:r>
      <w:r>
        <w:rPr>
          <w:rFonts w:ascii="仿宋" w:hAnsi="仿宋" w:eastAsia="仿宋" w:cs="仿宋"/>
          <w:color w:val="auto"/>
          <w:spacing w:val="-22"/>
          <w:sz w:val="20"/>
          <w:szCs w:val="20"/>
        </w:rPr>
        <w:t>的加密版投</w:t>
      </w:r>
      <w:r>
        <w:rPr>
          <w:rFonts w:ascii="仿宋" w:hAnsi="仿宋" w:eastAsia="仿宋" w:cs="仿宋"/>
          <w:color w:val="auto"/>
          <w:sz w:val="20"/>
          <w:szCs w:val="20"/>
        </w:rPr>
        <w:t xml:space="preserve"> </w:t>
      </w:r>
      <w:r>
        <w:rPr>
          <w:rFonts w:ascii="仿宋" w:hAnsi="仿宋" w:eastAsia="仿宋" w:cs="仿宋"/>
          <w:color w:val="auto"/>
          <w:spacing w:val="-12"/>
          <w:sz w:val="20"/>
          <w:szCs w:val="20"/>
        </w:rPr>
        <w:t>标文件。</w:t>
      </w:r>
    </w:p>
    <w:p w14:paraId="4CFD295A">
      <w:pPr>
        <w:spacing w:before="215" w:line="329" w:lineRule="auto"/>
        <w:ind w:left="16" w:right="91" w:firstLine="6"/>
        <w:rPr>
          <w:rFonts w:ascii="仿宋" w:hAnsi="仿宋" w:eastAsia="仿宋" w:cs="仿宋"/>
          <w:color w:val="auto"/>
          <w:sz w:val="20"/>
          <w:szCs w:val="20"/>
        </w:rPr>
      </w:pPr>
      <w:r>
        <w:rPr>
          <w:rFonts w:ascii="仿宋" w:hAnsi="仿宋" w:eastAsia="仿宋" w:cs="仿宋"/>
          <w:color w:val="auto"/>
          <w:spacing w:val="-21"/>
          <w:sz w:val="20"/>
          <w:szCs w:val="20"/>
        </w:rPr>
        <w:t>1.4</w:t>
      </w:r>
      <w:r>
        <w:rPr>
          <w:rFonts w:ascii="仿宋" w:hAnsi="仿宋" w:eastAsia="仿宋" w:cs="仿宋"/>
          <w:color w:val="auto"/>
          <w:spacing w:val="-56"/>
          <w:sz w:val="20"/>
          <w:szCs w:val="20"/>
        </w:rPr>
        <w:t xml:space="preserve"> </w:t>
      </w:r>
      <w:r>
        <w:rPr>
          <w:rFonts w:ascii="仿宋" w:hAnsi="仿宋" w:eastAsia="仿宋" w:cs="仿宋"/>
          <w:color w:val="auto"/>
          <w:spacing w:val="-21"/>
          <w:sz w:val="20"/>
          <w:szCs w:val="20"/>
        </w:rPr>
        <w:t>招标文件格式所要求包含的全部资料应全部制作在投标文件内，严格按照本项目招标文件所有</w:t>
      </w:r>
      <w:r>
        <w:rPr>
          <w:rFonts w:ascii="仿宋" w:hAnsi="仿宋" w:eastAsia="仿宋" w:cs="仿宋"/>
          <w:color w:val="auto"/>
          <w:spacing w:val="-27"/>
          <w:sz w:val="20"/>
          <w:szCs w:val="20"/>
        </w:rPr>
        <w:t xml:space="preserve"> </w:t>
      </w:r>
      <w:r>
        <w:rPr>
          <w:rFonts w:ascii="仿宋" w:hAnsi="仿宋" w:eastAsia="仿宋" w:cs="仿宋"/>
          <w:color w:val="auto"/>
          <w:spacing w:val="-21"/>
          <w:sz w:val="20"/>
          <w:szCs w:val="20"/>
        </w:rPr>
        <w:t>格式如实填写（不</w:t>
      </w:r>
      <w:r>
        <w:rPr>
          <w:rFonts w:ascii="仿宋" w:hAnsi="仿宋" w:eastAsia="仿宋" w:cs="仿宋"/>
          <w:color w:val="auto"/>
          <w:sz w:val="20"/>
          <w:szCs w:val="20"/>
        </w:rPr>
        <w:t xml:space="preserve"> </w:t>
      </w:r>
      <w:r>
        <w:rPr>
          <w:rFonts w:ascii="仿宋" w:hAnsi="仿宋" w:eastAsia="仿宋" w:cs="仿宋"/>
          <w:color w:val="auto"/>
          <w:spacing w:val="-20"/>
          <w:sz w:val="20"/>
          <w:szCs w:val="20"/>
        </w:rPr>
        <w:t>涉及的内容除外</w:t>
      </w:r>
      <w:r>
        <w:rPr>
          <w:rFonts w:ascii="仿宋" w:hAnsi="仿宋" w:eastAsia="仿宋" w:cs="仿宋"/>
          <w:color w:val="auto"/>
          <w:spacing w:val="-50"/>
          <w:w w:val="90"/>
          <w:sz w:val="20"/>
          <w:szCs w:val="20"/>
        </w:rPr>
        <w:t>），</w:t>
      </w:r>
      <w:r>
        <w:rPr>
          <w:rFonts w:ascii="仿宋" w:hAnsi="仿宋" w:eastAsia="仿宋" w:cs="仿宋"/>
          <w:color w:val="auto"/>
          <w:spacing w:val="-20"/>
          <w:sz w:val="20"/>
          <w:szCs w:val="20"/>
        </w:rPr>
        <w:t>不应存在漏项或缺项，否则将存在投标被否决的风险。</w:t>
      </w:r>
    </w:p>
    <w:p w14:paraId="67ED2071">
      <w:pPr>
        <w:spacing w:before="219" w:line="329" w:lineRule="auto"/>
        <w:ind w:left="18" w:right="94" w:firstLine="4"/>
        <w:rPr>
          <w:rFonts w:ascii="仿宋" w:hAnsi="仿宋" w:eastAsia="仿宋" w:cs="仿宋"/>
          <w:color w:val="auto"/>
          <w:sz w:val="20"/>
          <w:szCs w:val="20"/>
        </w:rPr>
      </w:pPr>
      <w:r>
        <w:rPr>
          <w:rFonts w:ascii="仿宋" w:hAnsi="仿宋" w:eastAsia="仿宋" w:cs="仿宋"/>
          <w:color w:val="auto"/>
          <w:spacing w:val="-21"/>
          <w:sz w:val="20"/>
          <w:szCs w:val="20"/>
        </w:rPr>
        <w:t>1.5</w:t>
      </w:r>
      <w:r>
        <w:rPr>
          <w:rFonts w:ascii="仿宋" w:hAnsi="仿宋" w:eastAsia="仿宋" w:cs="仿宋"/>
          <w:color w:val="auto"/>
          <w:spacing w:val="-60"/>
          <w:sz w:val="20"/>
          <w:szCs w:val="20"/>
        </w:rPr>
        <w:t xml:space="preserve"> </w:t>
      </w:r>
      <w:r>
        <w:rPr>
          <w:rFonts w:ascii="仿宋" w:hAnsi="仿宋" w:eastAsia="仿宋" w:cs="仿宋"/>
          <w:color w:val="auto"/>
          <w:spacing w:val="-21"/>
          <w:sz w:val="20"/>
          <w:szCs w:val="20"/>
        </w:rPr>
        <w:t>投标文件所附证明材料均为原件的扫描件，尺寸和清晰度应该能够在电脑上被阅读、识别和判 断；若</w:t>
      </w:r>
      <w:r>
        <w:rPr>
          <w:rFonts w:ascii="仿宋" w:hAnsi="仿宋" w:eastAsia="仿宋" w:cs="仿宋"/>
          <w:color w:val="auto"/>
          <w:spacing w:val="-22"/>
          <w:sz w:val="20"/>
          <w:szCs w:val="20"/>
        </w:rPr>
        <w:t>投标人未按</w:t>
      </w:r>
      <w:r>
        <w:rPr>
          <w:rFonts w:ascii="仿宋" w:hAnsi="仿宋" w:eastAsia="仿宋" w:cs="仿宋"/>
          <w:color w:val="auto"/>
          <w:sz w:val="20"/>
          <w:szCs w:val="20"/>
        </w:rPr>
        <w:t xml:space="preserve"> </w:t>
      </w:r>
      <w:r>
        <w:rPr>
          <w:rFonts w:ascii="仿宋" w:hAnsi="仿宋" w:eastAsia="仿宋" w:cs="仿宋"/>
          <w:color w:val="auto"/>
          <w:spacing w:val="-20"/>
          <w:sz w:val="20"/>
          <w:szCs w:val="20"/>
        </w:rPr>
        <w:t>要求提供证明材料或提供不清晰的扫描件的，评标委员会有权认定其投标文件未对</w:t>
      </w:r>
      <w:r>
        <w:rPr>
          <w:rFonts w:ascii="仿宋" w:hAnsi="仿宋" w:eastAsia="仿宋" w:cs="仿宋"/>
          <w:color w:val="auto"/>
          <w:spacing w:val="-27"/>
          <w:sz w:val="20"/>
          <w:szCs w:val="20"/>
        </w:rPr>
        <w:t xml:space="preserve"> </w:t>
      </w:r>
      <w:r>
        <w:rPr>
          <w:rFonts w:ascii="仿宋" w:hAnsi="仿宋" w:eastAsia="仿宋" w:cs="仿宋"/>
          <w:color w:val="auto"/>
          <w:spacing w:val="-20"/>
          <w:sz w:val="20"/>
          <w:szCs w:val="20"/>
        </w:rPr>
        <w:t>招</w:t>
      </w:r>
      <w:r>
        <w:rPr>
          <w:rFonts w:ascii="仿宋" w:hAnsi="仿宋" w:eastAsia="仿宋" w:cs="仿宋"/>
          <w:color w:val="auto"/>
          <w:spacing w:val="-21"/>
          <w:sz w:val="20"/>
          <w:szCs w:val="20"/>
        </w:rPr>
        <w:t>标文件有关要求进行响应。</w:t>
      </w:r>
    </w:p>
    <w:p w14:paraId="692D5F0B">
      <w:pPr>
        <w:spacing w:before="218" w:line="231" w:lineRule="auto"/>
        <w:ind w:left="10"/>
        <w:rPr>
          <w:rFonts w:ascii="仿宋" w:hAnsi="仿宋" w:eastAsia="仿宋" w:cs="仿宋"/>
          <w:color w:val="auto"/>
          <w:sz w:val="20"/>
          <w:szCs w:val="20"/>
        </w:rPr>
      </w:pPr>
      <w:r>
        <w:rPr>
          <w:rFonts w:ascii="仿宋" w:hAnsi="仿宋" w:eastAsia="仿宋" w:cs="仿宋"/>
          <w:color w:val="auto"/>
          <w:spacing w:val="-16"/>
          <w:sz w:val="20"/>
          <w:szCs w:val="20"/>
        </w:rPr>
        <w:t>2、投标文件的提交</w:t>
      </w:r>
    </w:p>
    <w:p w14:paraId="3EAB9DA0">
      <w:pPr>
        <w:spacing w:before="217" w:line="229" w:lineRule="auto"/>
        <w:ind w:left="10"/>
        <w:rPr>
          <w:rFonts w:ascii="仿宋" w:hAnsi="仿宋" w:eastAsia="仿宋" w:cs="仿宋"/>
          <w:color w:val="auto"/>
          <w:sz w:val="20"/>
          <w:szCs w:val="20"/>
        </w:rPr>
      </w:pPr>
      <w:r>
        <w:rPr>
          <w:rFonts w:ascii="仿宋" w:hAnsi="仿宋" w:eastAsia="仿宋" w:cs="仿宋"/>
          <w:color w:val="auto"/>
          <w:spacing w:val="-19"/>
          <w:sz w:val="20"/>
          <w:szCs w:val="20"/>
        </w:rPr>
        <w:t>2.1</w:t>
      </w:r>
      <w:r>
        <w:rPr>
          <w:rFonts w:ascii="仿宋" w:hAnsi="仿宋" w:eastAsia="仿宋" w:cs="仿宋"/>
          <w:color w:val="auto"/>
          <w:spacing w:val="-49"/>
          <w:sz w:val="20"/>
          <w:szCs w:val="20"/>
        </w:rPr>
        <w:t xml:space="preserve"> </w:t>
      </w:r>
      <w:r>
        <w:rPr>
          <w:rFonts w:ascii="仿宋" w:hAnsi="仿宋" w:eastAsia="仿宋" w:cs="仿宋"/>
          <w:color w:val="auto"/>
          <w:spacing w:val="-19"/>
          <w:sz w:val="20"/>
          <w:szCs w:val="20"/>
        </w:rPr>
        <w:t>除电子投标文件外，投标时不再接受任何纸质文件、资料等。</w:t>
      </w:r>
    </w:p>
    <w:p w14:paraId="768F7C30">
      <w:pPr>
        <w:spacing w:before="217" w:line="380" w:lineRule="auto"/>
        <w:ind w:left="13" w:right="35" w:hanging="3"/>
        <w:rPr>
          <w:rFonts w:ascii="仿宋" w:hAnsi="仿宋" w:eastAsia="仿宋" w:cs="仿宋"/>
          <w:color w:val="auto"/>
          <w:sz w:val="20"/>
          <w:szCs w:val="20"/>
        </w:rPr>
      </w:pPr>
      <w:r>
        <w:rPr>
          <w:rFonts w:ascii="仿宋" w:hAnsi="仿宋" w:eastAsia="仿宋" w:cs="仿宋"/>
          <w:color w:val="auto"/>
          <w:spacing w:val="-19"/>
          <w:sz w:val="20"/>
          <w:szCs w:val="20"/>
        </w:rPr>
        <w:t>2.2</w:t>
      </w:r>
      <w:r>
        <w:rPr>
          <w:rFonts w:ascii="仿宋" w:hAnsi="仿宋" w:eastAsia="仿宋" w:cs="仿宋"/>
          <w:color w:val="auto"/>
          <w:spacing w:val="-59"/>
          <w:sz w:val="20"/>
          <w:szCs w:val="20"/>
        </w:rPr>
        <w:t xml:space="preserve"> </w:t>
      </w:r>
      <w:r>
        <w:rPr>
          <w:rFonts w:ascii="仿宋" w:hAnsi="仿宋" w:eastAsia="仿宋" w:cs="仿宋"/>
          <w:color w:val="auto"/>
          <w:spacing w:val="-19"/>
          <w:sz w:val="20"/>
          <w:szCs w:val="20"/>
        </w:rPr>
        <w:t>投标人应在投标截止时间前上传加密的电子投</w:t>
      </w:r>
      <w:r>
        <w:rPr>
          <w:rFonts w:ascii="仿宋" w:hAnsi="仿宋" w:eastAsia="仿宋" w:cs="仿宋"/>
          <w:color w:val="auto"/>
          <w:spacing w:val="-20"/>
          <w:sz w:val="20"/>
          <w:szCs w:val="20"/>
        </w:rPr>
        <w:t>标文件（*.lytf）到洛阳市电子招投标交易平台</w:t>
      </w:r>
      <w:r>
        <w:rPr>
          <w:rFonts w:ascii="仿宋" w:hAnsi="仿宋" w:eastAsia="仿宋" w:cs="仿宋"/>
          <w:color w:val="auto"/>
          <w:spacing w:val="-26"/>
          <w:sz w:val="20"/>
          <w:szCs w:val="20"/>
        </w:rPr>
        <w:t xml:space="preserve"> </w:t>
      </w:r>
      <w:r>
        <w:rPr>
          <w:rFonts w:ascii="仿宋" w:hAnsi="仿宋" w:eastAsia="仿宋" w:cs="仿宋"/>
          <w:color w:val="auto"/>
          <w:spacing w:val="-20"/>
          <w:sz w:val="20"/>
          <w:szCs w:val="20"/>
        </w:rPr>
        <w:t>指定位置。上传时</w:t>
      </w:r>
      <w:r>
        <w:rPr>
          <w:rFonts w:ascii="仿宋" w:hAnsi="仿宋" w:eastAsia="仿宋" w:cs="仿宋"/>
          <w:color w:val="auto"/>
          <w:sz w:val="20"/>
          <w:szCs w:val="20"/>
        </w:rPr>
        <w:t xml:space="preserve"> </w:t>
      </w:r>
      <w:r>
        <w:rPr>
          <w:rFonts w:ascii="仿宋" w:hAnsi="仿宋" w:eastAsia="仿宋" w:cs="仿宋"/>
          <w:color w:val="auto"/>
          <w:spacing w:val="-22"/>
          <w:sz w:val="20"/>
          <w:szCs w:val="20"/>
        </w:rPr>
        <w:t>投标人须使用制作该投标文件的同一CA</w:t>
      </w:r>
      <w:r>
        <w:rPr>
          <w:rFonts w:ascii="仿宋" w:hAnsi="仿宋" w:eastAsia="仿宋" w:cs="仿宋"/>
          <w:color w:val="auto"/>
          <w:spacing w:val="-43"/>
          <w:sz w:val="20"/>
          <w:szCs w:val="20"/>
        </w:rPr>
        <w:t xml:space="preserve"> </w:t>
      </w:r>
      <w:r>
        <w:rPr>
          <w:rFonts w:ascii="仿宋" w:hAnsi="仿宋" w:eastAsia="仿宋" w:cs="仿宋"/>
          <w:color w:val="auto"/>
          <w:spacing w:val="-22"/>
          <w:sz w:val="20"/>
          <w:szCs w:val="20"/>
        </w:rPr>
        <w:t>锁进行上传操作。请投标人在上传时认真检 查上传投标文件是否完整、正确。</w:t>
      </w:r>
      <w:r>
        <w:rPr>
          <w:rFonts w:ascii="仿宋" w:hAnsi="仿宋" w:eastAsia="仿宋" w:cs="仿宋"/>
          <w:color w:val="auto"/>
          <w:sz w:val="20"/>
          <w:szCs w:val="20"/>
        </w:rPr>
        <w:t xml:space="preserve"> </w:t>
      </w:r>
      <w:r>
        <w:rPr>
          <w:rFonts w:ascii="仿宋" w:hAnsi="仿宋" w:eastAsia="仿宋" w:cs="仿宋"/>
          <w:color w:val="auto"/>
          <w:spacing w:val="-22"/>
          <w:sz w:val="20"/>
          <w:szCs w:val="20"/>
        </w:rPr>
        <w:t>投标人应充分考虑上传文件时的不可预见因素，未在投标截止时</w:t>
      </w:r>
      <w:r>
        <w:rPr>
          <w:rFonts w:ascii="仿宋" w:hAnsi="仿宋" w:eastAsia="仿宋" w:cs="仿宋"/>
          <w:color w:val="auto"/>
          <w:spacing w:val="-23"/>
          <w:sz w:val="20"/>
          <w:szCs w:val="20"/>
        </w:rPr>
        <w:t>间 前完成上传的，视为逾期送达，洛阳市电子招投标</w:t>
      </w:r>
      <w:r>
        <w:rPr>
          <w:rFonts w:ascii="仿宋" w:hAnsi="仿宋" w:eastAsia="仿宋" w:cs="仿宋"/>
          <w:color w:val="auto"/>
          <w:sz w:val="20"/>
          <w:szCs w:val="20"/>
        </w:rPr>
        <w:t xml:space="preserve"> </w:t>
      </w:r>
      <w:r>
        <w:rPr>
          <w:rFonts w:ascii="仿宋" w:hAnsi="仿宋" w:eastAsia="仿宋" w:cs="仿宋"/>
          <w:color w:val="auto"/>
          <w:spacing w:val="-20"/>
          <w:sz w:val="20"/>
          <w:szCs w:val="20"/>
        </w:rPr>
        <w:t>交易平台将拒绝接收。上传成功后将得到上传成功 的确认。</w:t>
      </w:r>
    </w:p>
    <w:p w14:paraId="059FE6A0">
      <w:pPr>
        <w:spacing w:before="217" w:line="228" w:lineRule="auto"/>
        <w:ind w:left="10"/>
        <w:rPr>
          <w:rFonts w:ascii="仿宋" w:hAnsi="仿宋" w:eastAsia="仿宋" w:cs="仿宋"/>
          <w:color w:val="auto"/>
          <w:sz w:val="20"/>
          <w:szCs w:val="20"/>
        </w:rPr>
      </w:pPr>
      <w:r>
        <w:rPr>
          <w:rFonts w:ascii="仿宋" w:hAnsi="仿宋" w:eastAsia="仿宋" w:cs="仿宋"/>
          <w:color w:val="auto"/>
          <w:spacing w:val="-19"/>
          <w:sz w:val="20"/>
          <w:szCs w:val="20"/>
        </w:rPr>
        <w:t>2.3</w:t>
      </w:r>
      <w:r>
        <w:rPr>
          <w:rFonts w:ascii="仿宋" w:hAnsi="仿宋" w:eastAsia="仿宋" w:cs="仿宋"/>
          <w:color w:val="auto"/>
          <w:spacing w:val="-59"/>
          <w:sz w:val="20"/>
          <w:szCs w:val="20"/>
        </w:rPr>
        <w:t xml:space="preserve"> </w:t>
      </w:r>
      <w:r>
        <w:rPr>
          <w:rFonts w:ascii="仿宋" w:hAnsi="仿宋" w:eastAsia="仿宋" w:cs="仿宋"/>
          <w:color w:val="auto"/>
          <w:spacing w:val="-19"/>
          <w:sz w:val="20"/>
          <w:szCs w:val="20"/>
        </w:rPr>
        <w:t>投标人因洛阳市电子招投标交易平台问题无法上传电子投标文件时，请在工作时</w:t>
      </w:r>
      <w:r>
        <w:rPr>
          <w:rFonts w:ascii="仿宋" w:hAnsi="仿宋" w:eastAsia="仿宋" w:cs="仿宋"/>
          <w:color w:val="auto"/>
          <w:spacing w:val="-20"/>
          <w:sz w:val="20"/>
          <w:szCs w:val="20"/>
        </w:rPr>
        <w:t>间与交易中心</w:t>
      </w:r>
      <w:r>
        <w:rPr>
          <w:rFonts w:ascii="仿宋" w:hAnsi="仿宋" w:eastAsia="仿宋" w:cs="仿宋"/>
          <w:color w:val="auto"/>
          <w:spacing w:val="-29"/>
          <w:sz w:val="20"/>
          <w:szCs w:val="20"/>
        </w:rPr>
        <w:t xml:space="preserve"> </w:t>
      </w:r>
      <w:r>
        <w:rPr>
          <w:rFonts w:ascii="仿宋" w:hAnsi="仿宋" w:eastAsia="仿宋" w:cs="仿宋"/>
          <w:color w:val="auto"/>
          <w:spacing w:val="-20"/>
          <w:sz w:val="20"/>
          <w:szCs w:val="20"/>
        </w:rPr>
        <w:t>联系。</w:t>
      </w:r>
    </w:p>
    <w:p w14:paraId="3BAA4556">
      <w:pPr>
        <w:spacing w:before="221" w:line="231" w:lineRule="auto"/>
        <w:ind w:left="11"/>
        <w:rPr>
          <w:rFonts w:ascii="仿宋" w:hAnsi="仿宋" w:eastAsia="仿宋" w:cs="仿宋"/>
          <w:color w:val="auto"/>
          <w:sz w:val="20"/>
          <w:szCs w:val="20"/>
        </w:rPr>
      </w:pPr>
      <w:r>
        <w:rPr>
          <w:rFonts w:ascii="仿宋" w:hAnsi="仿宋" w:eastAsia="仿宋" w:cs="仿宋"/>
          <w:color w:val="auto"/>
          <w:spacing w:val="-18"/>
          <w:sz w:val="20"/>
          <w:szCs w:val="20"/>
        </w:rPr>
        <w:t>3、招标文件的澄清、修改</w:t>
      </w:r>
    </w:p>
    <w:p w14:paraId="70256742">
      <w:pPr>
        <w:spacing w:before="215" w:line="390" w:lineRule="auto"/>
        <w:ind w:left="12" w:right="91" w:hanging="1"/>
        <w:rPr>
          <w:rFonts w:ascii="仿宋" w:hAnsi="仿宋" w:eastAsia="仿宋" w:cs="仿宋"/>
          <w:color w:val="auto"/>
          <w:sz w:val="20"/>
          <w:szCs w:val="20"/>
        </w:rPr>
      </w:pPr>
      <w:r>
        <w:rPr>
          <w:rFonts w:ascii="仿宋" w:hAnsi="仿宋" w:eastAsia="仿宋" w:cs="仿宋"/>
          <w:color w:val="auto"/>
          <w:spacing w:val="-24"/>
          <w:sz w:val="20"/>
          <w:szCs w:val="20"/>
        </w:rPr>
        <w:t>3.1</w:t>
      </w:r>
      <w:r>
        <w:rPr>
          <w:rFonts w:ascii="仿宋" w:hAnsi="仿宋" w:eastAsia="仿宋" w:cs="仿宋"/>
          <w:color w:val="auto"/>
          <w:spacing w:val="-59"/>
          <w:sz w:val="20"/>
          <w:szCs w:val="20"/>
        </w:rPr>
        <w:t xml:space="preserve"> </w:t>
      </w:r>
      <w:r>
        <w:rPr>
          <w:rFonts w:ascii="仿宋" w:hAnsi="仿宋" w:eastAsia="仿宋" w:cs="仿宋"/>
          <w:color w:val="auto"/>
          <w:spacing w:val="-24"/>
          <w:sz w:val="20"/>
          <w:szCs w:val="20"/>
        </w:rPr>
        <w:t>招标文件的澄清、修改将在《河南省（洛阳市）政府采购网》《洛阳市公共资源交易中心》</w:t>
      </w:r>
      <w:r>
        <w:rPr>
          <w:rFonts w:ascii="仿宋" w:hAnsi="仿宋" w:eastAsia="仿宋" w:cs="仿宋"/>
          <w:color w:val="auto"/>
          <w:spacing w:val="-25"/>
          <w:sz w:val="20"/>
          <w:szCs w:val="20"/>
        </w:rPr>
        <w:t>《河 南省电子招标投标</w:t>
      </w:r>
      <w:r>
        <w:rPr>
          <w:rFonts w:ascii="仿宋" w:hAnsi="仿宋" w:eastAsia="仿宋" w:cs="仿宋"/>
          <w:color w:val="auto"/>
          <w:sz w:val="20"/>
          <w:szCs w:val="20"/>
        </w:rPr>
        <w:t xml:space="preserve"> </w:t>
      </w:r>
      <w:r>
        <w:rPr>
          <w:rFonts w:ascii="仿宋" w:hAnsi="仿宋" w:eastAsia="仿宋" w:cs="仿宋"/>
          <w:color w:val="auto"/>
          <w:spacing w:val="-26"/>
          <w:sz w:val="20"/>
          <w:szCs w:val="20"/>
        </w:rPr>
        <w:t>服务平台》上发布“变更公告”，如需修改招标文件，则同时在洛阳市电子招投标交 易平台发布“答疑文件”（答疑文</w:t>
      </w:r>
      <w:r>
        <w:rPr>
          <w:rFonts w:ascii="仿宋" w:hAnsi="仿宋" w:eastAsia="仿宋" w:cs="仿宋"/>
          <w:color w:val="auto"/>
          <w:spacing w:val="12"/>
          <w:sz w:val="20"/>
          <w:szCs w:val="20"/>
        </w:rPr>
        <w:t xml:space="preserve"> </w:t>
      </w:r>
      <w:r>
        <w:rPr>
          <w:rFonts w:ascii="仿宋" w:hAnsi="仿宋" w:eastAsia="仿宋" w:cs="仿宋"/>
          <w:color w:val="auto"/>
          <w:spacing w:val="-22"/>
          <w:sz w:val="20"/>
          <w:szCs w:val="20"/>
        </w:rPr>
        <w:t>件指修改后最新的招标文件）。对于各项目中已经成功下载招标</w:t>
      </w:r>
      <w:r>
        <w:rPr>
          <w:rFonts w:ascii="仿宋" w:hAnsi="仿宋" w:eastAsia="仿宋" w:cs="仿宋"/>
          <w:color w:val="auto"/>
          <w:spacing w:val="-23"/>
          <w:sz w:val="20"/>
          <w:szCs w:val="20"/>
        </w:rPr>
        <w:t>文件 的投标人，将通过第三方短信群发方式提醒投标</w:t>
      </w:r>
      <w:r>
        <w:rPr>
          <w:rFonts w:ascii="仿宋" w:hAnsi="仿宋" w:eastAsia="仿宋" w:cs="仿宋"/>
          <w:color w:val="auto"/>
          <w:sz w:val="20"/>
          <w:szCs w:val="20"/>
        </w:rPr>
        <w:t xml:space="preserve"> </w:t>
      </w:r>
      <w:r>
        <w:rPr>
          <w:rFonts w:ascii="仿宋" w:hAnsi="仿宋" w:eastAsia="仿宋" w:cs="仿宋"/>
          <w:color w:val="auto"/>
          <w:spacing w:val="-22"/>
          <w:sz w:val="20"/>
          <w:szCs w:val="20"/>
        </w:rPr>
        <w:t>人进行查询。各投标人须重新下载最新的“答疑文件 ”, 并以此编制投标文件。如不以最新发布的“答疑文件”</w:t>
      </w:r>
      <w:r>
        <w:rPr>
          <w:rFonts w:ascii="仿宋" w:hAnsi="仿宋" w:eastAsia="仿宋" w:cs="仿宋"/>
          <w:color w:val="auto"/>
          <w:spacing w:val="-23"/>
          <w:sz w:val="20"/>
          <w:szCs w:val="20"/>
        </w:rPr>
        <w:t>编制</w:t>
      </w:r>
      <w:r>
        <w:rPr>
          <w:rFonts w:ascii="仿宋" w:hAnsi="仿宋" w:eastAsia="仿宋" w:cs="仿宋"/>
          <w:color w:val="auto"/>
          <w:sz w:val="20"/>
          <w:szCs w:val="20"/>
        </w:rPr>
        <w:t xml:space="preserve"> </w:t>
      </w:r>
      <w:r>
        <w:rPr>
          <w:rFonts w:ascii="仿宋" w:hAnsi="仿宋" w:eastAsia="仿宋" w:cs="仿宋"/>
          <w:color w:val="auto"/>
          <w:spacing w:val="-19"/>
          <w:sz w:val="20"/>
          <w:szCs w:val="20"/>
        </w:rPr>
        <w:t>投标文件，造成投标无效的后果由投标</w:t>
      </w:r>
      <w:r>
        <w:rPr>
          <w:rFonts w:ascii="仿宋" w:hAnsi="仿宋" w:eastAsia="仿宋" w:cs="仿宋"/>
          <w:color w:val="auto"/>
          <w:spacing w:val="-26"/>
          <w:sz w:val="20"/>
          <w:szCs w:val="20"/>
        </w:rPr>
        <w:t xml:space="preserve"> </w:t>
      </w:r>
      <w:r>
        <w:rPr>
          <w:rFonts w:ascii="仿宋" w:hAnsi="仿宋" w:eastAsia="仿宋" w:cs="仿宋"/>
          <w:color w:val="auto"/>
          <w:spacing w:val="-19"/>
          <w:sz w:val="20"/>
          <w:szCs w:val="20"/>
        </w:rPr>
        <w:t>人自己承担。</w:t>
      </w:r>
    </w:p>
    <w:p w14:paraId="06C16859">
      <w:pPr>
        <w:spacing w:before="219" w:line="330" w:lineRule="auto"/>
        <w:ind w:left="15" w:right="91" w:hanging="4"/>
        <w:rPr>
          <w:rFonts w:ascii="仿宋" w:hAnsi="仿宋" w:eastAsia="仿宋" w:cs="仿宋"/>
          <w:color w:val="auto"/>
          <w:sz w:val="20"/>
          <w:szCs w:val="20"/>
        </w:rPr>
      </w:pPr>
      <w:r>
        <w:rPr>
          <w:rFonts w:ascii="仿宋" w:hAnsi="仿宋" w:eastAsia="仿宋" w:cs="仿宋"/>
          <w:color w:val="auto"/>
          <w:spacing w:val="-21"/>
          <w:sz w:val="20"/>
          <w:szCs w:val="20"/>
        </w:rPr>
        <w:t>3.2</w:t>
      </w:r>
      <w:r>
        <w:rPr>
          <w:rFonts w:ascii="仿宋" w:hAnsi="仿宋" w:eastAsia="仿宋" w:cs="仿宋"/>
          <w:color w:val="auto"/>
          <w:spacing w:val="-37"/>
          <w:sz w:val="20"/>
          <w:szCs w:val="20"/>
        </w:rPr>
        <w:t xml:space="preserve"> </w:t>
      </w:r>
      <w:r>
        <w:rPr>
          <w:rFonts w:ascii="仿宋" w:hAnsi="仿宋" w:eastAsia="仿宋" w:cs="仿宋"/>
          <w:color w:val="auto"/>
          <w:spacing w:val="-21"/>
          <w:sz w:val="20"/>
          <w:szCs w:val="20"/>
        </w:rPr>
        <w:t>因洛阳市电子招投标交易平台在开标前具有保密性，投标人在投标文件递交截止时</w:t>
      </w:r>
      <w:r>
        <w:rPr>
          <w:rFonts w:ascii="仿宋" w:hAnsi="仿宋" w:eastAsia="仿宋" w:cs="仿宋"/>
          <w:color w:val="auto"/>
          <w:spacing w:val="-22"/>
          <w:sz w:val="20"/>
          <w:szCs w:val="20"/>
        </w:rPr>
        <w:t>间前须自行 查看项目进展、变</w:t>
      </w:r>
      <w:r>
        <w:rPr>
          <w:rFonts w:ascii="仿宋" w:hAnsi="仿宋" w:eastAsia="仿宋" w:cs="仿宋"/>
          <w:color w:val="auto"/>
          <w:sz w:val="20"/>
          <w:szCs w:val="20"/>
        </w:rPr>
        <w:t xml:space="preserve"> </w:t>
      </w:r>
      <w:r>
        <w:rPr>
          <w:rFonts w:ascii="仿宋" w:hAnsi="仿宋" w:eastAsia="仿宋" w:cs="仿宋"/>
          <w:color w:val="auto"/>
          <w:spacing w:val="-20"/>
          <w:sz w:val="20"/>
          <w:szCs w:val="20"/>
        </w:rPr>
        <w:t>更通知、澄清及回复，因投标人未及时查看而造成的后果自负。</w:t>
      </w:r>
    </w:p>
    <w:p w14:paraId="13E21D0A">
      <w:pPr>
        <w:spacing w:line="330" w:lineRule="auto"/>
        <w:rPr>
          <w:rFonts w:ascii="仿宋" w:hAnsi="仿宋" w:eastAsia="仿宋" w:cs="仿宋"/>
          <w:color w:val="auto"/>
          <w:sz w:val="20"/>
          <w:szCs w:val="20"/>
        </w:rPr>
        <w:sectPr>
          <w:footerReference r:id="rId7" w:type="default"/>
          <w:pgSz w:w="11906" w:h="16839"/>
          <w:pgMar w:top="999" w:right="1246" w:bottom="841" w:left="1418" w:header="698" w:footer="682" w:gutter="0"/>
          <w:pgNumType w:fmt="decimal"/>
          <w:cols w:space="720" w:num="1"/>
        </w:sectPr>
      </w:pPr>
    </w:p>
    <w:p w14:paraId="315A0D3C">
      <w:pPr>
        <w:pStyle w:val="3"/>
        <w:spacing w:line="478" w:lineRule="auto"/>
        <w:rPr>
          <w:color w:val="auto"/>
        </w:rPr>
      </w:pPr>
    </w:p>
    <w:p w14:paraId="62A91C05">
      <w:pPr>
        <w:spacing w:before="65" w:line="231" w:lineRule="auto"/>
        <w:ind w:left="6"/>
        <w:rPr>
          <w:rFonts w:ascii="仿宋" w:hAnsi="仿宋" w:eastAsia="仿宋" w:cs="仿宋"/>
          <w:color w:val="auto"/>
          <w:sz w:val="20"/>
          <w:szCs w:val="20"/>
        </w:rPr>
      </w:pPr>
      <w:r>
        <w:rPr>
          <w:rFonts w:ascii="仿宋" w:hAnsi="仿宋" w:eastAsia="仿宋" w:cs="仿宋"/>
          <w:color w:val="auto"/>
          <w:spacing w:val="-8"/>
          <w:sz w:val="20"/>
          <w:szCs w:val="20"/>
        </w:rPr>
        <w:t>4、开标</w:t>
      </w:r>
    </w:p>
    <w:p w14:paraId="01EFD26D">
      <w:pPr>
        <w:spacing w:before="215" w:line="228" w:lineRule="auto"/>
        <w:jc w:val="right"/>
        <w:rPr>
          <w:rFonts w:ascii="仿宋" w:hAnsi="仿宋" w:eastAsia="仿宋" w:cs="仿宋"/>
          <w:color w:val="auto"/>
          <w:sz w:val="20"/>
          <w:szCs w:val="20"/>
        </w:rPr>
      </w:pPr>
      <w:r>
        <w:rPr>
          <w:rFonts w:ascii="仿宋" w:hAnsi="仿宋" w:eastAsia="仿宋" w:cs="仿宋"/>
          <w:color w:val="auto"/>
          <w:spacing w:val="-25"/>
          <w:sz w:val="20"/>
          <w:szCs w:val="20"/>
        </w:rPr>
        <w:t>本项目采用远程不见面交易的模式。开标当日，投标人无需到开标现场参加开标会议，投标人应 当在投标截止时间前，</w:t>
      </w:r>
    </w:p>
    <w:p w14:paraId="2D0850D3">
      <w:pPr>
        <w:spacing w:before="90" w:line="466" w:lineRule="exact"/>
        <w:ind w:left="18"/>
        <w:rPr>
          <w:rFonts w:ascii="仿宋" w:hAnsi="仿宋" w:eastAsia="仿宋" w:cs="仿宋"/>
          <w:color w:val="auto"/>
          <w:sz w:val="20"/>
          <w:szCs w:val="20"/>
        </w:rPr>
      </w:pPr>
      <w:r>
        <w:rPr>
          <w:rFonts w:ascii="仿宋" w:hAnsi="仿宋" w:eastAsia="仿宋" w:cs="仿宋"/>
          <w:color w:val="auto"/>
          <w:spacing w:val="-15"/>
          <w:position w:val="7"/>
          <w:sz w:val="20"/>
          <w:szCs w:val="20"/>
        </w:rPr>
        <w:t>登录到洛阳不见面开标大厅系统</w:t>
      </w:r>
      <w:r>
        <w:rPr>
          <w:color w:val="auto"/>
        </w:rPr>
        <w:fldChar w:fldCharType="begin"/>
      </w:r>
      <w:r>
        <w:rPr>
          <w:color w:val="auto"/>
        </w:rPr>
        <w:instrText xml:space="preserve"> HYPERLINK "http://61.54.85.189/BidOpening" </w:instrText>
      </w:r>
      <w:r>
        <w:rPr>
          <w:color w:val="auto"/>
        </w:rPr>
        <w:fldChar w:fldCharType="separate"/>
      </w:r>
      <w:r>
        <w:rPr>
          <w:rFonts w:ascii="仿宋" w:hAnsi="仿宋" w:eastAsia="仿宋" w:cs="仿宋"/>
          <w:color w:val="auto"/>
          <w:spacing w:val="-15"/>
          <w:position w:val="7"/>
          <w:sz w:val="20"/>
          <w:szCs w:val="20"/>
        </w:rPr>
        <w:t>（http://6</w:t>
      </w:r>
      <w:r>
        <w:rPr>
          <w:rFonts w:ascii="仿宋" w:hAnsi="仿宋" w:eastAsia="仿宋" w:cs="仿宋"/>
          <w:color w:val="auto"/>
          <w:spacing w:val="-16"/>
          <w:position w:val="7"/>
          <w:sz w:val="20"/>
          <w:szCs w:val="20"/>
        </w:rPr>
        <w:t>1.54.85.189/BidOpening</w:t>
      </w:r>
      <w:r>
        <w:rPr>
          <w:rFonts w:ascii="仿宋" w:hAnsi="仿宋" w:eastAsia="仿宋" w:cs="仿宋"/>
          <w:color w:val="auto"/>
          <w:spacing w:val="-16"/>
          <w:position w:val="7"/>
          <w:sz w:val="20"/>
          <w:szCs w:val="20"/>
        </w:rPr>
        <w:fldChar w:fldCharType="end"/>
      </w:r>
      <w:r>
        <w:rPr>
          <w:rFonts w:ascii="仿宋" w:hAnsi="仿宋" w:eastAsia="仿宋" w:cs="仿宋"/>
          <w:color w:val="auto"/>
          <w:spacing w:val="-52"/>
          <w:w w:val="92"/>
          <w:position w:val="7"/>
          <w:sz w:val="20"/>
          <w:szCs w:val="20"/>
        </w:rPr>
        <w:t>），</w:t>
      </w:r>
      <w:r>
        <w:rPr>
          <w:rFonts w:ascii="仿宋" w:hAnsi="仿宋" w:eastAsia="仿宋" w:cs="仿宋"/>
          <w:color w:val="auto"/>
          <w:spacing w:val="-16"/>
          <w:position w:val="7"/>
          <w:sz w:val="20"/>
          <w:szCs w:val="20"/>
        </w:rPr>
        <w:t>在线准时参加开标 活动并进行投标文件解密</w:t>
      </w:r>
    </w:p>
    <w:p w14:paraId="1F4756CB">
      <w:pPr>
        <w:spacing w:before="127" w:line="230" w:lineRule="auto"/>
        <w:ind w:left="21"/>
        <w:rPr>
          <w:rFonts w:ascii="仿宋" w:hAnsi="仿宋" w:eastAsia="仿宋" w:cs="仿宋"/>
          <w:color w:val="auto"/>
          <w:sz w:val="20"/>
          <w:szCs w:val="20"/>
        </w:rPr>
      </w:pPr>
      <w:r>
        <w:rPr>
          <w:rFonts w:ascii="仿宋" w:hAnsi="仿宋" w:eastAsia="仿宋" w:cs="仿宋"/>
          <w:color w:val="auto"/>
          <w:spacing w:val="-20"/>
          <w:sz w:val="20"/>
          <w:szCs w:val="20"/>
        </w:rPr>
        <w:t>等。因投标人原因未能解密、解密失败或解密超时的</w:t>
      </w:r>
      <w:r>
        <w:rPr>
          <w:rFonts w:ascii="仿宋" w:hAnsi="仿宋" w:eastAsia="仿宋" w:cs="仿宋"/>
          <w:color w:val="auto"/>
          <w:spacing w:val="-21"/>
          <w:sz w:val="20"/>
          <w:szCs w:val="20"/>
        </w:rPr>
        <w:t>将被拒绝。</w:t>
      </w:r>
    </w:p>
    <w:p w14:paraId="68B97988">
      <w:pPr>
        <w:spacing w:before="216" w:line="231" w:lineRule="auto"/>
        <w:ind w:left="11"/>
        <w:rPr>
          <w:rFonts w:ascii="仿宋" w:hAnsi="仿宋" w:eastAsia="仿宋" w:cs="仿宋"/>
          <w:color w:val="auto"/>
          <w:sz w:val="20"/>
          <w:szCs w:val="20"/>
        </w:rPr>
      </w:pPr>
      <w:r>
        <w:rPr>
          <w:rFonts w:ascii="仿宋" w:hAnsi="仿宋" w:eastAsia="仿宋" w:cs="仿宋"/>
          <w:color w:val="auto"/>
          <w:spacing w:val="-16"/>
          <w:sz w:val="20"/>
          <w:szCs w:val="20"/>
        </w:rPr>
        <w:t>5、开标异常处理</w:t>
      </w:r>
    </w:p>
    <w:p w14:paraId="565A67C7">
      <w:pPr>
        <w:spacing w:before="218" w:line="414" w:lineRule="auto"/>
        <w:ind w:left="33" w:right="91" w:firstLine="2"/>
        <w:rPr>
          <w:rFonts w:ascii="仿宋" w:hAnsi="仿宋" w:eastAsia="仿宋" w:cs="仿宋"/>
          <w:color w:val="auto"/>
          <w:sz w:val="20"/>
          <w:szCs w:val="20"/>
        </w:rPr>
      </w:pPr>
      <w:r>
        <w:rPr>
          <w:rFonts w:ascii="仿宋" w:hAnsi="仿宋" w:eastAsia="仿宋" w:cs="仿宋"/>
          <w:color w:val="auto"/>
          <w:spacing w:val="-23"/>
          <w:sz w:val="20"/>
          <w:szCs w:val="20"/>
        </w:rPr>
        <w:t>当出现以下情况时，应对未开标的中止电子开标，对原有资料及信息做出妥善保密处理，并在恢 复正常后及时安排时</w:t>
      </w:r>
      <w:r>
        <w:rPr>
          <w:rFonts w:ascii="仿宋" w:hAnsi="仿宋" w:eastAsia="仿宋" w:cs="仿宋"/>
          <w:color w:val="auto"/>
          <w:spacing w:val="8"/>
          <w:sz w:val="20"/>
          <w:szCs w:val="20"/>
        </w:rPr>
        <w:t xml:space="preserve"> </w:t>
      </w:r>
      <w:r>
        <w:rPr>
          <w:rFonts w:ascii="仿宋" w:hAnsi="仿宋" w:eastAsia="仿宋" w:cs="仿宋"/>
          <w:color w:val="auto"/>
          <w:spacing w:val="-17"/>
          <w:sz w:val="20"/>
          <w:szCs w:val="20"/>
        </w:rPr>
        <w:t>间开标：</w:t>
      </w:r>
    </w:p>
    <w:p w14:paraId="2B07B28B">
      <w:pPr>
        <w:spacing w:before="35" w:line="230" w:lineRule="auto"/>
        <w:ind w:left="18"/>
        <w:rPr>
          <w:rFonts w:ascii="仿宋" w:hAnsi="仿宋" w:eastAsia="仿宋" w:cs="仿宋"/>
          <w:color w:val="auto"/>
          <w:sz w:val="20"/>
          <w:szCs w:val="20"/>
        </w:rPr>
      </w:pPr>
      <w:r>
        <w:rPr>
          <w:rFonts w:ascii="仿宋" w:hAnsi="仿宋" w:eastAsia="仿宋" w:cs="仿宋"/>
          <w:color w:val="auto"/>
          <w:spacing w:val="-20"/>
          <w:sz w:val="20"/>
          <w:szCs w:val="20"/>
        </w:rPr>
        <w:t>（1）系统服务器发生故障，无法访问或无法使用系统；</w:t>
      </w:r>
    </w:p>
    <w:p w14:paraId="6C17038B">
      <w:pPr>
        <w:spacing w:before="216" w:line="229" w:lineRule="auto"/>
        <w:ind w:left="18"/>
        <w:rPr>
          <w:rFonts w:ascii="仿宋" w:hAnsi="仿宋" w:eastAsia="仿宋" w:cs="仿宋"/>
          <w:color w:val="auto"/>
          <w:sz w:val="20"/>
          <w:szCs w:val="20"/>
        </w:rPr>
      </w:pPr>
      <w:r>
        <w:rPr>
          <w:rFonts w:ascii="仿宋" w:hAnsi="仿宋" w:eastAsia="仿宋" w:cs="仿宋"/>
          <w:color w:val="auto"/>
          <w:spacing w:val="-20"/>
          <w:sz w:val="20"/>
          <w:szCs w:val="20"/>
        </w:rPr>
        <w:t>（2）系统的软件或数据库出现错误，不能进行正常操作；</w:t>
      </w:r>
    </w:p>
    <w:p w14:paraId="06C4B7F5">
      <w:pPr>
        <w:spacing w:before="217" w:line="228" w:lineRule="auto"/>
        <w:ind w:left="18"/>
        <w:rPr>
          <w:rFonts w:ascii="仿宋" w:hAnsi="仿宋" w:eastAsia="仿宋" w:cs="仿宋"/>
          <w:color w:val="auto"/>
          <w:sz w:val="20"/>
          <w:szCs w:val="20"/>
        </w:rPr>
      </w:pPr>
      <w:r>
        <w:rPr>
          <w:rFonts w:ascii="仿宋" w:hAnsi="仿宋" w:eastAsia="仿宋" w:cs="仿宋"/>
          <w:color w:val="auto"/>
          <w:spacing w:val="-20"/>
          <w:sz w:val="20"/>
          <w:szCs w:val="20"/>
        </w:rPr>
        <w:t>（3）系统发现有安全漏洞，有潜在的泄密危险；</w:t>
      </w:r>
    </w:p>
    <w:p w14:paraId="39D08951">
      <w:pPr>
        <w:spacing w:before="219" w:line="229" w:lineRule="auto"/>
        <w:ind w:left="18"/>
        <w:rPr>
          <w:rFonts w:ascii="仿宋" w:hAnsi="仿宋" w:eastAsia="仿宋" w:cs="仿宋"/>
          <w:color w:val="auto"/>
          <w:sz w:val="20"/>
          <w:szCs w:val="20"/>
        </w:rPr>
      </w:pPr>
      <w:r>
        <w:rPr>
          <w:rFonts w:ascii="仿宋" w:hAnsi="仿宋" w:eastAsia="仿宋" w:cs="仿宋"/>
          <w:color w:val="auto"/>
          <w:spacing w:val="-20"/>
          <w:sz w:val="20"/>
          <w:szCs w:val="20"/>
        </w:rPr>
        <w:t>（4）出现断电事故且短时间内无法恢复供电；</w:t>
      </w:r>
    </w:p>
    <w:p w14:paraId="7B8683AA">
      <w:pPr>
        <w:spacing w:before="220" w:line="229" w:lineRule="auto"/>
        <w:ind w:left="18"/>
        <w:rPr>
          <w:rFonts w:ascii="仿宋" w:hAnsi="仿宋" w:eastAsia="仿宋" w:cs="仿宋"/>
          <w:color w:val="auto"/>
          <w:sz w:val="20"/>
          <w:szCs w:val="20"/>
        </w:rPr>
      </w:pPr>
      <w:r>
        <w:rPr>
          <w:rFonts w:ascii="仿宋" w:hAnsi="仿宋" w:eastAsia="仿宋" w:cs="仿宋"/>
          <w:color w:val="auto"/>
          <w:spacing w:val="-20"/>
          <w:sz w:val="20"/>
          <w:szCs w:val="20"/>
        </w:rPr>
        <w:t>（5）其他无法保证招投标过程正常进行的情形。</w:t>
      </w:r>
    </w:p>
    <w:p w14:paraId="47DED7FD">
      <w:pPr>
        <w:pStyle w:val="3"/>
        <w:spacing w:line="269" w:lineRule="auto"/>
        <w:rPr>
          <w:color w:val="auto"/>
        </w:rPr>
      </w:pPr>
    </w:p>
    <w:p w14:paraId="58AAA721">
      <w:pPr>
        <w:pStyle w:val="3"/>
        <w:spacing w:line="269" w:lineRule="auto"/>
        <w:rPr>
          <w:color w:val="auto"/>
        </w:rPr>
      </w:pPr>
    </w:p>
    <w:p w14:paraId="58555F66">
      <w:pPr>
        <w:pStyle w:val="3"/>
        <w:spacing w:line="269" w:lineRule="auto"/>
        <w:rPr>
          <w:color w:val="auto"/>
        </w:rPr>
      </w:pPr>
    </w:p>
    <w:p w14:paraId="5E2C8AE5">
      <w:pPr>
        <w:pStyle w:val="3"/>
        <w:spacing w:line="269" w:lineRule="auto"/>
        <w:rPr>
          <w:color w:val="auto"/>
        </w:rPr>
      </w:pPr>
    </w:p>
    <w:p w14:paraId="1A1C3B8F">
      <w:pPr>
        <w:spacing w:before="66" w:line="231" w:lineRule="auto"/>
        <w:ind w:left="14"/>
        <w:outlineLvl w:val="0"/>
        <w:rPr>
          <w:rFonts w:ascii="仿宋" w:hAnsi="仿宋" w:eastAsia="仿宋" w:cs="仿宋"/>
          <w:color w:val="auto"/>
          <w:sz w:val="20"/>
          <w:szCs w:val="20"/>
        </w:rPr>
      </w:pPr>
      <w:bookmarkStart w:id="0" w:name="_Toc8931"/>
      <w:r>
        <w:rPr>
          <w:rFonts w:ascii="仿宋" w:hAnsi="仿宋" w:eastAsia="仿宋" w:cs="仿宋"/>
          <w:color w:val="auto"/>
          <w:spacing w:val="-20"/>
          <w:sz w:val="20"/>
          <w:szCs w:val="20"/>
        </w:rPr>
        <w:t>该提示与招标文件正文不一致的事项，以招标文件正文内容为准。</w:t>
      </w:r>
      <w:bookmarkEnd w:id="0"/>
    </w:p>
    <w:p w14:paraId="04CF8974">
      <w:pPr>
        <w:spacing w:line="231" w:lineRule="auto"/>
        <w:rPr>
          <w:rFonts w:ascii="仿宋" w:hAnsi="仿宋" w:eastAsia="仿宋" w:cs="仿宋"/>
          <w:color w:val="auto"/>
          <w:sz w:val="20"/>
          <w:szCs w:val="20"/>
        </w:rPr>
        <w:sectPr>
          <w:footerReference r:id="rId8" w:type="default"/>
          <w:pgSz w:w="11906" w:h="16839"/>
          <w:pgMar w:top="999" w:right="1246" w:bottom="844" w:left="1418" w:header="698" w:footer="682" w:gutter="0"/>
          <w:pgNumType w:fmt="decimal"/>
          <w:cols w:space="720" w:num="1"/>
        </w:sectPr>
      </w:pPr>
      <w:bookmarkStart w:id="36" w:name="_GoBack"/>
      <w:bookmarkEnd w:id="36"/>
    </w:p>
    <w:p w14:paraId="1539478E">
      <w:pPr>
        <w:spacing w:before="78" w:line="220" w:lineRule="auto"/>
        <w:ind w:left="15"/>
        <w:outlineLvl w:val="0"/>
        <w:rPr>
          <w:rFonts w:ascii="仿宋" w:hAnsi="仿宋" w:eastAsia="仿宋" w:cs="仿宋"/>
          <w:color w:val="auto"/>
          <w:sz w:val="24"/>
          <w:szCs w:val="24"/>
        </w:rPr>
      </w:pPr>
      <w:bookmarkStart w:id="1" w:name="bookmark1"/>
      <w:bookmarkEnd w:id="1"/>
      <w:bookmarkStart w:id="2" w:name="bookmark2"/>
      <w:bookmarkEnd w:id="2"/>
      <w:bookmarkStart w:id="3" w:name="_Toc18131"/>
      <w:r>
        <w:rPr>
          <w:rFonts w:ascii="仿宋" w:hAnsi="仿宋" w:eastAsia="仿宋" w:cs="仿宋"/>
          <w:b/>
          <w:bCs/>
          <w:color w:val="auto"/>
          <w:spacing w:val="-28"/>
          <w:w w:val="76"/>
          <w:sz w:val="24"/>
          <w:szCs w:val="24"/>
        </w:rPr>
        <w:t>招标文件及发布方式公平竞争审查自查表</w:t>
      </w:r>
      <w:bookmarkEnd w:id="3"/>
    </w:p>
    <w:p w14:paraId="45AD0175">
      <w:pPr>
        <w:spacing w:before="112"/>
        <w:rPr>
          <w:color w:val="auto"/>
        </w:rPr>
      </w:pPr>
    </w:p>
    <w:p w14:paraId="42CF3C6C">
      <w:pPr>
        <w:spacing w:before="112"/>
        <w:rPr>
          <w:color w:val="auto"/>
        </w:rPr>
      </w:pPr>
    </w:p>
    <w:p w14:paraId="29DF152B">
      <w:pPr>
        <w:pStyle w:val="3"/>
        <w:rPr>
          <w:color w:val="auto"/>
        </w:rPr>
      </w:pPr>
    </w:p>
    <w:p w14:paraId="410B7849">
      <w:pPr>
        <w:rPr>
          <w:rFonts w:hint="eastAsia" w:eastAsia="宋体"/>
          <w:color w:val="auto"/>
          <w:lang w:eastAsia="zh-CN"/>
        </w:rPr>
        <w:sectPr>
          <w:footerReference r:id="rId9" w:type="default"/>
          <w:pgSz w:w="11906" w:h="16839"/>
          <w:pgMar w:top="999" w:right="1246" w:bottom="841" w:left="1418" w:header="698" w:footer="682" w:gutter="0"/>
          <w:pgNumType w:fmt="decimal"/>
          <w:cols w:space="720" w:num="1"/>
        </w:sectPr>
      </w:pPr>
      <w:r>
        <w:rPr>
          <w:rFonts w:hint="eastAsia" w:eastAsia="宋体"/>
          <w:color w:val="auto"/>
          <w:lang w:eastAsia="zh-CN"/>
        </w:rPr>
        <w:drawing>
          <wp:inline distT="0" distB="0" distL="114300" distR="114300">
            <wp:extent cx="5848985" cy="8271510"/>
            <wp:effectExtent l="0" t="0" r="18415" b="15240"/>
            <wp:docPr id="9" name="图片 9" descr="孟津区采购（招标）文件公平竞争自查审查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孟津区采购（招标）文件公平竞争自查审查表_01"/>
                    <pic:cNvPicPr>
                      <a:picLocks noChangeAspect="1"/>
                    </pic:cNvPicPr>
                  </pic:nvPicPr>
                  <pic:blipFill>
                    <a:blip r:embed="rId88"/>
                    <a:stretch>
                      <a:fillRect/>
                    </a:stretch>
                  </pic:blipFill>
                  <pic:spPr>
                    <a:xfrm>
                      <a:off x="0" y="0"/>
                      <a:ext cx="5848985" cy="8271510"/>
                    </a:xfrm>
                    <a:prstGeom prst="rect">
                      <a:avLst/>
                    </a:prstGeom>
                  </pic:spPr>
                </pic:pic>
              </a:graphicData>
            </a:graphic>
          </wp:inline>
        </w:drawing>
      </w:r>
    </w:p>
    <w:p w14:paraId="15242839">
      <w:pPr>
        <w:spacing w:before="53"/>
        <w:rPr>
          <w:color w:val="auto"/>
        </w:rPr>
      </w:pPr>
    </w:p>
    <w:p w14:paraId="7DA74555">
      <w:pPr>
        <w:spacing w:before="53"/>
        <w:rPr>
          <w:color w:val="auto"/>
        </w:rPr>
      </w:pPr>
    </w:p>
    <w:p w14:paraId="3239B716">
      <w:pPr>
        <w:pStyle w:val="3"/>
        <w:rPr>
          <w:color w:val="auto"/>
        </w:rPr>
      </w:pPr>
    </w:p>
    <w:p w14:paraId="014F647A">
      <w:pPr>
        <w:rPr>
          <w:rFonts w:hint="eastAsia" w:eastAsia="宋体"/>
          <w:color w:val="auto"/>
          <w:lang w:eastAsia="zh-CN"/>
        </w:rPr>
        <w:sectPr>
          <w:footerReference r:id="rId10" w:type="default"/>
          <w:pgSz w:w="11906" w:h="16839"/>
          <w:pgMar w:top="999" w:right="1246" w:bottom="844" w:left="1418" w:header="698" w:footer="682" w:gutter="0"/>
          <w:pgNumType w:fmt="decimal"/>
          <w:cols w:space="720" w:num="1"/>
        </w:sectPr>
      </w:pPr>
      <w:r>
        <w:rPr>
          <w:rFonts w:hint="eastAsia" w:eastAsia="宋体"/>
          <w:color w:val="auto"/>
          <w:lang w:eastAsia="zh-CN"/>
        </w:rPr>
        <w:drawing>
          <wp:inline distT="0" distB="0" distL="114300" distR="114300">
            <wp:extent cx="5864860" cy="8295005"/>
            <wp:effectExtent l="0" t="0" r="2540" b="10795"/>
            <wp:docPr id="8" name="图片 8" descr="自查审查表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自查审查表_02"/>
                    <pic:cNvPicPr>
                      <a:picLocks noChangeAspect="1"/>
                    </pic:cNvPicPr>
                  </pic:nvPicPr>
                  <pic:blipFill>
                    <a:blip r:embed="rId89"/>
                    <a:stretch>
                      <a:fillRect/>
                    </a:stretch>
                  </pic:blipFill>
                  <pic:spPr>
                    <a:xfrm>
                      <a:off x="0" y="0"/>
                      <a:ext cx="5864860" cy="8295005"/>
                    </a:xfrm>
                    <a:prstGeom prst="rect">
                      <a:avLst/>
                    </a:prstGeom>
                  </pic:spPr>
                </pic:pic>
              </a:graphicData>
            </a:graphic>
          </wp:inline>
        </w:drawing>
      </w:r>
    </w:p>
    <w:p w14:paraId="257A6BFD">
      <w:pPr>
        <w:pStyle w:val="3"/>
        <w:spacing w:line="272" w:lineRule="auto"/>
        <w:rPr>
          <w:color w:val="auto"/>
        </w:rPr>
      </w:pPr>
    </w:p>
    <w:p w14:paraId="194A7DEB">
      <w:pPr>
        <w:spacing w:before="114" w:line="228" w:lineRule="auto"/>
        <w:ind w:left="3337"/>
        <w:outlineLvl w:val="0"/>
        <w:rPr>
          <w:rFonts w:ascii="仿宋" w:hAnsi="仿宋" w:eastAsia="仿宋" w:cs="仿宋"/>
          <w:color w:val="auto"/>
          <w:sz w:val="35"/>
          <w:szCs w:val="35"/>
        </w:rPr>
      </w:pPr>
      <w:bookmarkStart w:id="4" w:name="bookmark3"/>
      <w:bookmarkEnd w:id="4"/>
      <w:bookmarkStart w:id="5" w:name="_Toc10522"/>
      <w:r>
        <w:rPr>
          <w:rFonts w:ascii="仿宋" w:hAnsi="仿宋" w:eastAsia="仿宋" w:cs="仿宋"/>
          <w:b/>
          <w:bCs/>
          <w:color w:val="auto"/>
          <w:spacing w:val="-22"/>
          <w:sz w:val="35"/>
          <w:szCs w:val="35"/>
        </w:rPr>
        <w:t>第一章</w:t>
      </w:r>
      <w:r>
        <w:rPr>
          <w:rFonts w:ascii="仿宋" w:hAnsi="仿宋" w:eastAsia="仿宋" w:cs="仿宋"/>
          <w:color w:val="auto"/>
          <w:spacing w:val="155"/>
          <w:sz w:val="35"/>
          <w:szCs w:val="35"/>
        </w:rPr>
        <w:t xml:space="preserve"> </w:t>
      </w:r>
      <w:r>
        <w:rPr>
          <w:rFonts w:ascii="仿宋" w:hAnsi="仿宋" w:eastAsia="仿宋" w:cs="仿宋"/>
          <w:b/>
          <w:bCs/>
          <w:color w:val="auto"/>
          <w:spacing w:val="-22"/>
          <w:sz w:val="35"/>
          <w:szCs w:val="35"/>
        </w:rPr>
        <w:t>采购公告</w:t>
      </w:r>
      <w:bookmarkEnd w:id="5"/>
    </w:p>
    <w:p w14:paraId="213403E8">
      <w:pPr>
        <w:spacing w:before="19" w:line="222" w:lineRule="auto"/>
        <w:ind w:left="434"/>
        <w:rPr>
          <w:rFonts w:ascii="仿宋" w:hAnsi="仿宋" w:eastAsia="仿宋" w:cs="仿宋"/>
          <w:color w:val="auto"/>
          <w:sz w:val="24"/>
          <w:szCs w:val="24"/>
        </w:rPr>
      </w:pPr>
      <w:r>
        <w:rPr>
          <w:rFonts w:ascii="仿宋" w:hAnsi="仿宋" w:eastAsia="仿宋" w:cs="仿宋"/>
          <w:b/>
          <w:bCs/>
          <w:color w:val="auto"/>
          <w:spacing w:val="-22"/>
          <w:sz w:val="24"/>
          <w:szCs w:val="24"/>
        </w:rPr>
        <w:t>项目概况</w:t>
      </w:r>
    </w:p>
    <w:p w14:paraId="563D05E7">
      <w:pPr>
        <w:spacing w:before="179" w:line="349" w:lineRule="auto"/>
        <w:ind w:left="11" w:right="329" w:firstLine="424"/>
        <w:jc w:val="both"/>
        <w:rPr>
          <w:rFonts w:ascii="仿宋" w:hAnsi="仿宋" w:eastAsia="仿宋" w:cs="仿宋"/>
          <w:color w:val="auto"/>
          <w:sz w:val="24"/>
          <w:szCs w:val="24"/>
        </w:rPr>
      </w:pPr>
      <w:r>
        <w:rPr>
          <w:rFonts w:hint="eastAsia" w:ascii="仿宋" w:hAnsi="仿宋" w:eastAsia="仿宋" w:cs="仿宋"/>
          <w:color w:val="auto"/>
          <w:spacing w:val="-30"/>
          <w:sz w:val="24"/>
          <w:szCs w:val="24"/>
          <w:lang w:eastAsia="zh-CN"/>
        </w:rPr>
        <w:t>洛阳市孟津区机关事务服务中心文博艺术中心后勤服务项目</w:t>
      </w:r>
      <w:r>
        <w:rPr>
          <w:rFonts w:ascii="仿宋" w:hAnsi="仿宋" w:eastAsia="仿宋" w:cs="仿宋"/>
          <w:color w:val="auto"/>
          <w:spacing w:val="-30"/>
          <w:sz w:val="24"/>
          <w:szCs w:val="24"/>
        </w:rPr>
        <w:t>的</w:t>
      </w:r>
      <w:r>
        <w:rPr>
          <w:rFonts w:ascii="仿宋" w:hAnsi="仿宋" w:eastAsia="仿宋" w:cs="仿宋"/>
          <w:color w:val="auto"/>
          <w:spacing w:val="-23"/>
          <w:sz w:val="24"/>
          <w:szCs w:val="24"/>
        </w:rPr>
        <w:t>潜在投标人应在洛阳市公共资源交易中心网站（http://lyggzyjy.ly.gov.cn/）获取招标文件，并于</w:t>
      </w:r>
      <w:r>
        <w:rPr>
          <w:rFonts w:ascii="仿宋" w:hAnsi="仿宋" w:eastAsia="仿宋" w:cs="仿宋"/>
          <w:color w:val="auto"/>
          <w:spacing w:val="-24"/>
          <w:sz w:val="24"/>
          <w:szCs w:val="24"/>
        </w:rPr>
        <w:t>202</w:t>
      </w:r>
      <w:r>
        <w:rPr>
          <w:rFonts w:hint="eastAsia" w:ascii="仿宋" w:hAnsi="仿宋" w:eastAsia="仿宋" w:cs="仿宋"/>
          <w:color w:val="auto"/>
          <w:spacing w:val="-24"/>
          <w:sz w:val="24"/>
          <w:szCs w:val="24"/>
          <w:lang w:val="en-US" w:eastAsia="zh-CN"/>
        </w:rPr>
        <w:t>6</w:t>
      </w:r>
      <w:r>
        <w:rPr>
          <w:rFonts w:ascii="仿宋" w:hAnsi="仿宋" w:eastAsia="仿宋" w:cs="仿宋"/>
          <w:color w:val="auto"/>
          <w:spacing w:val="-24"/>
          <w:sz w:val="24"/>
          <w:szCs w:val="24"/>
        </w:rPr>
        <w:t>年</w:t>
      </w:r>
      <w:r>
        <w:rPr>
          <w:rFonts w:hint="eastAsia" w:ascii="仿宋" w:hAnsi="仿宋" w:eastAsia="仿宋" w:cs="仿宋"/>
          <w:color w:val="auto"/>
          <w:spacing w:val="-24"/>
          <w:sz w:val="24"/>
          <w:szCs w:val="24"/>
          <w:lang w:val="en-US" w:eastAsia="zh-CN"/>
        </w:rPr>
        <w:t>08</w:t>
      </w:r>
      <w:r>
        <w:rPr>
          <w:rFonts w:ascii="仿宋" w:hAnsi="仿宋" w:eastAsia="仿宋" w:cs="仿宋"/>
          <w:color w:val="auto"/>
          <w:spacing w:val="-24"/>
          <w:sz w:val="24"/>
          <w:szCs w:val="24"/>
        </w:rPr>
        <w:t>月</w:t>
      </w:r>
      <w:r>
        <w:rPr>
          <w:rFonts w:hint="eastAsia" w:ascii="仿宋" w:hAnsi="仿宋" w:eastAsia="仿宋" w:cs="仿宋"/>
          <w:color w:val="auto"/>
          <w:spacing w:val="-24"/>
          <w:sz w:val="24"/>
          <w:szCs w:val="24"/>
          <w:lang w:val="en-US" w:eastAsia="zh-CN"/>
        </w:rPr>
        <w:t>27</w:t>
      </w:r>
      <w:r>
        <w:rPr>
          <w:rFonts w:ascii="仿宋" w:hAnsi="仿宋" w:eastAsia="仿宋" w:cs="仿宋"/>
          <w:color w:val="auto"/>
          <w:spacing w:val="-24"/>
          <w:sz w:val="24"/>
          <w:szCs w:val="24"/>
        </w:rPr>
        <w:t>日09时10分</w:t>
      </w:r>
      <w:r>
        <w:rPr>
          <w:rFonts w:ascii="仿宋" w:hAnsi="仿宋" w:eastAsia="仿宋" w:cs="仿宋"/>
          <w:color w:val="auto"/>
          <w:spacing w:val="-24"/>
          <w:sz w:val="24"/>
          <w:szCs w:val="24"/>
        </w:rPr>
        <w:t>（北京时间）前递交投标文件。</w:t>
      </w:r>
    </w:p>
    <w:p w14:paraId="540D68FC">
      <w:pPr>
        <w:spacing w:before="38" w:line="222" w:lineRule="auto"/>
        <w:ind w:left="437"/>
        <w:rPr>
          <w:rFonts w:ascii="仿宋" w:hAnsi="仿宋" w:eastAsia="仿宋" w:cs="仿宋"/>
          <w:color w:val="auto"/>
          <w:sz w:val="24"/>
          <w:szCs w:val="24"/>
        </w:rPr>
      </w:pPr>
      <w:r>
        <w:rPr>
          <w:rFonts w:ascii="仿宋" w:hAnsi="仿宋" w:eastAsia="仿宋" w:cs="仿宋"/>
          <w:b/>
          <w:bCs/>
          <w:color w:val="auto"/>
          <w:spacing w:val="-28"/>
          <w:sz w:val="24"/>
          <w:szCs w:val="24"/>
        </w:rPr>
        <w:t>一、项目基本情况</w:t>
      </w:r>
    </w:p>
    <w:p w14:paraId="036556B2">
      <w:pPr>
        <w:spacing w:before="179" w:line="222" w:lineRule="auto"/>
        <w:ind w:left="444"/>
        <w:rPr>
          <w:rFonts w:hint="default" w:ascii="仿宋" w:hAnsi="仿宋" w:eastAsia="仿宋" w:cs="仿宋"/>
          <w:color w:val="auto"/>
          <w:sz w:val="24"/>
          <w:szCs w:val="24"/>
          <w:lang w:val="en-US" w:eastAsia="zh-CN"/>
        </w:rPr>
      </w:pPr>
      <w:r>
        <w:rPr>
          <w:rFonts w:ascii="仿宋" w:hAnsi="仿宋" w:eastAsia="仿宋" w:cs="仿宋"/>
          <w:color w:val="auto"/>
          <w:spacing w:val="-25"/>
          <w:sz w:val="24"/>
          <w:szCs w:val="24"/>
        </w:rPr>
        <w:t>1、项目编号：孟津公开</w:t>
      </w:r>
      <w:r>
        <w:rPr>
          <w:rFonts w:hint="eastAsia" w:ascii="仿宋" w:hAnsi="仿宋" w:eastAsia="仿宋" w:cs="仿宋"/>
          <w:color w:val="auto"/>
          <w:spacing w:val="-25"/>
          <w:sz w:val="24"/>
          <w:szCs w:val="24"/>
          <w:lang w:val="en-US" w:eastAsia="zh-CN"/>
        </w:rPr>
        <w:t>-</w:t>
      </w:r>
      <w:r>
        <w:rPr>
          <w:rFonts w:ascii="仿宋" w:hAnsi="仿宋" w:eastAsia="仿宋" w:cs="仿宋"/>
          <w:color w:val="auto"/>
          <w:spacing w:val="-25"/>
          <w:sz w:val="24"/>
          <w:szCs w:val="24"/>
        </w:rPr>
        <w:t>202</w:t>
      </w:r>
      <w:r>
        <w:rPr>
          <w:rFonts w:hint="eastAsia" w:ascii="仿宋" w:hAnsi="仿宋" w:eastAsia="仿宋" w:cs="仿宋"/>
          <w:color w:val="auto"/>
          <w:spacing w:val="-25"/>
          <w:sz w:val="24"/>
          <w:szCs w:val="24"/>
          <w:lang w:val="en-US" w:eastAsia="zh-CN"/>
        </w:rPr>
        <w:t>6</w:t>
      </w:r>
      <w:r>
        <w:rPr>
          <w:rFonts w:ascii="仿宋" w:hAnsi="仿宋" w:eastAsia="仿宋" w:cs="仿宋"/>
          <w:color w:val="auto"/>
          <w:spacing w:val="-25"/>
          <w:sz w:val="24"/>
          <w:szCs w:val="24"/>
        </w:rPr>
        <w:t>-</w:t>
      </w:r>
      <w:r>
        <w:rPr>
          <w:rFonts w:hint="eastAsia" w:ascii="仿宋" w:hAnsi="仿宋" w:eastAsia="仿宋" w:cs="仿宋"/>
          <w:color w:val="auto"/>
          <w:spacing w:val="-25"/>
          <w:sz w:val="24"/>
          <w:szCs w:val="24"/>
          <w:lang w:val="en-US" w:eastAsia="zh-CN"/>
        </w:rPr>
        <w:t>27</w:t>
      </w:r>
    </w:p>
    <w:p w14:paraId="1712E789">
      <w:pPr>
        <w:spacing w:before="177" w:line="291" w:lineRule="auto"/>
        <w:ind w:left="25" w:right="332" w:firstLine="403"/>
        <w:rPr>
          <w:rFonts w:hint="eastAsia" w:ascii="仿宋" w:hAnsi="仿宋" w:eastAsia="仿宋" w:cs="仿宋"/>
          <w:color w:val="auto"/>
          <w:sz w:val="24"/>
          <w:szCs w:val="24"/>
          <w:lang w:eastAsia="zh-CN"/>
        </w:rPr>
      </w:pPr>
      <w:r>
        <w:rPr>
          <w:rFonts w:ascii="仿宋" w:hAnsi="仿宋" w:eastAsia="仿宋" w:cs="仿宋"/>
          <w:color w:val="auto"/>
          <w:spacing w:val="-32"/>
          <w:sz w:val="24"/>
          <w:szCs w:val="24"/>
        </w:rPr>
        <w:t>2、项目名称：</w:t>
      </w:r>
      <w:r>
        <w:rPr>
          <w:rFonts w:hint="eastAsia" w:ascii="仿宋" w:hAnsi="仿宋" w:eastAsia="仿宋" w:cs="仿宋"/>
          <w:color w:val="auto"/>
          <w:spacing w:val="-32"/>
          <w:sz w:val="24"/>
          <w:szCs w:val="24"/>
          <w:lang w:eastAsia="zh-CN"/>
        </w:rPr>
        <w:t>洛阳市孟津区机关事务服务中心文博艺术中心后勤服务项目</w:t>
      </w:r>
    </w:p>
    <w:p w14:paraId="0150B612">
      <w:pPr>
        <w:spacing w:before="177" w:line="222" w:lineRule="auto"/>
        <w:ind w:left="431"/>
        <w:rPr>
          <w:rFonts w:ascii="仿宋" w:hAnsi="仿宋" w:eastAsia="仿宋" w:cs="仿宋"/>
          <w:color w:val="auto"/>
          <w:sz w:val="24"/>
          <w:szCs w:val="24"/>
        </w:rPr>
      </w:pPr>
      <w:r>
        <w:rPr>
          <w:rFonts w:ascii="仿宋" w:hAnsi="仿宋" w:eastAsia="仿宋" w:cs="仿宋"/>
          <w:color w:val="auto"/>
          <w:spacing w:val="-26"/>
          <w:sz w:val="24"/>
          <w:szCs w:val="24"/>
        </w:rPr>
        <w:t>3、采购方式：公开招标</w:t>
      </w:r>
    </w:p>
    <w:p w14:paraId="0305EC9A">
      <w:pPr>
        <w:spacing w:before="177" w:line="291" w:lineRule="auto"/>
        <w:ind w:left="25" w:right="332" w:firstLine="403"/>
        <w:rPr>
          <w:rFonts w:ascii="仿宋" w:hAnsi="仿宋" w:eastAsia="仿宋" w:cs="仿宋"/>
          <w:color w:val="auto"/>
          <w:spacing w:val="-32"/>
          <w:sz w:val="24"/>
          <w:szCs w:val="24"/>
        </w:rPr>
      </w:pPr>
      <w:r>
        <w:rPr>
          <w:rFonts w:ascii="仿宋" w:hAnsi="仿宋" w:eastAsia="仿宋" w:cs="仿宋"/>
          <w:color w:val="auto"/>
          <w:spacing w:val="-32"/>
          <w:sz w:val="24"/>
          <w:szCs w:val="24"/>
        </w:rPr>
        <w:t>4、预算金额</w:t>
      </w:r>
      <w:r>
        <w:rPr>
          <w:rFonts w:hint="eastAsia" w:ascii="仿宋" w:hAnsi="仿宋" w:eastAsia="仿宋" w:cs="仿宋"/>
          <w:color w:val="auto"/>
          <w:spacing w:val="-32"/>
          <w:sz w:val="24"/>
          <w:szCs w:val="24"/>
          <w:lang w:eastAsia="zh-CN"/>
        </w:rPr>
        <w:t>：27000000.00元</w:t>
      </w:r>
    </w:p>
    <w:p w14:paraId="368A555B">
      <w:pPr>
        <w:spacing w:before="177" w:line="291" w:lineRule="auto"/>
        <w:ind w:left="25" w:right="332" w:firstLine="403"/>
        <w:rPr>
          <w:rFonts w:ascii="仿宋" w:hAnsi="仿宋" w:eastAsia="仿宋" w:cs="仿宋"/>
          <w:color w:val="auto"/>
          <w:spacing w:val="-32"/>
          <w:sz w:val="24"/>
          <w:szCs w:val="24"/>
        </w:rPr>
      </w:pPr>
      <w:r>
        <w:rPr>
          <w:rFonts w:ascii="仿宋" w:hAnsi="仿宋" w:eastAsia="仿宋" w:cs="仿宋"/>
          <w:color w:val="auto"/>
          <w:spacing w:val="-32"/>
          <w:sz w:val="24"/>
          <w:szCs w:val="24"/>
        </w:rPr>
        <w:t>最高限价：</w:t>
      </w:r>
      <w:r>
        <w:rPr>
          <w:rFonts w:hint="eastAsia" w:ascii="仿宋" w:hAnsi="仿宋" w:eastAsia="仿宋" w:cs="仿宋"/>
          <w:color w:val="auto"/>
          <w:spacing w:val="-32"/>
          <w:sz w:val="24"/>
          <w:szCs w:val="24"/>
          <w:lang w:eastAsia="zh-CN"/>
        </w:rPr>
        <w:t>27000000.00</w:t>
      </w:r>
      <w:r>
        <w:rPr>
          <w:rFonts w:ascii="仿宋" w:hAnsi="仿宋" w:eastAsia="仿宋" w:cs="仿宋"/>
          <w:color w:val="auto"/>
          <w:spacing w:val="-32"/>
          <w:sz w:val="24"/>
          <w:szCs w:val="24"/>
        </w:rPr>
        <w:t>元</w:t>
      </w:r>
    </w:p>
    <w:p w14:paraId="2736754F">
      <w:pPr>
        <w:spacing w:line="143" w:lineRule="exact"/>
        <w:rPr>
          <w:color w:val="auto"/>
        </w:rPr>
      </w:pPr>
    </w:p>
    <w:tbl>
      <w:tblPr>
        <w:tblStyle w:val="8"/>
        <w:tblW w:w="4969" w:type="pct"/>
        <w:jc w:val="center"/>
        <w:tblLayout w:type="autofit"/>
        <w:tblCellMar>
          <w:top w:w="15" w:type="dxa"/>
          <w:left w:w="15" w:type="dxa"/>
          <w:bottom w:w="15" w:type="dxa"/>
          <w:right w:w="15" w:type="dxa"/>
        </w:tblCellMar>
      </w:tblPr>
      <w:tblGrid>
        <w:gridCol w:w="561"/>
        <w:gridCol w:w="1508"/>
        <w:gridCol w:w="1902"/>
        <w:gridCol w:w="1344"/>
        <w:gridCol w:w="1436"/>
        <w:gridCol w:w="1323"/>
        <w:gridCol w:w="1357"/>
      </w:tblGrid>
      <w:tr w14:paraId="724FC50D">
        <w:tblPrEx>
          <w:tblCellMar>
            <w:top w:w="15" w:type="dxa"/>
            <w:left w:w="15" w:type="dxa"/>
            <w:bottom w:w="15" w:type="dxa"/>
            <w:right w:w="15" w:type="dxa"/>
          </w:tblCellMar>
        </w:tblPrEx>
        <w:trPr>
          <w:jc w:val="center"/>
        </w:trPr>
        <w:tc>
          <w:tcPr>
            <w:tcW w:w="297"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F63E757">
            <w:pPr>
              <w:pStyle w:val="15"/>
              <w:widowControl/>
              <w:wordWrap w:val="0"/>
              <w:jc w:val="center"/>
              <w:rPr>
                <w:rFonts w:ascii="仿宋" w:hAnsi="仿宋" w:eastAsia="仿宋" w:cs="宋体"/>
                <w:color w:val="auto"/>
                <w:szCs w:val="21"/>
              </w:rPr>
            </w:pPr>
            <w:r>
              <w:rPr>
                <w:rFonts w:hint="eastAsia" w:ascii="仿宋" w:hAnsi="仿宋" w:eastAsia="仿宋" w:cs="宋体"/>
                <w:color w:val="auto"/>
                <w:sz w:val="24"/>
                <w:szCs w:val="24"/>
              </w:rPr>
              <w:t>序号</w:t>
            </w:r>
          </w:p>
        </w:tc>
        <w:tc>
          <w:tcPr>
            <w:tcW w:w="799"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9F0B9F">
            <w:pPr>
              <w:pStyle w:val="15"/>
              <w:widowControl/>
              <w:wordWrap w:val="0"/>
              <w:jc w:val="center"/>
              <w:rPr>
                <w:rFonts w:ascii="仿宋" w:hAnsi="仿宋" w:eastAsia="仿宋" w:cs="宋体"/>
                <w:color w:val="auto"/>
                <w:szCs w:val="21"/>
              </w:rPr>
            </w:pPr>
            <w:r>
              <w:rPr>
                <w:rFonts w:hint="eastAsia" w:ascii="仿宋" w:hAnsi="仿宋" w:eastAsia="仿宋" w:cs="宋体"/>
                <w:color w:val="auto"/>
                <w:sz w:val="24"/>
                <w:szCs w:val="24"/>
              </w:rPr>
              <w:t>包号</w:t>
            </w:r>
          </w:p>
        </w:tc>
        <w:tc>
          <w:tcPr>
            <w:tcW w:w="1008"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0432FE1">
            <w:pPr>
              <w:pStyle w:val="15"/>
              <w:widowControl/>
              <w:wordWrap w:val="0"/>
              <w:jc w:val="center"/>
              <w:rPr>
                <w:rFonts w:ascii="仿宋" w:hAnsi="仿宋" w:eastAsia="仿宋" w:cs="宋体"/>
                <w:color w:val="auto"/>
                <w:szCs w:val="21"/>
              </w:rPr>
            </w:pPr>
            <w:r>
              <w:rPr>
                <w:rFonts w:hint="eastAsia" w:ascii="仿宋" w:hAnsi="仿宋" w:eastAsia="仿宋" w:cs="宋体"/>
                <w:color w:val="auto"/>
                <w:sz w:val="24"/>
                <w:szCs w:val="24"/>
              </w:rPr>
              <w:t>包名称</w:t>
            </w:r>
          </w:p>
        </w:tc>
        <w:tc>
          <w:tcPr>
            <w:tcW w:w="712"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12AD6B0">
            <w:pPr>
              <w:pStyle w:val="15"/>
              <w:widowControl/>
              <w:wordWrap w:val="0"/>
              <w:jc w:val="center"/>
              <w:rPr>
                <w:rFonts w:ascii="仿宋" w:hAnsi="仿宋" w:eastAsia="仿宋" w:cs="宋体"/>
                <w:color w:val="auto"/>
                <w:szCs w:val="21"/>
              </w:rPr>
            </w:pPr>
            <w:r>
              <w:rPr>
                <w:rFonts w:hint="eastAsia" w:ascii="仿宋" w:hAnsi="仿宋" w:eastAsia="仿宋" w:cs="宋体"/>
                <w:color w:val="auto"/>
                <w:sz w:val="24"/>
                <w:szCs w:val="24"/>
              </w:rPr>
              <w:t>包预算（元）</w:t>
            </w:r>
          </w:p>
        </w:tc>
        <w:tc>
          <w:tcPr>
            <w:tcW w:w="761"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71B1FA3">
            <w:pPr>
              <w:pStyle w:val="15"/>
              <w:widowControl/>
              <w:wordWrap w:val="0"/>
              <w:jc w:val="center"/>
              <w:rPr>
                <w:rFonts w:ascii="仿宋" w:hAnsi="仿宋" w:eastAsia="仿宋" w:cs="宋体"/>
                <w:color w:val="auto"/>
                <w:szCs w:val="21"/>
              </w:rPr>
            </w:pPr>
            <w:r>
              <w:rPr>
                <w:rFonts w:hint="eastAsia" w:ascii="仿宋" w:hAnsi="仿宋" w:eastAsia="仿宋" w:cs="宋体"/>
                <w:color w:val="auto"/>
                <w:sz w:val="24"/>
                <w:szCs w:val="24"/>
              </w:rPr>
              <w:t>包最高限价（元）</w:t>
            </w:r>
          </w:p>
        </w:tc>
        <w:tc>
          <w:tcPr>
            <w:tcW w:w="701"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6E5136B">
            <w:pPr>
              <w:pStyle w:val="15"/>
              <w:widowControl/>
              <w:wordWrap w:val="0"/>
              <w:jc w:val="center"/>
              <w:rPr>
                <w:rFonts w:hint="eastAsia" w:ascii="仿宋" w:hAnsi="仿宋" w:eastAsia="仿宋" w:cs="宋体"/>
                <w:color w:val="auto"/>
                <w:sz w:val="24"/>
                <w:szCs w:val="24"/>
              </w:rPr>
            </w:pPr>
            <w:r>
              <w:rPr>
                <w:rFonts w:hint="eastAsia" w:ascii="仿宋" w:hAnsi="仿宋" w:eastAsia="仿宋" w:cs="宋体"/>
                <w:color w:val="auto"/>
                <w:sz w:val="24"/>
                <w:szCs w:val="24"/>
              </w:rPr>
              <w:t>是否专门面向中小企业</w:t>
            </w:r>
          </w:p>
        </w:tc>
        <w:tc>
          <w:tcPr>
            <w:tcW w:w="719"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AF47AAF">
            <w:pPr>
              <w:pStyle w:val="15"/>
              <w:widowControl/>
              <w:wordWrap w:val="0"/>
              <w:jc w:val="center"/>
              <w:rPr>
                <w:rFonts w:hint="eastAsia" w:ascii="仿宋" w:hAnsi="仿宋" w:eastAsia="仿宋" w:cs="宋体"/>
                <w:color w:val="auto"/>
                <w:sz w:val="24"/>
                <w:szCs w:val="24"/>
              </w:rPr>
            </w:pPr>
            <w:r>
              <w:rPr>
                <w:rFonts w:hint="eastAsia" w:ascii="仿宋" w:hAnsi="仿宋" w:eastAsia="仿宋" w:cs="宋体"/>
                <w:color w:val="auto"/>
                <w:sz w:val="24"/>
                <w:szCs w:val="24"/>
              </w:rPr>
              <w:t>采购预留金额（元）</w:t>
            </w:r>
          </w:p>
        </w:tc>
      </w:tr>
      <w:tr w14:paraId="1643B12D">
        <w:tblPrEx>
          <w:tblCellMar>
            <w:top w:w="15" w:type="dxa"/>
            <w:left w:w="15" w:type="dxa"/>
            <w:bottom w:w="15" w:type="dxa"/>
            <w:right w:w="15" w:type="dxa"/>
          </w:tblCellMar>
        </w:tblPrEx>
        <w:trPr>
          <w:jc w:val="center"/>
        </w:trPr>
        <w:tc>
          <w:tcPr>
            <w:tcW w:w="297"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FF0CA5">
            <w:pPr>
              <w:pStyle w:val="15"/>
              <w:widowControl/>
              <w:wordWrap w:val="0"/>
              <w:ind w:left="0" w:leftChars="0" w:right="0" w:rightChars="0" w:firstLine="0" w:firstLineChars="0"/>
              <w:jc w:val="center"/>
              <w:rPr>
                <w:rFonts w:ascii="仿宋" w:hAnsi="仿宋" w:eastAsia="仿宋" w:cs="宋体"/>
                <w:color w:val="auto"/>
                <w:szCs w:val="21"/>
              </w:rPr>
            </w:pPr>
            <w:r>
              <w:rPr>
                <w:rFonts w:hint="eastAsia" w:ascii="仿宋" w:hAnsi="仿宋" w:eastAsia="仿宋" w:cs="宋体"/>
                <w:color w:val="auto"/>
                <w:sz w:val="24"/>
                <w:szCs w:val="24"/>
              </w:rPr>
              <w:t>1</w:t>
            </w:r>
          </w:p>
        </w:tc>
        <w:tc>
          <w:tcPr>
            <w:tcW w:w="799"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6CB68D7">
            <w:pPr>
              <w:pStyle w:val="15"/>
              <w:widowControl/>
              <w:wordWrap w:val="0"/>
              <w:ind w:left="0" w:leftChars="0" w:right="0" w:rightChars="0" w:firstLine="0" w:firstLineChars="0"/>
              <w:jc w:val="center"/>
              <w:rPr>
                <w:rFonts w:hint="eastAsia" w:ascii="仿宋" w:hAnsi="仿宋" w:eastAsia="仿宋" w:cs="宋体"/>
                <w:color w:val="auto"/>
                <w:szCs w:val="21"/>
                <w:lang w:eastAsia="zh-CN"/>
              </w:rPr>
            </w:pPr>
            <w:r>
              <w:rPr>
                <w:rFonts w:hint="eastAsia" w:ascii="仿宋" w:hAnsi="仿宋" w:eastAsia="仿宋" w:cs="宋体"/>
                <w:color w:val="auto"/>
                <w:szCs w:val="21"/>
                <w:lang w:eastAsia="zh-CN"/>
              </w:rPr>
              <w:t>孟津政采招标(2026)0009号</w:t>
            </w:r>
          </w:p>
        </w:tc>
        <w:tc>
          <w:tcPr>
            <w:tcW w:w="1008"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31EAF7A">
            <w:pPr>
              <w:pStyle w:val="15"/>
              <w:widowControl/>
              <w:wordWrap w:val="0"/>
              <w:ind w:left="0" w:leftChars="0" w:right="0" w:rightChars="0" w:firstLine="0" w:firstLineChars="0"/>
              <w:jc w:val="center"/>
              <w:rPr>
                <w:rFonts w:hint="eastAsia" w:ascii="仿宋" w:hAnsi="仿宋" w:eastAsia="仿宋" w:cs="宋体"/>
                <w:color w:val="auto"/>
                <w:szCs w:val="21"/>
                <w:lang w:eastAsia="zh-CN"/>
              </w:rPr>
            </w:pPr>
            <w:r>
              <w:rPr>
                <w:rFonts w:hint="eastAsia" w:ascii="仿宋" w:hAnsi="仿宋" w:eastAsia="仿宋" w:cs="宋体"/>
                <w:color w:val="auto"/>
                <w:szCs w:val="21"/>
                <w:lang w:eastAsia="zh-CN"/>
              </w:rPr>
              <w:t>洛阳市孟津区机关事务服务中心文博艺术中心后勤服务项目</w:t>
            </w:r>
          </w:p>
        </w:tc>
        <w:tc>
          <w:tcPr>
            <w:tcW w:w="712"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598BDDA">
            <w:pPr>
              <w:pStyle w:val="15"/>
              <w:widowControl/>
              <w:wordWrap w:val="0"/>
              <w:ind w:left="0" w:leftChars="0" w:right="0" w:rightChars="0" w:firstLine="0" w:firstLineChars="0"/>
              <w:jc w:val="center"/>
              <w:rPr>
                <w:rFonts w:hint="eastAsia" w:ascii="仿宋" w:hAnsi="仿宋" w:eastAsia="仿宋" w:cs="宋体"/>
                <w:color w:val="auto"/>
                <w:szCs w:val="21"/>
                <w:lang w:eastAsia="zh-CN"/>
              </w:rPr>
            </w:pPr>
            <w:r>
              <w:rPr>
                <w:rFonts w:hint="eastAsia" w:ascii="仿宋" w:hAnsi="仿宋" w:eastAsia="仿宋" w:cs="仿宋"/>
                <w:color w:val="auto"/>
                <w:spacing w:val="-20"/>
                <w:sz w:val="24"/>
                <w:szCs w:val="24"/>
                <w:lang w:eastAsia="zh-CN"/>
              </w:rPr>
              <w:t>27000000.00</w:t>
            </w:r>
          </w:p>
        </w:tc>
        <w:tc>
          <w:tcPr>
            <w:tcW w:w="761"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736441A">
            <w:pPr>
              <w:pStyle w:val="15"/>
              <w:widowControl/>
              <w:wordWrap w:val="0"/>
              <w:ind w:left="0" w:leftChars="0" w:right="0" w:rightChars="0" w:firstLine="0" w:firstLineChars="0"/>
              <w:jc w:val="center"/>
              <w:rPr>
                <w:rFonts w:hint="eastAsia" w:ascii="仿宋" w:hAnsi="仿宋" w:eastAsia="仿宋" w:cs="宋体"/>
                <w:color w:val="auto"/>
                <w:szCs w:val="21"/>
                <w:lang w:eastAsia="zh-CN"/>
              </w:rPr>
            </w:pPr>
            <w:r>
              <w:rPr>
                <w:rFonts w:hint="eastAsia" w:ascii="仿宋" w:hAnsi="仿宋" w:eastAsia="仿宋" w:cs="仿宋"/>
                <w:color w:val="auto"/>
                <w:spacing w:val="-20"/>
                <w:sz w:val="24"/>
                <w:szCs w:val="24"/>
                <w:lang w:eastAsia="zh-CN"/>
              </w:rPr>
              <w:t>27000000.00</w:t>
            </w:r>
          </w:p>
        </w:tc>
        <w:tc>
          <w:tcPr>
            <w:tcW w:w="701"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B6D1F66">
            <w:pPr>
              <w:pStyle w:val="15"/>
              <w:widowControl/>
              <w:wordWrap w:val="0"/>
              <w:ind w:left="0" w:leftChars="0" w:right="0" w:rightChars="0" w:firstLine="0" w:firstLineChars="0"/>
              <w:jc w:val="center"/>
              <w:rPr>
                <w:rFonts w:hint="eastAsia" w:ascii="仿宋" w:hAnsi="仿宋" w:eastAsia="仿宋" w:cs="宋体"/>
                <w:color w:val="auto"/>
                <w:sz w:val="24"/>
                <w:szCs w:val="24"/>
                <w:lang w:val="en-US" w:eastAsia="zh-CN"/>
              </w:rPr>
            </w:pPr>
            <w:r>
              <w:rPr>
                <w:rFonts w:hint="eastAsia" w:ascii="仿宋" w:hAnsi="仿宋" w:eastAsia="仿宋" w:cs="宋体"/>
                <w:color w:val="auto"/>
                <w:sz w:val="24"/>
                <w:szCs w:val="24"/>
                <w:lang w:val="en-US" w:eastAsia="zh-CN"/>
              </w:rPr>
              <w:t>是</w:t>
            </w:r>
          </w:p>
        </w:tc>
        <w:tc>
          <w:tcPr>
            <w:tcW w:w="719"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21DFEE3">
            <w:pPr>
              <w:pStyle w:val="15"/>
              <w:widowControl/>
              <w:wordWrap w:val="0"/>
              <w:ind w:left="0" w:leftChars="0" w:right="0" w:rightChars="0" w:firstLine="0" w:firstLineChars="0"/>
              <w:jc w:val="center"/>
              <w:rPr>
                <w:rFonts w:hint="eastAsia" w:ascii="仿宋" w:hAnsi="仿宋" w:eastAsia="仿宋" w:cs="宋体"/>
                <w:color w:val="auto"/>
                <w:sz w:val="24"/>
                <w:szCs w:val="24"/>
                <w:lang w:val="en-US" w:eastAsia="zh-CN"/>
              </w:rPr>
            </w:pPr>
            <w:r>
              <w:rPr>
                <w:rFonts w:hint="eastAsia" w:ascii="仿宋" w:hAnsi="仿宋" w:eastAsia="仿宋" w:cs="仿宋"/>
                <w:color w:val="auto"/>
                <w:spacing w:val="-20"/>
                <w:sz w:val="24"/>
                <w:szCs w:val="24"/>
                <w:lang w:eastAsia="zh-CN"/>
              </w:rPr>
              <w:t>27000000.00</w:t>
            </w:r>
          </w:p>
        </w:tc>
      </w:tr>
    </w:tbl>
    <w:p w14:paraId="5509A0EE">
      <w:pPr>
        <w:spacing w:before="36" w:line="221" w:lineRule="auto"/>
        <w:ind w:left="431"/>
        <w:rPr>
          <w:rFonts w:ascii="仿宋" w:hAnsi="仿宋" w:eastAsia="仿宋" w:cs="仿宋"/>
          <w:color w:val="auto"/>
          <w:spacing w:val="-28"/>
          <w:sz w:val="24"/>
          <w:szCs w:val="24"/>
        </w:rPr>
      </w:pPr>
    </w:p>
    <w:p w14:paraId="15DCF8C2">
      <w:pPr>
        <w:spacing w:before="36" w:line="221" w:lineRule="auto"/>
        <w:ind w:left="431"/>
        <w:rPr>
          <w:rFonts w:ascii="仿宋" w:hAnsi="仿宋" w:eastAsia="仿宋" w:cs="仿宋"/>
          <w:color w:val="auto"/>
          <w:sz w:val="24"/>
          <w:szCs w:val="24"/>
        </w:rPr>
      </w:pPr>
      <w:r>
        <w:rPr>
          <w:rFonts w:ascii="仿宋" w:hAnsi="仿宋" w:eastAsia="仿宋" w:cs="仿宋"/>
          <w:color w:val="auto"/>
          <w:spacing w:val="-28"/>
          <w:sz w:val="24"/>
          <w:szCs w:val="24"/>
        </w:rPr>
        <w:t>5、采购需求</w:t>
      </w:r>
      <w:r>
        <w:rPr>
          <w:rFonts w:ascii="仿宋" w:hAnsi="仿宋" w:eastAsia="仿宋" w:cs="仿宋"/>
          <w:color w:val="auto"/>
          <w:spacing w:val="-55"/>
          <w:w w:val="81"/>
          <w:sz w:val="24"/>
          <w:szCs w:val="24"/>
        </w:rPr>
        <w:t>：（</w:t>
      </w:r>
      <w:r>
        <w:rPr>
          <w:rFonts w:ascii="仿宋" w:hAnsi="仿宋" w:eastAsia="仿宋" w:cs="仿宋"/>
          <w:color w:val="auto"/>
          <w:spacing w:val="-28"/>
          <w:sz w:val="24"/>
          <w:szCs w:val="24"/>
        </w:rPr>
        <w:t>包括但不限于标的的名称、数量、简</w:t>
      </w:r>
      <w:r>
        <w:rPr>
          <w:rFonts w:ascii="仿宋" w:hAnsi="仿宋" w:eastAsia="仿宋" w:cs="仿宋"/>
          <w:color w:val="auto"/>
          <w:spacing w:val="-29"/>
          <w:sz w:val="24"/>
          <w:szCs w:val="24"/>
        </w:rPr>
        <w:t>要技术需求或服务要求等）</w:t>
      </w:r>
    </w:p>
    <w:p w14:paraId="67437C81">
      <w:pPr>
        <w:spacing w:before="177" w:line="349" w:lineRule="auto"/>
        <w:ind w:left="16" w:right="332" w:firstLine="414"/>
        <w:rPr>
          <w:rFonts w:ascii="仿宋" w:hAnsi="仿宋" w:eastAsia="仿宋" w:cs="仿宋"/>
          <w:color w:val="auto"/>
          <w:sz w:val="24"/>
          <w:szCs w:val="24"/>
        </w:rPr>
      </w:pPr>
      <w:r>
        <w:rPr>
          <w:rFonts w:ascii="仿宋" w:hAnsi="仿宋" w:eastAsia="仿宋" w:cs="仿宋"/>
          <w:color w:val="auto"/>
          <w:spacing w:val="-31"/>
          <w:sz w:val="24"/>
          <w:szCs w:val="24"/>
        </w:rPr>
        <w:t>5.1项目概况：</w:t>
      </w:r>
      <w:r>
        <w:rPr>
          <w:rFonts w:ascii="仿宋" w:hAnsi="仿宋" w:eastAsia="仿宋" w:cs="仿宋"/>
          <w:color w:val="auto"/>
          <w:spacing w:val="-31"/>
          <w:sz w:val="24"/>
          <w:szCs w:val="24"/>
        </w:rPr>
        <w:t>本项目为</w:t>
      </w:r>
      <w:r>
        <w:rPr>
          <w:rFonts w:hint="eastAsia" w:ascii="仿宋" w:hAnsi="仿宋" w:eastAsia="仿宋" w:cs="仿宋"/>
          <w:color w:val="auto"/>
          <w:spacing w:val="-31"/>
          <w:sz w:val="24"/>
          <w:szCs w:val="24"/>
          <w:lang w:eastAsia="zh-CN"/>
        </w:rPr>
        <w:t>洛阳市孟津区机关事务服务中心文博艺术中心后勤服务项目</w:t>
      </w:r>
      <w:r>
        <w:rPr>
          <w:rFonts w:ascii="仿宋" w:hAnsi="仿宋" w:eastAsia="仿宋" w:cs="仿宋"/>
          <w:color w:val="auto"/>
          <w:spacing w:val="-30"/>
          <w:sz w:val="24"/>
          <w:szCs w:val="24"/>
        </w:rPr>
        <w:t>，服务面 积</w:t>
      </w:r>
      <w:r>
        <w:rPr>
          <w:rFonts w:hint="eastAsia" w:ascii="仿宋" w:hAnsi="仿宋" w:eastAsia="仿宋" w:cs="仿宋"/>
          <w:color w:val="auto"/>
          <w:spacing w:val="-30"/>
          <w:sz w:val="24"/>
          <w:szCs w:val="24"/>
          <w:lang w:eastAsia="zh-CN"/>
        </w:rPr>
        <w:t>54497.88</w:t>
      </w:r>
      <w:r>
        <w:rPr>
          <w:rFonts w:ascii="仿宋" w:hAnsi="仿宋" w:eastAsia="仿宋" w:cs="仿宋"/>
          <w:color w:val="auto"/>
          <w:spacing w:val="-30"/>
          <w:sz w:val="24"/>
          <w:szCs w:val="24"/>
        </w:rPr>
        <w:t>平方米</w:t>
      </w:r>
      <w:r>
        <w:rPr>
          <w:rFonts w:hint="eastAsia" w:ascii="仿宋" w:hAnsi="仿宋" w:eastAsia="仿宋" w:cs="仿宋"/>
          <w:color w:val="auto"/>
          <w:spacing w:val="-30"/>
          <w:sz w:val="24"/>
          <w:szCs w:val="24"/>
          <w:lang w:eastAsia="zh-CN"/>
        </w:rPr>
        <w:t>。</w:t>
      </w:r>
      <w:r>
        <w:rPr>
          <w:rFonts w:hint="eastAsia" w:ascii="仿宋" w:hAnsi="仿宋" w:eastAsia="仿宋" w:cs="仿宋"/>
          <w:color w:val="auto"/>
          <w:spacing w:val="-30"/>
          <w:sz w:val="24"/>
          <w:szCs w:val="24"/>
        </w:rPr>
        <w:t>主要内容：负责场馆内及外围的站岗、巡逻、消防、监控值班的工作；场馆内的 地面、玻璃、电梯轿厢、3 米以下墙面、外围道路、水系的清洁工作；电梯、绿化、清洁、秩序、消 防、道路广场、</w:t>
      </w:r>
      <w:r>
        <w:rPr>
          <w:rFonts w:hint="eastAsia" w:ascii="仿宋" w:hAnsi="仿宋" w:eastAsia="仿宋" w:cs="仿宋"/>
          <w:color w:val="auto"/>
          <w:spacing w:val="-30"/>
          <w:sz w:val="24"/>
          <w:szCs w:val="24"/>
          <w:lang w:eastAsia="zh-CN"/>
        </w:rPr>
        <w:t>水系设施、</w:t>
      </w:r>
      <w:r>
        <w:rPr>
          <w:rFonts w:hint="eastAsia" w:ascii="仿宋" w:hAnsi="仿宋" w:eastAsia="仿宋" w:cs="仿宋"/>
          <w:color w:val="auto"/>
          <w:spacing w:val="-30"/>
          <w:sz w:val="24"/>
          <w:szCs w:val="24"/>
        </w:rPr>
        <w:t>建筑物、智能化维护等</w:t>
      </w:r>
      <w:r>
        <w:rPr>
          <w:rFonts w:hint="eastAsia" w:ascii="仿宋" w:hAnsi="仿宋" w:eastAsia="仿宋" w:cs="仿宋"/>
          <w:color w:val="auto"/>
          <w:spacing w:val="-30"/>
          <w:sz w:val="24"/>
          <w:szCs w:val="24"/>
          <w:lang w:eastAsia="zh-CN"/>
        </w:rPr>
        <w:t>；</w:t>
      </w:r>
      <w:r>
        <w:rPr>
          <w:rFonts w:hint="eastAsia" w:ascii="仿宋" w:hAnsi="仿宋" w:eastAsia="仿宋" w:cs="仿宋"/>
          <w:color w:val="auto"/>
          <w:spacing w:val="-30"/>
          <w:sz w:val="24"/>
          <w:szCs w:val="24"/>
          <w:lang w:val="en-US" w:eastAsia="zh-CN"/>
        </w:rPr>
        <w:t>博物馆安保，中央水系维修保养，电梯维修保养，绿化修剪洒水养护，监控设备维修维护，电力设备维修维护，消防设备维修维护，化粪池清掏，低值易耗品等。</w:t>
      </w:r>
      <w:r>
        <w:rPr>
          <w:rFonts w:hint="eastAsia" w:ascii="仿宋" w:hAnsi="仿宋" w:eastAsia="仿宋" w:cs="仿宋"/>
          <w:color w:val="auto"/>
          <w:spacing w:val="-30"/>
          <w:sz w:val="24"/>
          <w:szCs w:val="24"/>
        </w:rPr>
        <w:t>（详见招标文件）。</w:t>
      </w:r>
    </w:p>
    <w:p w14:paraId="02AA9231">
      <w:pPr>
        <w:keepNext w:val="0"/>
        <w:keepLines w:val="0"/>
        <w:pageBreakBefore w:val="0"/>
        <w:widowControl/>
        <w:kinsoku w:val="0"/>
        <w:wordWrap/>
        <w:overflowPunct/>
        <w:topLinePunct w:val="0"/>
        <w:autoSpaceDE w:val="0"/>
        <w:autoSpaceDN w:val="0"/>
        <w:bidi w:val="0"/>
        <w:adjustRightInd w:val="0"/>
        <w:snapToGrid w:val="0"/>
        <w:spacing w:before="177" w:line="240" w:lineRule="auto"/>
        <w:ind w:left="17" w:right="334" w:firstLine="414"/>
        <w:textAlignment w:val="baseline"/>
        <w:rPr>
          <w:rFonts w:hint="eastAsia" w:ascii="仿宋" w:hAnsi="仿宋" w:eastAsia="仿宋" w:cs="仿宋"/>
          <w:color w:val="auto"/>
          <w:spacing w:val="-30"/>
          <w:sz w:val="24"/>
          <w:szCs w:val="24"/>
        </w:rPr>
      </w:pPr>
      <w:r>
        <w:rPr>
          <w:rFonts w:hint="eastAsia" w:ascii="仿宋" w:hAnsi="仿宋" w:eastAsia="仿宋" w:cs="仿宋"/>
          <w:color w:val="auto"/>
          <w:spacing w:val="-30"/>
          <w:sz w:val="24"/>
          <w:szCs w:val="24"/>
        </w:rPr>
        <w:t>5.2资金来源：财政资金</w:t>
      </w:r>
    </w:p>
    <w:p w14:paraId="5497EE44">
      <w:pPr>
        <w:keepNext w:val="0"/>
        <w:keepLines w:val="0"/>
        <w:pageBreakBefore w:val="0"/>
        <w:widowControl/>
        <w:kinsoku w:val="0"/>
        <w:wordWrap/>
        <w:overflowPunct/>
        <w:topLinePunct w:val="0"/>
        <w:autoSpaceDE w:val="0"/>
        <w:autoSpaceDN w:val="0"/>
        <w:bidi w:val="0"/>
        <w:adjustRightInd w:val="0"/>
        <w:snapToGrid w:val="0"/>
        <w:spacing w:before="177" w:line="240" w:lineRule="auto"/>
        <w:ind w:left="17" w:right="334" w:firstLine="414"/>
        <w:textAlignment w:val="baseline"/>
        <w:rPr>
          <w:rFonts w:hint="eastAsia" w:ascii="仿宋" w:hAnsi="仿宋" w:eastAsia="仿宋" w:cs="仿宋"/>
          <w:color w:val="auto"/>
          <w:spacing w:val="-30"/>
          <w:sz w:val="24"/>
          <w:szCs w:val="24"/>
        </w:rPr>
      </w:pPr>
      <w:r>
        <w:rPr>
          <w:rFonts w:hint="eastAsia" w:ascii="仿宋" w:hAnsi="仿宋" w:eastAsia="仿宋" w:cs="仿宋"/>
          <w:color w:val="auto"/>
          <w:spacing w:val="-30"/>
          <w:sz w:val="24"/>
          <w:szCs w:val="24"/>
        </w:rPr>
        <w:t xml:space="preserve">5.3标包划分：本项目划分1个标段（包） </w:t>
      </w:r>
    </w:p>
    <w:p w14:paraId="36F28D60">
      <w:pPr>
        <w:keepNext w:val="0"/>
        <w:keepLines w:val="0"/>
        <w:pageBreakBefore w:val="0"/>
        <w:widowControl/>
        <w:kinsoku w:val="0"/>
        <w:wordWrap/>
        <w:overflowPunct/>
        <w:topLinePunct w:val="0"/>
        <w:autoSpaceDE w:val="0"/>
        <w:autoSpaceDN w:val="0"/>
        <w:bidi w:val="0"/>
        <w:adjustRightInd w:val="0"/>
        <w:snapToGrid w:val="0"/>
        <w:spacing w:before="177" w:line="240" w:lineRule="auto"/>
        <w:ind w:left="17" w:right="334" w:firstLine="414"/>
        <w:textAlignment w:val="baseline"/>
        <w:rPr>
          <w:rFonts w:hint="eastAsia" w:ascii="仿宋" w:hAnsi="仿宋" w:eastAsia="仿宋" w:cs="仿宋"/>
          <w:color w:val="auto"/>
          <w:spacing w:val="-30"/>
          <w:sz w:val="24"/>
          <w:szCs w:val="24"/>
          <w:lang w:val="en-US" w:eastAsia="zh-CN"/>
        </w:rPr>
      </w:pPr>
      <w:r>
        <w:rPr>
          <w:rFonts w:hint="eastAsia" w:ascii="仿宋" w:hAnsi="仿宋" w:eastAsia="仿宋" w:cs="仿宋"/>
          <w:color w:val="auto"/>
          <w:spacing w:val="-30"/>
          <w:sz w:val="24"/>
          <w:szCs w:val="24"/>
        </w:rPr>
        <w:t>5.4服务期限：本项目服务期为三年</w:t>
      </w:r>
      <w:r>
        <w:rPr>
          <w:rFonts w:hint="eastAsia" w:ascii="仿宋" w:hAnsi="仿宋" w:eastAsia="仿宋" w:cs="仿宋"/>
          <w:color w:val="auto"/>
          <w:spacing w:val="-30"/>
          <w:sz w:val="24"/>
          <w:szCs w:val="24"/>
          <w:lang w:val="en-US" w:eastAsia="zh-CN"/>
        </w:rPr>
        <w:t>（2026年9月至2029年8月）</w:t>
      </w:r>
      <w:r>
        <w:rPr>
          <w:rFonts w:hint="eastAsia" w:ascii="仿宋" w:hAnsi="仿宋" w:eastAsia="仿宋" w:cs="仿宋"/>
          <w:color w:val="auto"/>
          <w:spacing w:val="-30"/>
          <w:sz w:val="24"/>
          <w:szCs w:val="24"/>
        </w:rPr>
        <w:t xml:space="preserve">，合同采取一年一签的方式。首年合同期满后，可续签下一年度合同，每次续签一年，累计续签不超过两次。  </w:t>
      </w:r>
      <w:r>
        <w:rPr>
          <w:rFonts w:hint="eastAsia" w:ascii="仿宋" w:hAnsi="仿宋" w:eastAsia="仿宋" w:cs="仿宋"/>
          <w:color w:val="auto"/>
          <w:spacing w:val="-30"/>
          <w:sz w:val="24"/>
          <w:szCs w:val="24"/>
          <w:lang w:val="en-US" w:eastAsia="zh-CN"/>
        </w:rPr>
        <w:t xml:space="preserve">  </w:t>
      </w:r>
      <w:r>
        <w:rPr>
          <w:rFonts w:hint="eastAsia" w:ascii="仿宋" w:hAnsi="仿宋" w:eastAsia="仿宋" w:cs="仿宋"/>
          <w:color w:val="auto"/>
          <w:spacing w:val="-30"/>
          <w:sz w:val="24"/>
          <w:szCs w:val="24"/>
        </w:rPr>
        <w:t xml:space="preserve"> </w:t>
      </w:r>
      <w:r>
        <w:rPr>
          <w:rFonts w:hint="eastAsia" w:ascii="仿宋" w:hAnsi="仿宋" w:eastAsia="仿宋" w:cs="仿宋"/>
          <w:color w:val="auto"/>
          <w:spacing w:val="-30"/>
          <w:sz w:val="24"/>
          <w:szCs w:val="24"/>
          <w:lang w:val="en-US" w:eastAsia="zh-CN"/>
        </w:rPr>
        <w:t xml:space="preserve">        </w:t>
      </w:r>
    </w:p>
    <w:p w14:paraId="098B6E4E">
      <w:pPr>
        <w:keepNext w:val="0"/>
        <w:keepLines w:val="0"/>
        <w:pageBreakBefore w:val="0"/>
        <w:widowControl/>
        <w:kinsoku w:val="0"/>
        <w:wordWrap/>
        <w:overflowPunct/>
        <w:topLinePunct w:val="0"/>
        <w:autoSpaceDE w:val="0"/>
        <w:autoSpaceDN w:val="0"/>
        <w:bidi w:val="0"/>
        <w:adjustRightInd w:val="0"/>
        <w:snapToGrid w:val="0"/>
        <w:spacing w:before="177" w:line="240" w:lineRule="auto"/>
        <w:ind w:left="17" w:right="334" w:firstLine="414"/>
        <w:textAlignment w:val="baseline"/>
        <w:rPr>
          <w:rFonts w:hint="eastAsia" w:ascii="仿宋" w:hAnsi="仿宋" w:eastAsia="仿宋" w:cs="仿宋"/>
          <w:color w:val="auto"/>
          <w:spacing w:val="-30"/>
          <w:sz w:val="24"/>
          <w:szCs w:val="24"/>
        </w:rPr>
      </w:pPr>
      <w:r>
        <w:rPr>
          <w:rFonts w:hint="eastAsia" w:ascii="仿宋" w:hAnsi="仿宋" w:eastAsia="仿宋" w:cs="仿宋"/>
          <w:color w:val="auto"/>
          <w:spacing w:val="-30"/>
          <w:sz w:val="24"/>
          <w:szCs w:val="24"/>
        </w:rPr>
        <w:t>5.5服务地点：采购人所在地，具体地点为采购人指定地点。</w:t>
      </w:r>
    </w:p>
    <w:p w14:paraId="3D629FF3">
      <w:pPr>
        <w:keepNext w:val="0"/>
        <w:keepLines w:val="0"/>
        <w:pageBreakBefore w:val="0"/>
        <w:widowControl/>
        <w:kinsoku w:val="0"/>
        <w:wordWrap/>
        <w:overflowPunct/>
        <w:topLinePunct w:val="0"/>
        <w:autoSpaceDE w:val="0"/>
        <w:autoSpaceDN w:val="0"/>
        <w:bidi w:val="0"/>
        <w:adjustRightInd w:val="0"/>
        <w:snapToGrid w:val="0"/>
        <w:spacing w:before="177" w:line="240" w:lineRule="auto"/>
        <w:ind w:left="17" w:right="334" w:firstLine="414"/>
        <w:textAlignment w:val="baseline"/>
        <w:rPr>
          <w:rFonts w:hint="eastAsia" w:ascii="仿宋" w:hAnsi="仿宋" w:eastAsia="仿宋" w:cs="仿宋"/>
          <w:color w:val="auto"/>
          <w:spacing w:val="-30"/>
          <w:sz w:val="24"/>
          <w:szCs w:val="24"/>
        </w:rPr>
      </w:pPr>
      <w:r>
        <w:rPr>
          <w:rFonts w:hint="eastAsia" w:ascii="仿宋" w:hAnsi="仿宋" w:eastAsia="仿宋" w:cs="仿宋"/>
          <w:color w:val="auto"/>
          <w:spacing w:val="-30"/>
          <w:sz w:val="24"/>
          <w:szCs w:val="24"/>
        </w:rPr>
        <w:t>5.6质量标准：符合国家相关行业合格标准及采购人要求。</w:t>
      </w:r>
    </w:p>
    <w:p w14:paraId="5B25D0C4">
      <w:pPr>
        <w:spacing w:before="179" w:line="221" w:lineRule="auto"/>
        <w:ind w:left="428"/>
        <w:rPr>
          <w:rFonts w:hint="eastAsia" w:ascii="仿宋" w:hAnsi="仿宋" w:eastAsia="仿宋" w:cs="仿宋"/>
          <w:color w:val="auto"/>
          <w:sz w:val="24"/>
          <w:szCs w:val="24"/>
          <w:lang w:eastAsia="zh-CN"/>
        </w:rPr>
      </w:pPr>
      <w:r>
        <w:rPr>
          <w:rFonts w:ascii="仿宋" w:hAnsi="仿宋" w:eastAsia="仿宋" w:cs="仿宋"/>
          <w:color w:val="auto"/>
          <w:spacing w:val="-27"/>
          <w:sz w:val="24"/>
          <w:szCs w:val="24"/>
        </w:rPr>
        <w:t>6、合同履行期限:</w:t>
      </w:r>
      <w:r>
        <w:rPr>
          <w:rFonts w:hint="eastAsia" w:ascii="仿宋" w:hAnsi="仿宋" w:eastAsia="仿宋" w:cs="仿宋"/>
          <w:color w:val="auto"/>
          <w:spacing w:val="-27"/>
          <w:sz w:val="24"/>
          <w:szCs w:val="24"/>
          <w:lang w:eastAsia="zh-CN"/>
        </w:rPr>
        <w:t>同服务期限</w:t>
      </w:r>
    </w:p>
    <w:p w14:paraId="3A8C8CA2">
      <w:pPr>
        <w:spacing w:before="181" w:line="222" w:lineRule="auto"/>
        <w:ind w:left="432"/>
        <w:rPr>
          <w:rFonts w:ascii="仿宋" w:hAnsi="仿宋" w:eastAsia="仿宋" w:cs="仿宋"/>
          <w:color w:val="auto"/>
          <w:sz w:val="24"/>
          <w:szCs w:val="24"/>
        </w:rPr>
      </w:pPr>
      <w:r>
        <w:rPr>
          <w:rFonts w:ascii="仿宋" w:hAnsi="仿宋" w:eastAsia="仿宋" w:cs="仿宋"/>
          <w:color w:val="auto"/>
          <w:spacing w:val="-28"/>
          <w:sz w:val="24"/>
          <w:szCs w:val="24"/>
        </w:rPr>
        <w:t>7、本项目是否接受联合体投标：否</w:t>
      </w:r>
    </w:p>
    <w:p w14:paraId="7E8455D2">
      <w:pPr>
        <w:spacing w:before="179" w:line="223" w:lineRule="auto"/>
        <w:ind w:left="427"/>
        <w:rPr>
          <w:rFonts w:ascii="仿宋" w:hAnsi="仿宋" w:eastAsia="仿宋" w:cs="仿宋"/>
          <w:color w:val="auto"/>
          <w:sz w:val="24"/>
          <w:szCs w:val="24"/>
        </w:rPr>
      </w:pPr>
      <w:r>
        <w:rPr>
          <w:rFonts w:ascii="仿宋" w:hAnsi="仿宋" w:eastAsia="仿宋" w:cs="仿宋"/>
          <w:color w:val="auto"/>
          <w:spacing w:val="-27"/>
          <w:sz w:val="24"/>
          <w:szCs w:val="24"/>
        </w:rPr>
        <w:t>8、是否接受进口产品：否</w:t>
      </w:r>
    </w:p>
    <w:p w14:paraId="740A9215">
      <w:pPr>
        <w:spacing w:before="175" w:line="222" w:lineRule="auto"/>
        <w:ind w:left="427"/>
        <w:rPr>
          <w:rFonts w:ascii="仿宋" w:hAnsi="仿宋" w:eastAsia="仿宋" w:cs="仿宋"/>
          <w:color w:val="auto"/>
          <w:sz w:val="24"/>
          <w:szCs w:val="24"/>
        </w:rPr>
      </w:pPr>
      <w:r>
        <w:rPr>
          <w:rFonts w:ascii="仿宋" w:hAnsi="仿宋" w:eastAsia="仿宋" w:cs="仿宋"/>
          <w:color w:val="auto"/>
          <w:spacing w:val="-28"/>
          <w:sz w:val="24"/>
          <w:szCs w:val="24"/>
        </w:rPr>
        <w:t>9、是否专门面向中小微：是</w:t>
      </w:r>
    </w:p>
    <w:p w14:paraId="0621F249">
      <w:pPr>
        <w:pStyle w:val="3"/>
        <w:spacing w:line="373" w:lineRule="auto"/>
        <w:rPr>
          <w:color w:val="auto"/>
        </w:rPr>
      </w:pPr>
    </w:p>
    <w:p w14:paraId="5D29951A">
      <w:pPr>
        <w:spacing w:before="78" w:line="220" w:lineRule="auto"/>
        <w:ind w:left="441"/>
        <w:rPr>
          <w:rFonts w:ascii="仿宋" w:hAnsi="仿宋" w:eastAsia="仿宋" w:cs="仿宋"/>
          <w:color w:val="auto"/>
          <w:sz w:val="24"/>
          <w:szCs w:val="24"/>
        </w:rPr>
      </w:pPr>
      <w:r>
        <w:rPr>
          <w:rFonts w:ascii="仿宋" w:hAnsi="仿宋" w:eastAsia="仿宋" w:cs="仿宋"/>
          <w:b/>
          <w:bCs/>
          <w:color w:val="auto"/>
          <w:spacing w:val="-30"/>
          <w:sz w:val="24"/>
          <w:szCs w:val="24"/>
        </w:rPr>
        <w:t>二、申请人的资格要求：</w:t>
      </w:r>
    </w:p>
    <w:p w14:paraId="25D62194">
      <w:pPr>
        <w:spacing w:before="178" w:line="222" w:lineRule="auto"/>
        <w:ind w:left="444"/>
        <w:rPr>
          <w:rFonts w:ascii="仿宋" w:hAnsi="仿宋" w:eastAsia="仿宋" w:cs="仿宋"/>
          <w:color w:val="auto"/>
          <w:sz w:val="24"/>
          <w:szCs w:val="24"/>
        </w:rPr>
      </w:pPr>
      <w:r>
        <w:rPr>
          <w:rFonts w:ascii="仿宋" w:hAnsi="仿宋" w:eastAsia="仿宋" w:cs="仿宋"/>
          <w:color w:val="auto"/>
          <w:spacing w:val="-30"/>
          <w:sz w:val="24"/>
          <w:szCs w:val="24"/>
        </w:rPr>
        <w:t>1、满足《中华人民共和国政府采购法》第二十二条规定；</w:t>
      </w:r>
    </w:p>
    <w:p w14:paraId="5A78BF20">
      <w:pPr>
        <w:spacing w:before="180" w:line="222" w:lineRule="auto"/>
        <w:ind w:left="429"/>
        <w:rPr>
          <w:rFonts w:ascii="仿宋" w:hAnsi="仿宋" w:eastAsia="仿宋" w:cs="仿宋"/>
          <w:color w:val="auto"/>
          <w:sz w:val="24"/>
          <w:szCs w:val="24"/>
        </w:rPr>
      </w:pPr>
      <w:r>
        <w:rPr>
          <w:rFonts w:ascii="仿宋" w:hAnsi="仿宋" w:eastAsia="仿宋" w:cs="仿宋"/>
          <w:color w:val="auto"/>
          <w:spacing w:val="-28"/>
          <w:sz w:val="24"/>
          <w:szCs w:val="24"/>
        </w:rPr>
        <w:t>2、落实政府采购政策需满足的资格要求：</w:t>
      </w:r>
    </w:p>
    <w:p w14:paraId="2F18A950">
      <w:pPr>
        <w:spacing w:before="179" w:line="325" w:lineRule="auto"/>
        <w:ind w:left="17" w:firstLine="421"/>
        <w:rPr>
          <w:rFonts w:ascii="仿宋" w:hAnsi="仿宋" w:eastAsia="仿宋" w:cs="仿宋"/>
          <w:color w:val="auto"/>
          <w:sz w:val="24"/>
          <w:szCs w:val="24"/>
        </w:rPr>
      </w:pPr>
      <w:r>
        <w:rPr>
          <w:rFonts w:ascii="仿宋" w:hAnsi="仿宋" w:eastAsia="仿宋" w:cs="仿宋"/>
          <w:color w:val="auto"/>
          <w:spacing w:val="-30"/>
          <w:sz w:val="24"/>
          <w:szCs w:val="24"/>
        </w:rPr>
        <w:t>（1）根据财政部工业和信息化部《政府采购促进中小企业发展管理办法》（财库【2020】46号）</w:t>
      </w:r>
      <w:r>
        <w:rPr>
          <w:rFonts w:ascii="仿宋" w:hAnsi="仿宋" w:eastAsia="仿宋" w:cs="仿宋"/>
          <w:color w:val="auto"/>
          <w:spacing w:val="13"/>
          <w:sz w:val="24"/>
          <w:szCs w:val="24"/>
        </w:rPr>
        <w:t xml:space="preserve"> </w:t>
      </w:r>
      <w:r>
        <w:rPr>
          <w:rFonts w:ascii="仿宋" w:hAnsi="仿宋" w:eastAsia="仿宋" w:cs="仿宋"/>
          <w:color w:val="auto"/>
          <w:spacing w:val="-31"/>
          <w:sz w:val="24"/>
          <w:szCs w:val="24"/>
        </w:rPr>
        <w:t>的规定，本项目专门</w:t>
      </w:r>
      <w:r>
        <w:rPr>
          <w:rFonts w:ascii="仿宋" w:hAnsi="仿宋" w:eastAsia="仿宋" w:cs="仿宋"/>
          <w:color w:val="auto"/>
          <w:spacing w:val="-30"/>
          <w:sz w:val="24"/>
          <w:szCs w:val="24"/>
        </w:rPr>
        <w:t>面向中小微（监狱、残疾人福利性单位）企业，落实节约能源、保护环境等政</w:t>
      </w:r>
      <w:r>
        <w:rPr>
          <w:rFonts w:ascii="仿宋" w:hAnsi="仿宋" w:eastAsia="仿宋" w:cs="仿宋"/>
          <w:color w:val="auto"/>
          <w:spacing w:val="-21"/>
          <w:sz w:val="24"/>
          <w:szCs w:val="24"/>
        </w:rPr>
        <w:t>府</w:t>
      </w:r>
      <w:r>
        <w:rPr>
          <w:rFonts w:ascii="仿宋" w:hAnsi="仿宋" w:eastAsia="仿宋" w:cs="仿宋"/>
          <w:color w:val="auto"/>
          <w:spacing w:val="15"/>
          <w:sz w:val="24"/>
          <w:szCs w:val="24"/>
        </w:rPr>
        <w:t xml:space="preserve"> </w:t>
      </w:r>
      <w:r>
        <w:rPr>
          <w:rFonts w:ascii="仿宋" w:hAnsi="仿宋" w:eastAsia="仿宋" w:cs="仿宋"/>
          <w:color w:val="auto"/>
          <w:spacing w:val="-31"/>
          <w:sz w:val="24"/>
          <w:szCs w:val="24"/>
        </w:rPr>
        <w:t>采购政策，优</w:t>
      </w:r>
      <w:r>
        <w:rPr>
          <w:rFonts w:ascii="仿宋" w:hAnsi="仿宋" w:eastAsia="仿宋" w:cs="仿宋"/>
          <w:color w:val="auto"/>
          <w:spacing w:val="-30"/>
          <w:sz w:val="24"/>
          <w:szCs w:val="24"/>
        </w:rPr>
        <w:t>先采购节能环保、环境标志性产品、优先采购自主创新产品，扶持不发达地区和少数</w:t>
      </w:r>
      <w:r>
        <w:rPr>
          <w:rFonts w:ascii="仿宋" w:hAnsi="仿宋" w:eastAsia="仿宋" w:cs="仿宋"/>
          <w:color w:val="auto"/>
          <w:spacing w:val="-24"/>
          <w:sz w:val="24"/>
          <w:szCs w:val="24"/>
        </w:rPr>
        <w:t>民</w:t>
      </w:r>
      <w:r>
        <w:rPr>
          <w:rFonts w:ascii="仿宋" w:hAnsi="仿宋" w:eastAsia="仿宋" w:cs="仿宋"/>
          <w:color w:val="auto"/>
          <w:spacing w:val="15"/>
          <w:sz w:val="24"/>
          <w:szCs w:val="24"/>
        </w:rPr>
        <w:t xml:space="preserve"> </w:t>
      </w:r>
      <w:r>
        <w:rPr>
          <w:rFonts w:ascii="仿宋" w:hAnsi="仿宋" w:eastAsia="仿宋" w:cs="仿宋"/>
          <w:color w:val="auto"/>
          <w:spacing w:val="-20"/>
          <w:sz w:val="24"/>
          <w:szCs w:val="24"/>
        </w:rPr>
        <w:t>族地区</w:t>
      </w:r>
      <w:r>
        <w:rPr>
          <w:rFonts w:hint="eastAsia" w:ascii="仿宋" w:hAnsi="仿宋" w:eastAsia="仿宋" w:cs="仿宋"/>
          <w:color w:val="auto"/>
          <w:spacing w:val="-20"/>
          <w:sz w:val="24"/>
          <w:szCs w:val="24"/>
          <w:lang w:eastAsia="zh-CN"/>
        </w:rPr>
        <w:t>，强化政府采购异常低价审查等政府采购政策</w:t>
      </w:r>
      <w:r>
        <w:rPr>
          <w:rFonts w:ascii="仿宋" w:hAnsi="仿宋" w:eastAsia="仿宋" w:cs="仿宋"/>
          <w:color w:val="auto"/>
          <w:spacing w:val="-20"/>
          <w:sz w:val="24"/>
          <w:szCs w:val="24"/>
        </w:rPr>
        <w:t>。</w:t>
      </w:r>
    </w:p>
    <w:p w14:paraId="256CD77B">
      <w:pPr>
        <w:spacing w:before="176" w:line="311" w:lineRule="auto"/>
        <w:ind w:left="21" w:right="2" w:firstLine="417"/>
        <w:rPr>
          <w:rFonts w:ascii="仿宋" w:hAnsi="仿宋" w:eastAsia="仿宋" w:cs="仿宋"/>
          <w:color w:val="auto"/>
          <w:sz w:val="24"/>
          <w:szCs w:val="24"/>
        </w:rPr>
      </w:pPr>
      <w:r>
        <w:rPr>
          <w:rFonts w:ascii="仿宋" w:hAnsi="仿宋" w:eastAsia="仿宋" w:cs="仿宋"/>
          <w:color w:val="auto"/>
          <w:spacing w:val="-27"/>
          <w:sz w:val="24"/>
          <w:szCs w:val="24"/>
        </w:rPr>
        <w:t>（2）根据洛财购〔2021〕4号文件要求，参</w:t>
      </w:r>
      <w:r>
        <w:rPr>
          <w:rFonts w:ascii="仿宋" w:hAnsi="仿宋" w:eastAsia="仿宋" w:cs="仿宋"/>
          <w:color w:val="auto"/>
          <w:spacing w:val="-28"/>
          <w:sz w:val="24"/>
          <w:szCs w:val="24"/>
        </w:rPr>
        <w:t>加政府采购项目的中小微企业投标人，持中标(成交)</w:t>
      </w:r>
      <w:r>
        <w:rPr>
          <w:rFonts w:ascii="仿宋" w:hAnsi="仿宋" w:eastAsia="仿宋" w:cs="仿宋"/>
          <w:color w:val="auto"/>
          <w:sz w:val="24"/>
          <w:szCs w:val="24"/>
        </w:rPr>
        <w:t xml:space="preserve"> </w:t>
      </w:r>
      <w:r>
        <w:rPr>
          <w:rFonts w:ascii="仿宋" w:hAnsi="仿宋" w:eastAsia="仿宋" w:cs="仿宋"/>
          <w:color w:val="auto"/>
          <w:spacing w:val="-19"/>
          <w:sz w:val="24"/>
          <w:szCs w:val="24"/>
        </w:rPr>
        <w:t>通 知 书 可 向 金 融 机 构 申 请 合 同 融 资 。 详 情 请 登 录 洛 阳 市 政</w:t>
      </w:r>
      <w:r>
        <w:rPr>
          <w:rFonts w:ascii="仿宋" w:hAnsi="仿宋" w:eastAsia="仿宋" w:cs="仿宋"/>
          <w:color w:val="auto"/>
          <w:spacing w:val="-4"/>
          <w:sz w:val="24"/>
          <w:szCs w:val="24"/>
        </w:rPr>
        <w:t xml:space="preserve"> </w:t>
      </w:r>
      <w:r>
        <w:rPr>
          <w:rFonts w:ascii="仿宋" w:hAnsi="仿宋" w:eastAsia="仿宋" w:cs="仿宋"/>
          <w:color w:val="auto"/>
          <w:spacing w:val="-19"/>
          <w:sz w:val="24"/>
          <w:szCs w:val="24"/>
        </w:rPr>
        <w:t>府</w:t>
      </w:r>
      <w:r>
        <w:rPr>
          <w:rFonts w:ascii="仿宋" w:hAnsi="仿宋" w:eastAsia="仿宋" w:cs="仿宋"/>
          <w:color w:val="auto"/>
          <w:spacing w:val="-21"/>
          <w:sz w:val="24"/>
          <w:szCs w:val="24"/>
        </w:rPr>
        <w:t xml:space="preserve"> </w:t>
      </w:r>
      <w:r>
        <w:rPr>
          <w:rFonts w:ascii="仿宋" w:hAnsi="仿宋" w:eastAsia="仿宋" w:cs="仿宋"/>
          <w:color w:val="auto"/>
          <w:spacing w:val="-19"/>
          <w:sz w:val="24"/>
          <w:szCs w:val="24"/>
        </w:rPr>
        <w:t>采</w:t>
      </w:r>
      <w:r>
        <w:rPr>
          <w:rFonts w:ascii="仿宋" w:hAnsi="仿宋" w:eastAsia="仿宋" w:cs="仿宋"/>
          <w:color w:val="auto"/>
          <w:spacing w:val="-20"/>
          <w:sz w:val="24"/>
          <w:szCs w:val="24"/>
        </w:rPr>
        <w:t xml:space="preserve"> </w:t>
      </w:r>
      <w:r>
        <w:rPr>
          <w:rFonts w:ascii="仿宋" w:hAnsi="仿宋" w:eastAsia="仿宋" w:cs="仿宋"/>
          <w:color w:val="auto"/>
          <w:spacing w:val="-19"/>
          <w:sz w:val="24"/>
          <w:szCs w:val="24"/>
        </w:rPr>
        <w:t>购 网</w:t>
      </w:r>
      <w:r>
        <w:rPr>
          <w:rFonts w:ascii="仿宋" w:hAnsi="仿宋" w:eastAsia="仿宋" w:cs="仿宋"/>
          <w:color w:val="auto"/>
          <w:sz w:val="24"/>
          <w:szCs w:val="24"/>
        </w:rPr>
        <w:t xml:space="preserve"> </w:t>
      </w:r>
      <w:r>
        <w:rPr>
          <w:rFonts w:ascii="仿宋" w:hAnsi="仿宋" w:eastAsia="仿宋" w:cs="仿宋"/>
          <w:color w:val="auto"/>
          <w:spacing w:val="-22"/>
          <w:sz w:val="24"/>
          <w:szCs w:val="24"/>
        </w:rPr>
        <w:t>(</w:t>
      </w:r>
      <w:r>
        <w:rPr>
          <w:color w:val="auto"/>
        </w:rPr>
        <w:fldChar w:fldCharType="begin"/>
      </w:r>
      <w:r>
        <w:rPr>
          <w:color w:val="auto"/>
        </w:rPr>
        <w:instrText xml:space="preserve"> HYPERLINK "http://ccgp-henan.gov.cn/luoyang" </w:instrText>
      </w:r>
      <w:r>
        <w:rPr>
          <w:color w:val="auto"/>
        </w:rPr>
        <w:fldChar w:fldCharType="separate"/>
      </w:r>
      <w:r>
        <w:rPr>
          <w:rFonts w:ascii="仿宋" w:hAnsi="仿宋" w:eastAsia="仿宋" w:cs="仿宋"/>
          <w:color w:val="auto"/>
          <w:spacing w:val="-22"/>
          <w:sz w:val="24"/>
          <w:szCs w:val="24"/>
        </w:rPr>
        <w:t>http://ccgp-henan.gov.cn/luoyang</w:t>
      </w:r>
      <w:r>
        <w:rPr>
          <w:rFonts w:ascii="仿宋" w:hAnsi="仿宋" w:eastAsia="仿宋" w:cs="仿宋"/>
          <w:color w:val="auto"/>
          <w:spacing w:val="-22"/>
          <w:sz w:val="24"/>
          <w:szCs w:val="24"/>
        </w:rPr>
        <w:fldChar w:fldCharType="end"/>
      </w:r>
      <w:r>
        <w:rPr>
          <w:rFonts w:ascii="仿宋" w:hAnsi="仿宋" w:eastAsia="仿宋" w:cs="仿宋"/>
          <w:color w:val="auto"/>
          <w:spacing w:val="-22"/>
          <w:sz w:val="24"/>
          <w:szCs w:val="24"/>
        </w:rPr>
        <w:t>)，进入网站业务指南窗口了解金融机构提供的融资服务内容。</w:t>
      </w:r>
    </w:p>
    <w:p w14:paraId="6A76D75E">
      <w:pPr>
        <w:spacing w:before="187" w:line="222" w:lineRule="auto"/>
        <w:ind w:left="431"/>
        <w:rPr>
          <w:rFonts w:ascii="仿宋" w:hAnsi="仿宋" w:eastAsia="仿宋" w:cs="仿宋"/>
          <w:color w:val="auto"/>
          <w:sz w:val="24"/>
          <w:szCs w:val="24"/>
        </w:rPr>
      </w:pPr>
      <w:r>
        <w:rPr>
          <w:rFonts w:ascii="仿宋" w:hAnsi="仿宋" w:eastAsia="仿宋" w:cs="仿宋"/>
          <w:color w:val="auto"/>
          <w:spacing w:val="-27"/>
          <w:sz w:val="24"/>
          <w:szCs w:val="24"/>
        </w:rPr>
        <w:t>3、本项目的特定资格要求：</w:t>
      </w:r>
    </w:p>
    <w:p w14:paraId="37DCB4B5">
      <w:pPr>
        <w:spacing w:before="180" w:line="342" w:lineRule="auto"/>
        <w:ind w:left="19" w:right="57" w:firstLine="412"/>
        <w:rPr>
          <w:rFonts w:ascii="仿宋" w:hAnsi="仿宋" w:eastAsia="仿宋" w:cs="仿宋"/>
          <w:color w:val="auto"/>
          <w:sz w:val="24"/>
          <w:szCs w:val="24"/>
        </w:rPr>
      </w:pPr>
      <w:r>
        <w:rPr>
          <w:rFonts w:ascii="仿宋" w:hAnsi="仿宋" w:eastAsia="仿宋" w:cs="仿宋"/>
          <w:color w:val="auto"/>
          <w:spacing w:val="-29"/>
          <w:sz w:val="24"/>
          <w:szCs w:val="24"/>
        </w:rPr>
        <w:t>3.1投标人具有有效的营业执照或事业单位法人证书</w:t>
      </w:r>
      <w:r>
        <w:rPr>
          <w:rFonts w:ascii="仿宋" w:hAnsi="仿宋" w:eastAsia="仿宋" w:cs="仿宋"/>
          <w:color w:val="auto"/>
          <w:spacing w:val="-54"/>
          <w:w w:val="81"/>
          <w:sz w:val="24"/>
          <w:szCs w:val="24"/>
        </w:rPr>
        <w:t>；（</w:t>
      </w:r>
      <w:r>
        <w:rPr>
          <w:rFonts w:ascii="仿宋" w:hAnsi="仿宋" w:eastAsia="仿宋" w:cs="仿宋"/>
          <w:color w:val="auto"/>
          <w:spacing w:val="-29"/>
          <w:sz w:val="24"/>
          <w:szCs w:val="24"/>
        </w:rPr>
        <w:t>投标文件中须附以上证件的原件扫描件，</w:t>
      </w:r>
      <w:r>
        <w:rPr>
          <w:rFonts w:ascii="仿宋" w:hAnsi="仿宋" w:eastAsia="仿宋" w:cs="仿宋"/>
          <w:color w:val="auto"/>
          <w:spacing w:val="1"/>
          <w:sz w:val="24"/>
          <w:szCs w:val="24"/>
        </w:rPr>
        <w:t xml:space="preserve"> </w:t>
      </w:r>
      <w:r>
        <w:rPr>
          <w:rFonts w:ascii="仿宋" w:hAnsi="仿宋" w:eastAsia="仿宋" w:cs="仿宋"/>
          <w:color w:val="auto"/>
          <w:spacing w:val="-38"/>
          <w:sz w:val="24"/>
          <w:szCs w:val="24"/>
        </w:rPr>
        <w:t>并加盖单位公章。）</w:t>
      </w:r>
    </w:p>
    <w:p w14:paraId="44D9CF58">
      <w:pPr>
        <w:spacing w:before="184" w:line="351" w:lineRule="auto"/>
        <w:ind w:left="15" w:right="2" w:firstLine="415"/>
        <w:rPr>
          <w:rFonts w:ascii="仿宋" w:hAnsi="仿宋" w:eastAsia="仿宋" w:cs="仿宋"/>
          <w:color w:val="auto"/>
          <w:sz w:val="24"/>
          <w:szCs w:val="24"/>
        </w:rPr>
      </w:pPr>
      <w:r>
        <w:rPr>
          <w:rFonts w:ascii="仿宋" w:hAnsi="仿宋" w:eastAsia="仿宋" w:cs="仿宋"/>
          <w:color w:val="auto"/>
          <w:spacing w:val="-30"/>
          <w:sz w:val="24"/>
          <w:szCs w:val="24"/>
        </w:rPr>
        <w:t>3.</w:t>
      </w:r>
      <w:r>
        <w:rPr>
          <w:rFonts w:hint="eastAsia" w:ascii="仿宋" w:hAnsi="仿宋" w:eastAsia="仿宋" w:cs="仿宋"/>
          <w:color w:val="auto"/>
          <w:spacing w:val="-30"/>
          <w:sz w:val="24"/>
          <w:szCs w:val="24"/>
          <w:lang w:val="en-US" w:eastAsia="zh-CN"/>
        </w:rPr>
        <w:t>2</w:t>
      </w:r>
      <w:r>
        <w:rPr>
          <w:rFonts w:ascii="仿宋" w:hAnsi="仿宋" w:eastAsia="仿宋" w:cs="仿宋"/>
          <w:color w:val="auto"/>
          <w:spacing w:val="-30"/>
          <w:sz w:val="24"/>
          <w:szCs w:val="24"/>
        </w:rPr>
        <w:t>根据《洛阳市</w:t>
      </w:r>
      <w:r>
        <w:rPr>
          <w:rFonts w:ascii="仿宋" w:hAnsi="仿宋" w:eastAsia="仿宋" w:cs="仿宋"/>
          <w:color w:val="auto"/>
          <w:spacing w:val="-29"/>
          <w:sz w:val="24"/>
          <w:szCs w:val="24"/>
        </w:rPr>
        <w:t>财政局关于推行政府采购信用承诺制的通知》（洛财购【2021】11号）文件，</w:t>
      </w:r>
      <w:r>
        <w:rPr>
          <w:rFonts w:ascii="仿宋" w:hAnsi="仿宋" w:eastAsia="仿宋" w:cs="仿宋"/>
          <w:color w:val="auto"/>
          <w:spacing w:val="-20"/>
          <w:sz w:val="24"/>
          <w:szCs w:val="24"/>
        </w:rPr>
        <w:t>投</w:t>
      </w:r>
      <w:r>
        <w:rPr>
          <w:rFonts w:ascii="仿宋" w:hAnsi="仿宋" w:eastAsia="仿宋" w:cs="仿宋"/>
          <w:color w:val="auto"/>
          <w:spacing w:val="2"/>
          <w:sz w:val="24"/>
          <w:szCs w:val="24"/>
        </w:rPr>
        <w:t xml:space="preserve"> </w:t>
      </w:r>
      <w:r>
        <w:rPr>
          <w:rFonts w:ascii="仿宋" w:hAnsi="仿宋" w:eastAsia="仿宋" w:cs="仿宋"/>
          <w:color w:val="auto"/>
          <w:spacing w:val="-34"/>
          <w:sz w:val="24"/>
          <w:szCs w:val="24"/>
        </w:rPr>
        <w:t>标人须提供“洛阳市政府采购供应商信用承诺函”，采购人有权在签</w:t>
      </w:r>
      <w:r>
        <w:rPr>
          <w:rFonts w:ascii="仿宋" w:hAnsi="仿宋" w:eastAsia="仿宋" w:cs="仿宋"/>
          <w:color w:val="auto"/>
          <w:spacing w:val="-35"/>
          <w:sz w:val="24"/>
          <w:szCs w:val="24"/>
        </w:rPr>
        <w:t>订合同前要求中标人提供相关证明</w:t>
      </w:r>
      <w:r>
        <w:rPr>
          <w:rFonts w:ascii="仿宋" w:hAnsi="仿宋" w:eastAsia="仿宋" w:cs="仿宋"/>
          <w:color w:val="auto"/>
          <w:sz w:val="24"/>
          <w:szCs w:val="24"/>
        </w:rPr>
        <w:t xml:space="preserve"> </w:t>
      </w:r>
      <w:r>
        <w:rPr>
          <w:rFonts w:ascii="仿宋" w:hAnsi="仿宋" w:eastAsia="仿宋" w:cs="仿宋"/>
          <w:color w:val="auto"/>
          <w:spacing w:val="-32"/>
          <w:sz w:val="24"/>
          <w:szCs w:val="24"/>
        </w:rPr>
        <w:t>材料以核实</w:t>
      </w:r>
      <w:r>
        <w:rPr>
          <w:rFonts w:ascii="仿宋" w:hAnsi="仿宋" w:eastAsia="仿宋" w:cs="仿宋"/>
          <w:color w:val="auto"/>
          <w:spacing w:val="-31"/>
          <w:sz w:val="24"/>
          <w:szCs w:val="24"/>
        </w:rPr>
        <w:t>中标人承诺事项的真实性</w:t>
      </w:r>
      <w:r>
        <w:rPr>
          <w:rFonts w:ascii="仿宋" w:hAnsi="仿宋" w:eastAsia="仿宋" w:cs="仿宋"/>
          <w:color w:val="auto"/>
          <w:spacing w:val="-54"/>
          <w:w w:val="80"/>
          <w:sz w:val="24"/>
          <w:szCs w:val="24"/>
        </w:rPr>
        <w:t>；（</w:t>
      </w:r>
      <w:r>
        <w:rPr>
          <w:rFonts w:ascii="仿宋" w:hAnsi="仿宋" w:eastAsia="仿宋" w:cs="仿宋"/>
          <w:color w:val="auto"/>
          <w:spacing w:val="-31"/>
          <w:sz w:val="24"/>
          <w:szCs w:val="24"/>
        </w:rPr>
        <w:t>投标文件中须附《洛阳市政府采购</w:t>
      </w:r>
      <w:r>
        <w:rPr>
          <w:rFonts w:ascii="仿宋" w:hAnsi="仿宋" w:eastAsia="仿宋" w:cs="仿宋"/>
          <w:color w:val="auto"/>
          <w:spacing w:val="-32"/>
          <w:sz w:val="24"/>
          <w:szCs w:val="24"/>
        </w:rPr>
        <w:t>供应商信用承诺函》，格</w:t>
      </w:r>
      <w:r>
        <w:rPr>
          <w:rFonts w:ascii="仿宋" w:hAnsi="仿宋" w:eastAsia="仿宋" w:cs="仿宋"/>
          <w:color w:val="auto"/>
          <w:spacing w:val="-27"/>
          <w:sz w:val="24"/>
          <w:szCs w:val="24"/>
        </w:rPr>
        <w:t>式</w:t>
      </w:r>
      <w:r>
        <w:rPr>
          <w:rFonts w:ascii="仿宋" w:hAnsi="仿宋" w:eastAsia="仿宋" w:cs="仿宋"/>
          <w:color w:val="auto"/>
          <w:spacing w:val="4"/>
          <w:sz w:val="24"/>
          <w:szCs w:val="24"/>
        </w:rPr>
        <w:t xml:space="preserve"> </w:t>
      </w:r>
      <w:r>
        <w:rPr>
          <w:rFonts w:ascii="仿宋" w:hAnsi="仿宋" w:eastAsia="仿宋" w:cs="仿宋"/>
          <w:color w:val="auto"/>
          <w:spacing w:val="-40"/>
          <w:sz w:val="24"/>
          <w:szCs w:val="24"/>
        </w:rPr>
        <w:t>见招标文件。）</w:t>
      </w:r>
    </w:p>
    <w:p w14:paraId="30B5281C">
      <w:pPr>
        <w:spacing w:before="36" w:line="221" w:lineRule="auto"/>
        <w:ind w:left="431"/>
        <w:rPr>
          <w:rFonts w:ascii="仿宋" w:hAnsi="仿宋" w:eastAsia="仿宋" w:cs="仿宋"/>
          <w:color w:val="auto"/>
          <w:sz w:val="24"/>
          <w:szCs w:val="24"/>
        </w:rPr>
      </w:pPr>
      <w:r>
        <w:rPr>
          <w:rFonts w:ascii="仿宋" w:hAnsi="仿宋" w:eastAsia="仿宋" w:cs="仿宋"/>
          <w:color w:val="auto"/>
          <w:spacing w:val="-28"/>
          <w:sz w:val="24"/>
          <w:szCs w:val="24"/>
        </w:rPr>
        <w:t>3.</w:t>
      </w:r>
      <w:r>
        <w:rPr>
          <w:rFonts w:hint="eastAsia" w:ascii="仿宋" w:hAnsi="仿宋" w:eastAsia="仿宋" w:cs="仿宋"/>
          <w:color w:val="auto"/>
          <w:spacing w:val="-28"/>
          <w:sz w:val="24"/>
          <w:szCs w:val="24"/>
          <w:lang w:val="en-US" w:eastAsia="zh-CN"/>
        </w:rPr>
        <w:t>3</w:t>
      </w:r>
      <w:r>
        <w:rPr>
          <w:rFonts w:ascii="仿宋" w:hAnsi="仿宋" w:eastAsia="仿宋" w:cs="仿宋"/>
          <w:color w:val="auto"/>
          <w:spacing w:val="-28"/>
          <w:sz w:val="24"/>
          <w:szCs w:val="24"/>
        </w:rPr>
        <w:t>本次招标实行资格后审，资格不合格者，取消其投标资格。</w:t>
      </w:r>
    </w:p>
    <w:p w14:paraId="0502DD55">
      <w:pPr>
        <w:spacing w:before="182" w:line="222" w:lineRule="auto"/>
        <w:ind w:left="440"/>
        <w:rPr>
          <w:rFonts w:ascii="仿宋" w:hAnsi="仿宋" w:eastAsia="仿宋" w:cs="仿宋"/>
          <w:color w:val="auto"/>
          <w:sz w:val="24"/>
          <w:szCs w:val="24"/>
        </w:rPr>
      </w:pPr>
      <w:r>
        <w:rPr>
          <w:rFonts w:ascii="仿宋" w:hAnsi="仿宋" w:eastAsia="仿宋" w:cs="仿宋"/>
          <w:b/>
          <w:bCs/>
          <w:color w:val="auto"/>
          <w:spacing w:val="-29"/>
          <w:sz w:val="24"/>
          <w:szCs w:val="24"/>
        </w:rPr>
        <w:t>三、获取招标文件</w:t>
      </w:r>
    </w:p>
    <w:p w14:paraId="48E66812">
      <w:pPr>
        <w:spacing w:before="177" w:line="344" w:lineRule="auto"/>
        <w:ind w:left="33" w:right="2" w:firstLine="410"/>
        <w:rPr>
          <w:rFonts w:ascii="仿宋" w:hAnsi="仿宋" w:eastAsia="仿宋" w:cs="仿宋"/>
          <w:color w:val="auto"/>
          <w:sz w:val="24"/>
          <w:szCs w:val="24"/>
        </w:rPr>
      </w:pPr>
      <w:r>
        <w:rPr>
          <w:rFonts w:ascii="仿宋" w:hAnsi="仿宋" w:eastAsia="仿宋" w:cs="仿宋"/>
          <w:color w:val="auto"/>
          <w:spacing w:val="-23"/>
          <w:sz w:val="24"/>
          <w:szCs w:val="24"/>
        </w:rPr>
        <w:t>1.</w:t>
      </w:r>
      <w:r>
        <w:rPr>
          <w:rFonts w:ascii="仿宋" w:hAnsi="仿宋" w:eastAsia="仿宋" w:cs="仿宋"/>
          <w:color w:val="auto"/>
          <w:spacing w:val="-22"/>
          <w:sz w:val="24"/>
          <w:szCs w:val="24"/>
        </w:rPr>
        <w:t>时间：202</w:t>
      </w:r>
      <w:r>
        <w:rPr>
          <w:rFonts w:hint="eastAsia" w:ascii="仿宋" w:hAnsi="仿宋" w:eastAsia="仿宋" w:cs="仿宋"/>
          <w:color w:val="auto"/>
          <w:spacing w:val="-22"/>
          <w:sz w:val="24"/>
          <w:szCs w:val="24"/>
          <w:lang w:val="en-US" w:eastAsia="zh-CN"/>
        </w:rPr>
        <w:t>6</w:t>
      </w:r>
      <w:r>
        <w:rPr>
          <w:rFonts w:ascii="仿宋" w:hAnsi="仿宋" w:eastAsia="仿宋" w:cs="仿宋"/>
          <w:color w:val="auto"/>
          <w:spacing w:val="-22"/>
          <w:sz w:val="24"/>
          <w:szCs w:val="24"/>
        </w:rPr>
        <w:t>年0</w:t>
      </w:r>
      <w:r>
        <w:rPr>
          <w:rFonts w:hint="eastAsia" w:ascii="仿宋" w:hAnsi="仿宋" w:eastAsia="仿宋" w:cs="仿宋"/>
          <w:color w:val="auto"/>
          <w:spacing w:val="-22"/>
          <w:sz w:val="24"/>
          <w:szCs w:val="24"/>
          <w:lang w:val="en-US" w:eastAsia="zh-CN"/>
        </w:rPr>
        <w:t>8</w:t>
      </w:r>
      <w:r>
        <w:rPr>
          <w:rFonts w:ascii="仿宋" w:hAnsi="仿宋" w:eastAsia="仿宋" w:cs="仿宋"/>
          <w:color w:val="auto"/>
          <w:spacing w:val="-22"/>
          <w:sz w:val="24"/>
          <w:szCs w:val="24"/>
        </w:rPr>
        <w:t>月</w:t>
      </w:r>
      <w:r>
        <w:rPr>
          <w:rFonts w:hint="eastAsia" w:ascii="仿宋" w:hAnsi="仿宋" w:eastAsia="仿宋" w:cs="仿宋"/>
          <w:color w:val="auto"/>
          <w:spacing w:val="-22"/>
          <w:sz w:val="24"/>
          <w:szCs w:val="24"/>
          <w:lang w:val="en-US" w:eastAsia="zh-CN"/>
        </w:rPr>
        <w:t>06</w:t>
      </w:r>
      <w:r>
        <w:rPr>
          <w:rFonts w:ascii="仿宋" w:hAnsi="仿宋" w:eastAsia="仿宋" w:cs="仿宋"/>
          <w:color w:val="auto"/>
          <w:spacing w:val="-22"/>
          <w:sz w:val="24"/>
          <w:szCs w:val="24"/>
        </w:rPr>
        <w:t>日至202</w:t>
      </w:r>
      <w:r>
        <w:rPr>
          <w:rFonts w:hint="eastAsia" w:ascii="仿宋" w:hAnsi="仿宋" w:eastAsia="仿宋" w:cs="仿宋"/>
          <w:color w:val="auto"/>
          <w:spacing w:val="-22"/>
          <w:sz w:val="24"/>
          <w:szCs w:val="24"/>
          <w:lang w:val="en-US" w:eastAsia="zh-CN"/>
        </w:rPr>
        <w:t>6</w:t>
      </w:r>
      <w:r>
        <w:rPr>
          <w:rFonts w:ascii="仿宋" w:hAnsi="仿宋" w:eastAsia="仿宋" w:cs="仿宋"/>
          <w:color w:val="auto"/>
          <w:spacing w:val="-22"/>
          <w:sz w:val="24"/>
          <w:szCs w:val="24"/>
        </w:rPr>
        <w:t>年0</w:t>
      </w:r>
      <w:r>
        <w:rPr>
          <w:rFonts w:hint="eastAsia" w:ascii="仿宋" w:hAnsi="仿宋" w:eastAsia="仿宋" w:cs="仿宋"/>
          <w:color w:val="auto"/>
          <w:spacing w:val="-22"/>
          <w:sz w:val="24"/>
          <w:szCs w:val="24"/>
          <w:lang w:val="en-US" w:eastAsia="zh-CN"/>
        </w:rPr>
        <w:t>8</w:t>
      </w:r>
      <w:r>
        <w:rPr>
          <w:rFonts w:ascii="仿宋" w:hAnsi="仿宋" w:eastAsia="仿宋" w:cs="仿宋"/>
          <w:color w:val="auto"/>
          <w:spacing w:val="-22"/>
          <w:sz w:val="24"/>
          <w:szCs w:val="24"/>
        </w:rPr>
        <w:t>月</w:t>
      </w:r>
      <w:r>
        <w:rPr>
          <w:rFonts w:hint="eastAsia" w:ascii="仿宋" w:hAnsi="仿宋" w:eastAsia="仿宋" w:cs="仿宋"/>
          <w:color w:val="auto"/>
          <w:spacing w:val="-22"/>
          <w:sz w:val="24"/>
          <w:szCs w:val="24"/>
          <w:lang w:val="en-US" w:eastAsia="zh-CN"/>
        </w:rPr>
        <w:t>12</w:t>
      </w:r>
      <w:r>
        <w:rPr>
          <w:rFonts w:ascii="仿宋" w:hAnsi="仿宋" w:eastAsia="仿宋" w:cs="仿宋"/>
          <w:color w:val="auto"/>
          <w:spacing w:val="-22"/>
          <w:sz w:val="24"/>
          <w:szCs w:val="24"/>
        </w:rPr>
        <w:t>日，</w:t>
      </w:r>
      <w:r>
        <w:rPr>
          <w:rFonts w:ascii="仿宋" w:hAnsi="仿宋" w:eastAsia="仿宋" w:cs="仿宋"/>
          <w:color w:val="auto"/>
          <w:spacing w:val="-23"/>
          <w:sz w:val="24"/>
          <w:szCs w:val="24"/>
        </w:rPr>
        <w:t>每天上午00：00至12:00，下午12:00至23:59（北</w:t>
      </w:r>
      <w:r>
        <w:rPr>
          <w:rFonts w:ascii="仿宋" w:hAnsi="仿宋" w:eastAsia="仿宋" w:cs="仿宋"/>
          <w:color w:val="auto"/>
          <w:spacing w:val="-21"/>
          <w:sz w:val="24"/>
          <w:szCs w:val="24"/>
        </w:rPr>
        <w:t>京</w:t>
      </w:r>
      <w:r>
        <w:rPr>
          <w:rFonts w:ascii="仿宋" w:hAnsi="仿宋" w:eastAsia="仿宋" w:cs="仿宋"/>
          <w:color w:val="auto"/>
          <w:sz w:val="24"/>
          <w:szCs w:val="24"/>
        </w:rPr>
        <w:t xml:space="preserve"> </w:t>
      </w:r>
      <w:r>
        <w:rPr>
          <w:rFonts w:ascii="仿宋" w:hAnsi="仿宋" w:eastAsia="仿宋" w:cs="仿宋"/>
          <w:color w:val="auto"/>
          <w:spacing w:val="-38"/>
          <w:sz w:val="24"/>
          <w:szCs w:val="24"/>
        </w:rPr>
        <w:t>时间，法定节假日除外。）</w:t>
      </w:r>
    </w:p>
    <w:p w14:paraId="01091AFB">
      <w:pPr>
        <w:spacing w:before="38" w:line="215" w:lineRule="auto"/>
        <w:ind w:left="429"/>
        <w:rPr>
          <w:rFonts w:ascii="仿宋" w:hAnsi="仿宋" w:eastAsia="仿宋" w:cs="仿宋"/>
          <w:color w:val="auto"/>
          <w:sz w:val="24"/>
          <w:szCs w:val="24"/>
        </w:rPr>
      </w:pPr>
      <w:r>
        <w:rPr>
          <w:rFonts w:ascii="仿宋" w:hAnsi="仿宋" w:eastAsia="仿宋" w:cs="仿宋"/>
          <w:color w:val="auto"/>
          <w:spacing w:val="-21"/>
          <w:sz w:val="24"/>
          <w:szCs w:val="24"/>
        </w:rPr>
        <w:t>2.地点：洛阳市公共资源交易中心网站（http://lyggzyjy.ly.gov.cn/）</w:t>
      </w:r>
    </w:p>
    <w:p w14:paraId="5487B2F5">
      <w:pPr>
        <w:spacing w:before="190" w:line="349" w:lineRule="auto"/>
        <w:ind w:left="18" w:right="2" w:firstLine="413"/>
        <w:rPr>
          <w:rFonts w:ascii="仿宋" w:hAnsi="仿宋" w:eastAsia="仿宋" w:cs="仿宋"/>
          <w:color w:val="auto"/>
          <w:sz w:val="24"/>
          <w:szCs w:val="24"/>
        </w:rPr>
      </w:pPr>
      <w:r>
        <w:rPr>
          <w:rFonts w:ascii="仿宋" w:hAnsi="仿宋" w:eastAsia="仿宋" w:cs="仿宋"/>
          <w:color w:val="auto"/>
          <w:spacing w:val="-23"/>
          <w:sz w:val="24"/>
          <w:szCs w:val="24"/>
        </w:rPr>
        <w:t>3.方式</w:t>
      </w:r>
      <w:r>
        <w:rPr>
          <w:rFonts w:ascii="仿宋" w:hAnsi="仿宋" w:eastAsia="仿宋" w:cs="仿宋"/>
          <w:color w:val="auto"/>
          <w:spacing w:val="-22"/>
          <w:sz w:val="24"/>
          <w:szCs w:val="24"/>
        </w:rPr>
        <w:t>：洛阳市公共资源交易中心网站（http://lyggzyjy.ly.gov.cn/）上</w:t>
      </w:r>
      <w:r>
        <w:rPr>
          <w:rFonts w:ascii="仿宋" w:hAnsi="仿宋" w:eastAsia="仿宋" w:cs="仿宋"/>
          <w:color w:val="auto"/>
          <w:spacing w:val="-23"/>
          <w:sz w:val="24"/>
          <w:szCs w:val="24"/>
        </w:rPr>
        <w:t>获取。请在“洛阳</w:t>
      </w:r>
      <w:r>
        <w:rPr>
          <w:rFonts w:ascii="仿宋" w:hAnsi="仿宋" w:eastAsia="仿宋" w:cs="仿宋"/>
          <w:color w:val="auto"/>
          <w:spacing w:val="-19"/>
          <w:sz w:val="24"/>
          <w:szCs w:val="24"/>
        </w:rPr>
        <w:t>市</w:t>
      </w:r>
      <w:r>
        <w:rPr>
          <w:rFonts w:ascii="仿宋" w:hAnsi="仿宋" w:eastAsia="仿宋" w:cs="仿宋"/>
          <w:color w:val="auto"/>
          <w:sz w:val="24"/>
          <w:szCs w:val="24"/>
        </w:rPr>
        <w:t xml:space="preserve"> </w:t>
      </w:r>
      <w:r>
        <w:rPr>
          <w:rFonts w:ascii="仿宋" w:hAnsi="仿宋" w:eastAsia="仿宋" w:cs="仿宋"/>
          <w:color w:val="auto"/>
          <w:spacing w:val="-26"/>
          <w:sz w:val="24"/>
          <w:szCs w:val="24"/>
        </w:rPr>
        <w:t>电子招投标交易平台（http://61.54.85.189/tpbidde</w:t>
      </w:r>
      <w:r>
        <w:rPr>
          <w:rFonts w:ascii="仿宋" w:hAnsi="仿宋" w:eastAsia="仿宋" w:cs="仿宋"/>
          <w:color w:val="auto"/>
          <w:spacing w:val="-27"/>
          <w:sz w:val="24"/>
          <w:szCs w:val="24"/>
        </w:rPr>
        <w:t>r）”进行用户注册，办理数字证书后下载招标 (</w:t>
      </w:r>
      <w:r>
        <w:rPr>
          <w:rFonts w:ascii="仿宋" w:hAnsi="仿宋" w:eastAsia="仿宋" w:cs="仿宋"/>
          <w:color w:val="auto"/>
          <w:sz w:val="24"/>
          <w:szCs w:val="24"/>
        </w:rPr>
        <w:t xml:space="preserve"> </w:t>
      </w:r>
      <w:r>
        <w:rPr>
          <w:rFonts w:ascii="仿宋" w:hAnsi="仿宋" w:eastAsia="仿宋" w:cs="仿宋"/>
          <w:color w:val="auto"/>
          <w:spacing w:val="-33"/>
          <w:sz w:val="24"/>
          <w:szCs w:val="24"/>
        </w:rPr>
        <w:t>采购）文件</w:t>
      </w:r>
      <w:r>
        <w:rPr>
          <w:rFonts w:ascii="仿宋" w:hAnsi="仿宋" w:eastAsia="仿宋" w:cs="仿宋"/>
          <w:color w:val="auto"/>
          <w:spacing w:val="-32"/>
          <w:sz w:val="24"/>
          <w:szCs w:val="24"/>
        </w:rPr>
        <w:t>。如投多个标段（包</w:t>
      </w:r>
      <w:r>
        <w:rPr>
          <w:rFonts w:ascii="仿宋" w:hAnsi="仿宋" w:eastAsia="仿宋" w:cs="仿宋"/>
          <w:color w:val="auto"/>
          <w:spacing w:val="-59"/>
          <w:w w:val="88"/>
          <w:sz w:val="24"/>
          <w:szCs w:val="24"/>
        </w:rPr>
        <w:t>），</w:t>
      </w:r>
      <w:r>
        <w:rPr>
          <w:rFonts w:ascii="仿宋" w:hAnsi="仿宋" w:eastAsia="仿宋" w:cs="仿宋"/>
          <w:color w:val="auto"/>
          <w:spacing w:val="-32"/>
          <w:sz w:val="24"/>
          <w:szCs w:val="24"/>
        </w:rPr>
        <w:t>则应就所投每个标段（包）分别下载。联合体投标的，由联合体</w:t>
      </w:r>
      <w:r>
        <w:rPr>
          <w:rFonts w:ascii="仿宋" w:hAnsi="仿宋" w:eastAsia="仿宋" w:cs="仿宋"/>
          <w:color w:val="auto"/>
          <w:spacing w:val="-27"/>
          <w:sz w:val="24"/>
          <w:szCs w:val="24"/>
        </w:rPr>
        <w:t>牵</w:t>
      </w:r>
    </w:p>
    <w:p w14:paraId="09262D82">
      <w:pPr>
        <w:spacing w:line="349" w:lineRule="auto"/>
        <w:rPr>
          <w:rFonts w:ascii="仿宋" w:hAnsi="仿宋" w:eastAsia="仿宋" w:cs="仿宋"/>
          <w:color w:val="auto"/>
          <w:sz w:val="24"/>
          <w:szCs w:val="24"/>
        </w:rPr>
        <w:sectPr>
          <w:headerReference r:id="rId11" w:type="default"/>
          <w:footerReference r:id="rId12" w:type="default"/>
          <w:pgSz w:w="11906" w:h="16839"/>
          <w:pgMar w:top="999" w:right="1214" w:bottom="844" w:left="1418" w:header="698" w:footer="682" w:gutter="0"/>
          <w:pgNumType w:fmt="decimal"/>
          <w:cols w:space="720" w:num="1"/>
        </w:sectPr>
      </w:pPr>
    </w:p>
    <w:p w14:paraId="77F5E709">
      <w:pPr>
        <w:pStyle w:val="3"/>
        <w:spacing w:line="372" w:lineRule="auto"/>
        <w:rPr>
          <w:color w:val="auto"/>
        </w:rPr>
      </w:pPr>
    </w:p>
    <w:p w14:paraId="449A699C">
      <w:pPr>
        <w:spacing w:before="78" w:line="221" w:lineRule="auto"/>
        <w:jc w:val="right"/>
        <w:rPr>
          <w:rFonts w:ascii="仿宋" w:hAnsi="仿宋" w:eastAsia="仿宋" w:cs="仿宋"/>
          <w:color w:val="auto"/>
          <w:sz w:val="24"/>
          <w:szCs w:val="24"/>
        </w:rPr>
      </w:pPr>
      <w:r>
        <w:rPr>
          <w:rFonts w:ascii="仿宋" w:hAnsi="仿宋" w:eastAsia="仿宋" w:cs="仿宋"/>
          <w:color w:val="auto"/>
          <w:spacing w:val="-29"/>
          <w:sz w:val="24"/>
          <w:szCs w:val="24"/>
        </w:rPr>
        <w:t>头人完成招标（采购）文件下载。详见洛阳市公共资</w:t>
      </w:r>
      <w:r>
        <w:rPr>
          <w:rFonts w:ascii="仿宋" w:hAnsi="仿宋" w:eastAsia="仿宋" w:cs="仿宋"/>
          <w:color w:val="auto"/>
          <w:spacing w:val="-30"/>
          <w:sz w:val="24"/>
          <w:szCs w:val="24"/>
        </w:rPr>
        <w:t>源交易中心网站—新系统入口或办事指南-必看!</w:t>
      </w:r>
    </w:p>
    <w:p w14:paraId="1141FF84">
      <w:pPr>
        <w:spacing w:before="178" w:line="221" w:lineRule="auto"/>
        <w:ind w:left="15"/>
        <w:rPr>
          <w:rFonts w:ascii="仿宋" w:hAnsi="仿宋" w:eastAsia="仿宋" w:cs="仿宋"/>
          <w:color w:val="auto"/>
          <w:sz w:val="24"/>
          <w:szCs w:val="24"/>
        </w:rPr>
      </w:pPr>
      <w:r>
        <w:rPr>
          <w:rFonts w:ascii="仿宋" w:hAnsi="仿宋" w:eastAsia="仿宋" w:cs="仿宋"/>
          <w:color w:val="auto"/>
          <w:spacing w:val="-27"/>
          <w:sz w:val="24"/>
          <w:szCs w:val="24"/>
        </w:rPr>
        <w:t>新交易平台使用手册。</w:t>
      </w:r>
    </w:p>
    <w:p w14:paraId="46AE0B06">
      <w:pPr>
        <w:spacing w:before="180" w:line="221" w:lineRule="auto"/>
        <w:ind w:left="425"/>
        <w:rPr>
          <w:rFonts w:ascii="仿宋" w:hAnsi="仿宋" w:eastAsia="仿宋" w:cs="仿宋"/>
          <w:color w:val="auto"/>
          <w:sz w:val="24"/>
          <w:szCs w:val="24"/>
        </w:rPr>
      </w:pPr>
      <w:r>
        <w:rPr>
          <w:rFonts w:ascii="仿宋" w:hAnsi="仿宋" w:eastAsia="仿宋" w:cs="仿宋"/>
          <w:color w:val="auto"/>
          <w:spacing w:val="-19"/>
          <w:sz w:val="24"/>
          <w:szCs w:val="24"/>
        </w:rPr>
        <w:t>4.售价：0元。</w:t>
      </w:r>
    </w:p>
    <w:p w14:paraId="27C1A75E">
      <w:pPr>
        <w:spacing w:before="181" w:line="222" w:lineRule="auto"/>
        <w:ind w:left="462"/>
        <w:rPr>
          <w:rFonts w:ascii="仿宋" w:hAnsi="仿宋" w:eastAsia="仿宋" w:cs="仿宋"/>
          <w:color w:val="auto"/>
          <w:sz w:val="24"/>
          <w:szCs w:val="24"/>
        </w:rPr>
      </w:pPr>
      <w:r>
        <w:rPr>
          <w:rFonts w:ascii="仿宋" w:hAnsi="仿宋" w:eastAsia="仿宋" w:cs="仿宋"/>
          <w:b/>
          <w:bCs/>
          <w:color w:val="auto"/>
          <w:spacing w:val="-32"/>
          <w:sz w:val="24"/>
          <w:szCs w:val="24"/>
        </w:rPr>
        <w:t>四、投标截止时间及地点</w:t>
      </w:r>
    </w:p>
    <w:p w14:paraId="714458A3">
      <w:pPr>
        <w:spacing w:before="177" w:line="222" w:lineRule="auto"/>
        <w:ind w:left="444"/>
        <w:rPr>
          <w:rFonts w:ascii="仿宋" w:hAnsi="仿宋" w:eastAsia="仿宋" w:cs="仿宋"/>
          <w:color w:val="auto"/>
          <w:sz w:val="24"/>
          <w:szCs w:val="24"/>
        </w:rPr>
      </w:pPr>
      <w:r>
        <w:rPr>
          <w:rFonts w:ascii="仿宋" w:hAnsi="仿宋" w:eastAsia="仿宋" w:cs="仿宋"/>
          <w:color w:val="auto"/>
          <w:spacing w:val="-22"/>
          <w:sz w:val="24"/>
          <w:szCs w:val="24"/>
        </w:rPr>
        <w:t>1.时间：202</w:t>
      </w:r>
      <w:r>
        <w:rPr>
          <w:rFonts w:hint="eastAsia" w:ascii="仿宋" w:hAnsi="仿宋" w:eastAsia="仿宋" w:cs="仿宋"/>
          <w:color w:val="auto"/>
          <w:spacing w:val="-22"/>
          <w:sz w:val="24"/>
          <w:szCs w:val="24"/>
          <w:lang w:val="en-US" w:eastAsia="zh-CN"/>
        </w:rPr>
        <w:t>6</w:t>
      </w:r>
      <w:r>
        <w:rPr>
          <w:rFonts w:ascii="仿宋" w:hAnsi="仿宋" w:eastAsia="仿宋" w:cs="仿宋"/>
          <w:color w:val="auto"/>
          <w:spacing w:val="-22"/>
          <w:sz w:val="24"/>
          <w:szCs w:val="24"/>
        </w:rPr>
        <w:t>年0</w:t>
      </w:r>
      <w:r>
        <w:rPr>
          <w:rFonts w:hint="eastAsia" w:ascii="仿宋" w:hAnsi="仿宋" w:eastAsia="仿宋" w:cs="仿宋"/>
          <w:color w:val="auto"/>
          <w:spacing w:val="-22"/>
          <w:sz w:val="24"/>
          <w:szCs w:val="24"/>
          <w:lang w:val="en-US" w:eastAsia="zh-CN"/>
        </w:rPr>
        <w:t>8</w:t>
      </w:r>
      <w:r>
        <w:rPr>
          <w:rFonts w:ascii="仿宋" w:hAnsi="仿宋" w:eastAsia="仿宋" w:cs="仿宋"/>
          <w:color w:val="auto"/>
          <w:spacing w:val="-22"/>
          <w:sz w:val="24"/>
          <w:szCs w:val="24"/>
        </w:rPr>
        <w:t>月</w:t>
      </w:r>
      <w:r>
        <w:rPr>
          <w:rFonts w:hint="eastAsia" w:ascii="仿宋" w:hAnsi="仿宋" w:eastAsia="仿宋" w:cs="仿宋"/>
          <w:color w:val="auto"/>
          <w:spacing w:val="-22"/>
          <w:sz w:val="24"/>
          <w:szCs w:val="24"/>
          <w:lang w:val="en-US" w:eastAsia="zh-CN"/>
        </w:rPr>
        <w:t>27</w:t>
      </w:r>
      <w:r>
        <w:rPr>
          <w:rFonts w:ascii="仿宋" w:hAnsi="仿宋" w:eastAsia="仿宋" w:cs="仿宋"/>
          <w:color w:val="auto"/>
          <w:spacing w:val="-22"/>
          <w:sz w:val="24"/>
          <w:szCs w:val="24"/>
        </w:rPr>
        <w:t>日09时10</w:t>
      </w:r>
      <w:r>
        <w:rPr>
          <w:rFonts w:ascii="仿宋" w:hAnsi="仿宋" w:eastAsia="仿宋" w:cs="仿宋"/>
          <w:color w:val="auto"/>
          <w:spacing w:val="-23"/>
          <w:sz w:val="24"/>
          <w:szCs w:val="24"/>
        </w:rPr>
        <w:t>分（北京时间）</w:t>
      </w:r>
    </w:p>
    <w:p w14:paraId="0EEA727D">
      <w:pPr>
        <w:spacing w:before="179" w:line="351" w:lineRule="auto"/>
        <w:ind w:left="15" w:firstLine="413"/>
        <w:rPr>
          <w:rFonts w:ascii="仿宋" w:hAnsi="仿宋" w:eastAsia="仿宋" w:cs="仿宋"/>
          <w:color w:val="auto"/>
          <w:sz w:val="24"/>
          <w:szCs w:val="24"/>
        </w:rPr>
      </w:pPr>
      <w:r>
        <w:rPr>
          <w:rFonts w:ascii="仿宋" w:hAnsi="仿宋" w:eastAsia="仿宋" w:cs="仿宋"/>
          <w:color w:val="auto"/>
          <w:spacing w:val="-27"/>
          <w:sz w:val="24"/>
          <w:szCs w:val="24"/>
        </w:rPr>
        <w:t>2.地点：洛阳</w:t>
      </w:r>
      <w:r>
        <w:rPr>
          <w:rFonts w:ascii="仿宋" w:hAnsi="仿宋" w:eastAsia="仿宋" w:cs="仿宋"/>
          <w:color w:val="auto"/>
          <w:spacing w:val="-26"/>
          <w:sz w:val="24"/>
          <w:szCs w:val="24"/>
        </w:rPr>
        <w:t>市公共资源交易中心网站（http://lyggzyjy.ly.gov.cn/）。获取招标（采购）文</w:t>
      </w:r>
      <w:r>
        <w:rPr>
          <w:rFonts w:ascii="仿宋" w:hAnsi="仿宋" w:eastAsia="仿宋" w:cs="仿宋"/>
          <w:color w:val="auto"/>
          <w:spacing w:val="-19"/>
          <w:sz w:val="24"/>
          <w:szCs w:val="24"/>
        </w:rPr>
        <w:t>件</w:t>
      </w:r>
      <w:r>
        <w:rPr>
          <w:rFonts w:ascii="仿宋" w:hAnsi="仿宋" w:eastAsia="仿宋" w:cs="仿宋"/>
          <w:color w:val="auto"/>
          <w:spacing w:val="3"/>
          <w:sz w:val="24"/>
          <w:szCs w:val="24"/>
        </w:rPr>
        <w:t xml:space="preserve"> </w:t>
      </w:r>
      <w:r>
        <w:rPr>
          <w:rFonts w:ascii="仿宋" w:hAnsi="仿宋" w:eastAsia="仿宋" w:cs="仿宋"/>
          <w:color w:val="auto"/>
          <w:spacing w:val="-31"/>
          <w:sz w:val="24"/>
          <w:szCs w:val="24"/>
        </w:rPr>
        <w:t>后，请下载并安装最新版本投标</w:t>
      </w:r>
      <w:r>
        <w:rPr>
          <w:rFonts w:ascii="仿宋" w:hAnsi="仿宋" w:eastAsia="仿宋" w:cs="仿宋"/>
          <w:color w:val="auto"/>
          <w:spacing w:val="-30"/>
          <w:sz w:val="24"/>
          <w:szCs w:val="24"/>
        </w:rPr>
        <w:t>文件制作工具，制作电子投标（响应）文件，在投标截止时间前，</w:t>
      </w:r>
      <w:r>
        <w:rPr>
          <w:rFonts w:ascii="仿宋" w:hAnsi="仿宋" w:eastAsia="仿宋" w:cs="仿宋"/>
          <w:color w:val="auto"/>
          <w:spacing w:val="-16"/>
          <w:sz w:val="24"/>
          <w:szCs w:val="24"/>
        </w:rPr>
        <w:t>上</w:t>
      </w:r>
      <w:r>
        <w:rPr>
          <w:rFonts w:ascii="仿宋" w:hAnsi="仿宋" w:eastAsia="仿宋" w:cs="仿宋"/>
          <w:color w:val="auto"/>
          <w:spacing w:val="17"/>
          <w:sz w:val="24"/>
          <w:szCs w:val="24"/>
        </w:rPr>
        <w:t xml:space="preserve"> </w:t>
      </w:r>
      <w:r>
        <w:rPr>
          <w:rFonts w:ascii="仿宋" w:hAnsi="仿宋" w:eastAsia="仿宋" w:cs="仿宋"/>
          <w:color w:val="auto"/>
          <w:spacing w:val="-31"/>
          <w:sz w:val="24"/>
          <w:szCs w:val="24"/>
        </w:rPr>
        <w:t>传加密的投</w:t>
      </w:r>
      <w:r>
        <w:rPr>
          <w:rFonts w:ascii="仿宋" w:hAnsi="仿宋" w:eastAsia="仿宋" w:cs="仿宋"/>
          <w:color w:val="auto"/>
          <w:spacing w:val="-30"/>
          <w:sz w:val="24"/>
          <w:szCs w:val="24"/>
        </w:rPr>
        <w:t>标（响应）文件。投标人未在投标截止时间前完成上传的，视为逾期送达，洛阳市电子</w:t>
      </w:r>
      <w:r>
        <w:rPr>
          <w:rFonts w:ascii="仿宋" w:hAnsi="仿宋" w:eastAsia="仿宋" w:cs="仿宋"/>
          <w:color w:val="auto"/>
          <w:spacing w:val="-25"/>
          <w:sz w:val="24"/>
          <w:szCs w:val="24"/>
        </w:rPr>
        <w:t>招</w:t>
      </w:r>
      <w:r>
        <w:rPr>
          <w:rFonts w:ascii="仿宋" w:hAnsi="仿宋" w:eastAsia="仿宋" w:cs="仿宋"/>
          <w:color w:val="auto"/>
          <w:spacing w:val="17"/>
          <w:sz w:val="24"/>
          <w:szCs w:val="24"/>
        </w:rPr>
        <w:t xml:space="preserve"> </w:t>
      </w:r>
      <w:r>
        <w:rPr>
          <w:rFonts w:ascii="仿宋" w:hAnsi="仿宋" w:eastAsia="仿宋" w:cs="仿宋"/>
          <w:color w:val="auto"/>
          <w:spacing w:val="-28"/>
          <w:sz w:val="24"/>
          <w:szCs w:val="24"/>
        </w:rPr>
        <w:t>投标交易平台将拒绝接收。</w:t>
      </w:r>
    </w:p>
    <w:p w14:paraId="74F9FD32">
      <w:pPr>
        <w:spacing w:before="42" w:line="222" w:lineRule="auto"/>
        <w:ind w:left="437"/>
        <w:rPr>
          <w:rFonts w:ascii="仿宋" w:hAnsi="仿宋" w:eastAsia="仿宋" w:cs="仿宋"/>
          <w:color w:val="auto"/>
          <w:sz w:val="24"/>
          <w:szCs w:val="24"/>
        </w:rPr>
      </w:pPr>
      <w:r>
        <w:rPr>
          <w:rFonts w:ascii="仿宋" w:hAnsi="仿宋" w:eastAsia="仿宋" w:cs="仿宋"/>
          <w:b/>
          <w:bCs/>
          <w:color w:val="auto"/>
          <w:spacing w:val="-29"/>
          <w:sz w:val="24"/>
          <w:szCs w:val="24"/>
        </w:rPr>
        <w:t>五、开标时间及地点</w:t>
      </w:r>
    </w:p>
    <w:p w14:paraId="68FAE1EA">
      <w:pPr>
        <w:spacing w:before="177" w:line="222" w:lineRule="auto"/>
        <w:ind w:left="444"/>
        <w:rPr>
          <w:rFonts w:ascii="仿宋" w:hAnsi="仿宋" w:eastAsia="仿宋" w:cs="仿宋"/>
          <w:color w:val="auto"/>
          <w:sz w:val="24"/>
          <w:szCs w:val="24"/>
        </w:rPr>
      </w:pPr>
      <w:r>
        <w:rPr>
          <w:rFonts w:ascii="仿宋" w:hAnsi="仿宋" w:eastAsia="仿宋" w:cs="仿宋"/>
          <w:color w:val="auto"/>
          <w:spacing w:val="-22"/>
          <w:sz w:val="24"/>
          <w:szCs w:val="24"/>
        </w:rPr>
        <w:t>1.时间：202</w:t>
      </w:r>
      <w:r>
        <w:rPr>
          <w:rFonts w:hint="eastAsia" w:ascii="仿宋" w:hAnsi="仿宋" w:eastAsia="仿宋" w:cs="仿宋"/>
          <w:color w:val="auto"/>
          <w:spacing w:val="-22"/>
          <w:sz w:val="24"/>
          <w:szCs w:val="24"/>
          <w:lang w:val="en-US" w:eastAsia="zh-CN"/>
        </w:rPr>
        <w:t>6</w:t>
      </w:r>
      <w:r>
        <w:rPr>
          <w:rFonts w:ascii="仿宋" w:hAnsi="仿宋" w:eastAsia="仿宋" w:cs="仿宋"/>
          <w:color w:val="auto"/>
          <w:spacing w:val="-22"/>
          <w:sz w:val="24"/>
          <w:szCs w:val="24"/>
        </w:rPr>
        <w:t>年0</w:t>
      </w:r>
      <w:r>
        <w:rPr>
          <w:rFonts w:hint="eastAsia" w:ascii="仿宋" w:hAnsi="仿宋" w:eastAsia="仿宋" w:cs="仿宋"/>
          <w:color w:val="auto"/>
          <w:spacing w:val="-22"/>
          <w:sz w:val="24"/>
          <w:szCs w:val="24"/>
          <w:lang w:val="en-US" w:eastAsia="zh-CN"/>
        </w:rPr>
        <w:t>8</w:t>
      </w:r>
      <w:r>
        <w:rPr>
          <w:rFonts w:ascii="仿宋" w:hAnsi="仿宋" w:eastAsia="仿宋" w:cs="仿宋"/>
          <w:color w:val="auto"/>
          <w:spacing w:val="-22"/>
          <w:sz w:val="24"/>
          <w:szCs w:val="24"/>
        </w:rPr>
        <w:t>月</w:t>
      </w:r>
      <w:r>
        <w:rPr>
          <w:rFonts w:hint="eastAsia" w:ascii="仿宋" w:hAnsi="仿宋" w:eastAsia="仿宋" w:cs="仿宋"/>
          <w:color w:val="auto"/>
          <w:spacing w:val="-22"/>
          <w:sz w:val="24"/>
          <w:szCs w:val="24"/>
          <w:lang w:val="en-US" w:eastAsia="zh-CN"/>
        </w:rPr>
        <w:t>27</w:t>
      </w:r>
      <w:r>
        <w:rPr>
          <w:rFonts w:ascii="仿宋" w:hAnsi="仿宋" w:eastAsia="仿宋" w:cs="仿宋"/>
          <w:color w:val="auto"/>
          <w:spacing w:val="-22"/>
          <w:sz w:val="24"/>
          <w:szCs w:val="24"/>
        </w:rPr>
        <w:t>日09时10</w:t>
      </w:r>
      <w:r>
        <w:rPr>
          <w:rFonts w:ascii="仿宋" w:hAnsi="仿宋" w:eastAsia="仿宋" w:cs="仿宋"/>
          <w:color w:val="auto"/>
          <w:spacing w:val="-23"/>
          <w:sz w:val="24"/>
          <w:szCs w:val="24"/>
        </w:rPr>
        <w:t>分（北京时间）</w:t>
      </w:r>
    </w:p>
    <w:p w14:paraId="71AB6F91">
      <w:pPr>
        <w:spacing w:before="179" w:line="354" w:lineRule="auto"/>
        <w:ind w:left="16" w:right="2" w:firstLine="413"/>
        <w:rPr>
          <w:rFonts w:ascii="仿宋" w:hAnsi="仿宋" w:eastAsia="仿宋" w:cs="仿宋"/>
          <w:color w:val="auto"/>
          <w:sz w:val="24"/>
          <w:szCs w:val="24"/>
        </w:rPr>
      </w:pPr>
      <w:r>
        <w:rPr>
          <w:rFonts w:ascii="仿宋" w:hAnsi="仿宋" w:eastAsia="仿宋" w:cs="仿宋"/>
          <w:color w:val="auto"/>
          <w:spacing w:val="-30"/>
          <w:sz w:val="24"/>
          <w:szCs w:val="24"/>
        </w:rPr>
        <w:t>2</w:t>
      </w:r>
      <w:r>
        <w:rPr>
          <w:rFonts w:ascii="仿宋" w:hAnsi="仿宋" w:eastAsia="仿宋" w:cs="仿宋"/>
          <w:color w:val="auto"/>
          <w:spacing w:val="-29"/>
          <w:sz w:val="24"/>
          <w:szCs w:val="24"/>
        </w:rPr>
        <w:t>.地点：洛阳市孟津区公共资源交易中心开标一室（孟津区朝阳大道文博艺术中心东北区公共</w:t>
      </w:r>
      <w:r>
        <w:rPr>
          <w:rFonts w:ascii="仿宋" w:hAnsi="仿宋" w:eastAsia="仿宋" w:cs="仿宋"/>
          <w:color w:val="auto"/>
          <w:spacing w:val="-28"/>
          <w:sz w:val="24"/>
          <w:szCs w:val="24"/>
        </w:rPr>
        <w:t>资</w:t>
      </w:r>
      <w:r>
        <w:rPr>
          <w:rFonts w:ascii="仿宋" w:hAnsi="仿宋" w:eastAsia="仿宋" w:cs="仿宋"/>
          <w:color w:val="auto"/>
          <w:spacing w:val="8"/>
          <w:sz w:val="24"/>
          <w:szCs w:val="24"/>
        </w:rPr>
        <w:t xml:space="preserve"> </w:t>
      </w:r>
      <w:r>
        <w:rPr>
          <w:rFonts w:ascii="仿宋" w:hAnsi="仿宋" w:eastAsia="仿宋" w:cs="仿宋"/>
          <w:color w:val="auto"/>
          <w:spacing w:val="-34"/>
          <w:sz w:val="24"/>
          <w:szCs w:val="24"/>
        </w:rPr>
        <w:t>源交易中心一楼）。本项目采用远程不见面交易的模式，开标当日</w:t>
      </w:r>
      <w:r>
        <w:rPr>
          <w:rFonts w:ascii="仿宋" w:hAnsi="仿宋" w:eastAsia="仿宋" w:cs="仿宋"/>
          <w:color w:val="auto"/>
          <w:spacing w:val="-35"/>
          <w:sz w:val="24"/>
          <w:szCs w:val="24"/>
        </w:rPr>
        <w:t>，投标人无需到现场参加开标会议，</w:t>
      </w:r>
      <w:r>
        <w:rPr>
          <w:rFonts w:ascii="仿宋" w:hAnsi="仿宋" w:eastAsia="仿宋" w:cs="仿宋"/>
          <w:color w:val="auto"/>
          <w:sz w:val="24"/>
          <w:szCs w:val="24"/>
        </w:rPr>
        <w:t xml:space="preserve"> </w:t>
      </w:r>
      <w:r>
        <w:rPr>
          <w:rFonts w:ascii="仿宋" w:hAnsi="仿宋" w:eastAsia="仿宋" w:cs="仿宋"/>
          <w:color w:val="auto"/>
          <w:spacing w:val="-35"/>
          <w:sz w:val="24"/>
          <w:szCs w:val="24"/>
        </w:rPr>
        <w:t>应在投标截</w:t>
      </w:r>
      <w:r>
        <w:rPr>
          <w:rFonts w:ascii="仿宋" w:hAnsi="仿宋" w:eastAsia="仿宋" w:cs="仿宋"/>
          <w:color w:val="auto"/>
          <w:spacing w:val="-34"/>
          <w:sz w:val="24"/>
          <w:szCs w:val="24"/>
        </w:rPr>
        <w:t>止时间前，登录“不见面开标大厅”，在线准时参加开</w:t>
      </w:r>
      <w:r>
        <w:rPr>
          <w:rFonts w:ascii="仿宋" w:hAnsi="仿宋" w:eastAsia="仿宋" w:cs="仿宋"/>
          <w:color w:val="auto"/>
          <w:spacing w:val="-35"/>
          <w:sz w:val="24"/>
          <w:szCs w:val="24"/>
        </w:rPr>
        <w:t>标活动并进行投标（响应）文件解</w:t>
      </w:r>
      <w:r>
        <w:rPr>
          <w:rFonts w:ascii="仿宋" w:hAnsi="仿宋" w:eastAsia="仿宋" w:cs="仿宋"/>
          <w:color w:val="auto"/>
          <w:spacing w:val="-30"/>
          <w:sz w:val="24"/>
          <w:szCs w:val="24"/>
        </w:rPr>
        <w:t>密</w:t>
      </w:r>
      <w:r>
        <w:rPr>
          <w:rFonts w:ascii="仿宋" w:hAnsi="仿宋" w:eastAsia="仿宋" w:cs="仿宋"/>
          <w:color w:val="auto"/>
          <w:sz w:val="24"/>
          <w:szCs w:val="24"/>
        </w:rPr>
        <w:t xml:space="preserve"> </w:t>
      </w:r>
      <w:r>
        <w:rPr>
          <w:rFonts w:ascii="仿宋" w:hAnsi="仿宋" w:eastAsia="仿宋" w:cs="仿宋"/>
          <w:color w:val="auto"/>
          <w:spacing w:val="-30"/>
          <w:sz w:val="24"/>
          <w:szCs w:val="24"/>
        </w:rPr>
        <w:t>等。因投标人原因未能解密或解密失败的将被拒绝。详见洛阳市公共资源交易中心网站—新系统入口</w:t>
      </w:r>
      <w:r>
        <w:rPr>
          <w:rFonts w:ascii="仿宋" w:hAnsi="仿宋" w:eastAsia="仿宋" w:cs="仿宋"/>
          <w:color w:val="auto"/>
          <w:spacing w:val="14"/>
          <w:sz w:val="24"/>
          <w:szCs w:val="24"/>
        </w:rPr>
        <w:t xml:space="preserve"> </w:t>
      </w:r>
      <w:r>
        <w:rPr>
          <w:rFonts w:ascii="仿宋" w:hAnsi="仿宋" w:eastAsia="仿宋" w:cs="仿宋"/>
          <w:color w:val="auto"/>
          <w:spacing w:val="-30"/>
          <w:sz w:val="24"/>
          <w:szCs w:val="24"/>
        </w:rPr>
        <w:t>或办事指南-必看!新</w:t>
      </w:r>
      <w:r>
        <w:rPr>
          <w:rFonts w:ascii="仿宋" w:hAnsi="仿宋" w:eastAsia="仿宋" w:cs="仿宋"/>
          <w:color w:val="auto"/>
          <w:spacing w:val="-29"/>
          <w:sz w:val="24"/>
          <w:szCs w:val="24"/>
        </w:rPr>
        <w:t>交易平台使用手册。除电子投标（响应）文件外，投标时不再接受任何纸质文</w:t>
      </w:r>
      <w:r>
        <w:rPr>
          <w:rFonts w:ascii="仿宋" w:hAnsi="仿宋" w:eastAsia="仿宋" w:cs="仿宋"/>
          <w:color w:val="auto"/>
          <w:spacing w:val="-19"/>
          <w:sz w:val="24"/>
          <w:szCs w:val="24"/>
        </w:rPr>
        <w:t>件</w:t>
      </w:r>
      <w:r>
        <w:rPr>
          <w:rFonts w:ascii="仿宋" w:hAnsi="仿宋" w:eastAsia="仿宋" w:cs="仿宋"/>
          <w:color w:val="auto"/>
          <w:sz w:val="24"/>
          <w:szCs w:val="24"/>
        </w:rPr>
        <w:t xml:space="preserve"> </w:t>
      </w:r>
      <w:r>
        <w:rPr>
          <w:rFonts w:ascii="仿宋" w:hAnsi="仿宋" w:eastAsia="仿宋" w:cs="仿宋"/>
          <w:color w:val="auto"/>
          <w:spacing w:val="-22"/>
          <w:sz w:val="24"/>
          <w:szCs w:val="24"/>
        </w:rPr>
        <w:t>、资料等。</w:t>
      </w:r>
    </w:p>
    <w:p w14:paraId="3D4B4328">
      <w:pPr>
        <w:spacing w:before="40" w:line="220" w:lineRule="auto"/>
        <w:ind w:left="435"/>
        <w:rPr>
          <w:rFonts w:ascii="仿宋" w:hAnsi="仿宋" w:eastAsia="仿宋" w:cs="仿宋"/>
          <w:color w:val="auto"/>
          <w:sz w:val="24"/>
          <w:szCs w:val="24"/>
        </w:rPr>
      </w:pPr>
      <w:r>
        <w:rPr>
          <w:rFonts w:ascii="仿宋" w:hAnsi="仿宋" w:eastAsia="仿宋" w:cs="仿宋"/>
          <w:b/>
          <w:bCs/>
          <w:color w:val="auto"/>
          <w:spacing w:val="-31"/>
          <w:sz w:val="24"/>
          <w:szCs w:val="24"/>
        </w:rPr>
        <w:t>六、发布公告的媒介及招标公告期限</w:t>
      </w:r>
    </w:p>
    <w:p w14:paraId="671F721B">
      <w:pPr>
        <w:spacing w:before="180" w:line="344" w:lineRule="auto"/>
        <w:ind w:left="22" w:right="2" w:firstLine="411"/>
        <w:rPr>
          <w:rFonts w:ascii="仿宋" w:hAnsi="仿宋" w:eastAsia="仿宋" w:cs="仿宋"/>
          <w:color w:val="auto"/>
          <w:sz w:val="24"/>
          <w:szCs w:val="24"/>
        </w:rPr>
      </w:pPr>
      <w:r>
        <w:rPr>
          <w:rFonts w:ascii="仿宋" w:hAnsi="仿宋" w:eastAsia="仿宋" w:cs="仿宋"/>
          <w:color w:val="auto"/>
          <w:spacing w:val="-40"/>
          <w:sz w:val="24"/>
          <w:szCs w:val="24"/>
        </w:rPr>
        <w:t>本次招标公告在《河南省政府采购网》、《洛阳</w:t>
      </w:r>
      <w:r>
        <w:rPr>
          <w:rFonts w:ascii="仿宋" w:hAnsi="仿宋" w:eastAsia="仿宋" w:cs="仿宋"/>
          <w:color w:val="auto"/>
          <w:spacing w:val="-39"/>
          <w:sz w:val="24"/>
          <w:szCs w:val="24"/>
        </w:rPr>
        <w:t>市公共资源交易中心网》</w:t>
      </w:r>
      <w:r>
        <w:rPr>
          <w:rFonts w:ascii="仿宋" w:hAnsi="仿宋" w:eastAsia="仿宋" w:cs="仿宋"/>
          <w:color w:val="auto"/>
          <w:spacing w:val="-19"/>
          <w:sz w:val="24"/>
          <w:szCs w:val="24"/>
        </w:rPr>
        <w:t>上</w:t>
      </w:r>
      <w:r>
        <w:rPr>
          <w:rFonts w:ascii="仿宋" w:hAnsi="仿宋" w:eastAsia="仿宋" w:cs="仿宋"/>
          <w:color w:val="auto"/>
          <w:spacing w:val="-29"/>
          <w:sz w:val="24"/>
          <w:szCs w:val="24"/>
        </w:rPr>
        <w:t>发布。招标公告期限为五个工作日。</w:t>
      </w:r>
    </w:p>
    <w:p w14:paraId="73C3B49B">
      <w:pPr>
        <w:spacing w:before="40" w:line="222" w:lineRule="auto"/>
        <w:ind w:left="438"/>
        <w:rPr>
          <w:rFonts w:ascii="仿宋" w:hAnsi="仿宋" w:eastAsia="仿宋" w:cs="仿宋"/>
          <w:color w:val="auto"/>
          <w:sz w:val="24"/>
          <w:szCs w:val="24"/>
        </w:rPr>
      </w:pPr>
      <w:r>
        <w:rPr>
          <w:rFonts w:ascii="仿宋" w:hAnsi="仿宋" w:eastAsia="仿宋" w:cs="仿宋"/>
          <w:b/>
          <w:bCs/>
          <w:color w:val="auto"/>
          <w:spacing w:val="-28"/>
          <w:sz w:val="24"/>
          <w:szCs w:val="24"/>
        </w:rPr>
        <w:t>七、其他补充事宜</w:t>
      </w:r>
    </w:p>
    <w:p w14:paraId="100F4554">
      <w:pPr>
        <w:spacing w:before="178" w:line="219" w:lineRule="auto"/>
        <w:ind w:left="444"/>
        <w:rPr>
          <w:rFonts w:ascii="仿宋" w:hAnsi="仿宋" w:eastAsia="仿宋" w:cs="仿宋"/>
          <w:color w:val="auto"/>
          <w:sz w:val="24"/>
          <w:szCs w:val="24"/>
        </w:rPr>
      </w:pPr>
      <w:r>
        <w:rPr>
          <w:rFonts w:ascii="仿宋" w:hAnsi="仿宋" w:eastAsia="仿宋" w:cs="仿宋"/>
          <w:color w:val="auto"/>
          <w:spacing w:val="-30"/>
          <w:sz w:val="24"/>
          <w:szCs w:val="24"/>
        </w:rPr>
        <w:t>1、投标人在参与本项目招标采购活动期间应及时关注本网站获取相关澄清或变更等信息。</w:t>
      </w:r>
    </w:p>
    <w:p w14:paraId="2754F49E">
      <w:pPr>
        <w:spacing w:before="183" w:line="222" w:lineRule="auto"/>
        <w:ind w:left="429"/>
        <w:rPr>
          <w:rFonts w:ascii="仿宋" w:hAnsi="仿宋" w:eastAsia="仿宋" w:cs="仿宋"/>
          <w:color w:val="auto"/>
          <w:sz w:val="24"/>
          <w:szCs w:val="24"/>
        </w:rPr>
      </w:pPr>
      <w:r>
        <w:rPr>
          <w:rFonts w:ascii="仿宋" w:hAnsi="仿宋" w:eastAsia="仿宋" w:cs="仿宋"/>
          <w:color w:val="auto"/>
          <w:spacing w:val="-27"/>
          <w:sz w:val="24"/>
          <w:szCs w:val="24"/>
        </w:rPr>
        <w:t>2、监管部门及其联系方式：</w:t>
      </w:r>
    </w:p>
    <w:p w14:paraId="5C5089F0">
      <w:pPr>
        <w:spacing w:before="177" w:line="222" w:lineRule="auto"/>
        <w:ind w:left="440"/>
        <w:rPr>
          <w:rFonts w:ascii="仿宋" w:hAnsi="仿宋" w:eastAsia="仿宋" w:cs="仿宋"/>
          <w:color w:val="auto"/>
          <w:sz w:val="24"/>
          <w:szCs w:val="24"/>
        </w:rPr>
      </w:pPr>
      <w:r>
        <w:rPr>
          <w:rFonts w:ascii="仿宋" w:hAnsi="仿宋" w:eastAsia="仿宋" w:cs="仿宋"/>
          <w:color w:val="auto"/>
          <w:spacing w:val="-29"/>
          <w:sz w:val="24"/>
          <w:szCs w:val="24"/>
        </w:rPr>
        <w:t>监督部门：洛阳市孟津区财政局</w:t>
      </w:r>
    </w:p>
    <w:p w14:paraId="1F85EF21">
      <w:pPr>
        <w:spacing w:before="180" w:line="343" w:lineRule="auto"/>
        <w:ind w:left="440" w:right="4648"/>
        <w:rPr>
          <w:rFonts w:ascii="仿宋" w:hAnsi="仿宋" w:eastAsia="仿宋" w:cs="仿宋"/>
          <w:color w:val="auto"/>
          <w:sz w:val="24"/>
          <w:szCs w:val="24"/>
        </w:rPr>
      </w:pPr>
      <w:r>
        <w:rPr>
          <w:rFonts w:ascii="仿宋" w:hAnsi="仿宋" w:eastAsia="仿宋" w:cs="仿宋"/>
          <w:color w:val="auto"/>
          <w:spacing w:val="-31"/>
          <w:sz w:val="24"/>
          <w:szCs w:val="24"/>
        </w:rPr>
        <w:t>监管部门联系人：洛阳市孟津区财政局采购办</w:t>
      </w:r>
      <w:r>
        <w:rPr>
          <w:rFonts w:ascii="仿宋" w:hAnsi="仿宋" w:eastAsia="仿宋" w:cs="仿宋"/>
          <w:color w:val="auto"/>
          <w:spacing w:val="3"/>
          <w:sz w:val="24"/>
          <w:szCs w:val="24"/>
        </w:rPr>
        <w:t xml:space="preserve"> </w:t>
      </w:r>
      <w:r>
        <w:rPr>
          <w:rFonts w:ascii="仿宋" w:hAnsi="仿宋" w:eastAsia="仿宋" w:cs="仿宋"/>
          <w:color w:val="auto"/>
          <w:spacing w:val="-22"/>
          <w:sz w:val="24"/>
          <w:szCs w:val="24"/>
        </w:rPr>
        <w:t>监管部门联系方式：0379-67937160</w:t>
      </w:r>
    </w:p>
    <w:p w14:paraId="0C99BB4A">
      <w:pPr>
        <w:spacing w:before="42" w:line="220" w:lineRule="auto"/>
        <w:ind w:left="433"/>
        <w:rPr>
          <w:rFonts w:ascii="仿宋" w:hAnsi="仿宋" w:eastAsia="仿宋" w:cs="仿宋"/>
          <w:color w:val="auto"/>
          <w:sz w:val="24"/>
          <w:szCs w:val="24"/>
        </w:rPr>
      </w:pPr>
      <w:r>
        <w:rPr>
          <w:rFonts w:ascii="仿宋" w:hAnsi="仿宋" w:eastAsia="仿宋" w:cs="仿宋"/>
          <w:b/>
          <w:bCs/>
          <w:color w:val="auto"/>
          <w:spacing w:val="-31"/>
          <w:sz w:val="24"/>
          <w:szCs w:val="24"/>
        </w:rPr>
        <w:t>八、对本次招标提出询问，请按以下方式联系</w:t>
      </w:r>
    </w:p>
    <w:p w14:paraId="43214886">
      <w:pPr>
        <w:spacing w:before="178" w:line="222" w:lineRule="auto"/>
        <w:ind w:firstLine="588" w:firstLineChars="300"/>
        <w:rPr>
          <w:rFonts w:ascii="仿宋" w:hAnsi="仿宋" w:eastAsia="仿宋" w:cs="仿宋"/>
          <w:color w:val="auto"/>
          <w:sz w:val="24"/>
          <w:szCs w:val="24"/>
        </w:rPr>
      </w:pPr>
      <w:r>
        <w:rPr>
          <w:rFonts w:ascii="仿宋" w:hAnsi="仿宋" w:eastAsia="仿宋" w:cs="仿宋"/>
          <w:color w:val="auto"/>
          <w:spacing w:val="-22"/>
          <w:sz w:val="24"/>
          <w:szCs w:val="24"/>
        </w:rPr>
        <w:t>1.采购人信息</w:t>
      </w:r>
    </w:p>
    <w:p w14:paraId="5738EA74">
      <w:pPr>
        <w:spacing w:before="122" w:line="217" w:lineRule="auto"/>
        <w:ind w:left="527"/>
        <w:rPr>
          <w:rFonts w:ascii="仿宋" w:hAnsi="仿宋" w:eastAsia="仿宋" w:cs="仿宋"/>
          <w:color w:val="auto"/>
          <w:sz w:val="24"/>
          <w:szCs w:val="24"/>
        </w:rPr>
      </w:pPr>
      <w:r>
        <w:rPr>
          <w:rFonts w:ascii="仿宋" w:hAnsi="仿宋" w:eastAsia="仿宋" w:cs="仿宋"/>
          <w:color w:val="auto"/>
          <w:spacing w:val="-28"/>
          <w:sz w:val="24"/>
          <w:szCs w:val="24"/>
        </w:rPr>
        <w:t>名称：洛阳市孟津区机关事务服务中心</w:t>
      </w:r>
    </w:p>
    <w:p w14:paraId="647FC216">
      <w:pPr>
        <w:spacing w:before="108" w:line="216" w:lineRule="auto"/>
        <w:ind w:left="527"/>
        <w:rPr>
          <w:rFonts w:ascii="仿宋" w:hAnsi="仿宋" w:eastAsia="仿宋" w:cs="仿宋"/>
          <w:color w:val="auto"/>
          <w:sz w:val="24"/>
          <w:szCs w:val="24"/>
        </w:rPr>
      </w:pPr>
      <w:r>
        <w:rPr>
          <w:rFonts w:ascii="仿宋" w:hAnsi="仿宋" w:eastAsia="仿宋" w:cs="仿宋"/>
          <w:color w:val="auto"/>
          <w:spacing w:val="-28"/>
          <w:sz w:val="24"/>
          <w:szCs w:val="24"/>
        </w:rPr>
        <w:t>地址：洛阳市孟津区桂花大道中段区政府后院</w:t>
      </w:r>
    </w:p>
    <w:p w14:paraId="2E6D79E4">
      <w:pPr>
        <w:spacing w:before="125" w:line="218" w:lineRule="auto"/>
        <w:ind w:left="523"/>
        <w:rPr>
          <w:rFonts w:ascii="仿宋" w:hAnsi="仿宋" w:eastAsia="仿宋" w:cs="仿宋"/>
          <w:color w:val="auto"/>
          <w:sz w:val="24"/>
          <w:szCs w:val="24"/>
        </w:rPr>
      </w:pPr>
      <w:r>
        <w:rPr>
          <w:rFonts w:ascii="仿宋" w:hAnsi="仿宋" w:eastAsia="仿宋" w:cs="仿宋"/>
          <w:color w:val="auto"/>
          <w:spacing w:val="-24"/>
          <w:sz w:val="24"/>
          <w:szCs w:val="24"/>
        </w:rPr>
        <w:t>联系人：梁先生</w:t>
      </w:r>
    </w:p>
    <w:p w14:paraId="07833AF3">
      <w:pPr>
        <w:spacing w:before="175" w:line="345" w:lineRule="auto"/>
        <w:ind w:right="6403" w:firstLine="404" w:firstLineChars="200"/>
        <w:rPr>
          <w:rFonts w:ascii="仿宋" w:hAnsi="仿宋" w:eastAsia="仿宋" w:cs="仿宋"/>
          <w:color w:val="auto"/>
          <w:spacing w:val="-19"/>
          <w:sz w:val="24"/>
          <w:szCs w:val="24"/>
        </w:rPr>
      </w:pPr>
    </w:p>
    <w:p w14:paraId="7E07FBEA">
      <w:pPr>
        <w:spacing w:before="175" w:line="345" w:lineRule="auto"/>
        <w:ind w:right="6403" w:firstLine="404" w:firstLineChars="200"/>
        <w:rPr>
          <w:rFonts w:ascii="仿宋" w:hAnsi="仿宋" w:eastAsia="仿宋" w:cs="仿宋"/>
          <w:color w:val="auto"/>
          <w:spacing w:val="-19"/>
          <w:sz w:val="24"/>
          <w:szCs w:val="24"/>
        </w:rPr>
      </w:pPr>
      <w:r>
        <w:rPr>
          <w:rFonts w:ascii="仿宋" w:hAnsi="仿宋" w:eastAsia="仿宋" w:cs="仿宋"/>
          <w:color w:val="auto"/>
          <w:spacing w:val="-19"/>
          <w:sz w:val="24"/>
          <w:szCs w:val="24"/>
        </w:rPr>
        <w:t>联系方式：</w:t>
      </w:r>
      <w:r>
        <w:rPr>
          <w:rFonts w:hint="eastAsia" w:ascii="仿宋" w:hAnsi="仿宋" w:eastAsia="仿宋" w:cs="仿宋"/>
          <w:color w:val="auto"/>
          <w:spacing w:val="-19"/>
          <w:sz w:val="24"/>
          <w:szCs w:val="24"/>
        </w:rPr>
        <w:t>0379-67912321</w:t>
      </w:r>
    </w:p>
    <w:p w14:paraId="509C4E71">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2.采购代理机构信息（如有）</w:t>
      </w:r>
    </w:p>
    <w:p w14:paraId="154C5BB5">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名称：洛阳市华达工程管理有限公司</w:t>
      </w:r>
    </w:p>
    <w:p w14:paraId="1E5A589C">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地址：孟津区黄河大道东段</w:t>
      </w:r>
    </w:p>
    <w:p w14:paraId="1C966F82">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联系人：刘先生</w:t>
      </w:r>
    </w:p>
    <w:p w14:paraId="7374CFDA">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 xml:space="preserve">联系方式：18211986205 </w:t>
      </w:r>
    </w:p>
    <w:p w14:paraId="2696B245">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3.项目联系方式</w:t>
      </w:r>
    </w:p>
    <w:p w14:paraId="78E48437">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项目联系人：刘先生</w:t>
      </w:r>
    </w:p>
    <w:p w14:paraId="6C699E66">
      <w:pPr>
        <w:spacing w:before="108" w:line="216" w:lineRule="auto"/>
        <w:ind w:left="527"/>
        <w:rPr>
          <w:rFonts w:hint="eastAsia" w:ascii="仿宋" w:hAnsi="仿宋" w:eastAsia="仿宋" w:cs="仿宋"/>
          <w:color w:val="auto"/>
          <w:spacing w:val="-28"/>
          <w:sz w:val="24"/>
          <w:szCs w:val="24"/>
        </w:rPr>
      </w:pPr>
      <w:r>
        <w:rPr>
          <w:rFonts w:hint="eastAsia" w:ascii="仿宋" w:hAnsi="仿宋" w:eastAsia="仿宋" w:cs="仿宋"/>
          <w:color w:val="auto"/>
          <w:spacing w:val="-28"/>
          <w:sz w:val="24"/>
          <w:szCs w:val="24"/>
        </w:rPr>
        <w:t>联系方式：18211986205</w:t>
      </w:r>
    </w:p>
    <w:p w14:paraId="3B2D8689">
      <w:pPr>
        <w:spacing w:before="108" w:line="216" w:lineRule="auto"/>
        <w:ind w:left="527"/>
        <w:rPr>
          <w:rFonts w:hint="eastAsia" w:ascii="仿宋" w:hAnsi="仿宋" w:eastAsia="仿宋" w:cs="仿宋"/>
          <w:color w:val="auto"/>
          <w:spacing w:val="-28"/>
          <w:sz w:val="24"/>
          <w:szCs w:val="24"/>
        </w:rPr>
      </w:pPr>
    </w:p>
    <w:p w14:paraId="1CDF6381">
      <w:pPr>
        <w:spacing w:before="108" w:line="216" w:lineRule="auto"/>
        <w:ind w:left="527"/>
        <w:rPr>
          <w:rFonts w:hint="eastAsia" w:ascii="仿宋" w:hAnsi="仿宋" w:eastAsia="仿宋" w:cs="仿宋"/>
          <w:color w:val="auto"/>
          <w:spacing w:val="-28"/>
          <w:sz w:val="24"/>
          <w:szCs w:val="24"/>
        </w:rPr>
      </w:pPr>
    </w:p>
    <w:p w14:paraId="742334ED">
      <w:pPr>
        <w:spacing w:before="108" w:line="216" w:lineRule="auto"/>
        <w:ind w:left="527"/>
        <w:rPr>
          <w:rFonts w:hint="eastAsia" w:ascii="仿宋" w:hAnsi="仿宋" w:eastAsia="仿宋" w:cs="仿宋"/>
          <w:color w:val="auto"/>
          <w:spacing w:val="-28"/>
          <w:sz w:val="24"/>
          <w:szCs w:val="24"/>
        </w:rPr>
      </w:pPr>
    </w:p>
    <w:p w14:paraId="4E73F302">
      <w:pPr>
        <w:widowControl/>
        <w:shd w:val="clear" w:color="auto" w:fill="FFFFFF"/>
        <w:ind w:firstLine="560"/>
        <w:jc w:val="right"/>
        <w:rPr>
          <w:rFonts w:hint="eastAsia" w:ascii="仿宋" w:hAnsi="仿宋" w:eastAsia="仿宋" w:cs="仿宋"/>
          <w:snapToGrid w:val="0"/>
          <w:color w:val="auto"/>
          <w:spacing w:val="-28"/>
          <w:kern w:val="0"/>
          <w:sz w:val="24"/>
          <w:szCs w:val="24"/>
          <w:lang w:val="en-US" w:eastAsia="zh-CN" w:bidi="ar-SA"/>
        </w:rPr>
      </w:pPr>
      <w:r>
        <w:rPr>
          <w:rFonts w:hint="eastAsia" w:ascii="仿宋" w:hAnsi="仿宋" w:eastAsia="仿宋" w:cs="仿宋"/>
          <w:snapToGrid w:val="0"/>
          <w:color w:val="auto"/>
          <w:spacing w:val="-28"/>
          <w:kern w:val="0"/>
          <w:sz w:val="24"/>
          <w:szCs w:val="24"/>
          <w:lang w:val="en-US" w:eastAsia="zh-CN" w:bidi="ar-SA"/>
        </w:rPr>
        <w:t>2026年08月05日</w:t>
      </w:r>
    </w:p>
    <w:p w14:paraId="20C6F2E9">
      <w:pPr>
        <w:spacing w:before="108" w:line="216" w:lineRule="auto"/>
        <w:ind w:left="527"/>
        <w:rPr>
          <w:rFonts w:hint="eastAsia" w:ascii="仿宋" w:hAnsi="仿宋" w:eastAsia="仿宋" w:cs="仿宋"/>
          <w:color w:val="auto"/>
          <w:spacing w:val="-28"/>
          <w:sz w:val="24"/>
          <w:szCs w:val="24"/>
        </w:rPr>
        <w:sectPr>
          <w:headerReference r:id="rId13" w:type="default"/>
          <w:footerReference r:id="rId14" w:type="default"/>
          <w:pgSz w:w="11906" w:h="16839"/>
          <w:pgMar w:top="999" w:right="1246" w:bottom="844" w:left="1418" w:header="698" w:footer="682" w:gutter="0"/>
          <w:pgNumType w:fmt="decimal"/>
          <w:cols w:space="720" w:num="1"/>
        </w:sectPr>
      </w:pPr>
    </w:p>
    <w:p w14:paraId="41FEA1C1">
      <w:pPr>
        <w:pStyle w:val="3"/>
        <w:spacing w:line="354" w:lineRule="auto"/>
        <w:rPr>
          <w:color w:val="auto"/>
        </w:rPr>
      </w:pPr>
    </w:p>
    <w:p w14:paraId="00168A9D">
      <w:pPr>
        <w:spacing w:before="113" w:line="224" w:lineRule="auto"/>
        <w:ind w:left="3171"/>
        <w:outlineLvl w:val="0"/>
        <w:rPr>
          <w:rFonts w:ascii="宋体" w:hAnsi="宋体" w:eastAsia="宋体" w:cs="宋体"/>
          <w:color w:val="auto"/>
          <w:sz w:val="35"/>
          <w:szCs w:val="35"/>
        </w:rPr>
      </w:pPr>
      <w:bookmarkStart w:id="6" w:name="bookmark5"/>
      <w:bookmarkEnd w:id="6"/>
      <w:bookmarkStart w:id="7" w:name="_Toc20013"/>
      <w:r>
        <w:rPr>
          <w:rFonts w:ascii="宋体" w:hAnsi="宋体" w:eastAsia="宋体" w:cs="宋体"/>
          <w:b/>
          <w:bCs/>
          <w:color w:val="auto"/>
          <w:spacing w:val="-18"/>
          <w:sz w:val="35"/>
          <w:szCs w:val="35"/>
        </w:rPr>
        <w:t>第二章</w:t>
      </w:r>
      <w:r>
        <w:rPr>
          <w:rFonts w:ascii="宋体" w:hAnsi="宋体" w:eastAsia="宋体" w:cs="宋体"/>
          <w:color w:val="auto"/>
          <w:spacing w:val="66"/>
          <w:sz w:val="35"/>
          <w:szCs w:val="35"/>
        </w:rPr>
        <w:t xml:space="preserve">  </w:t>
      </w:r>
      <w:r>
        <w:rPr>
          <w:rFonts w:ascii="宋体" w:hAnsi="宋体" w:eastAsia="宋体" w:cs="宋体"/>
          <w:b/>
          <w:bCs/>
          <w:color w:val="auto"/>
          <w:spacing w:val="-18"/>
          <w:sz w:val="35"/>
          <w:szCs w:val="35"/>
        </w:rPr>
        <w:t>投标人须知</w:t>
      </w:r>
      <w:bookmarkEnd w:id="7"/>
    </w:p>
    <w:p w14:paraId="6B249717">
      <w:pPr>
        <w:spacing w:before="23" w:line="222" w:lineRule="auto"/>
        <w:ind w:left="3861"/>
        <w:rPr>
          <w:rFonts w:ascii="仿宋" w:hAnsi="仿宋" w:eastAsia="仿宋" w:cs="仿宋"/>
          <w:color w:val="auto"/>
          <w:sz w:val="24"/>
          <w:szCs w:val="24"/>
        </w:rPr>
      </w:pPr>
      <w:r>
        <w:rPr>
          <w:rFonts w:ascii="仿宋" w:hAnsi="仿宋" w:eastAsia="仿宋" w:cs="仿宋"/>
          <w:b/>
          <w:bCs/>
          <w:color w:val="auto"/>
          <w:spacing w:val="-20"/>
          <w:sz w:val="24"/>
          <w:szCs w:val="24"/>
        </w:rPr>
        <w:t>投标人须知前附表</w:t>
      </w:r>
    </w:p>
    <w:p w14:paraId="010D9F62">
      <w:pPr>
        <w:spacing w:before="22"/>
        <w:rPr>
          <w:color w:val="auto"/>
        </w:rPr>
      </w:pPr>
    </w:p>
    <w:tbl>
      <w:tblPr>
        <w:tblStyle w:val="10"/>
        <w:tblW w:w="92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941"/>
        <w:gridCol w:w="5437"/>
      </w:tblGrid>
      <w:tr w14:paraId="0E287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895" w:type="dxa"/>
            <w:vAlign w:val="top"/>
          </w:tcPr>
          <w:p w14:paraId="4B50C110">
            <w:pPr>
              <w:pStyle w:val="11"/>
              <w:spacing w:before="169" w:line="232" w:lineRule="auto"/>
              <w:ind w:left="104"/>
              <w:rPr>
                <w:color w:val="auto"/>
              </w:rPr>
            </w:pPr>
            <w:r>
              <w:rPr>
                <w:color w:val="auto"/>
                <w:spacing w:val="-10"/>
              </w:rPr>
              <w:t>条款号</w:t>
            </w:r>
          </w:p>
        </w:tc>
        <w:tc>
          <w:tcPr>
            <w:tcW w:w="2941" w:type="dxa"/>
            <w:vAlign w:val="top"/>
          </w:tcPr>
          <w:p w14:paraId="447F9B0C">
            <w:pPr>
              <w:pStyle w:val="11"/>
              <w:spacing w:before="170" w:line="229" w:lineRule="auto"/>
              <w:ind w:left="100"/>
              <w:rPr>
                <w:color w:val="auto"/>
              </w:rPr>
            </w:pPr>
            <w:r>
              <w:rPr>
                <w:color w:val="auto"/>
                <w:spacing w:val="-3"/>
              </w:rPr>
              <w:t>名称</w:t>
            </w:r>
          </w:p>
        </w:tc>
        <w:tc>
          <w:tcPr>
            <w:tcW w:w="5437" w:type="dxa"/>
            <w:vAlign w:val="top"/>
          </w:tcPr>
          <w:p w14:paraId="4705D505">
            <w:pPr>
              <w:pStyle w:val="11"/>
              <w:spacing w:before="170" w:line="231" w:lineRule="auto"/>
              <w:ind w:left="128"/>
              <w:rPr>
                <w:color w:val="auto"/>
              </w:rPr>
            </w:pPr>
            <w:r>
              <w:rPr>
                <w:color w:val="auto"/>
                <w:spacing w:val="-16"/>
              </w:rPr>
              <w:t>内容</w:t>
            </w:r>
          </w:p>
        </w:tc>
      </w:tr>
      <w:tr w14:paraId="2CB49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3" w:hRule="atLeast"/>
        </w:trPr>
        <w:tc>
          <w:tcPr>
            <w:tcW w:w="895" w:type="dxa"/>
            <w:vAlign w:val="top"/>
          </w:tcPr>
          <w:p w14:paraId="53C4EE87">
            <w:pPr>
              <w:spacing w:line="318" w:lineRule="auto"/>
              <w:rPr>
                <w:rFonts w:ascii="Arial"/>
                <w:color w:val="auto"/>
                <w:sz w:val="21"/>
              </w:rPr>
            </w:pPr>
          </w:p>
          <w:p w14:paraId="45013FB0">
            <w:pPr>
              <w:spacing w:line="318" w:lineRule="auto"/>
              <w:rPr>
                <w:rFonts w:ascii="Arial"/>
                <w:color w:val="auto"/>
                <w:sz w:val="21"/>
              </w:rPr>
            </w:pPr>
          </w:p>
          <w:p w14:paraId="65341C48">
            <w:pPr>
              <w:spacing w:line="319" w:lineRule="auto"/>
              <w:rPr>
                <w:rFonts w:ascii="Arial"/>
                <w:color w:val="auto"/>
                <w:sz w:val="21"/>
              </w:rPr>
            </w:pPr>
          </w:p>
          <w:p w14:paraId="1517383E">
            <w:pPr>
              <w:pStyle w:val="11"/>
              <w:spacing w:before="65" w:line="187" w:lineRule="auto"/>
              <w:ind w:left="110"/>
              <w:rPr>
                <w:color w:val="auto"/>
              </w:rPr>
            </w:pPr>
            <w:r>
              <w:rPr>
                <w:color w:val="auto"/>
                <w:spacing w:val="-10"/>
              </w:rPr>
              <w:t>1.1.2</w:t>
            </w:r>
          </w:p>
        </w:tc>
        <w:tc>
          <w:tcPr>
            <w:tcW w:w="2941" w:type="dxa"/>
            <w:vAlign w:val="top"/>
          </w:tcPr>
          <w:p w14:paraId="3CBE4F53">
            <w:pPr>
              <w:spacing w:line="306" w:lineRule="auto"/>
              <w:rPr>
                <w:rFonts w:ascii="Arial"/>
                <w:color w:val="auto"/>
                <w:sz w:val="21"/>
              </w:rPr>
            </w:pPr>
          </w:p>
          <w:p w14:paraId="1D0C17FA">
            <w:pPr>
              <w:spacing w:line="307" w:lineRule="auto"/>
              <w:rPr>
                <w:rFonts w:ascii="Arial"/>
                <w:color w:val="auto"/>
                <w:sz w:val="21"/>
              </w:rPr>
            </w:pPr>
          </w:p>
          <w:p w14:paraId="7C5C9186">
            <w:pPr>
              <w:spacing w:line="307" w:lineRule="auto"/>
              <w:rPr>
                <w:rFonts w:ascii="Arial"/>
                <w:color w:val="auto"/>
                <w:sz w:val="21"/>
              </w:rPr>
            </w:pPr>
          </w:p>
          <w:p w14:paraId="19368C56">
            <w:pPr>
              <w:pStyle w:val="11"/>
              <w:spacing w:before="65" w:line="231" w:lineRule="auto"/>
              <w:ind w:left="101"/>
              <w:rPr>
                <w:color w:val="auto"/>
              </w:rPr>
            </w:pPr>
            <w:r>
              <w:rPr>
                <w:color w:val="auto"/>
                <w:spacing w:val="-10"/>
              </w:rPr>
              <w:t>采购人</w:t>
            </w:r>
          </w:p>
        </w:tc>
        <w:tc>
          <w:tcPr>
            <w:tcW w:w="5437" w:type="dxa"/>
            <w:vAlign w:val="top"/>
          </w:tcPr>
          <w:p w14:paraId="07A32471">
            <w:pPr>
              <w:pStyle w:val="11"/>
              <w:spacing w:before="168" w:line="229" w:lineRule="auto"/>
              <w:ind w:left="104"/>
              <w:rPr>
                <w:color w:val="auto"/>
              </w:rPr>
            </w:pPr>
            <w:r>
              <w:rPr>
                <w:color w:val="auto"/>
                <w:spacing w:val="-19"/>
              </w:rPr>
              <w:t>名称：</w:t>
            </w:r>
            <w:r>
              <w:rPr>
                <w:color w:val="auto"/>
                <w:spacing w:val="-28"/>
              </w:rPr>
              <w:t>洛阳市孟津区机关事务服务中心</w:t>
            </w:r>
          </w:p>
          <w:p w14:paraId="754B1C5F">
            <w:pPr>
              <w:pStyle w:val="11"/>
              <w:spacing w:before="300" w:line="229" w:lineRule="auto"/>
              <w:ind w:left="104"/>
              <w:rPr>
                <w:color w:val="auto"/>
              </w:rPr>
            </w:pPr>
            <w:r>
              <w:rPr>
                <w:color w:val="auto"/>
                <w:spacing w:val="-19"/>
              </w:rPr>
              <w:t>地址：</w:t>
            </w:r>
            <w:r>
              <w:rPr>
                <w:color w:val="auto"/>
                <w:spacing w:val="-28"/>
              </w:rPr>
              <w:t>洛阳市孟津区桂花大道中段区政府后院</w:t>
            </w:r>
          </w:p>
          <w:p w14:paraId="7AE2A73D">
            <w:pPr>
              <w:pStyle w:val="11"/>
              <w:spacing w:before="298" w:line="232" w:lineRule="auto"/>
              <w:ind w:left="100"/>
              <w:rPr>
                <w:color w:val="auto"/>
              </w:rPr>
            </w:pPr>
            <w:r>
              <w:rPr>
                <w:color w:val="auto"/>
                <w:spacing w:val="-16"/>
              </w:rPr>
              <w:t>联系人：</w:t>
            </w:r>
            <w:r>
              <w:rPr>
                <w:color w:val="auto"/>
                <w:spacing w:val="-24"/>
              </w:rPr>
              <w:t>梁先生</w:t>
            </w:r>
          </w:p>
          <w:p w14:paraId="066396F9">
            <w:pPr>
              <w:pStyle w:val="11"/>
              <w:spacing w:before="298" w:line="232" w:lineRule="auto"/>
              <w:ind w:left="100"/>
              <w:rPr>
                <w:color w:val="auto"/>
              </w:rPr>
            </w:pPr>
            <w:r>
              <w:rPr>
                <w:color w:val="auto"/>
                <w:spacing w:val="-13"/>
              </w:rPr>
              <w:t>联系方式：</w:t>
            </w:r>
            <w:r>
              <w:rPr>
                <w:color w:val="auto"/>
                <w:spacing w:val="-19"/>
              </w:rPr>
              <w:t>0379-67912321</w:t>
            </w:r>
          </w:p>
        </w:tc>
      </w:tr>
      <w:tr w14:paraId="7EF3D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895" w:type="dxa"/>
            <w:vAlign w:val="top"/>
          </w:tcPr>
          <w:p w14:paraId="1E5EFFAD">
            <w:pPr>
              <w:spacing w:line="286" w:lineRule="auto"/>
              <w:rPr>
                <w:rFonts w:ascii="Arial"/>
                <w:color w:val="auto"/>
                <w:sz w:val="21"/>
              </w:rPr>
            </w:pPr>
          </w:p>
          <w:p w14:paraId="66AC96EA">
            <w:pPr>
              <w:spacing w:line="286" w:lineRule="auto"/>
              <w:rPr>
                <w:rFonts w:ascii="Arial"/>
                <w:color w:val="auto"/>
                <w:sz w:val="21"/>
              </w:rPr>
            </w:pPr>
          </w:p>
          <w:p w14:paraId="31881E5A">
            <w:pPr>
              <w:spacing w:line="286" w:lineRule="auto"/>
              <w:rPr>
                <w:rFonts w:ascii="Arial"/>
                <w:color w:val="auto"/>
                <w:sz w:val="21"/>
              </w:rPr>
            </w:pPr>
          </w:p>
          <w:p w14:paraId="530A261E">
            <w:pPr>
              <w:spacing w:line="286" w:lineRule="auto"/>
              <w:rPr>
                <w:rFonts w:ascii="Arial"/>
                <w:color w:val="auto"/>
                <w:sz w:val="21"/>
              </w:rPr>
            </w:pPr>
          </w:p>
          <w:p w14:paraId="4EC6A679">
            <w:pPr>
              <w:spacing w:line="287" w:lineRule="auto"/>
              <w:rPr>
                <w:rFonts w:ascii="Arial"/>
                <w:color w:val="auto"/>
                <w:sz w:val="21"/>
              </w:rPr>
            </w:pPr>
          </w:p>
          <w:p w14:paraId="36BEC21B">
            <w:pPr>
              <w:pStyle w:val="11"/>
              <w:spacing w:before="65" w:line="187" w:lineRule="auto"/>
              <w:ind w:left="110"/>
              <w:rPr>
                <w:color w:val="auto"/>
              </w:rPr>
            </w:pPr>
            <w:r>
              <w:rPr>
                <w:color w:val="auto"/>
                <w:spacing w:val="-10"/>
              </w:rPr>
              <w:t>1.1.3</w:t>
            </w:r>
          </w:p>
        </w:tc>
        <w:tc>
          <w:tcPr>
            <w:tcW w:w="2941" w:type="dxa"/>
            <w:vAlign w:val="top"/>
          </w:tcPr>
          <w:p w14:paraId="1E9EB81C">
            <w:pPr>
              <w:spacing w:line="279" w:lineRule="auto"/>
              <w:rPr>
                <w:rFonts w:ascii="Arial"/>
                <w:color w:val="auto"/>
                <w:sz w:val="21"/>
              </w:rPr>
            </w:pPr>
          </w:p>
          <w:p w14:paraId="4E133497">
            <w:pPr>
              <w:spacing w:line="279" w:lineRule="auto"/>
              <w:rPr>
                <w:rFonts w:ascii="Arial"/>
                <w:color w:val="auto"/>
                <w:sz w:val="21"/>
              </w:rPr>
            </w:pPr>
          </w:p>
          <w:p w14:paraId="34E73514">
            <w:pPr>
              <w:spacing w:line="279" w:lineRule="auto"/>
              <w:rPr>
                <w:rFonts w:ascii="Arial"/>
                <w:color w:val="auto"/>
                <w:sz w:val="21"/>
              </w:rPr>
            </w:pPr>
          </w:p>
          <w:p w14:paraId="6D3557C2">
            <w:pPr>
              <w:spacing w:line="279" w:lineRule="auto"/>
              <w:rPr>
                <w:rFonts w:ascii="Arial"/>
                <w:color w:val="auto"/>
                <w:sz w:val="21"/>
              </w:rPr>
            </w:pPr>
          </w:p>
          <w:p w14:paraId="3CD85CC9">
            <w:pPr>
              <w:spacing w:line="280" w:lineRule="auto"/>
              <w:rPr>
                <w:rFonts w:ascii="Arial"/>
                <w:color w:val="auto"/>
                <w:sz w:val="21"/>
              </w:rPr>
            </w:pPr>
          </w:p>
          <w:p w14:paraId="31A537BF">
            <w:pPr>
              <w:pStyle w:val="11"/>
              <w:spacing w:before="65" w:line="231" w:lineRule="auto"/>
              <w:ind w:left="101"/>
              <w:rPr>
                <w:color w:val="auto"/>
              </w:rPr>
            </w:pPr>
            <w:r>
              <w:rPr>
                <w:color w:val="auto"/>
                <w:spacing w:val="-16"/>
              </w:rPr>
              <w:t>采购代理机构</w:t>
            </w:r>
          </w:p>
        </w:tc>
        <w:tc>
          <w:tcPr>
            <w:tcW w:w="5437" w:type="dxa"/>
            <w:vAlign w:val="top"/>
          </w:tcPr>
          <w:p w14:paraId="5A774DC8">
            <w:pPr>
              <w:pStyle w:val="11"/>
              <w:spacing w:before="296" w:line="224" w:lineRule="auto"/>
              <w:ind w:left="118"/>
              <w:rPr>
                <w:rFonts w:hint="eastAsia"/>
                <w:color w:val="auto"/>
              </w:rPr>
            </w:pPr>
            <w:r>
              <w:rPr>
                <w:rFonts w:hint="eastAsia"/>
                <w:color w:val="auto"/>
              </w:rPr>
              <w:t>名 称：洛阳市华达工程管理有限公司</w:t>
            </w:r>
          </w:p>
          <w:p w14:paraId="0602C440">
            <w:pPr>
              <w:pStyle w:val="11"/>
              <w:spacing w:before="296" w:line="224" w:lineRule="auto"/>
              <w:ind w:left="118"/>
              <w:rPr>
                <w:rFonts w:hint="eastAsia"/>
                <w:color w:val="auto"/>
              </w:rPr>
            </w:pPr>
            <w:r>
              <w:rPr>
                <w:rFonts w:hint="eastAsia"/>
                <w:color w:val="auto"/>
              </w:rPr>
              <w:t>地  址：孟津区黄河大道东段</w:t>
            </w:r>
          </w:p>
          <w:p w14:paraId="2DE43C87">
            <w:pPr>
              <w:pStyle w:val="11"/>
              <w:spacing w:before="296" w:line="224" w:lineRule="auto"/>
              <w:ind w:left="118"/>
              <w:rPr>
                <w:rFonts w:hint="eastAsia"/>
                <w:color w:val="auto"/>
              </w:rPr>
            </w:pPr>
            <w:r>
              <w:rPr>
                <w:rFonts w:hint="eastAsia"/>
                <w:color w:val="auto"/>
              </w:rPr>
              <w:t xml:space="preserve">联系人：刘先生 </w:t>
            </w:r>
          </w:p>
          <w:p w14:paraId="26DDB6A0">
            <w:pPr>
              <w:pStyle w:val="11"/>
              <w:spacing w:before="296" w:line="224" w:lineRule="auto"/>
              <w:ind w:left="118"/>
              <w:rPr>
                <w:color w:val="auto"/>
              </w:rPr>
            </w:pPr>
            <w:r>
              <w:rPr>
                <w:rFonts w:hint="eastAsia"/>
                <w:color w:val="auto"/>
              </w:rPr>
              <w:t xml:space="preserve">联系方式：18211986205 </w:t>
            </w:r>
          </w:p>
        </w:tc>
      </w:tr>
      <w:tr w14:paraId="66C0E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895" w:type="dxa"/>
            <w:vAlign w:val="top"/>
          </w:tcPr>
          <w:p w14:paraId="6E510857">
            <w:pPr>
              <w:spacing w:line="341" w:lineRule="auto"/>
              <w:rPr>
                <w:rFonts w:ascii="Arial"/>
                <w:color w:val="auto"/>
                <w:sz w:val="21"/>
              </w:rPr>
            </w:pPr>
          </w:p>
          <w:p w14:paraId="54283500">
            <w:pPr>
              <w:pStyle w:val="11"/>
              <w:spacing w:before="65" w:line="187" w:lineRule="auto"/>
              <w:ind w:left="110"/>
              <w:rPr>
                <w:color w:val="auto"/>
              </w:rPr>
            </w:pPr>
            <w:r>
              <w:rPr>
                <w:color w:val="auto"/>
                <w:spacing w:val="-10"/>
              </w:rPr>
              <w:t>1.1.4</w:t>
            </w:r>
          </w:p>
        </w:tc>
        <w:tc>
          <w:tcPr>
            <w:tcW w:w="2941" w:type="dxa"/>
            <w:vAlign w:val="top"/>
          </w:tcPr>
          <w:p w14:paraId="5BE0F89D">
            <w:pPr>
              <w:spacing w:line="307" w:lineRule="auto"/>
              <w:rPr>
                <w:rFonts w:ascii="Arial"/>
                <w:color w:val="auto"/>
                <w:sz w:val="21"/>
              </w:rPr>
            </w:pPr>
          </w:p>
          <w:p w14:paraId="17CE0225">
            <w:pPr>
              <w:pStyle w:val="11"/>
              <w:spacing w:before="65" w:line="229" w:lineRule="auto"/>
              <w:ind w:left="100"/>
              <w:rPr>
                <w:color w:val="auto"/>
              </w:rPr>
            </w:pPr>
            <w:r>
              <w:rPr>
                <w:color w:val="auto"/>
                <w:spacing w:val="-13"/>
              </w:rPr>
              <w:t>项目名称</w:t>
            </w:r>
          </w:p>
        </w:tc>
        <w:tc>
          <w:tcPr>
            <w:tcW w:w="5437" w:type="dxa"/>
            <w:vAlign w:val="top"/>
          </w:tcPr>
          <w:p w14:paraId="25A6BEF7">
            <w:pPr>
              <w:pStyle w:val="11"/>
              <w:spacing w:before="169" w:line="360" w:lineRule="auto"/>
              <w:ind w:left="104" w:right="57"/>
              <w:rPr>
                <w:rFonts w:hint="eastAsia" w:eastAsia="仿宋"/>
                <w:color w:val="auto"/>
                <w:lang w:eastAsia="zh-CN"/>
              </w:rPr>
            </w:pPr>
            <w:r>
              <w:rPr>
                <w:rFonts w:hint="eastAsia"/>
                <w:color w:val="auto"/>
                <w:lang w:eastAsia="zh-CN"/>
              </w:rPr>
              <w:t>洛阳市孟津区机关事务服务中心文博艺术中心后勤服务项目</w:t>
            </w:r>
          </w:p>
        </w:tc>
      </w:tr>
      <w:tr w14:paraId="3688B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3" w:hRule="atLeast"/>
        </w:trPr>
        <w:tc>
          <w:tcPr>
            <w:tcW w:w="895" w:type="dxa"/>
            <w:vAlign w:val="top"/>
          </w:tcPr>
          <w:p w14:paraId="1442DB0F">
            <w:pPr>
              <w:spacing w:line="263" w:lineRule="auto"/>
              <w:rPr>
                <w:rFonts w:ascii="Arial"/>
                <w:color w:val="auto"/>
                <w:sz w:val="21"/>
              </w:rPr>
            </w:pPr>
          </w:p>
          <w:p w14:paraId="142E66A3">
            <w:pPr>
              <w:spacing w:line="263" w:lineRule="auto"/>
              <w:rPr>
                <w:rFonts w:ascii="Arial"/>
                <w:color w:val="auto"/>
                <w:sz w:val="21"/>
              </w:rPr>
            </w:pPr>
          </w:p>
          <w:p w14:paraId="00C1EEB9">
            <w:pPr>
              <w:spacing w:line="263" w:lineRule="auto"/>
              <w:rPr>
                <w:rFonts w:ascii="Arial"/>
                <w:color w:val="auto"/>
                <w:sz w:val="21"/>
              </w:rPr>
            </w:pPr>
          </w:p>
          <w:p w14:paraId="0927B30C">
            <w:pPr>
              <w:spacing w:line="263" w:lineRule="auto"/>
              <w:rPr>
                <w:rFonts w:ascii="Arial"/>
                <w:color w:val="auto"/>
                <w:sz w:val="21"/>
              </w:rPr>
            </w:pPr>
          </w:p>
          <w:p w14:paraId="756A974E">
            <w:pPr>
              <w:spacing w:line="263" w:lineRule="auto"/>
              <w:rPr>
                <w:rFonts w:ascii="Arial"/>
                <w:color w:val="auto"/>
                <w:sz w:val="21"/>
              </w:rPr>
            </w:pPr>
          </w:p>
          <w:p w14:paraId="16806D77">
            <w:pPr>
              <w:spacing w:line="263" w:lineRule="auto"/>
              <w:rPr>
                <w:rFonts w:ascii="Arial"/>
                <w:color w:val="auto"/>
                <w:sz w:val="21"/>
              </w:rPr>
            </w:pPr>
          </w:p>
          <w:p w14:paraId="75665984">
            <w:pPr>
              <w:spacing w:line="263" w:lineRule="auto"/>
              <w:rPr>
                <w:rFonts w:ascii="Arial"/>
                <w:color w:val="auto"/>
                <w:sz w:val="21"/>
              </w:rPr>
            </w:pPr>
          </w:p>
          <w:p w14:paraId="22F0774E">
            <w:pPr>
              <w:spacing w:line="264" w:lineRule="auto"/>
              <w:rPr>
                <w:rFonts w:ascii="Arial"/>
                <w:color w:val="auto"/>
                <w:sz w:val="21"/>
              </w:rPr>
            </w:pPr>
          </w:p>
          <w:p w14:paraId="2FC89314">
            <w:pPr>
              <w:pStyle w:val="11"/>
              <w:spacing w:before="65" w:line="187" w:lineRule="auto"/>
              <w:ind w:left="110"/>
              <w:rPr>
                <w:color w:val="auto"/>
              </w:rPr>
            </w:pPr>
            <w:r>
              <w:rPr>
                <w:color w:val="auto"/>
                <w:spacing w:val="-10"/>
              </w:rPr>
              <w:t>1.1.5</w:t>
            </w:r>
          </w:p>
        </w:tc>
        <w:tc>
          <w:tcPr>
            <w:tcW w:w="2941" w:type="dxa"/>
            <w:vAlign w:val="top"/>
          </w:tcPr>
          <w:p w14:paraId="454A5138">
            <w:pPr>
              <w:spacing w:line="258" w:lineRule="auto"/>
              <w:rPr>
                <w:rFonts w:ascii="Arial"/>
                <w:color w:val="auto"/>
                <w:sz w:val="21"/>
              </w:rPr>
            </w:pPr>
          </w:p>
          <w:p w14:paraId="4DDBA104">
            <w:pPr>
              <w:spacing w:line="258" w:lineRule="auto"/>
              <w:rPr>
                <w:rFonts w:ascii="Arial"/>
                <w:color w:val="auto"/>
                <w:sz w:val="21"/>
              </w:rPr>
            </w:pPr>
          </w:p>
          <w:p w14:paraId="3DEA6F84">
            <w:pPr>
              <w:spacing w:line="259" w:lineRule="auto"/>
              <w:rPr>
                <w:rFonts w:ascii="Arial"/>
                <w:color w:val="auto"/>
                <w:sz w:val="21"/>
              </w:rPr>
            </w:pPr>
          </w:p>
          <w:p w14:paraId="2AF5201D">
            <w:pPr>
              <w:spacing w:line="259" w:lineRule="auto"/>
              <w:rPr>
                <w:rFonts w:ascii="Arial"/>
                <w:color w:val="auto"/>
                <w:sz w:val="21"/>
              </w:rPr>
            </w:pPr>
          </w:p>
          <w:p w14:paraId="6AA6B2E7">
            <w:pPr>
              <w:spacing w:line="259" w:lineRule="auto"/>
              <w:rPr>
                <w:rFonts w:ascii="Arial"/>
                <w:color w:val="auto"/>
                <w:sz w:val="21"/>
              </w:rPr>
            </w:pPr>
          </w:p>
          <w:p w14:paraId="40C75C78">
            <w:pPr>
              <w:spacing w:line="259" w:lineRule="auto"/>
              <w:rPr>
                <w:rFonts w:ascii="Arial"/>
                <w:color w:val="auto"/>
                <w:sz w:val="21"/>
              </w:rPr>
            </w:pPr>
          </w:p>
          <w:p w14:paraId="351E2C5E">
            <w:pPr>
              <w:spacing w:line="259" w:lineRule="auto"/>
              <w:rPr>
                <w:rFonts w:ascii="Arial"/>
                <w:color w:val="auto"/>
                <w:sz w:val="21"/>
              </w:rPr>
            </w:pPr>
          </w:p>
          <w:p w14:paraId="00245670">
            <w:pPr>
              <w:spacing w:line="259" w:lineRule="auto"/>
              <w:rPr>
                <w:rFonts w:ascii="Arial"/>
                <w:color w:val="auto"/>
                <w:sz w:val="21"/>
              </w:rPr>
            </w:pPr>
          </w:p>
          <w:p w14:paraId="0F247530">
            <w:pPr>
              <w:pStyle w:val="11"/>
              <w:spacing w:before="65" w:line="231" w:lineRule="auto"/>
              <w:ind w:left="109"/>
              <w:rPr>
                <w:color w:val="auto"/>
              </w:rPr>
            </w:pPr>
            <w:r>
              <w:rPr>
                <w:color w:val="auto"/>
                <w:spacing w:val="-19"/>
              </w:rPr>
              <w:t>落实政府采购政策要求</w:t>
            </w:r>
          </w:p>
        </w:tc>
        <w:tc>
          <w:tcPr>
            <w:tcW w:w="5437" w:type="dxa"/>
            <w:vAlign w:val="top"/>
          </w:tcPr>
          <w:p w14:paraId="45710F7A">
            <w:pPr>
              <w:pStyle w:val="11"/>
              <w:spacing w:before="170" w:line="348" w:lineRule="auto"/>
              <w:ind w:left="104" w:right="57" w:firstLine="3"/>
              <w:rPr>
                <w:color w:val="auto"/>
              </w:rPr>
            </w:pPr>
            <w:r>
              <w:rPr>
                <w:color w:val="auto"/>
                <w:spacing w:val="-21"/>
              </w:rPr>
              <w:t>（1）根据财政部工业和信息化部《政府采购促进中小企</w:t>
            </w:r>
            <w:r>
              <w:rPr>
                <w:color w:val="auto"/>
                <w:spacing w:val="-22"/>
              </w:rPr>
              <w:t>业发展管理</w:t>
            </w:r>
            <w:r>
              <w:rPr>
                <w:color w:val="auto"/>
              </w:rPr>
              <w:t xml:space="preserve"> </w:t>
            </w:r>
            <w:r>
              <w:rPr>
                <w:color w:val="auto"/>
                <w:spacing w:val="-22"/>
              </w:rPr>
              <w:t>办法》（财库【2020】46号）的规定，本项目专门</w:t>
            </w:r>
            <w:r>
              <w:rPr>
                <w:color w:val="auto"/>
                <w:spacing w:val="-23"/>
              </w:rPr>
              <w:t>面向中小微（监狱</w:t>
            </w:r>
            <w:r>
              <w:rPr>
                <w:color w:val="auto"/>
              </w:rPr>
              <w:t xml:space="preserve"> </w:t>
            </w:r>
            <w:r>
              <w:rPr>
                <w:color w:val="auto"/>
                <w:spacing w:val="-18"/>
              </w:rPr>
              <w:t>、残疾人福利性单位）企业，落实节约能源、</w:t>
            </w:r>
            <w:r>
              <w:rPr>
                <w:color w:val="auto"/>
                <w:spacing w:val="-19"/>
              </w:rPr>
              <w:t>保护环境等政府采购</w:t>
            </w:r>
            <w:r>
              <w:rPr>
                <w:color w:val="auto"/>
              </w:rPr>
              <w:t xml:space="preserve"> </w:t>
            </w:r>
            <w:r>
              <w:rPr>
                <w:color w:val="auto"/>
                <w:spacing w:val="-18"/>
              </w:rPr>
              <w:t>政策，优先采购节能环保、环境标志性产品、</w:t>
            </w:r>
            <w:r>
              <w:rPr>
                <w:color w:val="auto"/>
                <w:spacing w:val="-19"/>
              </w:rPr>
              <w:t>优先采购自主创新产</w:t>
            </w:r>
            <w:r>
              <w:rPr>
                <w:color w:val="auto"/>
              </w:rPr>
              <w:t xml:space="preserve"> </w:t>
            </w:r>
            <w:r>
              <w:rPr>
                <w:color w:val="auto"/>
                <w:spacing w:val="-20"/>
              </w:rPr>
              <w:t>品，扶持不发达地区和少数民族地区</w:t>
            </w:r>
            <w:r>
              <w:rPr>
                <w:rFonts w:hint="eastAsia"/>
                <w:color w:val="auto"/>
                <w:spacing w:val="-20"/>
                <w:lang w:eastAsia="zh-CN"/>
              </w:rPr>
              <w:t>，强化政府采购异常低价审查等政府采购政策</w:t>
            </w:r>
            <w:r>
              <w:rPr>
                <w:color w:val="auto"/>
                <w:spacing w:val="-20"/>
              </w:rPr>
              <w:t>。</w:t>
            </w:r>
          </w:p>
          <w:p w14:paraId="65EE34A2">
            <w:pPr>
              <w:pStyle w:val="11"/>
              <w:spacing w:before="297" w:line="229" w:lineRule="auto"/>
              <w:ind w:left="107"/>
              <w:rPr>
                <w:color w:val="auto"/>
              </w:rPr>
            </w:pPr>
            <w:r>
              <w:rPr>
                <w:color w:val="auto"/>
                <w:spacing w:val="-21"/>
              </w:rPr>
              <w:t>（2）本项目对应的中小企业划分标准所属行业为：其他未列明行业</w:t>
            </w:r>
          </w:p>
          <w:p w14:paraId="3E08AFAE">
            <w:pPr>
              <w:pStyle w:val="11"/>
              <w:spacing w:before="262" w:line="143" w:lineRule="exact"/>
              <w:ind w:left="118"/>
              <w:rPr>
                <w:color w:val="auto"/>
              </w:rPr>
            </w:pPr>
            <w:r>
              <w:rPr>
                <w:color w:val="auto"/>
                <w:position w:val="1"/>
              </w:rPr>
              <w:t>;</w:t>
            </w:r>
          </w:p>
          <w:p w14:paraId="11777321">
            <w:pPr>
              <w:pStyle w:val="11"/>
              <w:spacing w:before="303" w:line="367" w:lineRule="auto"/>
              <w:ind w:left="109" w:right="57" w:hanging="2"/>
              <w:jc w:val="both"/>
              <w:rPr>
                <w:color w:val="auto"/>
              </w:rPr>
            </w:pPr>
            <w:r>
              <w:rPr>
                <w:color w:val="auto"/>
                <w:spacing w:val="-21"/>
              </w:rPr>
              <w:t>（3）投标人应当根据企业自身的实际状况，审慎出具《</w:t>
            </w:r>
            <w:r>
              <w:rPr>
                <w:color w:val="auto"/>
                <w:spacing w:val="-22"/>
              </w:rPr>
              <w:t>中小企业声</w:t>
            </w:r>
            <w:r>
              <w:rPr>
                <w:color w:val="auto"/>
              </w:rPr>
              <w:t xml:space="preserve"> </w:t>
            </w:r>
            <w:r>
              <w:rPr>
                <w:color w:val="auto"/>
                <w:spacing w:val="-25"/>
              </w:rPr>
              <w:t>明函》，声明函内容不实的，属于弄虚作假骗取中标，并承担相应的</w:t>
            </w:r>
            <w:r>
              <w:rPr>
                <w:color w:val="auto"/>
                <w:spacing w:val="11"/>
              </w:rPr>
              <w:t xml:space="preserve"> </w:t>
            </w:r>
            <w:r>
              <w:rPr>
                <w:color w:val="auto"/>
                <w:spacing w:val="-16"/>
              </w:rPr>
              <w:t>法律责任。</w:t>
            </w:r>
          </w:p>
        </w:tc>
      </w:tr>
      <w:tr w14:paraId="66E23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9" w:hRule="atLeast"/>
        </w:trPr>
        <w:tc>
          <w:tcPr>
            <w:tcW w:w="895" w:type="dxa"/>
            <w:vAlign w:val="top"/>
          </w:tcPr>
          <w:p w14:paraId="1520832C">
            <w:pPr>
              <w:pStyle w:val="11"/>
              <w:spacing w:before="208" w:line="187" w:lineRule="auto"/>
              <w:ind w:left="110"/>
              <w:rPr>
                <w:color w:val="auto"/>
              </w:rPr>
            </w:pPr>
            <w:r>
              <w:rPr>
                <w:color w:val="auto"/>
                <w:spacing w:val="-10"/>
              </w:rPr>
              <w:t>1.1.6</w:t>
            </w:r>
          </w:p>
        </w:tc>
        <w:tc>
          <w:tcPr>
            <w:tcW w:w="2941" w:type="dxa"/>
            <w:vAlign w:val="top"/>
          </w:tcPr>
          <w:p w14:paraId="07127CFF">
            <w:pPr>
              <w:pStyle w:val="11"/>
              <w:spacing w:before="243" w:line="230" w:lineRule="auto"/>
              <w:ind w:left="100"/>
              <w:rPr>
                <w:color w:val="auto"/>
              </w:rPr>
            </w:pPr>
            <w:r>
              <w:rPr>
                <w:color w:val="auto"/>
                <w:spacing w:val="-11"/>
              </w:rPr>
              <w:t>政府采购管理部门备案编号(招标</w:t>
            </w:r>
            <w:r>
              <w:rPr>
                <w:color w:val="auto"/>
                <w:spacing w:val="5"/>
              </w:rPr>
              <w:t>项目编号)</w:t>
            </w:r>
          </w:p>
        </w:tc>
        <w:tc>
          <w:tcPr>
            <w:tcW w:w="5437" w:type="dxa"/>
            <w:vAlign w:val="top"/>
          </w:tcPr>
          <w:p w14:paraId="548A2B39">
            <w:pPr>
              <w:pStyle w:val="11"/>
              <w:spacing w:before="173" w:line="231" w:lineRule="auto"/>
              <w:ind w:left="105"/>
              <w:rPr>
                <w:rFonts w:hint="default" w:eastAsia="仿宋"/>
                <w:color w:val="auto"/>
                <w:lang w:val="en-US" w:eastAsia="zh-CN"/>
              </w:rPr>
            </w:pPr>
            <w:r>
              <w:rPr>
                <w:color w:val="auto"/>
                <w:spacing w:val="-14"/>
              </w:rPr>
              <w:t>孟津公开</w:t>
            </w:r>
            <w:r>
              <w:rPr>
                <w:rFonts w:hint="eastAsia"/>
                <w:color w:val="auto"/>
                <w:spacing w:val="-14"/>
                <w:lang w:val="en-US" w:eastAsia="zh-CN"/>
              </w:rPr>
              <w:t>-</w:t>
            </w:r>
            <w:r>
              <w:rPr>
                <w:color w:val="auto"/>
                <w:spacing w:val="-14"/>
              </w:rPr>
              <w:t>202</w:t>
            </w:r>
            <w:r>
              <w:rPr>
                <w:rFonts w:hint="eastAsia"/>
                <w:color w:val="auto"/>
                <w:spacing w:val="-14"/>
                <w:lang w:val="en-US" w:eastAsia="zh-CN"/>
              </w:rPr>
              <w:t>6</w:t>
            </w:r>
            <w:r>
              <w:rPr>
                <w:color w:val="auto"/>
                <w:spacing w:val="-14"/>
              </w:rPr>
              <w:t>-</w:t>
            </w:r>
            <w:r>
              <w:rPr>
                <w:rFonts w:hint="eastAsia"/>
                <w:color w:val="auto"/>
                <w:spacing w:val="-14"/>
                <w:lang w:val="en-US" w:eastAsia="zh-CN"/>
              </w:rPr>
              <w:t>27</w:t>
            </w:r>
          </w:p>
        </w:tc>
      </w:tr>
    </w:tbl>
    <w:p w14:paraId="1514453F">
      <w:pPr>
        <w:pStyle w:val="3"/>
        <w:rPr>
          <w:color w:val="auto"/>
        </w:rPr>
      </w:pPr>
    </w:p>
    <w:p w14:paraId="3A12E8EC">
      <w:pPr>
        <w:rPr>
          <w:color w:val="auto"/>
        </w:rPr>
        <w:sectPr>
          <w:headerReference r:id="rId15" w:type="default"/>
          <w:footerReference r:id="rId16" w:type="default"/>
          <w:pgSz w:w="11906" w:h="16839"/>
          <w:pgMar w:top="999" w:right="1246" w:bottom="844" w:left="1313" w:header="698" w:footer="682" w:gutter="0"/>
          <w:pgNumType w:fmt="decimal"/>
          <w:cols w:space="720" w:num="1"/>
        </w:sectPr>
      </w:pPr>
    </w:p>
    <w:p w14:paraId="26A020B7">
      <w:pPr>
        <w:spacing w:before="176"/>
        <w:rPr>
          <w:color w:val="auto"/>
        </w:rPr>
      </w:pPr>
    </w:p>
    <w:tbl>
      <w:tblPr>
        <w:tblStyle w:val="10"/>
        <w:tblW w:w="92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941"/>
        <w:gridCol w:w="5437"/>
      </w:tblGrid>
      <w:tr w14:paraId="2EFA4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07088804">
            <w:pPr>
              <w:pStyle w:val="11"/>
              <w:spacing w:before="203" w:line="187" w:lineRule="auto"/>
              <w:ind w:left="242"/>
              <w:rPr>
                <w:color w:val="auto"/>
              </w:rPr>
            </w:pPr>
            <w:r>
              <w:rPr>
                <w:color w:val="auto"/>
                <w:spacing w:val="-10"/>
              </w:rPr>
              <w:t>1.1.7</w:t>
            </w:r>
          </w:p>
        </w:tc>
        <w:tc>
          <w:tcPr>
            <w:tcW w:w="2941" w:type="dxa"/>
            <w:vAlign w:val="top"/>
          </w:tcPr>
          <w:p w14:paraId="28AE58C7">
            <w:pPr>
              <w:pStyle w:val="11"/>
              <w:spacing w:before="168" w:line="232" w:lineRule="auto"/>
              <w:ind w:left="1309"/>
              <w:rPr>
                <w:color w:val="auto"/>
              </w:rPr>
            </w:pPr>
            <w:r>
              <w:rPr>
                <w:color w:val="auto"/>
                <w:spacing w:val="-7"/>
              </w:rPr>
              <w:t>包号</w:t>
            </w:r>
          </w:p>
        </w:tc>
        <w:tc>
          <w:tcPr>
            <w:tcW w:w="5437" w:type="dxa"/>
            <w:vAlign w:val="top"/>
          </w:tcPr>
          <w:p w14:paraId="11ECD39F">
            <w:pPr>
              <w:pStyle w:val="11"/>
              <w:spacing w:before="167" w:line="231" w:lineRule="auto"/>
              <w:ind w:left="105"/>
              <w:rPr>
                <w:rFonts w:hint="eastAsia" w:eastAsia="仿宋"/>
                <w:color w:val="auto"/>
                <w:lang w:eastAsia="zh-CN"/>
              </w:rPr>
            </w:pPr>
            <w:r>
              <w:rPr>
                <w:rFonts w:hint="eastAsia"/>
                <w:color w:val="auto"/>
                <w:spacing w:val="-14"/>
                <w:lang w:eastAsia="zh-CN"/>
              </w:rPr>
              <w:t>孟津政采招标(2026)0009号</w:t>
            </w:r>
          </w:p>
        </w:tc>
      </w:tr>
      <w:tr w14:paraId="08966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trPr>
        <w:tc>
          <w:tcPr>
            <w:tcW w:w="895" w:type="dxa"/>
            <w:vAlign w:val="top"/>
          </w:tcPr>
          <w:p w14:paraId="486DC8E2">
            <w:pPr>
              <w:spacing w:line="306" w:lineRule="auto"/>
              <w:rPr>
                <w:rFonts w:ascii="Arial"/>
                <w:color w:val="auto"/>
                <w:sz w:val="21"/>
              </w:rPr>
            </w:pPr>
          </w:p>
          <w:p w14:paraId="71B13E2B">
            <w:pPr>
              <w:spacing w:line="306" w:lineRule="auto"/>
              <w:rPr>
                <w:rFonts w:ascii="Arial"/>
                <w:color w:val="auto"/>
                <w:sz w:val="21"/>
              </w:rPr>
            </w:pPr>
          </w:p>
          <w:p w14:paraId="60339791">
            <w:pPr>
              <w:pStyle w:val="11"/>
              <w:spacing w:before="65" w:line="187" w:lineRule="auto"/>
              <w:ind w:left="242"/>
              <w:rPr>
                <w:color w:val="auto"/>
              </w:rPr>
            </w:pPr>
            <w:r>
              <w:rPr>
                <w:color w:val="auto"/>
                <w:spacing w:val="-10"/>
              </w:rPr>
              <w:t>1.1.8</w:t>
            </w:r>
          </w:p>
        </w:tc>
        <w:tc>
          <w:tcPr>
            <w:tcW w:w="2941" w:type="dxa"/>
            <w:vAlign w:val="top"/>
          </w:tcPr>
          <w:p w14:paraId="79B287AE">
            <w:pPr>
              <w:spacing w:line="288" w:lineRule="auto"/>
              <w:rPr>
                <w:rFonts w:ascii="Arial"/>
                <w:color w:val="auto"/>
                <w:sz w:val="21"/>
              </w:rPr>
            </w:pPr>
          </w:p>
          <w:p w14:paraId="75F24CF9">
            <w:pPr>
              <w:spacing w:line="289" w:lineRule="auto"/>
              <w:rPr>
                <w:rFonts w:ascii="Arial"/>
                <w:color w:val="auto"/>
                <w:sz w:val="21"/>
              </w:rPr>
            </w:pPr>
          </w:p>
          <w:p w14:paraId="39BA77D8">
            <w:pPr>
              <w:pStyle w:val="11"/>
              <w:spacing w:before="65" w:line="231" w:lineRule="auto"/>
              <w:ind w:left="1123"/>
              <w:rPr>
                <w:color w:val="auto"/>
              </w:rPr>
            </w:pPr>
            <w:r>
              <w:rPr>
                <w:color w:val="auto"/>
                <w:spacing w:val="-12"/>
              </w:rPr>
              <w:t>标包划分</w:t>
            </w:r>
          </w:p>
        </w:tc>
        <w:tc>
          <w:tcPr>
            <w:tcW w:w="5437" w:type="dxa"/>
            <w:vAlign w:val="top"/>
          </w:tcPr>
          <w:p w14:paraId="34D70070">
            <w:pPr>
              <w:pStyle w:val="11"/>
              <w:spacing w:before="168" w:line="231" w:lineRule="auto"/>
              <w:ind w:left="104"/>
              <w:rPr>
                <w:color w:val="auto"/>
              </w:rPr>
            </w:pPr>
            <w:r>
              <w:rPr>
                <w:color w:val="auto"/>
                <w:spacing w:val="-19"/>
              </w:rPr>
              <w:t>本项目划分1个标段（包</w:t>
            </w:r>
            <w:r>
              <w:rPr>
                <w:color w:val="auto"/>
                <w:spacing w:val="-50"/>
                <w:w w:val="90"/>
              </w:rPr>
              <w:t>）；</w:t>
            </w:r>
          </w:p>
          <w:p w14:paraId="222DAC62">
            <w:pPr>
              <w:pStyle w:val="11"/>
              <w:spacing w:before="299" w:line="361" w:lineRule="auto"/>
              <w:ind w:left="108" w:right="127"/>
              <w:rPr>
                <w:color w:val="auto"/>
              </w:rPr>
            </w:pPr>
            <w:r>
              <w:rPr>
                <w:color w:val="auto"/>
                <w:spacing w:val="-21"/>
              </w:rPr>
              <w:t>注：投标人可就一个标段（包）进行完整投标，不得拆分，否则将</w:t>
            </w:r>
            <w:r>
              <w:rPr>
                <w:color w:val="auto"/>
                <w:spacing w:val="3"/>
              </w:rPr>
              <w:t xml:space="preserve"> </w:t>
            </w:r>
            <w:r>
              <w:rPr>
                <w:color w:val="auto"/>
                <w:spacing w:val="-15"/>
              </w:rPr>
              <w:t>不被接受。</w:t>
            </w:r>
          </w:p>
        </w:tc>
      </w:tr>
      <w:tr w14:paraId="0EF65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035EF6A0">
            <w:pPr>
              <w:pStyle w:val="11"/>
              <w:spacing w:before="204" w:line="187" w:lineRule="auto"/>
              <w:ind w:left="242"/>
              <w:rPr>
                <w:color w:val="auto"/>
              </w:rPr>
            </w:pPr>
            <w:r>
              <w:rPr>
                <w:color w:val="auto"/>
                <w:spacing w:val="-10"/>
              </w:rPr>
              <w:t>1.2.1</w:t>
            </w:r>
          </w:p>
        </w:tc>
        <w:tc>
          <w:tcPr>
            <w:tcW w:w="2941" w:type="dxa"/>
            <w:vAlign w:val="top"/>
          </w:tcPr>
          <w:p w14:paraId="2FCE8320">
            <w:pPr>
              <w:pStyle w:val="11"/>
              <w:spacing w:before="169" w:line="230" w:lineRule="auto"/>
              <w:ind w:left="1134"/>
              <w:rPr>
                <w:color w:val="auto"/>
              </w:rPr>
            </w:pPr>
            <w:r>
              <w:rPr>
                <w:color w:val="auto"/>
                <w:spacing w:val="-15"/>
              </w:rPr>
              <w:t>资金来源</w:t>
            </w:r>
          </w:p>
        </w:tc>
        <w:tc>
          <w:tcPr>
            <w:tcW w:w="5437" w:type="dxa"/>
            <w:vAlign w:val="top"/>
          </w:tcPr>
          <w:p w14:paraId="47568605">
            <w:pPr>
              <w:pStyle w:val="11"/>
              <w:spacing w:before="169" w:line="232" w:lineRule="auto"/>
              <w:ind w:left="105"/>
              <w:rPr>
                <w:color w:val="auto"/>
              </w:rPr>
            </w:pPr>
            <w:r>
              <w:rPr>
                <w:color w:val="auto"/>
                <w:spacing w:val="-13"/>
              </w:rPr>
              <w:t>财政资金</w:t>
            </w:r>
          </w:p>
        </w:tc>
      </w:tr>
      <w:tr w14:paraId="1E6A6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895" w:type="dxa"/>
            <w:vAlign w:val="top"/>
          </w:tcPr>
          <w:p w14:paraId="1F3C9D70">
            <w:pPr>
              <w:pStyle w:val="11"/>
              <w:spacing w:before="241" w:line="187" w:lineRule="auto"/>
              <w:ind w:left="242"/>
              <w:rPr>
                <w:color w:val="auto"/>
              </w:rPr>
            </w:pPr>
            <w:r>
              <w:rPr>
                <w:color w:val="auto"/>
                <w:spacing w:val="-10"/>
              </w:rPr>
              <w:t>1.2.2</w:t>
            </w:r>
          </w:p>
        </w:tc>
        <w:tc>
          <w:tcPr>
            <w:tcW w:w="2941" w:type="dxa"/>
            <w:vAlign w:val="top"/>
          </w:tcPr>
          <w:p w14:paraId="714C0FC3">
            <w:pPr>
              <w:pStyle w:val="11"/>
              <w:spacing w:before="205" w:line="232" w:lineRule="auto"/>
              <w:ind w:left="1124"/>
              <w:rPr>
                <w:color w:val="auto"/>
              </w:rPr>
            </w:pPr>
            <w:r>
              <w:rPr>
                <w:color w:val="auto"/>
                <w:spacing w:val="-12"/>
              </w:rPr>
              <w:t>付款方式</w:t>
            </w:r>
          </w:p>
        </w:tc>
        <w:tc>
          <w:tcPr>
            <w:tcW w:w="5437" w:type="dxa"/>
            <w:vAlign w:val="top"/>
          </w:tcPr>
          <w:p w14:paraId="1AAABC01">
            <w:pPr>
              <w:pStyle w:val="11"/>
              <w:spacing w:before="206" w:line="231" w:lineRule="auto"/>
              <w:ind w:left="102"/>
              <w:rPr>
                <w:color w:val="auto"/>
              </w:rPr>
            </w:pPr>
            <w:r>
              <w:rPr>
                <w:rFonts w:hint="eastAsia"/>
                <w:color w:val="auto"/>
              </w:rPr>
              <w:t>由采购人付款。按月支付。</w:t>
            </w:r>
          </w:p>
        </w:tc>
      </w:tr>
      <w:tr w14:paraId="4F9B7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895" w:type="dxa"/>
            <w:vAlign w:val="top"/>
          </w:tcPr>
          <w:p w14:paraId="35BD52C2">
            <w:pPr>
              <w:pStyle w:val="11"/>
              <w:spacing w:before="206" w:line="187" w:lineRule="auto"/>
              <w:ind w:left="242"/>
              <w:rPr>
                <w:color w:val="auto"/>
              </w:rPr>
            </w:pPr>
            <w:r>
              <w:rPr>
                <w:color w:val="auto"/>
                <w:spacing w:val="-10"/>
              </w:rPr>
              <w:t>1.3.1</w:t>
            </w:r>
          </w:p>
        </w:tc>
        <w:tc>
          <w:tcPr>
            <w:tcW w:w="2941" w:type="dxa"/>
            <w:vAlign w:val="center"/>
          </w:tcPr>
          <w:p w14:paraId="0E6D2D24">
            <w:pPr>
              <w:pStyle w:val="11"/>
              <w:spacing w:before="170" w:line="231" w:lineRule="auto"/>
              <w:ind w:left="1123"/>
              <w:jc w:val="both"/>
              <w:rPr>
                <w:color w:val="auto"/>
              </w:rPr>
            </w:pPr>
            <w:r>
              <w:rPr>
                <w:color w:val="auto"/>
                <w:spacing w:val="-12"/>
              </w:rPr>
              <w:t>服务期限</w:t>
            </w:r>
          </w:p>
        </w:tc>
        <w:tc>
          <w:tcPr>
            <w:tcW w:w="5437" w:type="dxa"/>
            <w:vAlign w:val="top"/>
          </w:tcPr>
          <w:p w14:paraId="6FADDEB6">
            <w:pPr>
              <w:pStyle w:val="11"/>
              <w:keepNext w:val="0"/>
              <w:keepLines w:val="0"/>
              <w:pageBreakBefore w:val="0"/>
              <w:widowControl/>
              <w:kinsoku w:val="0"/>
              <w:wordWrap/>
              <w:overflowPunct/>
              <w:topLinePunct w:val="0"/>
              <w:autoSpaceDE w:val="0"/>
              <w:autoSpaceDN w:val="0"/>
              <w:bidi w:val="0"/>
              <w:adjustRightInd w:val="0"/>
              <w:snapToGrid w:val="0"/>
              <w:spacing w:before="170" w:line="240" w:lineRule="auto"/>
              <w:ind w:left="142"/>
              <w:textAlignment w:val="baseline"/>
              <w:rPr>
                <w:rFonts w:hint="eastAsia" w:eastAsia="仿宋"/>
                <w:color w:val="auto"/>
                <w:lang w:eastAsia="zh-CN"/>
              </w:rPr>
            </w:pPr>
            <w:r>
              <w:rPr>
                <w:rFonts w:hint="eastAsia" w:eastAsia="仿宋"/>
                <w:color w:val="auto"/>
                <w:lang w:eastAsia="zh-CN"/>
              </w:rPr>
              <w:t>本项目服务期为三年</w:t>
            </w:r>
            <w:r>
              <w:rPr>
                <w:rFonts w:hint="eastAsia" w:eastAsia="仿宋"/>
                <w:color w:val="auto"/>
                <w:lang w:val="en-US" w:eastAsia="zh-CN"/>
              </w:rPr>
              <w:t>（2026年9月至2029年8月）</w:t>
            </w:r>
            <w:r>
              <w:rPr>
                <w:rFonts w:hint="eastAsia" w:eastAsia="仿宋"/>
                <w:color w:val="auto"/>
                <w:lang w:eastAsia="zh-CN"/>
              </w:rPr>
              <w:t>，合同采取一年一签的方式。首年合同期满后，可续签下一年度合同，每次续签一年，累计续签不超过两次。</w:t>
            </w:r>
          </w:p>
        </w:tc>
      </w:tr>
      <w:tr w14:paraId="48575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0D2BCA85">
            <w:pPr>
              <w:pStyle w:val="11"/>
              <w:spacing w:before="205" w:line="187" w:lineRule="auto"/>
              <w:ind w:left="242"/>
              <w:rPr>
                <w:color w:val="auto"/>
              </w:rPr>
            </w:pPr>
            <w:r>
              <w:rPr>
                <w:color w:val="auto"/>
                <w:spacing w:val="-10"/>
              </w:rPr>
              <w:t>1.3.2</w:t>
            </w:r>
          </w:p>
        </w:tc>
        <w:tc>
          <w:tcPr>
            <w:tcW w:w="2941" w:type="dxa"/>
            <w:vAlign w:val="top"/>
          </w:tcPr>
          <w:p w14:paraId="1597282E">
            <w:pPr>
              <w:pStyle w:val="11"/>
              <w:spacing w:before="170" w:line="231" w:lineRule="auto"/>
              <w:ind w:left="1123"/>
              <w:rPr>
                <w:color w:val="auto"/>
              </w:rPr>
            </w:pPr>
            <w:r>
              <w:rPr>
                <w:color w:val="auto"/>
                <w:spacing w:val="-12"/>
              </w:rPr>
              <w:t>服务地点</w:t>
            </w:r>
          </w:p>
        </w:tc>
        <w:tc>
          <w:tcPr>
            <w:tcW w:w="5437" w:type="dxa"/>
            <w:vAlign w:val="top"/>
          </w:tcPr>
          <w:p w14:paraId="4F1DF2D5">
            <w:pPr>
              <w:pStyle w:val="11"/>
              <w:spacing w:before="170" w:line="231" w:lineRule="auto"/>
              <w:ind w:left="104"/>
              <w:rPr>
                <w:color w:val="auto"/>
              </w:rPr>
            </w:pPr>
            <w:r>
              <w:rPr>
                <w:rFonts w:hint="eastAsia"/>
                <w:color w:val="auto"/>
              </w:rPr>
              <w:t>采购人所在地，具体地点为采购人指定地点。</w:t>
            </w:r>
          </w:p>
        </w:tc>
      </w:tr>
      <w:tr w14:paraId="495E8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5CF0B1E7">
            <w:pPr>
              <w:pStyle w:val="11"/>
              <w:spacing w:before="206" w:line="187" w:lineRule="auto"/>
              <w:ind w:left="242"/>
              <w:rPr>
                <w:color w:val="auto"/>
              </w:rPr>
            </w:pPr>
            <w:r>
              <w:rPr>
                <w:color w:val="auto"/>
                <w:spacing w:val="-10"/>
              </w:rPr>
              <w:t>1.3.3</w:t>
            </w:r>
          </w:p>
        </w:tc>
        <w:tc>
          <w:tcPr>
            <w:tcW w:w="2941" w:type="dxa"/>
            <w:vAlign w:val="top"/>
          </w:tcPr>
          <w:p w14:paraId="678031FA">
            <w:pPr>
              <w:pStyle w:val="11"/>
              <w:spacing w:before="171" w:line="231" w:lineRule="auto"/>
              <w:ind w:left="1123"/>
              <w:rPr>
                <w:color w:val="auto"/>
              </w:rPr>
            </w:pPr>
            <w:r>
              <w:rPr>
                <w:color w:val="auto"/>
                <w:spacing w:val="-12"/>
              </w:rPr>
              <w:t>服务标准</w:t>
            </w:r>
          </w:p>
        </w:tc>
        <w:tc>
          <w:tcPr>
            <w:tcW w:w="5437" w:type="dxa"/>
            <w:vAlign w:val="top"/>
          </w:tcPr>
          <w:p w14:paraId="071D4F20">
            <w:pPr>
              <w:pStyle w:val="11"/>
              <w:spacing w:before="171" w:line="229" w:lineRule="auto"/>
              <w:ind w:left="108"/>
              <w:rPr>
                <w:color w:val="auto"/>
              </w:rPr>
            </w:pPr>
            <w:r>
              <w:rPr>
                <w:color w:val="auto"/>
                <w:spacing w:val="-20"/>
              </w:rPr>
              <w:t>符合国家相关行业合格标准及采购人要求。</w:t>
            </w:r>
          </w:p>
        </w:tc>
      </w:tr>
      <w:tr w14:paraId="5B297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3" w:hRule="atLeast"/>
        </w:trPr>
        <w:tc>
          <w:tcPr>
            <w:tcW w:w="895" w:type="dxa"/>
            <w:vAlign w:val="top"/>
          </w:tcPr>
          <w:p w14:paraId="694C6316">
            <w:pPr>
              <w:spacing w:line="249" w:lineRule="auto"/>
              <w:rPr>
                <w:rFonts w:ascii="Arial"/>
                <w:color w:val="auto"/>
                <w:sz w:val="21"/>
              </w:rPr>
            </w:pPr>
          </w:p>
          <w:p w14:paraId="3D8E31E8">
            <w:pPr>
              <w:spacing w:line="250" w:lineRule="auto"/>
              <w:rPr>
                <w:rFonts w:ascii="Arial"/>
                <w:color w:val="auto"/>
                <w:sz w:val="21"/>
              </w:rPr>
            </w:pPr>
          </w:p>
          <w:p w14:paraId="552930EE">
            <w:pPr>
              <w:spacing w:line="250" w:lineRule="auto"/>
              <w:rPr>
                <w:rFonts w:ascii="Arial"/>
                <w:color w:val="auto"/>
                <w:sz w:val="21"/>
              </w:rPr>
            </w:pPr>
          </w:p>
          <w:p w14:paraId="4A36398F">
            <w:pPr>
              <w:pStyle w:val="11"/>
              <w:spacing w:before="65" w:line="187" w:lineRule="auto"/>
              <w:ind w:left="242"/>
              <w:rPr>
                <w:color w:val="auto"/>
              </w:rPr>
            </w:pPr>
            <w:r>
              <w:rPr>
                <w:color w:val="auto"/>
                <w:spacing w:val="-10"/>
              </w:rPr>
              <w:t>1.3.4</w:t>
            </w:r>
          </w:p>
        </w:tc>
        <w:tc>
          <w:tcPr>
            <w:tcW w:w="2941" w:type="dxa"/>
            <w:vAlign w:val="top"/>
          </w:tcPr>
          <w:p w14:paraId="51F25F79">
            <w:pPr>
              <w:spacing w:line="357" w:lineRule="auto"/>
              <w:rPr>
                <w:rFonts w:ascii="Arial"/>
                <w:color w:val="auto"/>
                <w:sz w:val="21"/>
              </w:rPr>
            </w:pPr>
          </w:p>
          <w:p w14:paraId="36AB5BFB">
            <w:pPr>
              <w:spacing w:line="357" w:lineRule="auto"/>
              <w:rPr>
                <w:rFonts w:ascii="Arial"/>
                <w:color w:val="auto"/>
                <w:sz w:val="21"/>
              </w:rPr>
            </w:pPr>
          </w:p>
          <w:p w14:paraId="77A1BDF8">
            <w:pPr>
              <w:pStyle w:val="11"/>
              <w:spacing w:before="65" w:line="231" w:lineRule="auto"/>
              <w:ind w:left="1128"/>
              <w:rPr>
                <w:color w:val="auto"/>
              </w:rPr>
            </w:pPr>
            <w:r>
              <w:rPr>
                <w:color w:val="auto"/>
                <w:spacing w:val="-13"/>
              </w:rPr>
              <w:t>履约验收</w:t>
            </w:r>
          </w:p>
        </w:tc>
        <w:tc>
          <w:tcPr>
            <w:tcW w:w="5437" w:type="dxa"/>
            <w:vAlign w:val="center"/>
          </w:tcPr>
          <w:p w14:paraId="6BEAD7A5">
            <w:pPr>
              <w:pStyle w:val="11"/>
              <w:spacing w:before="171" w:line="368" w:lineRule="auto"/>
              <w:ind w:left="104" w:right="127"/>
              <w:jc w:val="center"/>
              <w:rPr>
                <w:color w:val="auto"/>
              </w:rPr>
            </w:pPr>
            <w:r>
              <w:rPr>
                <w:color w:val="auto"/>
                <w:spacing w:val="-21"/>
              </w:rPr>
              <w:t>采购人根据国家有关规定、招标文件、中标人的投标文件以及合同</w:t>
            </w:r>
            <w:r>
              <w:rPr>
                <w:color w:val="auto"/>
                <w:spacing w:val="7"/>
              </w:rPr>
              <w:t xml:space="preserve"> </w:t>
            </w:r>
            <w:r>
              <w:rPr>
                <w:color w:val="auto"/>
                <w:spacing w:val="-21"/>
              </w:rPr>
              <w:t>约定的内容和验收标准进行验收。验收情况作为支付</w:t>
            </w:r>
            <w:r>
              <w:rPr>
                <w:rFonts w:hint="eastAsia"/>
                <w:color w:val="auto"/>
                <w:spacing w:val="-21"/>
                <w:lang w:eastAsia="zh-CN"/>
              </w:rPr>
              <w:t>价款</w:t>
            </w:r>
            <w:r>
              <w:rPr>
                <w:color w:val="auto"/>
                <w:spacing w:val="-21"/>
              </w:rPr>
              <w:t>的依据。</w:t>
            </w:r>
          </w:p>
        </w:tc>
      </w:tr>
      <w:tr w14:paraId="2DB49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5DEC1D73">
            <w:pPr>
              <w:pStyle w:val="11"/>
              <w:spacing w:before="206" w:line="187" w:lineRule="auto"/>
              <w:ind w:left="242"/>
              <w:rPr>
                <w:color w:val="auto"/>
              </w:rPr>
            </w:pPr>
            <w:r>
              <w:rPr>
                <w:color w:val="auto"/>
                <w:spacing w:val="-10"/>
              </w:rPr>
              <w:t>1.4.1</w:t>
            </w:r>
          </w:p>
        </w:tc>
        <w:tc>
          <w:tcPr>
            <w:tcW w:w="2941" w:type="dxa"/>
            <w:vAlign w:val="top"/>
          </w:tcPr>
          <w:p w14:paraId="5753A20E">
            <w:pPr>
              <w:pStyle w:val="11"/>
              <w:spacing w:before="171" w:line="231" w:lineRule="auto"/>
              <w:ind w:left="854"/>
              <w:rPr>
                <w:color w:val="auto"/>
              </w:rPr>
            </w:pPr>
            <w:r>
              <w:rPr>
                <w:color w:val="auto"/>
                <w:spacing w:val="-16"/>
              </w:rPr>
              <w:t>投标人资格要求</w:t>
            </w:r>
          </w:p>
        </w:tc>
        <w:tc>
          <w:tcPr>
            <w:tcW w:w="5437" w:type="dxa"/>
            <w:vAlign w:val="top"/>
          </w:tcPr>
          <w:p w14:paraId="65854917">
            <w:pPr>
              <w:pStyle w:val="11"/>
              <w:spacing w:before="171" w:line="229" w:lineRule="auto"/>
              <w:ind w:left="104"/>
              <w:rPr>
                <w:color w:val="auto"/>
              </w:rPr>
            </w:pPr>
            <w:r>
              <w:rPr>
                <w:color w:val="auto"/>
                <w:spacing w:val="-20"/>
              </w:rPr>
              <w:t>详见第一章招标公告“申请人资格要求”。</w:t>
            </w:r>
          </w:p>
        </w:tc>
      </w:tr>
      <w:tr w14:paraId="62F8E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95" w:type="dxa"/>
            <w:vAlign w:val="top"/>
          </w:tcPr>
          <w:p w14:paraId="3778A00C">
            <w:pPr>
              <w:pStyle w:val="11"/>
              <w:spacing w:before="209" w:line="187" w:lineRule="auto"/>
              <w:ind w:left="242"/>
              <w:rPr>
                <w:color w:val="auto"/>
              </w:rPr>
            </w:pPr>
            <w:r>
              <w:rPr>
                <w:color w:val="auto"/>
                <w:spacing w:val="-10"/>
              </w:rPr>
              <w:t>1.4.2</w:t>
            </w:r>
          </w:p>
        </w:tc>
        <w:tc>
          <w:tcPr>
            <w:tcW w:w="2941" w:type="dxa"/>
            <w:vAlign w:val="top"/>
          </w:tcPr>
          <w:p w14:paraId="7807DEC9">
            <w:pPr>
              <w:pStyle w:val="11"/>
              <w:spacing w:before="174" w:line="231" w:lineRule="auto"/>
              <w:ind w:left="676"/>
              <w:rPr>
                <w:color w:val="auto"/>
              </w:rPr>
            </w:pPr>
            <w:r>
              <w:rPr>
                <w:color w:val="auto"/>
                <w:spacing w:val="-18"/>
              </w:rPr>
              <w:t>是否接受联合体投标</w:t>
            </w:r>
          </w:p>
        </w:tc>
        <w:tc>
          <w:tcPr>
            <w:tcW w:w="5437" w:type="dxa"/>
            <w:vAlign w:val="top"/>
          </w:tcPr>
          <w:p w14:paraId="7C2CEE95">
            <w:pPr>
              <w:pStyle w:val="11"/>
              <w:spacing w:before="173" w:line="232" w:lineRule="auto"/>
              <w:ind w:left="108"/>
              <w:rPr>
                <w:color w:val="auto"/>
              </w:rPr>
            </w:pPr>
            <w:r>
              <w:rPr>
                <w:color w:val="auto"/>
                <w:spacing w:val="-11"/>
              </w:rPr>
              <w:t>不接受</w:t>
            </w:r>
          </w:p>
        </w:tc>
      </w:tr>
      <w:tr w14:paraId="7E127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41DF01FD">
            <w:pPr>
              <w:pStyle w:val="11"/>
              <w:spacing w:before="206" w:line="187" w:lineRule="auto"/>
              <w:ind w:left="242"/>
              <w:rPr>
                <w:color w:val="auto"/>
              </w:rPr>
            </w:pPr>
            <w:r>
              <w:rPr>
                <w:color w:val="auto"/>
                <w:spacing w:val="-10"/>
              </w:rPr>
              <w:t>1.4.3</w:t>
            </w:r>
          </w:p>
        </w:tc>
        <w:tc>
          <w:tcPr>
            <w:tcW w:w="2941" w:type="dxa"/>
            <w:vAlign w:val="top"/>
          </w:tcPr>
          <w:p w14:paraId="2782DF7D">
            <w:pPr>
              <w:pStyle w:val="11"/>
              <w:spacing w:before="171" w:line="228" w:lineRule="auto"/>
              <w:ind w:left="408"/>
              <w:rPr>
                <w:color w:val="auto"/>
              </w:rPr>
            </w:pPr>
            <w:r>
              <w:rPr>
                <w:color w:val="auto"/>
                <w:spacing w:val="-19"/>
              </w:rPr>
              <w:t>投标人不得存在的其他情形</w:t>
            </w:r>
          </w:p>
        </w:tc>
        <w:tc>
          <w:tcPr>
            <w:tcW w:w="5437" w:type="dxa"/>
            <w:vAlign w:val="top"/>
          </w:tcPr>
          <w:p w14:paraId="3443BA11">
            <w:pPr>
              <w:pStyle w:val="11"/>
              <w:spacing w:before="172" w:line="234" w:lineRule="auto"/>
              <w:ind w:left="95"/>
              <w:rPr>
                <w:color w:val="auto"/>
              </w:rPr>
            </w:pPr>
            <w:r>
              <w:rPr>
                <w:color w:val="auto"/>
              </w:rPr>
              <w:t>/</w:t>
            </w:r>
          </w:p>
        </w:tc>
      </w:tr>
      <w:tr w14:paraId="56C8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95" w:type="dxa"/>
            <w:vAlign w:val="top"/>
          </w:tcPr>
          <w:p w14:paraId="47BDAD40">
            <w:pPr>
              <w:pStyle w:val="11"/>
              <w:spacing w:before="207" w:line="187" w:lineRule="auto"/>
              <w:ind w:left="242"/>
              <w:rPr>
                <w:color w:val="auto"/>
              </w:rPr>
            </w:pPr>
            <w:r>
              <w:rPr>
                <w:color w:val="auto"/>
                <w:spacing w:val="-10"/>
              </w:rPr>
              <w:t>1.9.1</w:t>
            </w:r>
          </w:p>
        </w:tc>
        <w:tc>
          <w:tcPr>
            <w:tcW w:w="2941" w:type="dxa"/>
            <w:vAlign w:val="top"/>
          </w:tcPr>
          <w:p w14:paraId="447C15FE">
            <w:pPr>
              <w:pStyle w:val="11"/>
              <w:spacing w:before="172" w:line="231" w:lineRule="auto"/>
              <w:ind w:left="1032"/>
              <w:rPr>
                <w:color w:val="auto"/>
              </w:rPr>
            </w:pPr>
            <w:r>
              <w:rPr>
                <w:color w:val="auto"/>
                <w:spacing w:val="-14"/>
              </w:rPr>
              <w:t>投标预备会</w:t>
            </w:r>
          </w:p>
        </w:tc>
        <w:tc>
          <w:tcPr>
            <w:tcW w:w="5437" w:type="dxa"/>
            <w:vAlign w:val="top"/>
          </w:tcPr>
          <w:p w14:paraId="3EADDE76">
            <w:pPr>
              <w:pStyle w:val="11"/>
              <w:spacing w:before="172" w:line="231" w:lineRule="auto"/>
              <w:ind w:left="108"/>
              <w:rPr>
                <w:color w:val="auto"/>
              </w:rPr>
            </w:pPr>
            <w:r>
              <w:rPr>
                <w:color w:val="auto"/>
                <w:spacing w:val="-11"/>
              </w:rPr>
              <w:t>不召开</w:t>
            </w:r>
          </w:p>
        </w:tc>
      </w:tr>
      <w:tr w14:paraId="74847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895" w:type="dxa"/>
            <w:vAlign w:val="top"/>
          </w:tcPr>
          <w:p w14:paraId="29249734">
            <w:pPr>
              <w:spacing w:line="412" w:lineRule="auto"/>
              <w:rPr>
                <w:rFonts w:ascii="Arial"/>
                <w:color w:val="auto"/>
                <w:sz w:val="21"/>
              </w:rPr>
            </w:pPr>
          </w:p>
          <w:p w14:paraId="00EA3D0B">
            <w:pPr>
              <w:pStyle w:val="11"/>
              <w:spacing w:before="65" w:line="187" w:lineRule="auto"/>
              <w:ind w:left="242"/>
              <w:rPr>
                <w:color w:val="auto"/>
              </w:rPr>
            </w:pPr>
            <w:r>
              <w:rPr>
                <w:color w:val="auto"/>
                <w:spacing w:val="-10"/>
              </w:rPr>
              <w:t>1.9.2</w:t>
            </w:r>
          </w:p>
        </w:tc>
        <w:tc>
          <w:tcPr>
            <w:tcW w:w="2941" w:type="dxa"/>
            <w:vAlign w:val="top"/>
          </w:tcPr>
          <w:p w14:paraId="2C5FDADC">
            <w:pPr>
              <w:pStyle w:val="11"/>
              <w:spacing w:before="170" w:line="487" w:lineRule="auto"/>
              <w:ind w:left="1124" w:right="546" w:hanging="539"/>
              <w:rPr>
                <w:color w:val="auto"/>
              </w:rPr>
            </w:pPr>
            <w:r>
              <w:rPr>
                <w:color w:val="auto"/>
                <w:spacing w:val="-20"/>
              </w:rPr>
              <w:t>投标人在投标预备会前</w:t>
            </w:r>
            <w:r>
              <w:rPr>
                <w:color w:val="auto"/>
                <w:spacing w:val="2"/>
              </w:rPr>
              <w:t xml:space="preserve"> </w:t>
            </w:r>
            <w:r>
              <w:rPr>
                <w:color w:val="auto"/>
                <w:spacing w:val="-13"/>
              </w:rPr>
              <w:t>提出问题</w:t>
            </w:r>
          </w:p>
        </w:tc>
        <w:tc>
          <w:tcPr>
            <w:tcW w:w="5437" w:type="dxa"/>
            <w:vAlign w:val="top"/>
          </w:tcPr>
          <w:p w14:paraId="7089A13D">
            <w:pPr>
              <w:pStyle w:val="11"/>
              <w:spacing w:before="171" w:line="232" w:lineRule="auto"/>
              <w:ind w:left="118"/>
              <w:rPr>
                <w:color w:val="auto"/>
              </w:rPr>
            </w:pPr>
            <w:r>
              <w:rPr>
                <w:color w:val="auto"/>
                <w:spacing w:val="-22"/>
              </w:rPr>
              <w:t>时间：/</w:t>
            </w:r>
          </w:p>
          <w:p w14:paraId="6EC0BF76">
            <w:pPr>
              <w:pStyle w:val="11"/>
              <w:spacing w:before="298" w:line="232" w:lineRule="auto"/>
              <w:ind w:left="103"/>
              <w:rPr>
                <w:color w:val="auto"/>
              </w:rPr>
            </w:pPr>
            <w:r>
              <w:rPr>
                <w:color w:val="auto"/>
                <w:spacing w:val="-19"/>
              </w:rPr>
              <w:t>形式：/</w:t>
            </w:r>
          </w:p>
        </w:tc>
      </w:tr>
      <w:tr w14:paraId="65411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5FC3FFBE">
            <w:pPr>
              <w:pStyle w:val="11"/>
              <w:spacing w:before="209" w:line="187" w:lineRule="auto"/>
              <w:ind w:left="196"/>
              <w:rPr>
                <w:color w:val="auto"/>
              </w:rPr>
            </w:pPr>
            <w:r>
              <w:rPr>
                <w:color w:val="auto"/>
                <w:spacing w:val="-10"/>
              </w:rPr>
              <w:t>1.10.1</w:t>
            </w:r>
          </w:p>
        </w:tc>
        <w:tc>
          <w:tcPr>
            <w:tcW w:w="2941" w:type="dxa"/>
            <w:vAlign w:val="top"/>
          </w:tcPr>
          <w:p w14:paraId="197D5ED7">
            <w:pPr>
              <w:pStyle w:val="11"/>
              <w:spacing w:before="174" w:line="232" w:lineRule="auto"/>
              <w:ind w:left="1304"/>
              <w:rPr>
                <w:color w:val="auto"/>
              </w:rPr>
            </w:pPr>
            <w:r>
              <w:rPr>
                <w:color w:val="auto"/>
                <w:spacing w:val="-4"/>
              </w:rPr>
              <w:t>分包</w:t>
            </w:r>
          </w:p>
        </w:tc>
        <w:tc>
          <w:tcPr>
            <w:tcW w:w="5437" w:type="dxa"/>
            <w:vAlign w:val="top"/>
          </w:tcPr>
          <w:p w14:paraId="680CF77C">
            <w:pPr>
              <w:pStyle w:val="11"/>
              <w:spacing w:before="173" w:line="231" w:lineRule="auto"/>
              <w:ind w:left="108"/>
              <w:rPr>
                <w:color w:val="auto"/>
              </w:rPr>
            </w:pPr>
            <w:r>
              <w:rPr>
                <w:color w:val="auto"/>
                <w:spacing w:val="-11"/>
              </w:rPr>
              <w:t>不允许</w:t>
            </w:r>
          </w:p>
        </w:tc>
      </w:tr>
    </w:tbl>
    <w:p w14:paraId="570F09D9">
      <w:pPr>
        <w:pStyle w:val="3"/>
        <w:rPr>
          <w:color w:val="auto"/>
        </w:rPr>
      </w:pPr>
    </w:p>
    <w:p w14:paraId="3EFFB528">
      <w:pPr>
        <w:rPr>
          <w:color w:val="auto"/>
        </w:rPr>
        <w:sectPr>
          <w:footerReference r:id="rId17" w:type="default"/>
          <w:pgSz w:w="11906" w:h="16839"/>
          <w:pgMar w:top="999" w:right="1246" w:bottom="844" w:left="1313" w:header="698" w:footer="682" w:gutter="0"/>
          <w:pgNumType w:fmt="decimal"/>
          <w:cols w:space="720" w:num="1"/>
        </w:sectPr>
      </w:pPr>
    </w:p>
    <w:p w14:paraId="1476716A">
      <w:pPr>
        <w:spacing w:before="176"/>
        <w:rPr>
          <w:color w:val="auto"/>
        </w:rPr>
      </w:pPr>
    </w:p>
    <w:tbl>
      <w:tblPr>
        <w:tblStyle w:val="10"/>
        <w:tblW w:w="92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941"/>
        <w:gridCol w:w="5437"/>
      </w:tblGrid>
      <w:tr w14:paraId="41744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95" w:type="dxa"/>
            <w:vAlign w:val="top"/>
          </w:tcPr>
          <w:p w14:paraId="271DABCC">
            <w:pPr>
              <w:spacing w:line="245" w:lineRule="auto"/>
              <w:rPr>
                <w:rFonts w:ascii="Arial"/>
                <w:color w:val="auto"/>
                <w:sz w:val="21"/>
              </w:rPr>
            </w:pPr>
          </w:p>
          <w:p w14:paraId="0CFD8058">
            <w:pPr>
              <w:spacing w:line="245" w:lineRule="auto"/>
              <w:rPr>
                <w:rFonts w:ascii="Arial"/>
                <w:color w:val="auto"/>
                <w:sz w:val="21"/>
              </w:rPr>
            </w:pPr>
          </w:p>
          <w:p w14:paraId="75E2CE80">
            <w:pPr>
              <w:spacing w:line="246" w:lineRule="auto"/>
              <w:rPr>
                <w:rFonts w:ascii="Arial"/>
                <w:color w:val="auto"/>
                <w:sz w:val="21"/>
              </w:rPr>
            </w:pPr>
          </w:p>
          <w:p w14:paraId="6B697756">
            <w:pPr>
              <w:spacing w:line="246" w:lineRule="auto"/>
              <w:rPr>
                <w:rFonts w:ascii="Arial"/>
                <w:color w:val="auto"/>
                <w:sz w:val="21"/>
              </w:rPr>
            </w:pPr>
          </w:p>
          <w:p w14:paraId="5C1FAE7E">
            <w:pPr>
              <w:spacing w:line="246" w:lineRule="auto"/>
              <w:rPr>
                <w:rFonts w:ascii="Arial"/>
                <w:color w:val="auto"/>
                <w:sz w:val="21"/>
              </w:rPr>
            </w:pPr>
          </w:p>
          <w:p w14:paraId="2EF32B3E">
            <w:pPr>
              <w:pStyle w:val="11"/>
              <w:spacing w:before="65" w:line="187" w:lineRule="auto"/>
              <w:ind w:left="196"/>
              <w:rPr>
                <w:color w:val="auto"/>
              </w:rPr>
            </w:pPr>
            <w:r>
              <w:rPr>
                <w:color w:val="auto"/>
                <w:spacing w:val="-10"/>
              </w:rPr>
              <w:t>1.11.1</w:t>
            </w:r>
          </w:p>
        </w:tc>
        <w:tc>
          <w:tcPr>
            <w:tcW w:w="2941" w:type="dxa"/>
            <w:vAlign w:val="top"/>
          </w:tcPr>
          <w:p w14:paraId="634A9524">
            <w:pPr>
              <w:spacing w:line="298" w:lineRule="auto"/>
              <w:rPr>
                <w:rFonts w:ascii="Arial"/>
                <w:color w:val="auto"/>
                <w:sz w:val="21"/>
              </w:rPr>
            </w:pPr>
          </w:p>
          <w:p w14:paraId="2DAF7077">
            <w:pPr>
              <w:spacing w:line="298" w:lineRule="auto"/>
              <w:rPr>
                <w:rFonts w:ascii="Arial"/>
                <w:color w:val="auto"/>
                <w:sz w:val="21"/>
              </w:rPr>
            </w:pPr>
          </w:p>
          <w:p w14:paraId="0BA38B68">
            <w:pPr>
              <w:spacing w:line="298" w:lineRule="auto"/>
              <w:rPr>
                <w:rFonts w:ascii="Arial"/>
                <w:color w:val="auto"/>
                <w:sz w:val="21"/>
              </w:rPr>
            </w:pPr>
          </w:p>
          <w:p w14:paraId="48FA8CB0">
            <w:pPr>
              <w:spacing w:line="299" w:lineRule="auto"/>
              <w:rPr>
                <w:rFonts w:ascii="Arial"/>
                <w:color w:val="auto"/>
                <w:sz w:val="21"/>
              </w:rPr>
            </w:pPr>
          </w:p>
          <w:p w14:paraId="34BB7A19">
            <w:pPr>
              <w:pStyle w:val="11"/>
              <w:spacing w:before="65" w:line="229" w:lineRule="auto"/>
              <w:ind w:left="768"/>
              <w:rPr>
                <w:color w:val="auto"/>
              </w:rPr>
            </w:pPr>
            <w:r>
              <w:rPr>
                <w:color w:val="auto"/>
                <w:spacing w:val="-18"/>
              </w:rPr>
              <w:t>实质性要求和条件</w:t>
            </w:r>
          </w:p>
        </w:tc>
        <w:tc>
          <w:tcPr>
            <w:tcW w:w="5437" w:type="dxa"/>
            <w:vAlign w:val="top"/>
          </w:tcPr>
          <w:p w14:paraId="712E0ED5">
            <w:pPr>
              <w:pStyle w:val="11"/>
              <w:spacing w:before="171" w:line="499" w:lineRule="auto"/>
              <w:ind w:left="102" w:right="4469"/>
              <w:jc w:val="both"/>
              <w:rPr>
                <w:color w:val="auto"/>
              </w:rPr>
            </w:pPr>
            <w:r>
              <w:rPr>
                <w:color w:val="auto"/>
                <w:spacing w:val="-29"/>
              </w:rPr>
              <w:t>服务期限：</w:t>
            </w:r>
            <w:r>
              <w:rPr>
                <w:color w:val="auto"/>
                <w:spacing w:val="3"/>
              </w:rPr>
              <w:t xml:space="preserve"> </w:t>
            </w:r>
            <w:r>
              <w:rPr>
                <w:color w:val="auto"/>
                <w:spacing w:val="-29"/>
              </w:rPr>
              <w:t>服务地点：</w:t>
            </w:r>
            <w:r>
              <w:rPr>
                <w:color w:val="auto"/>
                <w:spacing w:val="3"/>
              </w:rPr>
              <w:t xml:space="preserve"> </w:t>
            </w:r>
            <w:r>
              <w:rPr>
                <w:color w:val="auto"/>
                <w:spacing w:val="-29"/>
              </w:rPr>
              <w:t>质量要求：</w:t>
            </w:r>
            <w:r>
              <w:rPr>
                <w:color w:val="auto"/>
                <w:spacing w:val="3"/>
              </w:rPr>
              <w:t xml:space="preserve"> </w:t>
            </w:r>
            <w:r>
              <w:rPr>
                <w:color w:val="auto"/>
                <w:spacing w:val="-29"/>
              </w:rPr>
              <w:t>付款方式：</w:t>
            </w:r>
            <w:r>
              <w:rPr>
                <w:color w:val="auto"/>
                <w:spacing w:val="3"/>
              </w:rPr>
              <w:t xml:space="preserve"> </w:t>
            </w:r>
            <w:r>
              <w:rPr>
                <w:color w:val="auto"/>
                <w:spacing w:val="-18"/>
              </w:rPr>
              <w:t>其他：/</w:t>
            </w:r>
          </w:p>
        </w:tc>
      </w:tr>
      <w:tr w14:paraId="02250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895" w:type="dxa"/>
            <w:vAlign w:val="top"/>
          </w:tcPr>
          <w:p w14:paraId="08C835D7">
            <w:pPr>
              <w:spacing w:line="327" w:lineRule="auto"/>
              <w:rPr>
                <w:rFonts w:ascii="Arial"/>
                <w:color w:val="auto"/>
                <w:sz w:val="21"/>
              </w:rPr>
            </w:pPr>
          </w:p>
          <w:p w14:paraId="3B902976">
            <w:pPr>
              <w:pStyle w:val="11"/>
              <w:spacing w:before="65" w:line="187" w:lineRule="auto"/>
              <w:ind w:left="151"/>
              <w:rPr>
                <w:color w:val="auto"/>
              </w:rPr>
            </w:pPr>
            <w:r>
              <w:rPr>
                <w:color w:val="auto"/>
                <w:spacing w:val="1"/>
              </w:rPr>
              <w:t>1.11.2</w:t>
            </w:r>
          </w:p>
        </w:tc>
        <w:tc>
          <w:tcPr>
            <w:tcW w:w="2941" w:type="dxa"/>
            <w:vAlign w:val="top"/>
          </w:tcPr>
          <w:p w14:paraId="3D16E3AF">
            <w:pPr>
              <w:pStyle w:val="11"/>
              <w:spacing w:before="127" w:line="366" w:lineRule="auto"/>
              <w:ind w:left="9" w:right="210" w:firstLine="2"/>
              <w:rPr>
                <w:color w:val="auto"/>
              </w:rPr>
            </w:pPr>
            <w:r>
              <w:rPr>
                <w:color w:val="auto"/>
                <w:spacing w:val="8"/>
              </w:rPr>
              <w:t xml:space="preserve">其他可以被接受的技术支持资 </w:t>
            </w:r>
            <w:r>
              <w:rPr>
                <w:color w:val="auto"/>
              </w:rPr>
              <w:t>料</w:t>
            </w:r>
          </w:p>
        </w:tc>
        <w:tc>
          <w:tcPr>
            <w:tcW w:w="5437" w:type="dxa"/>
            <w:vAlign w:val="top"/>
          </w:tcPr>
          <w:p w14:paraId="6ACAA04D">
            <w:pPr>
              <w:spacing w:line="293" w:lineRule="auto"/>
              <w:rPr>
                <w:rFonts w:ascii="Arial"/>
                <w:color w:val="auto"/>
                <w:sz w:val="21"/>
              </w:rPr>
            </w:pPr>
          </w:p>
          <w:p w14:paraId="65721F51">
            <w:pPr>
              <w:pStyle w:val="11"/>
              <w:spacing w:before="65" w:line="234" w:lineRule="auto"/>
              <w:ind w:left="2668"/>
              <w:rPr>
                <w:color w:val="auto"/>
              </w:rPr>
            </w:pPr>
            <w:r>
              <w:rPr>
                <w:color w:val="auto"/>
              </w:rPr>
              <w:t>/</w:t>
            </w:r>
          </w:p>
        </w:tc>
      </w:tr>
      <w:tr w14:paraId="60D50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895" w:type="dxa"/>
            <w:vAlign w:val="top"/>
          </w:tcPr>
          <w:p w14:paraId="3979373C">
            <w:pPr>
              <w:spacing w:line="411" w:lineRule="auto"/>
              <w:rPr>
                <w:rFonts w:ascii="Arial"/>
                <w:color w:val="auto"/>
                <w:sz w:val="21"/>
              </w:rPr>
            </w:pPr>
          </w:p>
          <w:p w14:paraId="7D686C63">
            <w:pPr>
              <w:pStyle w:val="11"/>
              <w:spacing w:before="65" w:line="187" w:lineRule="auto"/>
              <w:ind w:left="208"/>
              <w:rPr>
                <w:color w:val="auto"/>
              </w:rPr>
            </w:pPr>
            <w:r>
              <w:rPr>
                <w:color w:val="auto"/>
                <w:spacing w:val="-13"/>
              </w:rPr>
              <w:t>1.11.3</w:t>
            </w:r>
          </w:p>
        </w:tc>
        <w:tc>
          <w:tcPr>
            <w:tcW w:w="2941" w:type="dxa"/>
            <w:vAlign w:val="top"/>
          </w:tcPr>
          <w:p w14:paraId="439C6A54">
            <w:pPr>
              <w:spacing w:line="376" w:lineRule="auto"/>
              <w:rPr>
                <w:rFonts w:ascii="Arial"/>
                <w:color w:val="auto"/>
                <w:sz w:val="21"/>
              </w:rPr>
            </w:pPr>
          </w:p>
          <w:p w14:paraId="34A1B3AB">
            <w:pPr>
              <w:pStyle w:val="11"/>
              <w:spacing w:before="65" w:line="232" w:lineRule="auto"/>
              <w:ind w:left="1317"/>
              <w:rPr>
                <w:color w:val="auto"/>
              </w:rPr>
            </w:pPr>
            <w:r>
              <w:rPr>
                <w:color w:val="auto"/>
                <w:spacing w:val="-3"/>
              </w:rPr>
              <w:t>偏差</w:t>
            </w:r>
          </w:p>
        </w:tc>
        <w:tc>
          <w:tcPr>
            <w:tcW w:w="5437" w:type="dxa"/>
            <w:vAlign w:val="top"/>
          </w:tcPr>
          <w:p w14:paraId="271B2373">
            <w:pPr>
              <w:pStyle w:val="11"/>
              <w:spacing w:before="170" w:line="231" w:lineRule="auto"/>
              <w:ind w:left="118"/>
              <w:rPr>
                <w:color w:val="auto"/>
              </w:rPr>
            </w:pPr>
            <w:r>
              <w:rPr>
                <w:color w:val="auto"/>
                <w:spacing w:val="-37"/>
                <w:w w:val="98"/>
              </w:rPr>
              <w:t>□不允许</w:t>
            </w:r>
          </w:p>
          <w:p w14:paraId="03AE899B">
            <w:pPr>
              <w:pStyle w:val="11"/>
              <w:spacing w:before="296" w:line="231" w:lineRule="auto"/>
              <w:ind w:left="105"/>
              <w:rPr>
                <w:color w:val="auto"/>
              </w:rPr>
            </w:pPr>
            <w:r>
              <w:rPr>
                <w:rFonts w:ascii="MS UI Gothic" w:hAnsi="MS UI Gothic" w:eastAsia="MS UI Gothic" w:cs="MS UI Gothic"/>
                <w:color w:val="auto"/>
                <w:spacing w:val="-31"/>
                <w:w w:val="87"/>
              </w:rPr>
              <w:t>☑</w:t>
            </w:r>
            <w:r>
              <w:rPr>
                <w:color w:val="auto"/>
                <w:spacing w:val="-31"/>
                <w:w w:val="87"/>
              </w:rPr>
              <w:t>允许，正偏差；</w:t>
            </w:r>
          </w:p>
        </w:tc>
      </w:tr>
      <w:tr w14:paraId="69FAA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895" w:type="dxa"/>
            <w:vAlign w:val="top"/>
          </w:tcPr>
          <w:p w14:paraId="3D563BB9">
            <w:pPr>
              <w:pStyle w:val="11"/>
              <w:spacing w:before="209" w:line="181" w:lineRule="auto"/>
              <w:ind w:left="318"/>
              <w:rPr>
                <w:color w:val="auto"/>
                <w:sz w:val="22"/>
                <w:szCs w:val="22"/>
              </w:rPr>
            </w:pPr>
            <w:r>
              <w:rPr>
                <w:color w:val="auto"/>
                <w:spacing w:val="-9"/>
                <w:sz w:val="22"/>
                <w:szCs w:val="22"/>
              </w:rPr>
              <w:t>2.1</w:t>
            </w:r>
          </w:p>
        </w:tc>
        <w:tc>
          <w:tcPr>
            <w:tcW w:w="2941" w:type="dxa"/>
            <w:vAlign w:val="top"/>
          </w:tcPr>
          <w:p w14:paraId="2C7C325E">
            <w:pPr>
              <w:pStyle w:val="11"/>
              <w:spacing w:before="179" w:line="229" w:lineRule="auto"/>
              <w:ind w:left="518"/>
              <w:rPr>
                <w:color w:val="auto"/>
              </w:rPr>
            </w:pPr>
            <w:r>
              <w:rPr>
                <w:color w:val="auto"/>
                <w:spacing w:val="-22"/>
              </w:rPr>
              <w:t>构成招标文件的其他资料</w:t>
            </w:r>
          </w:p>
        </w:tc>
        <w:tc>
          <w:tcPr>
            <w:tcW w:w="5437" w:type="dxa"/>
            <w:vAlign w:val="top"/>
          </w:tcPr>
          <w:p w14:paraId="0CCE26CD">
            <w:pPr>
              <w:pStyle w:val="11"/>
              <w:spacing w:before="171" w:line="227" w:lineRule="auto"/>
              <w:ind w:left="96"/>
              <w:rPr>
                <w:color w:val="auto"/>
                <w:sz w:val="22"/>
                <w:szCs w:val="22"/>
              </w:rPr>
            </w:pPr>
            <w:r>
              <w:rPr>
                <w:color w:val="auto"/>
                <w:sz w:val="22"/>
                <w:szCs w:val="22"/>
              </w:rPr>
              <w:t>/</w:t>
            </w:r>
          </w:p>
        </w:tc>
      </w:tr>
      <w:tr w14:paraId="581D0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3" w:hRule="atLeast"/>
        </w:trPr>
        <w:tc>
          <w:tcPr>
            <w:tcW w:w="895" w:type="dxa"/>
            <w:vAlign w:val="top"/>
          </w:tcPr>
          <w:p w14:paraId="39DD0E0E">
            <w:pPr>
              <w:spacing w:line="249" w:lineRule="auto"/>
              <w:rPr>
                <w:rFonts w:ascii="Arial"/>
                <w:color w:val="auto"/>
                <w:sz w:val="21"/>
              </w:rPr>
            </w:pPr>
          </w:p>
          <w:p w14:paraId="79659B56">
            <w:pPr>
              <w:spacing w:line="250" w:lineRule="auto"/>
              <w:rPr>
                <w:rFonts w:ascii="Arial"/>
                <w:color w:val="auto"/>
                <w:sz w:val="21"/>
              </w:rPr>
            </w:pPr>
          </w:p>
          <w:p w14:paraId="62BD4CDA">
            <w:pPr>
              <w:spacing w:line="250" w:lineRule="auto"/>
              <w:rPr>
                <w:rFonts w:ascii="Arial"/>
                <w:color w:val="auto"/>
                <w:sz w:val="21"/>
              </w:rPr>
            </w:pPr>
          </w:p>
          <w:p w14:paraId="2597127F">
            <w:pPr>
              <w:pStyle w:val="11"/>
              <w:spacing w:before="65" w:line="187" w:lineRule="auto"/>
              <w:ind w:left="229"/>
              <w:rPr>
                <w:color w:val="auto"/>
              </w:rPr>
            </w:pPr>
            <w:r>
              <w:rPr>
                <w:color w:val="auto"/>
                <w:spacing w:val="-7"/>
              </w:rPr>
              <w:t>2.2.1</w:t>
            </w:r>
          </w:p>
        </w:tc>
        <w:tc>
          <w:tcPr>
            <w:tcW w:w="2941" w:type="dxa"/>
            <w:vAlign w:val="top"/>
          </w:tcPr>
          <w:p w14:paraId="531F73E0">
            <w:pPr>
              <w:spacing w:line="256" w:lineRule="auto"/>
              <w:rPr>
                <w:rFonts w:ascii="Arial"/>
                <w:color w:val="auto"/>
                <w:sz w:val="21"/>
              </w:rPr>
            </w:pPr>
          </w:p>
          <w:p w14:paraId="000DB744">
            <w:pPr>
              <w:spacing w:line="257" w:lineRule="auto"/>
              <w:rPr>
                <w:rFonts w:ascii="Arial"/>
                <w:color w:val="auto"/>
                <w:sz w:val="21"/>
              </w:rPr>
            </w:pPr>
          </w:p>
          <w:p w14:paraId="4E3B3AE3">
            <w:pPr>
              <w:pStyle w:val="11"/>
              <w:spacing w:before="65" w:line="360" w:lineRule="auto"/>
              <w:ind w:left="1068" w:right="66" w:hanging="951"/>
              <w:rPr>
                <w:color w:val="auto"/>
              </w:rPr>
            </w:pPr>
            <w:r>
              <w:rPr>
                <w:color w:val="auto"/>
                <w:spacing w:val="-29"/>
              </w:rPr>
              <w:t>投标人提出问题或要求澄清招标文件</w:t>
            </w:r>
            <w:r>
              <w:rPr>
                <w:color w:val="auto"/>
                <w:spacing w:val="14"/>
              </w:rPr>
              <w:t xml:space="preserve"> </w:t>
            </w:r>
            <w:r>
              <w:rPr>
                <w:color w:val="auto"/>
                <w:spacing w:val="-23"/>
              </w:rPr>
              <w:t>的截止时间</w:t>
            </w:r>
          </w:p>
        </w:tc>
        <w:tc>
          <w:tcPr>
            <w:tcW w:w="5437" w:type="dxa"/>
            <w:vAlign w:val="top"/>
          </w:tcPr>
          <w:p w14:paraId="79264567">
            <w:pPr>
              <w:pStyle w:val="11"/>
              <w:spacing w:before="170" w:line="369" w:lineRule="auto"/>
              <w:ind w:left="103" w:right="57" w:firstLine="1"/>
              <w:jc w:val="both"/>
              <w:rPr>
                <w:color w:val="auto"/>
              </w:rPr>
            </w:pPr>
            <w:r>
              <w:rPr>
                <w:color w:val="auto"/>
                <w:spacing w:val="-18"/>
              </w:rPr>
              <w:t>提交投标文件截止时间10日前，由投标人在洛阳市电子招投标交易</w:t>
            </w:r>
            <w:r>
              <w:rPr>
                <w:color w:val="auto"/>
                <w:spacing w:val="6"/>
              </w:rPr>
              <w:t xml:space="preserve"> </w:t>
            </w:r>
            <w:r>
              <w:rPr>
                <w:color w:val="auto"/>
                <w:spacing w:val="-19"/>
              </w:rPr>
              <w:t>平台中提交疑问同步将疑问的电子版（word版和PDF加盖公章</w:t>
            </w:r>
            <w:r>
              <w:rPr>
                <w:color w:val="auto"/>
                <w:spacing w:val="-20"/>
              </w:rPr>
              <w:t>版）发</w:t>
            </w:r>
            <w:r>
              <w:rPr>
                <w:color w:val="auto"/>
              </w:rPr>
              <w:t xml:space="preserve"> </w:t>
            </w:r>
            <w:r>
              <w:rPr>
                <w:color w:val="auto"/>
                <w:spacing w:val="-16"/>
              </w:rPr>
              <w:t>送至zhengdinghn@163.com，并致电告知。在投标截止时间前10日内</w:t>
            </w:r>
            <w:r>
              <w:rPr>
                <w:color w:val="auto"/>
                <w:spacing w:val="7"/>
              </w:rPr>
              <w:t xml:space="preserve"> </w:t>
            </w:r>
            <w:r>
              <w:rPr>
                <w:color w:val="auto"/>
                <w:spacing w:val="-21"/>
              </w:rPr>
              <w:t>,</w:t>
            </w:r>
            <w:r>
              <w:rPr>
                <w:color w:val="auto"/>
                <w:spacing w:val="31"/>
              </w:rPr>
              <w:t xml:space="preserve"> </w:t>
            </w:r>
            <w:r>
              <w:rPr>
                <w:color w:val="auto"/>
                <w:spacing w:val="-21"/>
              </w:rPr>
              <w:t>采购人、采购代理机构不再受理投标人提出的问题。</w:t>
            </w:r>
          </w:p>
        </w:tc>
      </w:tr>
      <w:tr w14:paraId="522FC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7" w:hRule="atLeast"/>
        </w:trPr>
        <w:tc>
          <w:tcPr>
            <w:tcW w:w="895" w:type="dxa"/>
            <w:vAlign w:val="top"/>
          </w:tcPr>
          <w:p w14:paraId="4A740970">
            <w:pPr>
              <w:spacing w:line="260" w:lineRule="auto"/>
              <w:rPr>
                <w:rFonts w:ascii="Arial"/>
                <w:color w:val="auto"/>
                <w:sz w:val="21"/>
              </w:rPr>
            </w:pPr>
          </w:p>
          <w:p w14:paraId="73547494">
            <w:pPr>
              <w:spacing w:line="260" w:lineRule="auto"/>
              <w:rPr>
                <w:rFonts w:ascii="Arial"/>
                <w:color w:val="auto"/>
                <w:sz w:val="21"/>
              </w:rPr>
            </w:pPr>
          </w:p>
          <w:p w14:paraId="1638B4D2">
            <w:pPr>
              <w:spacing w:line="260" w:lineRule="auto"/>
              <w:rPr>
                <w:rFonts w:ascii="Arial"/>
                <w:color w:val="auto"/>
                <w:sz w:val="21"/>
              </w:rPr>
            </w:pPr>
          </w:p>
          <w:p w14:paraId="55EA141F">
            <w:pPr>
              <w:spacing w:line="261" w:lineRule="auto"/>
              <w:rPr>
                <w:rFonts w:ascii="Arial"/>
                <w:color w:val="auto"/>
                <w:sz w:val="21"/>
              </w:rPr>
            </w:pPr>
          </w:p>
          <w:p w14:paraId="1925EA84">
            <w:pPr>
              <w:spacing w:line="261" w:lineRule="auto"/>
              <w:rPr>
                <w:rFonts w:ascii="Arial"/>
                <w:color w:val="auto"/>
                <w:sz w:val="21"/>
              </w:rPr>
            </w:pPr>
          </w:p>
          <w:p w14:paraId="38674B6B">
            <w:pPr>
              <w:spacing w:line="261" w:lineRule="auto"/>
              <w:rPr>
                <w:rFonts w:ascii="Arial"/>
                <w:color w:val="auto"/>
                <w:sz w:val="21"/>
              </w:rPr>
            </w:pPr>
          </w:p>
          <w:p w14:paraId="5D547E18">
            <w:pPr>
              <w:pStyle w:val="11"/>
              <w:spacing w:before="65" w:line="186" w:lineRule="auto"/>
              <w:ind w:left="234"/>
              <w:rPr>
                <w:color w:val="auto"/>
              </w:rPr>
            </w:pPr>
            <w:r>
              <w:rPr>
                <w:color w:val="auto"/>
                <w:spacing w:val="-8"/>
              </w:rPr>
              <w:t>2.2.2</w:t>
            </w:r>
          </w:p>
        </w:tc>
        <w:tc>
          <w:tcPr>
            <w:tcW w:w="2941" w:type="dxa"/>
            <w:vAlign w:val="top"/>
          </w:tcPr>
          <w:p w14:paraId="4AB4868D">
            <w:pPr>
              <w:spacing w:line="254" w:lineRule="auto"/>
              <w:rPr>
                <w:rFonts w:ascii="Arial"/>
                <w:color w:val="auto"/>
                <w:sz w:val="21"/>
              </w:rPr>
            </w:pPr>
          </w:p>
          <w:p w14:paraId="4BC37A23">
            <w:pPr>
              <w:spacing w:line="254" w:lineRule="auto"/>
              <w:rPr>
                <w:rFonts w:ascii="Arial"/>
                <w:color w:val="auto"/>
                <w:sz w:val="21"/>
              </w:rPr>
            </w:pPr>
          </w:p>
          <w:p w14:paraId="4F09DCEA">
            <w:pPr>
              <w:spacing w:line="254" w:lineRule="auto"/>
              <w:rPr>
                <w:rFonts w:ascii="Arial"/>
                <w:color w:val="auto"/>
                <w:sz w:val="21"/>
              </w:rPr>
            </w:pPr>
          </w:p>
          <w:p w14:paraId="2BCF7475">
            <w:pPr>
              <w:spacing w:line="255" w:lineRule="auto"/>
              <w:rPr>
                <w:rFonts w:ascii="Arial"/>
                <w:color w:val="auto"/>
                <w:sz w:val="21"/>
              </w:rPr>
            </w:pPr>
          </w:p>
          <w:p w14:paraId="12F014AE">
            <w:pPr>
              <w:spacing w:line="255" w:lineRule="auto"/>
              <w:rPr>
                <w:rFonts w:ascii="Arial"/>
                <w:color w:val="auto"/>
                <w:sz w:val="21"/>
              </w:rPr>
            </w:pPr>
          </w:p>
          <w:p w14:paraId="0BC99C05">
            <w:pPr>
              <w:spacing w:line="255" w:lineRule="auto"/>
              <w:rPr>
                <w:rFonts w:ascii="Arial"/>
                <w:color w:val="auto"/>
                <w:sz w:val="21"/>
              </w:rPr>
            </w:pPr>
          </w:p>
          <w:p w14:paraId="716A473C">
            <w:pPr>
              <w:pStyle w:val="11"/>
              <w:spacing w:before="65" w:line="231" w:lineRule="auto"/>
              <w:ind w:left="266"/>
              <w:rPr>
                <w:color w:val="auto"/>
              </w:rPr>
            </w:pPr>
            <w:r>
              <w:rPr>
                <w:color w:val="auto"/>
                <w:spacing w:val="-22"/>
              </w:rPr>
              <w:t>招标文件澄清、修改发出的形式</w:t>
            </w:r>
          </w:p>
        </w:tc>
        <w:tc>
          <w:tcPr>
            <w:tcW w:w="5437" w:type="dxa"/>
            <w:vAlign w:val="top"/>
          </w:tcPr>
          <w:p w14:paraId="3690182E">
            <w:pPr>
              <w:pStyle w:val="11"/>
              <w:spacing w:before="170" w:line="373" w:lineRule="auto"/>
              <w:ind w:left="102" w:right="57"/>
              <w:jc w:val="both"/>
              <w:rPr>
                <w:color w:val="auto"/>
              </w:rPr>
            </w:pPr>
            <w:r>
              <w:rPr>
                <w:color w:val="auto"/>
                <w:spacing w:val="-24"/>
              </w:rPr>
              <w:t>招标文件的澄清、修改将在《中国采购与招标</w:t>
            </w:r>
            <w:r>
              <w:rPr>
                <w:color w:val="auto"/>
                <w:spacing w:val="-25"/>
              </w:rPr>
              <w:t>网》、《河南省政府采</w:t>
            </w:r>
            <w:r>
              <w:rPr>
                <w:color w:val="auto"/>
              </w:rPr>
              <w:t xml:space="preserve"> </w:t>
            </w:r>
            <w:r>
              <w:rPr>
                <w:color w:val="auto"/>
                <w:spacing w:val="-30"/>
              </w:rPr>
              <w:t>购网》、《洛阳市公共资源交易中心网》上发布“变更公告”，如需修</w:t>
            </w:r>
            <w:r>
              <w:rPr>
                <w:color w:val="auto"/>
              </w:rPr>
              <w:t xml:space="preserve"> </w:t>
            </w:r>
            <w:r>
              <w:rPr>
                <w:color w:val="auto"/>
                <w:spacing w:val="-18"/>
              </w:rPr>
              <w:t>改招标文件，则同时在洛阳市电子招投标交易平</w:t>
            </w:r>
            <w:r>
              <w:rPr>
                <w:color w:val="auto"/>
                <w:spacing w:val="-19"/>
              </w:rPr>
              <w:t>台发布“答疑文件</w:t>
            </w:r>
            <w:r>
              <w:rPr>
                <w:color w:val="auto"/>
              </w:rPr>
              <w:t xml:space="preserve"> </w:t>
            </w:r>
            <w:r>
              <w:rPr>
                <w:color w:val="auto"/>
                <w:spacing w:val="-24"/>
              </w:rPr>
              <w:t>”（答疑文件指修改后最新的招标文件）。对</w:t>
            </w:r>
            <w:r>
              <w:rPr>
                <w:color w:val="auto"/>
                <w:spacing w:val="-25"/>
              </w:rPr>
              <w:t>于各项目中已经成功报</w:t>
            </w:r>
            <w:r>
              <w:rPr>
                <w:color w:val="auto"/>
              </w:rPr>
              <w:t xml:space="preserve"> </w:t>
            </w:r>
            <w:r>
              <w:rPr>
                <w:color w:val="auto"/>
                <w:spacing w:val="-18"/>
              </w:rPr>
              <w:t>名并下载招标文件的投标人，将通过第三方短信</w:t>
            </w:r>
            <w:r>
              <w:rPr>
                <w:color w:val="auto"/>
                <w:spacing w:val="-19"/>
              </w:rPr>
              <w:t>群发方式提醒投标</w:t>
            </w:r>
            <w:r>
              <w:rPr>
                <w:color w:val="auto"/>
              </w:rPr>
              <w:t xml:space="preserve"> </w:t>
            </w:r>
            <w:r>
              <w:rPr>
                <w:color w:val="auto"/>
                <w:spacing w:val="-24"/>
              </w:rPr>
              <w:t>人进行查询。各投标人须重新下载最新的“答</w:t>
            </w:r>
            <w:r>
              <w:rPr>
                <w:color w:val="auto"/>
                <w:spacing w:val="-25"/>
              </w:rPr>
              <w:t>疑文件”，并以此编制</w:t>
            </w:r>
            <w:r>
              <w:rPr>
                <w:color w:val="auto"/>
              </w:rPr>
              <w:t xml:space="preserve"> </w:t>
            </w:r>
            <w:r>
              <w:rPr>
                <w:color w:val="auto"/>
                <w:spacing w:val="-18"/>
              </w:rPr>
              <w:t>投标文件。如不以最新发布的“答疑文件”编制</w:t>
            </w:r>
            <w:r>
              <w:rPr>
                <w:color w:val="auto"/>
                <w:spacing w:val="-19"/>
              </w:rPr>
              <w:t>投标文件，造成投</w:t>
            </w:r>
            <w:r>
              <w:rPr>
                <w:color w:val="auto"/>
              </w:rPr>
              <w:t xml:space="preserve"> </w:t>
            </w:r>
            <w:r>
              <w:rPr>
                <w:color w:val="auto"/>
                <w:spacing w:val="-19"/>
              </w:rPr>
              <w:t>标无效的后果由投标人自己承担。</w:t>
            </w:r>
          </w:p>
        </w:tc>
      </w:tr>
      <w:tr w14:paraId="3DD0F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07CEEC55">
            <w:pPr>
              <w:pStyle w:val="11"/>
              <w:spacing w:before="209" w:line="187" w:lineRule="auto"/>
              <w:ind w:left="238"/>
              <w:rPr>
                <w:color w:val="auto"/>
              </w:rPr>
            </w:pPr>
            <w:r>
              <w:rPr>
                <w:color w:val="auto"/>
                <w:spacing w:val="-10"/>
              </w:rPr>
              <w:t>3.1.1</w:t>
            </w:r>
          </w:p>
        </w:tc>
        <w:tc>
          <w:tcPr>
            <w:tcW w:w="2941" w:type="dxa"/>
            <w:vAlign w:val="top"/>
          </w:tcPr>
          <w:p w14:paraId="1684917E">
            <w:pPr>
              <w:pStyle w:val="11"/>
              <w:spacing w:before="173" w:line="229" w:lineRule="auto"/>
              <w:ind w:left="518"/>
              <w:rPr>
                <w:color w:val="auto"/>
              </w:rPr>
            </w:pPr>
            <w:r>
              <w:rPr>
                <w:color w:val="auto"/>
                <w:spacing w:val="-22"/>
              </w:rPr>
              <w:t>构成投标文件的其他资料</w:t>
            </w:r>
          </w:p>
        </w:tc>
        <w:tc>
          <w:tcPr>
            <w:tcW w:w="5437" w:type="dxa"/>
            <w:vAlign w:val="top"/>
          </w:tcPr>
          <w:p w14:paraId="302D3830">
            <w:pPr>
              <w:pStyle w:val="11"/>
              <w:spacing w:before="174" w:line="234" w:lineRule="auto"/>
              <w:ind w:left="95"/>
              <w:rPr>
                <w:color w:val="auto"/>
              </w:rPr>
            </w:pPr>
            <w:r>
              <w:rPr>
                <w:color w:val="auto"/>
              </w:rPr>
              <w:t>/</w:t>
            </w:r>
          </w:p>
        </w:tc>
      </w:tr>
      <w:tr w14:paraId="37B81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0" w:hRule="atLeast"/>
        </w:trPr>
        <w:tc>
          <w:tcPr>
            <w:tcW w:w="895" w:type="dxa"/>
            <w:vAlign w:val="top"/>
          </w:tcPr>
          <w:p w14:paraId="58CCA6A0">
            <w:pPr>
              <w:spacing w:line="275" w:lineRule="auto"/>
              <w:rPr>
                <w:rFonts w:ascii="Arial"/>
                <w:color w:val="auto"/>
                <w:sz w:val="21"/>
              </w:rPr>
            </w:pPr>
          </w:p>
          <w:p w14:paraId="1AA9CBED">
            <w:pPr>
              <w:spacing w:line="275" w:lineRule="auto"/>
              <w:rPr>
                <w:rFonts w:ascii="Arial"/>
                <w:color w:val="auto"/>
                <w:sz w:val="21"/>
              </w:rPr>
            </w:pPr>
          </w:p>
          <w:p w14:paraId="04F5E5C3">
            <w:pPr>
              <w:pStyle w:val="11"/>
              <w:spacing w:before="65" w:line="186" w:lineRule="auto"/>
              <w:ind w:left="231"/>
              <w:rPr>
                <w:color w:val="auto"/>
              </w:rPr>
            </w:pPr>
            <w:r>
              <w:rPr>
                <w:color w:val="auto"/>
                <w:spacing w:val="-8"/>
              </w:rPr>
              <w:t>3.2.4</w:t>
            </w:r>
          </w:p>
        </w:tc>
        <w:tc>
          <w:tcPr>
            <w:tcW w:w="2941" w:type="dxa"/>
            <w:vAlign w:val="top"/>
          </w:tcPr>
          <w:p w14:paraId="25701ED7">
            <w:pPr>
              <w:spacing w:line="257" w:lineRule="auto"/>
              <w:rPr>
                <w:rFonts w:ascii="Arial"/>
                <w:color w:val="auto"/>
                <w:sz w:val="21"/>
              </w:rPr>
            </w:pPr>
          </w:p>
          <w:p w14:paraId="7EF52672">
            <w:pPr>
              <w:spacing w:line="257" w:lineRule="auto"/>
              <w:rPr>
                <w:rFonts w:ascii="Arial"/>
                <w:color w:val="auto"/>
                <w:sz w:val="21"/>
              </w:rPr>
            </w:pPr>
          </w:p>
          <w:p w14:paraId="7AC7B4A2">
            <w:pPr>
              <w:pStyle w:val="11"/>
              <w:spacing w:before="65" w:line="230" w:lineRule="auto"/>
              <w:ind w:left="1125"/>
              <w:rPr>
                <w:color w:val="auto"/>
              </w:rPr>
            </w:pPr>
            <w:r>
              <w:rPr>
                <w:color w:val="auto"/>
                <w:spacing w:val="-13"/>
              </w:rPr>
              <w:t>预算金额</w:t>
            </w:r>
          </w:p>
        </w:tc>
        <w:tc>
          <w:tcPr>
            <w:tcW w:w="5437" w:type="dxa"/>
            <w:vAlign w:val="top"/>
          </w:tcPr>
          <w:p w14:paraId="60C27D67">
            <w:pPr>
              <w:pStyle w:val="11"/>
              <w:spacing w:before="174" w:line="230" w:lineRule="auto"/>
              <w:ind w:left="104"/>
              <w:rPr>
                <w:color w:val="auto"/>
              </w:rPr>
            </w:pPr>
            <w:r>
              <w:rPr>
                <w:color w:val="auto"/>
                <w:spacing w:val="-16"/>
              </w:rPr>
              <w:t>预算金额（最高限价）为：</w:t>
            </w:r>
            <w:r>
              <w:rPr>
                <w:rFonts w:hint="eastAsia"/>
                <w:color w:val="auto"/>
                <w:spacing w:val="-16"/>
                <w:lang w:eastAsia="zh-CN"/>
              </w:rPr>
              <w:t>27000000.00</w:t>
            </w:r>
            <w:r>
              <w:rPr>
                <w:color w:val="auto"/>
                <w:spacing w:val="-16"/>
              </w:rPr>
              <w:t>元</w:t>
            </w:r>
          </w:p>
          <w:p w14:paraId="0A6C9623">
            <w:pPr>
              <w:pStyle w:val="11"/>
              <w:spacing w:before="298" w:line="357" w:lineRule="auto"/>
              <w:ind w:right="88"/>
              <w:rPr>
                <w:rFonts w:hint="eastAsia" w:eastAsia="仿宋"/>
                <w:color w:val="auto"/>
                <w:lang w:val="en-US" w:eastAsia="zh-CN"/>
              </w:rPr>
            </w:pPr>
            <w:r>
              <w:rPr>
                <w:color w:val="auto"/>
                <w:spacing w:val="6"/>
              </w:rPr>
              <w:t>投标人的投标报价不得超过预算金额（预算金额和最高限</w:t>
            </w:r>
            <w:r>
              <w:rPr>
                <w:color w:val="auto"/>
                <w:spacing w:val="12"/>
              </w:rPr>
              <w:t>价不一致时，不得超过最高限价</w:t>
            </w:r>
            <w:r>
              <w:rPr>
                <w:color w:val="auto"/>
                <w:spacing w:val="3"/>
              </w:rPr>
              <w:t>），</w:t>
            </w:r>
            <w:r>
              <w:rPr>
                <w:color w:val="auto"/>
                <w:spacing w:val="12"/>
              </w:rPr>
              <w:t>否则其投标将被否决</w:t>
            </w:r>
            <w:r>
              <w:rPr>
                <w:rFonts w:hint="eastAsia"/>
                <w:color w:val="auto"/>
                <w:spacing w:val="12"/>
                <w:lang w:eastAsia="zh-CN"/>
              </w:rPr>
              <w:t>。</w:t>
            </w:r>
          </w:p>
        </w:tc>
      </w:tr>
    </w:tbl>
    <w:p w14:paraId="0A9C3301">
      <w:pPr>
        <w:pStyle w:val="3"/>
        <w:rPr>
          <w:color w:val="auto"/>
        </w:rPr>
      </w:pPr>
    </w:p>
    <w:p w14:paraId="66C36E9E">
      <w:pPr>
        <w:rPr>
          <w:color w:val="auto"/>
        </w:rPr>
        <w:sectPr>
          <w:footerReference r:id="rId18" w:type="default"/>
          <w:pgSz w:w="11906" w:h="16839"/>
          <w:pgMar w:top="999" w:right="1246" w:bottom="844" w:left="1313" w:header="698" w:footer="682" w:gutter="0"/>
          <w:pgNumType w:fmt="decimal"/>
          <w:cols w:space="720" w:num="1"/>
        </w:sectPr>
      </w:pPr>
    </w:p>
    <w:p w14:paraId="5001DC19">
      <w:pPr>
        <w:spacing w:before="176"/>
        <w:rPr>
          <w:color w:val="auto"/>
        </w:rPr>
      </w:pPr>
    </w:p>
    <w:tbl>
      <w:tblPr>
        <w:tblStyle w:val="10"/>
        <w:tblW w:w="92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941"/>
        <w:gridCol w:w="5437"/>
      </w:tblGrid>
      <w:tr w14:paraId="76A81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895" w:type="dxa"/>
            <w:vAlign w:val="top"/>
          </w:tcPr>
          <w:p w14:paraId="037CBF89">
            <w:pPr>
              <w:spacing w:line="306" w:lineRule="auto"/>
              <w:rPr>
                <w:rFonts w:ascii="Arial"/>
                <w:color w:val="auto"/>
                <w:sz w:val="21"/>
              </w:rPr>
            </w:pPr>
          </w:p>
          <w:p w14:paraId="1BA7E2BF">
            <w:pPr>
              <w:spacing w:line="306" w:lineRule="auto"/>
              <w:rPr>
                <w:rFonts w:ascii="Arial"/>
                <w:color w:val="auto"/>
                <w:sz w:val="21"/>
              </w:rPr>
            </w:pPr>
          </w:p>
          <w:p w14:paraId="11D63959">
            <w:pPr>
              <w:pStyle w:val="11"/>
              <w:spacing w:before="65" w:line="186" w:lineRule="auto"/>
              <w:ind w:left="231"/>
              <w:rPr>
                <w:color w:val="auto"/>
              </w:rPr>
            </w:pPr>
            <w:r>
              <w:rPr>
                <w:color w:val="auto"/>
                <w:spacing w:val="-8"/>
              </w:rPr>
              <w:t>3.2.5</w:t>
            </w:r>
          </w:p>
        </w:tc>
        <w:tc>
          <w:tcPr>
            <w:tcW w:w="2941" w:type="dxa"/>
            <w:vAlign w:val="top"/>
          </w:tcPr>
          <w:p w14:paraId="7C2DD4D4">
            <w:pPr>
              <w:spacing w:line="288" w:lineRule="auto"/>
              <w:rPr>
                <w:rFonts w:ascii="Arial"/>
                <w:color w:val="auto"/>
                <w:sz w:val="21"/>
              </w:rPr>
            </w:pPr>
          </w:p>
          <w:p w14:paraId="39EE411D">
            <w:pPr>
              <w:spacing w:line="289" w:lineRule="auto"/>
              <w:rPr>
                <w:rFonts w:ascii="Arial"/>
                <w:color w:val="auto"/>
                <w:sz w:val="21"/>
              </w:rPr>
            </w:pPr>
          </w:p>
          <w:p w14:paraId="5086D835">
            <w:pPr>
              <w:pStyle w:val="11"/>
              <w:spacing w:before="65" w:line="230" w:lineRule="auto"/>
              <w:ind w:left="674"/>
              <w:rPr>
                <w:color w:val="auto"/>
              </w:rPr>
            </w:pPr>
            <w:r>
              <w:rPr>
                <w:color w:val="auto"/>
                <w:spacing w:val="-18"/>
              </w:rPr>
              <w:t>投标报价的其他要求</w:t>
            </w:r>
          </w:p>
        </w:tc>
        <w:tc>
          <w:tcPr>
            <w:tcW w:w="5437" w:type="dxa"/>
            <w:vAlign w:val="top"/>
          </w:tcPr>
          <w:p w14:paraId="25E1C384">
            <w:pPr>
              <w:pStyle w:val="11"/>
              <w:spacing w:before="169" w:line="360" w:lineRule="auto"/>
              <w:ind w:left="102" w:right="105"/>
              <w:rPr>
                <w:color w:val="auto"/>
              </w:rPr>
            </w:pPr>
            <w:r>
              <w:rPr>
                <w:color w:val="auto"/>
                <w:spacing w:val="-20"/>
              </w:rPr>
              <w:t>投标报价是履行合同的最终报价，无特别注明，均为人民币报价，</w:t>
            </w:r>
            <w:r>
              <w:rPr>
                <w:color w:val="auto"/>
                <w:spacing w:val="2"/>
              </w:rPr>
              <w:t xml:space="preserve"> </w:t>
            </w:r>
            <w:r>
              <w:rPr>
                <w:color w:val="auto"/>
                <w:spacing w:val="-20"/>
              </w:rPr>
              <w:t>应包括本招标项目所包含的一切税金和费用。</w:t>
            </w:r>
          </w:p>
          <w:p w14:paraId="068D5E41">
            <w:pPr>
              <w:pStyle w:val="11"/>
              <w:spacing w:before="176" w:line="230" w:lineRule="auto"/>
              <w:ind w:left="104"/>
              <w:rPr>
                <w:color w:val="auto"/>
              </w:rPr>
            </w:pPr>
            <w:r>
              <w:rPr>
                <w:color w:val="auto"/>
                <w:spacing w:val="-19"/>
              </w:rPr>
              <w:t>其他：/</w:t>
            </w:r>
          </w:p>
        </w:tc>
      </w:tr>
      <w:tr w14:paraId="72F36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895" w:type="dxa"/>
            <w:vAlign w:val="top"/>
          </w:tcPr>
          <w:p w14:paraId="7365127D">
            <w:pPr>
              <w:spacing w:line="342" w:lineRule="auto"/>
              <w:rPr>
                <w:rFonts w:ascii="Arial"/>
                <w:color w:val="auto"/>
                <w:sz w:val="21"/>
              </w:rPr>
            </w:pPr>
          </w:p>
          <w:p w14:paraId="1C2C872B">
            <w:pPr>
              <w:pStyle w:val="11"/>
              <w:spacing w:before="65" w:line="187" w:lineRule="auto"/>
              <w:ind w:left="231"/>
              <w:rPr>
                <w:color w:val="auto"/>
              </w:rPr>
            </w:pPr>
            <w:r>
              <w:rPr>
                <w:color w:val="auto"/>
                <w:spacing w:val="-8"/>
              </w:rPr>
              <w:t>3.3.1</w:t>
            </w:r>
          </w:p>
        </w:tc>
        <w:tc>
          <w:tcPr>
            <w:tcW w:w="2941" w:type="dxa"/>
            <w:vAlign w:val="top"/>
          </w:tcPr>
          <w:p w14:paraId="283A770D">
            <w:pPr>
              <w:spacing w:line="307" w:lineRule="auto"/>
              <w:rPr>
                <w:rFonts w:ascii="Arial"/>
                <w:color w:val="auto"/>
                <w:sz w:val="21"/>
              </w:rPr>
            </w:pPr>
          </w:p>
          <w:p w14:paraId="08656427">
            <w:pPr>
              <w:pStyle w:val="11"/>
              <w:spacing w:before="65" w:line="231" w:lineRule="auto"/>
              <w:ind w:left="1032"/>
              <w:rPr>
                <w:color w:val="auto"/>
              </w:rPr>
            </w:pPr>
            <w:r>
              <w:rPr>
                <w:color w:val="auto"/>
                <w:spacing w:val="-14"/>
              </w:rPr>
              <w:t>投标有效期</w:t>
            </w:r>
          </w:p>
        </w:tc>
        <w:tc>
          <w:tcPr>
            <w:tcW w:w="5437" w:type="dxa"/>
            <w:vAlign w:val="top"/>
          </w:tcPr>
          <w:p w14:paraId="47E72E76">
            <w:pPr>
              <w:pStyle w:val="11"/>
              <w:spacing w:before="170" w:line="364" w:lineRule="auto"/>
              <w:ind w:left="107" w:right="57" w:hanging="3"/>
              <w:rPr>
                <w:color w:val="auto"/>
              </w:rPr>
            </w:pPr>
            <w:r>
              <w:rPr>
                <w:color w:val="auto"/>
                <w:spacing w:val="-17"/>
              </w:rPr>
              <w:t>提交投标文件截止时间起</w:t>
            </w:r>
            <w:r>
              <w:rPr>
                <w:color w:val="auto"/>
                <w:spacing w:val="-22"/>
              </w:rPr>
              <w:t xml:space="preserve"> </w:t>
            </w:r>
            <w:r>
              <w:rPr>
                <w:color w:val="auto"/>
                <w:spacing w:val="-17"/>
              </w:rPr>
              <w:t>90 天，有效期短于该期限的投标将被拒</w:t>
            </w:r>
            <w:r>
              <w:rPr>
                <w:color w:val="auto"/>
              </w:rPr>
              <w:t xml:space="preserve"> </w:t>
            </w:r>
            <w:r>
              <w:rPr>
                <w:color w:val="auto"/>
                <w:spacing w:val="-5"/>
              </w:rPr>
              <w:t>绝。</w:t>
            </w:r>
          </w:p>
        </w:tc>
      </w:tr>
      <w:tr w14:paraId="507E6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5" w:hRule="atLeast"/>
        </w:trPr>
        <w:tc>
          <w:tcPr>
            <w:tcW w:w="895" w:type="dxa"/>
            <w:vAlign w:val="top"/>
          </w:tcPr>
          <w:p w14:paraId="3E245349">
            <w:pPr>
              <w:spacing w:line="272" w:lineRule="auto"/>
              <w:rPr>
                <w:rFonts w:ascii="Arial"/>
                <w:color w:val="auto"/>
                <w:sz w:val="21"/>
              </w:rPr>
            </w:pPr>
          </w:p>
          <w:p w14:paraId="55D110F0">
            <w:pPr>
              <w:spacing w:line="273" w:lineRule="auto"/>
              <w:rPr>
                <w:rFonts w:ascii="Arial"/>
                <w:color w:val="auto"/>
                <w:sz w:val="21"/>
              </w:rPr>
            </w:pPr>
          </w:p>
          <w:p w14:paraId="37C5EDBD">
            <w:pPr>
              <w:pStyle w:val="11"/>
              <w:spacing w:before="65" w:line="186" w:lineRule="auto"/>
              <w:ind w:left="320"/>
              <w:rPr>
                <w:color w:val="auto"/>
              </w:rPr>
            </w:pPr>
            <w:r>
              <w:rPr>
                <w:color w:val="auto"/>
                <w:spacing w:val="-5"/>
              </w:rPr>
              <w:t>3.4</w:t>
            </w:r>
          </w:p>
        </w:tc>
        <w:tc>
          <w:tcPr>
            <w:tcW w:w="2941" w:type="dxa"/>
            <w:vAlign w:val="top"/>
          </w:tcPr>
          <w:p w14:paraId="0EDEA29E">
            <w:pPr>
              <w:spacing w:line="255" w:lineRule="auto"/>
              <w:rPr>
                <w:rFonts w:ascii="Arial"/>
                <w:color w:val="auto"/>
                <w:sz w:val="21"/>
              </w:rPr>
            </w:pPr>
          </w:p>
          <w:p w14:paraId="6E34F5BE">
            <w:pPr>
              <w:spacing w:line="255" w:lineRule="auto"/>
              <w:rPr>
                <w:rFonts w:ascii="Arial"/>
                <w:color w:val="auto"/>
                <w:sz w:val="21"/>
              </w:rPr>
            </w:pPr>
          </w:p>
          <w:p w14:paraId="66AFEB03">
            <w:pPr>
              <w:pStyle w:val="11"/>
              <w:spacing w:before="65" w:line="229" w:lineRule="auto"/>
              <w:ind w:left="1032"/>
              <w:rPr>
                <w:color w:val="auto"/>
              </w:rPr>
            </w:pPr>
            <w:r>
              <w:rPr>
                <w:color w:val="auto"/>
                <w:spacing w:val="-14"/>
              </w:rPr>
              <w:t>投标保证金</w:t>
            </w:r>
          </w:p>
        </w:tc>
        <w:tc>
          <w:tcPr>
            <w:tcW w:w="5437" w:type="dxa"/>
            <w:vAlign w:val="top"/>
          </w:tcPr>
          <w:p w14:paraId="7618885F">
            <w:pPr>
              <w:pStyle w:val="11"/>
              <w:spacing w:before="169" w:line="369" w:lineRule="auto"/>
              <w:ind w:left="102" w:right="88" w:firstLine="1"/>
              <w:jc w:val="both"/>
              <w:rPr>
                <w:color w:val="auto"/>
              </w:rPr>
            </w:pPr>
            <w:r>
              <w:rPr>
                <w:color w:val="auto"/>
                <w:spacing w:val="9"/>
              </w:rPr>
              <w:t>依据河南省财政厅关于优化政府采购营商环境有关问题的</w:t>
            </w:r>
            <w:r>
              <w:rPr>
                <w:color w:val="auto"/>
                <w:spacing w:val="12"/>
              </w:rPr>
              <w:t xml:space="preserve"> </w:t>
            </w:r>
            <w:r>
              <w:rPr>
                <w:color w:val="auto"/>
                <w:spacing w:val="5"/>
              </w:rPr>
              <w:t>通知（豫财购【2019】4号）文件规定，本项目免收投标保</w:t>
            </w:r>
            <w:r>
              <w:rPr>
                <w:color w:val="auto"/>
              </w:rPr>
              <w:t xml:space="preserve"> </w:t>
            </w:r>
            <w:r>
              <w:rPr>
                <w:color w:val="auto"/>
                <w:spacing w:val="1"/>
              </w:rPr>
              <w:t>证金。</w:t>
            </w:r>
          </w:p>
        </w:tc>
      </w:tr>
      <w:tr w14:paraId="7C997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708B05C9">
            <w:pPr>
              <w:pStyle w:val="11"/>
              <w:spacing w:before="205" w:line="186" w:lineRule="auto"/>
              <w:ind w:left="231"/>
              <w:rPr>
                <w:color w:val="auto"/>
              </w:rPr>
            </w:pPr>
            <w:r>
              <w:rPr>
                <w:color w:val="auto"/>
                <w:spacing w:val="-8"/>
              </w:rPr>
              <w:t>3.5.3</w:t>
            </w:r>
          </w:p>
        </w:tc>
        <w:tc>
          <w:tcPr>
            <w:tcW w:w="2941" w:type="dxa"/>
            <w:vAlign w:val="top"/>
          </w:tcPr>
          <w:p w14:paraId="171E7EF6">
            <w:pPr>
              <w:pStyle w:val="11"/>
              <w:spacing w:before="169" w:line="229" w:lineRule="auto"/>
              <w:ind w:left="508"/>
              <w:rPr>
                <w:color w:val="auto"/>
              </w:rPr>
            </w:pPr>
            <w:r>
              <w:rPr>
                <w:color w:val="auto"/>
                <w:spacing w:val="-19"/>
              </w:rPr>
              <w:t>资格审查资料的特殊要求</w:t>
            </w:r>
          </w:p>
        </w:tc>
        <w:tc>
          <w:tcPr>
            <w:tcW w:w="5437" w:type="dxa"/>
            <w:vAlign w:val="top"/>
          </w:tcPr>
          <w:p w14:paraId="048D3A37">
            <w:pPr>
              <w:pStyle w:val="11"/>
              <w:spacing w:before="169" w:line="234" w:lineRule="auto"/>
              <w:ind w:left="105"/>
              <w:rPr>
                <w:color w:val="auto"/>
              </w:rPr>
            </w:pPr>
            <w:r>
              <w:rPr>
                <w:color w:val="auto"/>
              </w:rPr>
              <w:t>无</w:t>
            </w:r>
          </w:p>
        </w:tc>
      </w:tr>
      <w:tr w14:paraId="64E6B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895" w:type="dxa"/>
            <w:vAlign w:val="top"/>
          </w:tcPr>
          <w:p w14:paraId="748F8814">
            <w:pPr>
              <w:spacing w:line="358" w:lineRule="auto"/>
              <w:rPr>
                <w:rFonts w:ascii="Arial"/>
                <w:color w:val="auto"/>
                <w:sz w:val="21"/>
              </w:rPr>
            </w:pPr>
          </w:p>
          <w:p w14:paraId="79B72204">
            <w:pPr>
              <w:pStyle w:val="11"/>
              <w:spacing w:before="65" w:line="187" w:lineRule="auto"/>
              <w:ind w:left="231"/>
              <w:rPr>
                <w:color w:val="auto"/>
              </w:rPr>
            </w:pPr>
            <w:r>
              <w:rPr>
                <w:color w:val="auto"/>
                <w:spacing w:val="-8"/>
              </w:rPr>
              <w:t>3.6.1</w:t>
            </w:r>
          </w:p>
        </w:tc>
        <w:tc>
          <w:tcPr>
            <w:tcW w:w="2941" w:type="dxa"/>
            <w:vAlign w:val="top"/>
          </w:tcPr>
          <w:p w14:paraId="79171BBB">
            <w:pPr>
              <w:spacing w:line="323" w:lineRule="auto"/>
              <w:rPr>
                <w:rFonts w:ascii="Arial"/>
                <w:color w:val="auto"/>
                <w:sz w:val="21"/>
              </w:rPr>
            </w:pPr>
          </w:p>
          <w:p w14:paraId="04421120">
            <w:pPr>
              <w:pStyle w:val="11"/>
              <w:spacing w:before="65" w:line="231" w:lineRule="auto"/>
              <w:ind w:left="409"/>
              <w:rPr>
                <w:color w:val="auto"/>
              </w:rPr>
            </w:pPr>
            <w:r>
              <w:rPr>
                <w:color w:val="auto"/>
                <w:spacing w:val="-19"/>
              </w:rPr>
              <w:t>是否允许提交备选投标方案</w:t>
            </w:r>
          </w:p>
        </w:tc>
        <w:tc>
          <w:tcPr>
            <w:tcW w:w="5437" w:type="dxa"/>
            <w:vAlign w:val="top"/>
          </w:tcPr>
          <w:p w14:paraId="0C587C85">
            <w:pPr>
              <w:spacing w:line="323" w:lineRule="auto"/>
              <w:rPr>
                <w:rFonts w:ascii="Arial"/>
                <w:color w:val="auto"/>
                <w:sz w:val="21"/>
              </w:rPr>
            </w:pPr>
          </w:p>
          <w:p w14:paraId="51F9B465">
            <w:pPr>
              <w:pStyle w:val="11"/>
              <w:spacing w:before="65" w:line="231" w:lineRule="auto"/>
              <w:ind w:left="108"/>
              <w:rPr>
                <w:color w:val="auto"/>
              </w:rPr>
            </w:pPr>
            <w:r>
              <w:rPr>
                <w:color w:val="auto"/>
                <w:spacing w:val="-11"/>
              </w:rPr>
              <w:t>不允许</w:t>
            </w:r>
          </w:p>
        </w:tc>
      </w:tr>
      <w:tr w14:paraId="4B006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2" w:hRule="atLeast"/>
        </w:trPr>
        <w:tc>
          <w:tcPr>
            <w:tcW w:w="895" w:type="dxa"/>
            <w:vAlign w:val="top"/>
          </w:tcPr>
          <w:p w14:paraId="5BF06A5D">
            <w:pPr>
              <w:spacing w:line="255" w:lineRule="auto"/>
              <w:rPr>
                <w:rFonts w:ascii="Arial"/>
                <w:color w:val="auto"/>
                <w:sz w:val="21"/>
              </w:rPr>
            </w:pPr>
          </w:p>
          <w:p w14:paraId="67B47945">
            <w:pPr>
              <w:spacing w:line="255" w:lineRule="auto"/>
              <w:rPr>
                <w:rFonts w:ascii="Arial"/>
                <w:color w:val="auto"/>
                <w:sz w:val="21"/>
              </w:rPr>
            </w:pPr>
          </w:p>
          <w:p w14:paraId="4384CE18">
            <w:pPr>
              <w:spacing w:line="255" w:lineRule="auto"/>
              <w:rPr>
                <w:rFonts w:ascii="Arial"/>
                <w:color w:val="auto"/>
                <w:sz w:val="21"/>
              </w:rPr>
            </w:pPr>
          </w:p>
          <w:p w14:paraId="43DB24E6">
            <w:pPr>
              <w:spacing w:line="255" w:lineRule="auto"/>
              <w:rPr>
                <w:rFonts w:ascii="Arial"/>
                <w:color w:val="auto"/>
                <w:sz w:val="21"/>
              </w:rPr>
            </w:pPr>
          </w:p>
          <w:p w14:paraId="1D8511ED">
            <w:pPr>
              <w:spacing w:line="255" w:lineRule="auto"/>
              <w:rPr>
                <w:rFonts w:ascii="Arial"/>
                <w:color w:val="auto"/>
                <w:sz w:val="21"/>
              </w:rPr>
            </w:pPr>
          </w:p>
          <w:p w14:paraId="46FC4207">
            <w:pPr>
              <w:spacing w:line="255" w:lineRule="auto"/>
              <w:rPr>
                <w:rFonts w:ascii="Arial"/>
                <w:color w:val="auto"/>
                <w:sz w:val="21"/>
              </w:rPr>
            </w:pPr>
          </w:p>
          <w:p w14:paraId="45B5DF71">
            <w:pPr>
              <w:spacing w:line="255" w:lineRule="auto"/>
              <w:rPr>
                <w:rFonts w:ascii="Arial"/>
                <w:color w:val="auto"/>
                <w:sz w:val="21"/>
              </w:rPr>
            </w:pPr>
          </w:p>
          <w:p w14:paraId="5EF88EBE">
            <w:pPr>
              <w:spacing w:line="255" w:lineRule="auto"/>
              <w:rPr>
                <w:rFonts w:ascii="Arial"/>
                <w:color w:val="auto"/>
                <w:sz w:val="21"/>
              </w:rPr>
            </w:pPr>
          </w:p>
          <w:p w14:paraId="494983D8">
            <w:pPr>
              <w:spacing w:line="256" w:lineRule="auto"/>
              <w:rPr>
                <w:rFonts w:ascii="Arial"/>
                <w:color w:val="auto"/>
                <w:sz w:val="21"/>
              </w:rPr>
            </w:pPr>
          </w:p>
          <w:p w14:paraId="3B3DB9AD">
            <w:pPr>
              <w:spacing w:line="256" w:lineRule="auto"/>
              <w:rPr>
                <w:rFonts w:ascii="Arial"/>
                <w:color w:val="auto"/>
                <w:sz w:val="21"/>
              </w:rPr>
            </w:pPr>
          </w:p>
          <w:p w14:paraId="74557A37">
            <w:pPr>
              <w:spacing w:line="256" w:lineRule="auto"/>
              <w:rPr>
                <w:rFonts w:ascii="Arial"/>
                <w:color w:val="auto"/>
                <w:sz w:val="21"/>
              </w:rPr>
            </w:pPr>
          </w:p>
          <w:p w14:paraId="49D286FB">
            <w:pPr>
              <w:spacing w:line="256" w:lineRule="auto"/>
              <w:rPr>
                <w:rFonts w:ascii="Arial"/>
                <w:color w:val="auto"/>
                <w:sz w:val="21"/>
              </w:rPr>
            </w:pPr>
          </w:p>
          <w:p w14:paraId="56A34EAA">
            <w:pPr>
              <w:pStyle w:val="11"/>
              <w:spacing w:before="65" w:line="186" w:lineRule="auto"/>
              <w:ind w:left="231"/>
              <w:rPr>
                <w:color w:val="auto"/>
              </w:rPr>
            </w:pPr>
            <w:r>
              <w:rPr>
                <w:color w:val="auto"/>
                <w:spacing w:val="-8"/>
              </w:rPr>
              <w:t>3.7.6</w:t>
            </w:r>
          </w:p>
        </w:tc>
        <w:tc>
          <w:tcPr>
            <w:tcW w:w="2941" w:type="dxa"/>
            <w:vAlign w:val="top"/>
          </w:tcPr>
          <w:p w14:paraId="2A075EE1">
            <w:pPr>
              <w:spacing w:line="252" w:lineRule="auto"/>
              <w:rPr>
                <w:rFonts w:ascii="Arial"/>
                <w:color w:val="auto"/>
                <w:sz w:val="21"/>
              </w:rPr>
            </w:pPr>
          </w:p>
          <w:p w14:paraId="3DE98B0F">
            <w:pPr>
              <w:spacing w:line="252" w:lineRule="auto"/>
              <w:rPr>
                <w:rFonts w:ascii="Arial"/>
                <w:color w:val="auto"/>
                <w:sz w:val="21"/>
              </w:rPr>
            </w:pPr>
          </w:p>
          <w:p w14:paraId="65D21D1F">
            <w:pPr>
              <w:spacing w:line="252" w:lineRule="auto"/>
              <w:rPr>
                <w:rFonts w:ascii="Arial"/>
                <w:color w:val="auto"/>
                <w:sz w:val="21"/>
              </w:rPr>
            </w:pPr>
          </w:p>
          <w:p w14:paraId="42D4DAA1">
            <w:pPr>
              <w:spacing w:line="252" w:lineRule="auto"/>
              <w:rPr>
                <w:rFonts w:ascii="Arial"/>
                <w:color w:val="auto"/>
                <w:sz w:val="21"/>
              </w:rPr>
            </w:pPr>
          </w:p>
          <w:p w14:paraId="5AB6811C">
            <w:pPr>
              <w:spacing w:line="252" w:lineRule="auto"/>
              <w:rPr>
                <w:rFonts w:ascii="Arial"/>
                <w:color w:val="auto"/>
                <w:sz w:val="21"/>
              </w:rPr>
            </w:pPr>
          </w:p>
          <w:p w14:paraId="02E410F2">
            <w:pPr>
              <w:spacing w:line="252" w:lineRule="auto"/>
              <w:rPr>
                <w:rFonts w:ascii="Arial"/>
                <w:color w:val="auto"/>
                <w:sz w:val="21"/>
              </w:rPr>
            </w:pPr>
          </w:p>
          <w:p w14:paraId="799F2522">
            <w:pPr>
              <w:spacing w:line="252" w:lineRule="auto"/>
              <w:rPr>
                <w:rFonts w:ascii="Arial"/>
                <w:color w:val="auto"/>
                <w:sz w:val="21"/>
              </w:rPr>
            </w:pPr>
          </w:p>
          <w:p w14:paraId="46F4DBA8">
            <w:pPr>
              <w:spacing w:line="252" w:lineRule="auto"/>
              <w:rPr>
                <w:rFonts w:ascii="Arial"/>
                <w:color w:val="auto"/>
                <w:sz w:val="21"/>
              </w:rPr>
            </w:pPr>
          </w:p>
          <w:p w14:paraId="61B5BE55">
            <w:pPr>
              <w:spacing w:line="252" w:lineRule="auto"/>
              <w:rPr>
                <w:rFonts w:ascii="Arial"/>
                <w:color w:val="auto"/>
                <w:sz w:val="21"/>
              </w:rPr>
            </w:pPr>
          </w:p>
          <w:p w14:paraId="164FF088">
            <w:pPr>
              <w:spacing w:line="253" w:lineRule="auto"/>
              <w:rPr>
                <w:rFonts w:ascii="Arial"/>
                <w:color w:val="auto"/>
                <w:sz w:val="21"/>
              </w:rPr>
            </w:pPr>
          </w:p>
          <w:p w14:paraId="49861794">
            <w:pPr>
              <w:spacing w:line="253" w:lineRule="auto"/>
              <w:rPr>
                <w:rFonts w:ascii="Arial"/>
                <w:color w:val="auto"/>
                <w:sz w:val="21"/>
              </w:rPr>
            </w:pPr>
          </w:p>
          <w:p w14:paraId="56BE8CCE">
            <w:pPr>
              <w:spacing w:line="253" w:lineRule="auto"/>
              <w:rPr>
                <w:rFonts w:ascii="Arial"/>
                <w:color w:val="auto"/>
                <w:sz w:val="21"/>
              </w:rPr>
            </w:pPr>
          </w:p>
          <w:p w14:paraId="4A2E1D6F">
            <w:pPr>
              <w:pStyle w:val="11"/>
              <w:spacing w:before="65" w:line="231" w:lineRule="auto"/>
              <w:ind w:left="857"/>
              <w:rPr>
                <w:color w:val="auto"/>
              </w:rPr>
            </w:pPr>
            <w:r>
              <w:rPr>
                <w:color w:val="auto"/>
                <w:spacing w:val="-17"/>
              </w:rPr>
              <w:t>综合标暗标格式</w:t>
            </w:r>
          </w:p>
        </w:tc>
        <w:tc>
          <w:tcPr>
            <w:tcW w:w="5437" w:type="dxa"/>
            <w:vAlign w:val="top"/>
          </w:tcPr>
          <w:p w14:paraId="13C351E0">
            <w:pPr>
              <w:pStyle w:val="11"/>
              <w:spacing w:before="171" w:line="230" w:lineRule="auto"/>
              <w:ind w:left="104"/>
              <w:rPr>
                <w:color w:val="auto"/>
              </w:rPr>
            </w:pPr>
            <w:r>
              <w:rPr>
                <w:color w:val="auto"/>
                <w:spacing w:val="-17"/>
              </w:rPr>
              <w:t>本项目综合标（项目实施方案）采用“暗标 ”评审， 投</w:t>
            </w:r>
            <w:r>
              <w:rPr>
                <w:color w:val="auto"/>
                <w:spacing w:val="-18"/>
              </w:rPr>
              <w:t>标人编制</w:t>
            </w:r>
          </w:p>
          <w:p w14:paraId="64752D5F">
            <w:pPr>
              <w:pStyle w:val="11"/>
              <w:spacing w:before="158" w:line="231" w:lineRule="auto"/>
              <w:ind w:left="115"/>
              <w:rPr>
                <w:color w:val="auto"/>
              </w:rPr>
            </w:pPr>
            <w:r>
              <w:rPr>
                <w:color w:val="auto"/>
                <w:spacing w:val="-20"/>
              </w:rPr>
              <w:t>的综合标应满足以下要求：</w:t>
            </w:r>
          </w:p>
          <w:p w14:paraId="3EA4BB0F">
            <w:pPr>
              <w:pStyle w:val="11"/>
              <w:spacing w:before="297" w:line="229" w:lineRule="auto"/>
              <w:ind w:left="109"/>
              <w:rPr>
                <w:rFonts w:hint="eastAsia"/>
                <w:color w:val="auto"/>
                <w:spacing w:val="-20"/>
              </w:rPr>
            </w:pPr>
            <w:r>
              <w:rPr>
                <w:rFonts w:hint="eastAsia"/>
                <w:color w:val="auto"/>
                <w:spacing w:val="-20"/>
              </w:rPr>
              <w:t>（1）签章要求：不得对暗标部分进行电子签章。</w:t>
            </w:r>
          </w:p>
          <w:p w14:paraId="2B15E2C1">
            <w:pPr>
              <w:pStyle w:val="11"/>
              <w:spacing w:before="297" w:line="229" w:lineRule="auto"/>
              <w:ind w:left="109"/>
              <w:rPr>
                <w:rFonts w:hint="eastAsia"/>
                <w:color w:val="auto"/>
                <w:spacing w:val="-20"/>
              </w:rPr>
            </w:pPr>
            <w:r>
              <w:rPr>
                <w:rFonts w:hint="eastAsia"/>
                <w:color w:val="auto"/>
                <w:spacing w:val="-20"/>
              </w:rPr>
              <w:t>（2）排版要求：全文采用A4 大小，不允许插入空白页，页边距均为2.5厘米，不得出现页眉、页脚、页码，全文均为白底黑字，字体为宋体四号字，不允许倾斜和下划线，行间距采用固定值28磅，段前段后间距为0。</w:t>
            </w:r>
          </w:p>
          <w:p w14:paraId="6A8B5371">
            <w:pPr>
              <w:pStyle w:val="11"/>
              <w:spacing w:before="297" w:line="229" w:lineRule="auto"/>
              <w:ind w:left="109"/>
              <w:rPr>
                <w:rFonts w:hint="eastAsia"/>
                <w:color w:val="auto"/>
                <w:spacing w:val="-20"/>
              </w:rPr>
            </w:pPr>
            <w:r>
              <w:rPr>
                <w:rFonts w:hint="eastAsia"/>
                <w:color w:val="auto"/>
                <w:spacing w:val="-20"/>
              </w:rPr>
              <w:t>（3）标题编号要求：标题序号最多设置7级，每一个暗标部分的标题都要重新开始编号，编号格式为：</w:t>
            </w:r>
          </w:p>
          <w:p w14:paraId="42B8E799">
            <w:pPr>
              <w:pStyle w:val="11"/>
              <w:spacing w:before="297" w:line="229" w:lineRule="auto"/>
              <w:ind w:left="109"/>
              <w:rPr>
                <w:rFonts w:hint="eastAsia"/>
                <w:color w:val="auto"/>
                <w:spacing w:val="-20"/>
              </w:rPr>
            </w:pPr>
            <w:r>
              <w:rPr>
                <w:rFonts w:hint="eastAsia"/>
                <w:color w:val="auto"/>
                <w:spacing w:val="-20"/>
              </w:rPr>
              <w:t>一级为“一、”、“二、”......，</w:t>
            </w:r>
          </w:p>
          <w:p w14:paraId="0715D170">
            <w:pPr>
              <w:pStyle w:val="11"/>
              <w:spacing w:before="297" w:line="229" w:lineRule="auto"/>
              <w:ind w:left="109"/>
              <w:rPr>
                <w:rFonts w:hint="eastAsia"/>
                <w:color w:val="auto"/>
                <w:spacing w:val="-20"/>
              </w:rPr>
            </w:pPr>
            <w:r>
              <w:rPr>
                <w:rFonts w:hint="eastAsia"/>
                <w:color w:val="auto"/>
                <w:spacing w:val="-20"/>
              </w:rPr>
              <w:t xml:space="preserve">二级为“（一）”、“（二）”......， </w:t>
            </w:r>
          </w:p>
          <w:p w14:paraId="7A2DFCAD">
            <w:pPr>
              <w:pStyle w:val="11"/>
              <w:spacing w:before="297" w:line="229" w:lineRule="auto"/>
              <w:ind w:left="109"/>
              <w:rPr>
                <w:rFonts w:hint="eastAsia"/>
                <w:color w:val="auto"/>
                <w:spacing w:val="-20"/>
              </w:rPr>
            </w:pPr>
            <w:r>
              <w:rPr>
                <w:rFonts w:hint="eastAsia"/>
                <w:color w:val="auto"/>
                <w:spacing w:val="-20"/>
              </w:rPr>
              <w:t>三级为“1.”、“2.”......，</w:t>
            </w:r>
          </w:p>
          <w:p w14:paraId="514FF57D">
            <w:pPr>
              <w:pStyle w:val="11"/>
              <w:spacing w:before="297" w:line="229" w:lineRule="auto"/>
              <w:ind w:left="109"/>
              <w:rPr>
                <w:rFonts w:hint="eastAsia"/>
                <w:color w:val="auto"/>
                <w:spacing w:val="-20"/>
              </w:rPr>
            </w:pPr>
            <w:r>
              <w:rPr>
                <w:rFonts w:hint="eastAsia"/>
                <w:color w:val="auto"/>
                <w:spacing w:val="-20"/>
              </w:rPr>
              <w:t xml:space="preserve">四级为“（1）”、“（2）”......， </w:t>
            </w:r>
          </w:p>
          <w:p w14:paraId="69C700B0">
            <w:pPr>
              <w:pStyle w:val="11"/>
              <w:spacing w:before="297" w:line="229" w:lineRule="auto"/>
              <w:ind w:left="109"/>
              <w:rPr>
                <w:rFonts w:hint="eastAsia"/>
                <w:color w:val="auto"/>
                <w:spacing w:val="-20"/>
              </w:rPr>
            </w:pPr>
            <w:r>
              <w:rPr>
                <w:rFonts w:hint="eastAsia"/>
                <w:color w:val="auto"/>
                <w:spacing w:val="-20"/>
              </w:rPr>
              <w:t>五级为“1）”、“2）”......，</w:t>
            </w:r>
          </w:p>
          <w:p w14:paraId="46827D68">
            <w:pPr>
              <w:pStyle w:val="11"/>
              <w:spacing w:before="297" w:line="229" w:lineRule="auto"/>
              <w:ind w:left="109"/>
              <w:rPr>
                <w:rFonts w:hint="eastAsia"/>
                <w:color w:val="auto"/>
                <w:spacing w:val="-20"/>
              </w:rPr>
            </w:pPr>
            <w:r>
              <w:rPr>
                <w:rFonts w:hint="eastAsia"/>
                <w:color w:val="auto"/>
                <w:spacing w:val="-20"/>
              </w:rPr>
              <w:t>六级为“a.”、“b.”......，</w:t>
            </w:r>
          </w:p>
          <w:p w14:paraId="31631BC0">
            <w:pPr>
              <w:pStyle w:val="11"/>
              <w:spacing w:before="297" w:line="229" w:lineRule="auto"/>
              <w:ind w:left="109"/>
              <w:rPr>
                <w:rFonts w:hint="eastAsia"/>
                <w:color w:val="auto"/>
                <w:spacing w:val="-20"/>
              </w:rPr>
            </w:pPr>
            <w:r>
              <w:rPr>
                <w:rFonts w:hint="eastAsia"/>
                <w:color w:val="auto"/>
                <w:spacing w:val="-20"/>
              </w:rPr>
              <w:t>七级为“a）”、“b）”......。</w:t>
            </w:r>
          </w:p>
          <w:p w14:paraId="1BCF0ECF">
            <w:pPr>
              <w:pStyle w:val="11"/>
              <w:spacing w:before="297" w:line="229" w:lineRule="auto"/>
              <w:ind w:left="109"/>
              <w:rPr>
                <w:rFonts w:hint="eastAsia"/>
                <w:color w:val="auto"/>
                <w:spacing w:val="-20"/>
              </w:rPr>
            </w:pPr>
            <w:r>
              <w:rPr>
                <w:rFonts w:hint="eastAsia"/>
                <w:color w:val="auto"/>
                <w:spacing w:val="-20"/>
              </w:rPr>
              <w:t>（4）图表要求：电脑绘制（不得手绘），白底黑字。宋体四号字，字体不允许倾斜和下划线；</w:t>
            </w:r>
          </w:p>
          <w:p w14:paraId="55EEC595">
            <w:pPr>
              <w:pStyle w:val="11"/>
              <w:spacing w:before="297" w:line="229" w:lineRule="auto"/>
              <w:ind w:left="109"/>
              <w:rPr>
                <w:rFonts w:hint="eastAsia"/>
                <w:color w:val="auto"/>
                <w:spacing w:val="-20"/>
              </w:rPr>
            </w:pPr>
            <w:r>
              <w:rPr>
                <w:rFonts w:hint="eastAsia"/>
                <w:color w:val="auto"/>
                <w:spacing w:val="-20"/>
              </w:rPr>
              <w:t>（5）内容中不得出现投标人名称和其他可识别投标人身份的字符、徽标、人员名称以及其他特殊标记等。</w:t>
            </w:r>
          </w:p>
          <w:p w14:paraId="387528BC">
            <w:pPr>
              <w:pStyle w:val="11"/>
              <w:spacing w:before="297" w:line="229" w:lineRule="auto"/>
              <w:ind w:left="109"/>
              <w:rPr>
                <w:rFonts w:hint="eastAsia"/>
                <w:color w:val="auto"/>
                <w:spacing w:val="-20"/>
              </w:rPr>
            </w:pPr>
            <w:r>
              <w:rPr>
                <w:rFonts w:hint="eastAsia"/>
                <w:color w:val="auto"/>
                <w:spacing w:val="-20"/>
              </w:rPr>
              <w:t>（6）不得插入图片（招标文件要求有图片除外）。</w:t>
            </w:r>
          </w:p>
          <w:p w14:paraId="72CEA7D2">
            <w:pPr>
              <w:pStyle w:val="11"/>
              <w:spacing w:before="297" w:line="229" w:lineRule="auto"/>
              <w:ind w:left="109"/>
              <w:rPr>
                <w:rFonts w:hint="eastAsia"/>
                <w:color w:val="auto"/>
                <w:spacing w:val="-20"/>
              </w:rPr>
            </w:pPr>
            <w:r>
              <w:rPr>
                <w:rFonts w:hint="eastAsia"/>
                <w:color w:val="auto"/>
                <w:spacing w:val="-20"/>
              </w:rPr>
              <w:t>2.2 暗标编制特别注意事项</w:t>
            </w:r>
          </w:p>
          <w:p w14:paraId="2AE366EF">
            <w:pPr>
              <w:pStyle w:val="11"/>
              <w:spacing w:before="297" w:line="229" w:lineRule="auto"/>
              <w:ind w:left="109"/>
              <w:rPr>
                <w:rFonts w:hint="eastAsia"/>
                <w:color w:val="auto"/>
                <w:spacing w:val="-20"/>
              </w:rPr>
            </w:pPr>
            <w:r>
              <w:rPr>
                <w:rFonts w:hint="eastAsia"/>
                <w:color w:val="auto"/>
                <w:spacing w:val="-20"/>
              </w:rPr>
              <w:t>（1）黑字必须为标准黑色字体，颜色为RGB（0,0,0）。</w:t>
            </w:r>
          </w:p>
          <w:p w14:paraId="71D52EB0">
            <w:pPr>
              <w:pStyle w:val="11"/>
              <w:spacing w:before="297" w:line="229" w:lineRule="auto"/>
              <w:ind w:left="109"/>
              <w:rPr>
                <w:rFonts w:hint="eastAsia"/>
                <w:color w:val="auto"/>
                <w:spacing w:val="-20"/>
              </w:rPr>
            </w:pPr>
            <w:r>
              <w:rPr>
                <w:rFonts w:hint="eastAsia"/>
                <w:color w:val="auto"/>
                <w:spacing w:val="-20"/>
              </w:rPr>
              <w:t>（2）标题编号制作方式：选择标题文字段，点击工具栏的标题，选择对应的标题级别。</w:t>
            </w:r>
          </w:p>
          <w:p w14:paraId="3819A4BB">
            <w:pPr>
              <w:pStyle w:val="11"/>
              <w:spacing w:before="297" w:line="229" w:lineRule="auto"/>
              <w:ind w:left="109"/>
              <w:rPr>
                <w:rFonts w:hint="eastAsia"/>
                <w:color w:val="auto"/>
                <w:spacing w:val="-20"/>
              </w:rPr>
            </w:pPr>
            <w:r>
              <w:rPr>
                <w:rFonts w:hint="eastAsia"/>
                <w:color w:val="auto"/>
                <w:spacing w:val="-20"/>
              </w:rPr>
              <w:t>（3）暗标内容编制完成后，全选以后查看字体字号颜色设置，手动进行调整为宋体四号，确保全文的文字均为宋体四号。颜色参考第一条进行调整。</w:t>
            </w:r>
          </w:p>
          <w:p w14:paraId="449BFA42">
            <w:pPr>
              <w:pStyle w:val="11"/>
              <w:spacing w:before="297" w:line="229" w:lineRule="auto"/>
              <w:ind w:left="109"/>
              <w:rPr>
                <w:rFonts w:hint="eastAsia"/>
                <w:color w:val="auto"/>
                <w:spacing w:val="-20"/>
              </w:rPr>
            </w:pPr>
            <w:r>
              <w:rPr>
                <w:rFonts w:hint="eastAsia"/>
                <w:color w:val="auto"/>
                <w:spacing w:val="-20"/>
              </w:rPr>
              <w:t>（4）全选以后，右键选择段落，在弹出的页面间距部分选择：段前，段后0行，行距选择固定值，填写28 磅。</w:t>
            </w:r>
          </w:p>
          <w:p w14:paraId="5667B262">
            <w:pPr>
              <w:pStyle w:val="11"/>
              <w:spacing w:before="297" w:line="229" w:lineRule="auto"/>
              <w:ind w:left="109"/>
              <w:rPr>
                <w:rFonts w:hint="eastAsia"/>
                <w:color w:val="auto"/>
                <w:spacing w:val="-20"/>
              </w:rPr>
            </w:pPr>
            <w:r>
              <w:rPr>
                <w:rFonts w:hint="eastAsia"/>
                <w:color w:val="auto"/>
                <w:spacing w:val="-20"/>
              </w:rPr>
              <w:t>（5）切换到页面标签，点击页边距按钮。选择自定义页边距，在页面设置页面，将边距均填写2.5cm，应用于整篇文档，之后确定即可。</w:t>
            </w:r>
          </w:p>
          <w:p w14:paraId="48C6B2A3">
            <w:pPr>
              <w:pStyle w:val="11"/>
              <w:spacing w:before="297" w:line="229" w:lineRule="auto"/>
              <w:ind w:left="109"/>
              <w:rPr>
                <w:rFonts w:hint="eastAsia"/>
                <w:color w:val="auto"/>
                <w:spacing w:val="-20"/>
              </w:rPr>
            </w:pPr>
            <w:r>
              <w:rPr>
                <w:rFonts w:hint="eastAsia"/>
                <w:color w:val="auto"/>
                <w:spacing w:val="-20"/>
              </w:rPr>
              <w:t>（6）如果暗标制作过程需要复制其他文档，粘贴时使用右键，选择“选择性粘贴”，使用“无格式文本”。这样可以保持格式和已完成的内容一致。</w:t>
            </w:r>
          </w:p>
          <w:p w14:paraId="3C6EBB19">
            <w:pPr>
              <w:pStyle w:val="11"/>
              <w:spacing w:before="297" w:line="229" w:lineRule="auto"/>
              <w:ind w:left="109"/>
              <w:rPr>
                <w:rFonts w:hint="eastAsia"/>
                <w:color w:val="auto"/>
                <w:spacing w:val="-20"/>
              </w:rPr>
            </w:pPr>
            <w:r>
              <w:rPr>
                <w:rFonts w:hint="eastAsia"/>
                <w:color w:val="auto"/>
                <w:spacing w:val="-20"/>
              </w:rPr>
              <w:t>（7）每个暗标评审点的文档都要重新开始标题编号。</w:t>
            </w:r>
          </w:p>
          <w:p w14:paraId="268C2EB0">
            <w:pPr>
              <w:pStyle w:val="11"/>
              <w:spacing w:before="297" w:line="229" w:lineRule="auto"/>
              <w:ind w:left="109"/>
              <w:rPr>
                <w:rFonts w:hint="eastAsia"/>
                <w:color w:val="auto"/>
                <w:spacing w:val="-20"/>
              </w:rPr>
            </w:pPr>
            <w:r>
              <w:rPr>
                <w:rFonts w:hint="eastAsia"/>
                <w:color w:val="auto"/>
                <w:spacing w:val="-20"/>
              </w:rPr>
              <w:t>（8）不允许出现能透露投标人信息的内容。不能出现涉及投标供应商信息、投标产品信息、产品厂家信息及其他能够识别到投标供应商的任何信息(暗标部分信息处理：单位名称必须隐去，一律采用本公司、我公司来表示；暗标中如有相关证明材料、企业制度等，必须遮盖投标单位的名称、标志及相关可识 别信息)。</w:t>
            </w:r>
          </w:p>
          <w:p w14:paraId="29FAEFA4">
            <w:pPr>
              <w:pStyle w:val="11"/>
              <w:spacing w:before="297" w:line="229" w:lineRule="auto"/>
              <w:ind w:left="109"/>
              <w:rPr>
                <w:color w:val="auto"/>
              </w:rPr>
            </w:pPr>
            <w:r>
              <w:rPr>
                <w:color w:val="auto"/>
                <w:spacing w:val="-20"/>
              </w:rPr>
              <w:t>注：不符合以上要求的部分，</w:t>
            </w:r>
            <w:r>
              <w:rPr>
                <w:rFonts w:hint="eastAsia"/>
                <w:color w:val="auto"/>
                <w:spacing w:val="-20"/>
              </w:rPr>
              <w:t>其暗标部分整体得零分</w:t>
            </w:r>
            <w:r>
              <w:rPr>
                <w:color w:val="auto"/>
                <w:spacing w:val="-20"/>
              </w:rPr>
              <w:t>。</w:t>
            </w:r>
          </w:p>
        </w:tc>
      </w:tr>
      <w:tr w14:paraId="48CB4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5" w:hRule="atLeast"/>
        </w:trPr>
        <w:tc>
          <w:tcPr>
            <w:tcW w:w="895" w:type="dxa"/>
            <w:vAlign w:val="top"/>
          </w:tcPr>
          <w:p w14:paraId="50BED681">
            <w:pPr>
              <w:spacing w:line="274" w:lineRule="auto"/>
              <w:rPr>
                <w:rFonts w:ascii="Arial"/>
                <w:color w:val="auto"/>
                <w:sz w:val="21"/>
              </w:rPr>
            </w:pPr>
          </w:p>
          <w:p w14:paraId="6A7AFED8">
            <w:pPr>
              <w:spacing w:line="274" w:lineRule="auto"/>
              <w:rPr>
                <w:rFonts w:ascii="Arial"/>
                <w:color w:val="auto"/>
                <w:sz w:val="21"/>
              </w:rPr>
            </w:pPr>
          </w:p>
          <w:p w14:paraId="4AFB7FA4">
            <w:pPr>
              <w:pStyle w:val="11"/>
              <w:spacing w:before="65" w:line="187" w:lineRule="auto"/>
              <w:ind w:left="226"/>
              <w:rPr>
                <w:color w:val="auto"/>
              </w:rPr>
            </w:pPr>
            <w:r>
              <w:rPr>
                <w:color w:val="auto"/>
                <w:spacing w:val="-7"/>
              </w:rPr>
              <w:t>4.1.1</w:t>
            </w:r>
          </w:p>
        </w:tc>
        <w:tc>
          <w:tcPr>
            <w:tcW w:w="2941" w:type="dxa"/>
            <w:vAlign w:val="top"/>
          </w:tcPr>
          <w:p w14:paraId="42D97868">
            <w:pPr>
              <w:spacing w:line="256" w:lineRule="auto"/>
              <w:rPr>
                <w:rFonts w:ascii="Arial"/>
                <w:color w:val="auto"/>
                <w:sz w:val="21"/>
              </w:rPr>
            </w:pPr>
          </w:p>
          <w:p w14:paraId="4986B200">
            <w:pPr>
              <w:spacing w:line="257" w:lineRule="auto"/>
              <w:rPr>
                <w:rFonts w:ascii="Arial"/>
                <w:color w:val="auto"/>
                <w:sz w:val="21"/>
              </w:rPr>
            </w:pPr>
          </w:p>
          <w:p w14:paraId="21232D54">
            <w:pPr>
              <w:pStyle w:val="11"/>
              <w:spacing w:before="65" w:line="231" w:lineRule="auto"/>
              <w:ind w:left="228"/>
              <w:rPr>
                <w:color w:val="auto"/>
              </w:rPr>
            </w:pPr>
            <w:r>
              <w:rPr>
                <w:color w:val="auto"/>
                <w:spacing w:val="-19"/>
              </w:rPr>
              <w:t>投标文件签字和（或）盖章要求</w:t>
            </w:r>
          </w:p>
        </w:tc>
        <w:tc>
          <w:tcPr>
            <w:tcW w:w="5437" w:type="dxa"/>
            <w:vAlign w:val="top"/>
          </w:tcPr>
          <w:p w14:paraId="1B01A38B">
            <w:pPr>
              <w:pStyle w:val="11"/>
              <w:spacing w:before="173" w:line="366" w:lineRule="auto"/>
              <w:ind w:left="101" w:right="57" w:firstLine="10"/>
              <w:jc w:val="both"/>
              <w:rPr>
                <w:color w:val="auto"/>
                <w:spacing w:val="-16"/>
              </w:rPr>
            </w:pPr>
            <w:r>
              <w:rPr>
                <w:color w:val="auto"/>
                <w:spacing w:val="-21"/>
              </w:rPr>
              <w:t>1、投标人在生成电子化投标文件后，应对电子</w:t>
            </w:r>
            <w:r>
              <w:rPr>
                <w:color w:val="auto"/>
                <w:spacing w:val="-22"/>
              </w:rPr>
              <w:t>化投标文件进行盖章</w:t>
            </w:r>
            <w:r>
              <w:rPr>
                <w:color w:val="auto"/>
              </w:rPr>
              <w:t xml:space="preserve"> </w:t>
            </w:r>
            <w:r>
              <w:rPr>
                <w:color w:val="auto"/>
                <w:spacing w:val="-21"/>
              </w:rPr>
              <w:t>（电子印章</w:t>
            </w:r>
            <w:r>
              <w:rPr>
                <w:color w:val="auto"/>
                <w:spacing w:val="-50"/>
                <w:w w:val="89"/>
              </w:rPr>
              <w:t>），</w:t>
            </w:r>
            <w:r>
              <w:rPr>
                <w:color w:val="auto"/>
                <w:spacing w:val="-21"/>
              </w:rPr>
              <w:t>未按规定对电子化投标文件进行盖章（电子印章）的</w:t>
            </w:r>
            <w:r>
              <w:rPr>
                <w:color w:val="auto"/>
                <w:spacing w:val="3"/>
              </w:rPr>
              <w:t xml:space="preserve"> </w:t>
            </w:r>
            <w:r>
              <w:rPr>
                <w:color w:val="auto"/>
                <w:spacing w:val="-16"/>
              </w:rPr>
              <w:t>视为无效投标。</w:t>
            </w:r>
          </w:p>
          <w:p w14:paraId="7E6705C9">
            <w:pPr>
              <w:pStyle w:val="11"/>
              <w:spacing w:before="173" w:line="366" w:lineRule="auto"/>
              <w:ind w:left="101" w:right="57" w:firstLine="10"/>
              <w:jc w:val="both"/>
              <w:rPr>
                <w:color w:val="auto"/>
              </w:rPr>
            </w:pPr>
            <w:r>
              <w:rPr>
                <w:color w:val="auto"/>
                <w:spacing w:val="-18"/>
              </w:rPr>
              <w:t>2、招标文件中要求法定代表人或被授权委托人签字或盖章的，投</w:t>
            </w:r>
            <w:r>
              <w:rPr>
                <w:color w:val="auto"/>
                <w:spacing w:val="11"/>
              </w:rPr>
              <w:t xml:space="preserve"> </w:t>
            </w:r>
            <w:r>
              <w:rPr>
                <w:color w:val="auto"/>
                <w:spacing w:val="-21"/>
              </w:rPr>
              <w:t>标人在进行电子化投标文件签字或盖章时， 以加盖法定代表人电子</w:t>
            </w:r>
            <w:r>
              <w:rPr>
                <w:color w:val="auto"/>
              </w:rPr>
              <w:t xml:space="preserve"> </w:t>
            </w:r>
            <w:r>
              <w:rPr>
                <w:color w:val="auto"/>
                <w:spacing w:val="-21"/>
              </w:rPr>
              <w:t>印章为准。（签名可以是手签上 传也可以电子手写签名或电子</w:t>
            </w:r>
            <w:r>
              <w:rPr>
                <w:color w:val="auto"/>
                <w:spacing w:val="-22"/>
              </w:rPr>
              <w:t>签章</w:t>
            </w:r>
            <w:r>
              <w:rPr>
                <w:color w:val="auto"/>
              </w:rPr>
              <w:t xml:space="preserve"> </w:t>
            </w:r>
            <w:r>
              <w:rPr>
                <w:color w:val="auto"/>
                <w:spacing w:val="-12"/>
              </w:rPr>
              <w:t>)。</w:t>
            </w:r>
          </w:p>
        </w:tc>
      </w:tr>
    </w:tbl>
    <w:p w14:paraId="1F757EAE">
      <w:pPr>
        <w:pStyle w:val="3"/>
        <w:rPr>
          <w:color w:val="auto"/>
        </w:rPr>
      </w:pPr>
    </w:p>
    <w:p w14:paraId="4F71C234">
      <w:pPr>
        <w:rPr>
          <w:color w:val="auto"/>
        </w:rPr>
        <w:sectPr>
          <w:footerReference r:id="rId19" w:type="default"/>
          <w:pgSz w:w="11906" w:h="16839"/>
          <w:pgMar w:top="999" w:right="1246" w:bottom="844" w:left="1313" w:header="698" w:footer="682" w:gutter="0"/>
          <w:pgNumType w:fmt="decimal"/>
          <w:cols w:space="720" w:num="1"/>
        </w:sectPr>
      </w:pPr>
    </w:p>
    <w:p w14:paraId="53232D22">
      <w:pPr>
        <w:spacing w:before="176"/>
        <w:rPr>
          <w:color w:val="auto"/>
        </w:rPr>
      </w:pPr>
    </w:p>
    <w:tbl>
      <w:tblPr>
        <w:tblStyle w:val="10"/>
        <w:tblW w:w="92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941"/>
        <w:gridCol w:w="5437"/>
      </w:tblGrid>
      <w:tr w14:paraId="483DA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895" w:type="dxa"/>
            <w:vAlign w:val="top"/>
          </w:tcPr>
          <w:p w14:paraId="0036A02F">
            <w:pPr>
              <w:pStyle w:val="11"/>
              <w:spacing w:before="204" w:line="187" w:lineRule="auto"/>
              <w:ind w:left="226"/>
              <w:rPr>
                <w:color w:val="auto"/>
              </w:rPr>
            </w:pPr>
            <w:r>
              <w:rPr>
                <w:color w:val="auto"/>
                <w:spacing w:val="-7"/>
              </w:rPr>
              <w:t>4.2.1</w:t>
            </w:r>
          </w:p>
        </w:tc>
        <w:tc>
          <w:tcPr>
            <w:tcW w:w="2941" w:type="dxa"/>
            <w:vAlign w:val="top"/>
          </w:tcPr>
          <w:p w14:paraId="108C8DD1">
            <w:pPr>
              <w:pStyle w:val="11"/>
              <w:spacing w:before="169" w:line="231" w:lineRule="auto"/>
              <w:ind w:left="943"/>
              <w:rPr>
                <w:color w:val="auto"/>
              </w:rPr>
            </w:pPr>
            <w:r>
              <w:rPr>
                <w:color w:val="auto"/>
                <w:spacing w:val="-15"/>
              </w:rPr>
              <w:t>投标截止时间</w:t>
            </w:r>
          </w:p>
        </w:tc>
        <w:tc>
          <w:tcPr>
            <w:tcW w:w="5437" w:type="dxa"/>
            <w:vAlign w:val="top"/>
          </w:tcPr>
          <w:p w14:paraId="6D367C6B">
            <w:pPr>
              <w:pStyle w:val="11"/>
              <w:spacing w:before="169" w:line="231" w:lineRule="auto"/>
              <w:ind w:left="104"/>
              <w:rPr>
                <w:color w:val="auto"/>
              </w:rPr>
            </w:pPr>
            <w:r>
              <w:rPr>
                <w:color w:val="auto"/>
                <w:spacing w:val="-18"/>
              </w:rPr>
              <w:t>见第一章招标公告。</w:t>
            </w:r>
          </w:p>
        </w:tc>
      </w:tr>
      <w:tr w14:paraId="42CE6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95" w:type="dxa"/>
            <w:vAlign w:val="top"/>
          </w:tcPr>
          <w:p w14:paraId="35457D4C">
            <w:pPr>
              <w:pStyle w:val="11"/>
              <w:spacing w:before="205" w:line="186" w:lineRule="auto"/>
              <w:ind w:left="226"/>
              <w:rPr>
                <w:color w:val="auto"/>
              </w:rPr>
            </w:pPr>
            <w:r>
              <w:rPr>
                <w:color w:val="auto"/>
                <w:spacing w:val="-7"/>
              </w:rPr>
              <w:t>4.2.2</w:t>
            </w:r>
          </w:p>
        </w:tc>
        <w:tc>
          <w:tcPr>
            <w:tcW w:w="2941" w:type="dxa"/>
            <w:vAlign w:val="top"/>
          </w:tcPr>
          <w:p w14:paraId="05021CF0">
            <w:pPr>
              <w:pStyle w:val="11"/>
              <w:spacing w:before="168" w:line="231" w:lineRule="auto"/>
              <w:ind w:left="765"/>
              <w:rPr>
                <w:color w:val="auto"/>
              </w:rPr>
            </w:pPr>
            <w:r>
              <w:rPr>
                <w:color w:val="auto"/>
                <w:spacing w:val="-17"/>
              </w:rPr>
              <w:t>提交投标文件地点</w:t>
            </w:r>
          </w:p>
        </w:tc>
        <w:tc>
          <w:tcPr>
            <w:tcW w:w="5437" w:type="dxa"/>
            <w:vAlign w:val="top"/>
          </w:tcPr>
          <w:p w14:paraId="365657D5">
            <w:pPr>
              <w:pStyle w:val="11"/>
              <w:spacing w:before="168" w:line="231" w:lineRule="auto"/>
              <w:ind w:left="104"/>
              <w:rPr>
                <w:color w:val="auto"/>
              </w:rPr>
            </w:pPr>
            <w:r>
              <w:rPr>
                <w:color w:val="auto"/>
                <w:spacing w:val="-18"/>
              </w:rPr>
              <w:t>见第一章招标公告。</w:t>
            </w:r>
          </w:p>
        </w:tc>
      </w:tr>
      <w:tr w14:paraId="0F4FD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895" w:type="dxa"/>
            <w:vAlign w:val="top"/>
          </w:tcPr>
          <w:p w14:paraId="046E3714">
            <w:pPr>
              <w:spacing w:line="342" w:lineRule="auto"/>
              <w:rPr>
                <w:rFonts w:ascii="Arial"/>
                <w:color w:val="auto"/>
                <w:sz w:val="21"/>
              </w:rPr>
            </w:pPr>
          </w:p>
          <w:p w14:paraId="0030BC8B">
            <w:pPr>
              <w:pStyle w:val="11"/>
              <w:spacing w:before="65" w:line="186" w:lineRule="auto"/>
              <w:ind w:left="226"/>
              <w:rPr>
                <w:color w:val="auto"/>
              </w:rPr>
            </w:pPr>
            <w:r>
              <w:rPr>
                <w:color w:val="auto"/>
                <w:spacing w:val="-7"/>
              </w:rPr>
              <w:t>4.2.3</w:t>
            </w:r>
          </w:p>
        </w:tc>
        <w:tc>
          <w:tcPr>
            <w:tcW w:w="2941" w:type="dxa"/>
            <w:vAlign w:val="top"/>
          </w:tcPr>
          <w:p w14:paraId="6790E8EC">
            <w:pPr>
              <w:spacing w:line="306" w:lineRule="auto"/>
              <w:rPr>
                <w:rFonts w:ascii="Arial"/>
                <w:color w:val="auto"/>
                <w:sz w:val="21"/>
              </w:rPr>
            </w:pPr>
          </w:p>
          <w:p w14:paraId="443B741A">
            <w:pPr>
              <w:pStyle w:val="11"/>
              <w:spacing w:before="65" w:line="230" w:lineRule="auto"/>
              <w:ind w:left="497"/>
              <w:rPr>
                <w:color w:val="auto"/>
              </w:rPr>
            </w:pPr>
            <w:r>
              <w:rPr>
                <w:color w:val="auto"/>
                <w:spacing w:val="-18"/>
              </w:rPr>
              <w:t>投标文件份数及其他要求</w:t>
            </w:r>
          </w:p>
        </w:tc>
        <w:tc>
          <w:tcPr>
            <w:tcW w:w="5437" w:type="dxa"/>
            <w:vAlign w:val="top"/>
          </w:tcPr>
          <w:p w14:paraId="4331D9B7">
            <w:pPr>
              <w:pStyle w:val="11"/>
              <w:spacing w:before="169" w:line="360" w:lineRule="auto"/>
              <w:ind w:left="102" w:right="57"/>
              <w:rPr>
                <w:color w:val="auto"/>
              </w:rPr>
            </w:pPr>
            <w:r>
              <w:rPr>
                <w:color w:val="auto"/>
                <w:spacing w:val="-16"/>
              </w:rPr>
              <w:t>加密的电子投标文件一份（*.lytf 格式）上传至 洛阳市电子</w:t>
            </w:r>
            <w:r>
              <w:rPr>
                <w:color w:val="auto"/>
                <w:spacing w:val="-17"/>
              </w:rPr>
              <w:t>招投</w:t>
            </w:r>
            <w:r>
              <w:rPr>
                <w:color w:val="auto"/>
              </w:rPr>
              <w:t xml:space="preserve"> </w:t>
            </w:r>
            <w:r>
              <w:rPr>
                <w:color w:val="auto"/>
                <w:spacing w:val="-14"/>
              </w:rPr>
              <w:t>标交易平台</w:t>
            </w:r>
          </w:p>
        </w:tc>
      </w:tr>
      <w:tr w14:paraId="64B87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5" w:hRule="atLeast"/>
        </w:trPr>
        <w:tc>
          <w:tcPr>
            <w:tcW w:w="895" w:type="dxa"/>
            <w:vAlign w:val="top"/>
          </w:tcPr>
          <w:p w14:paraId="65F00B9C">
            <w:pPr>
              <w:spacing w:line="273" w:lineRule="auto"/>
              <w:rPr>
                <w:rFonts w:ascii="Arial"/>
                <w:color w:val="auto"/>
                <w:sz w:val="21"/>
              </w:rPr>
            </w:pPr>
          </w:p>
          <w:p w14:paraId="080878E6">
            <w:pPr>
              <w:spacing w:line="273" w:lineRule="auto"/>
              <w:rPr>
                <w:rFonts w:ascii="Arial"/>
                <w:color w:val="auto"/>
                <w:sz w:val="21"/>
              </w:rPr>
            </w:pPr>
          </w:p>
          <w:p w14:paraId="6A4D6136">
            <w:pPr>
              <w:pStyle w:val="11"/>
              <w:spacing w:before="65" w:line="186" w:lineRule="auto"/>
              <w:ind w:left="226"/>
              <w:rPr>
                <w:color w:val="auto"/>
              </w:rPr>
            </w:pPr>
            <w:r>
              <w:rPr>
                <w:color w:val="auto"/>
                <w:spacing w:val="-7"/>
              </w:rPr>
              <w:t>4.2.4</w:t>
            </w:r>
          </w:p>
        </w:tc>
        <w:tc>
          <w:tcPr>
            <w:tcW w:w="2941" w:type="dxa"/>
            <w:vAlign w:val="top"/>
          </w:tcPr>
          <w:p w14:paraId="44295D22">
            <w:pPr>
              <w:spacing w:line="254" w:lineRule="auto"/>
              <w:rPr>
                <w:rFonts w:ascii="Arial"/>
                <w:color w:val="auto"/>
                <w:sz w:val="21"/>
              </w:rPr>
            </w:pPr>
          </w:p>
          <w:p w14:paraId="2AB4DDA7">
            <w:pPr>
              <w:spacing w:line="255" w:lineRule="auto"/>
              <w:rPr>
                <w:rFonts w:ascii="Arial"/>
                <w:color w:val="auto"/>
                <w:sz w:val="21"/>
              </w:rPr>
            </w:pPr>
          </w:p>
          <w:p w14:paraId="3D287F92">
            <w:pPr>
              <w:pStyle w:val="11"/>
              <w:spacing w:before="65" w:line="231" w:lineRule="auto"/>
              <w:ind w:left="362"/>
              <w:rPr>
                <w:color w:val="auto"/>
              </w:rPr>
            </w:pPr>
            <w:r>
              <w:rPr>
                <w:color w:val="auto"/>
                <w:spacing w:val="-19"/>
              </w:rPr>
              <w:t>投标文件上传问题联系方</w:t>
            </w:r>
            <w:r>
              <w:rPr>
                <w:color w:val="auto"/>
                <w:spacing w:val="-13"/>
              </w:rPr>
              <w:t xml:space="preserve"> </w:t>
            </w:r>
            <w:r>
              <w:rPr>
                <w:color w:val="auto"/>
                <w:spacing w:val="-19"/>
              </w:rPr>
              <w:t>式</w:t>
            </w:r>
          </w:p>
        </w:tc>
        <w:tc>
          <w:tcPr>
            <w:tcW w:w="5437" w:type="dxa"/>
            <w:vAlign w:val="top"/>
          </w:tcPr>
          <w:p w14:paraId="5373290A">
            <w:pPr>
              <w:pStyle w:val="11"/>
              <w:spacing w:before="170" w:line="356" w:lineRule="auto"/>
              <w:ind w:left="98" w:right="60" w:firstLine="4"/>
              <w:rPr>
                <w:color w:val="auto"/>
              </w:rPr>
            </w:pPr>
            <w:r>
              <w:rPr>
                <w:color w:val="auto"/>
                <w:spacing w:val="-18"/>
              </w:rPr>
              <w:t>投标人因洛阳市电子招投标交易平台问题无法上传电子</w:t>
            </w:r>
            <w:r>
              <w:rPr>
                <w:color w:val="auto"/>
                <w:spacing w:val="-19"/>
              </w:rPr>
              <w:t>投标文件</w:t>
            </w:r>
            <w:r>
              <w:rPr>
                <w:color w:val="auto"/>
              </w:rPr>
              <w:t xml:space="preserve"> </w:t>
            </w:r>
            <w:r>
              <w:rPr>
                <w:color w:val="auto"/>
                <w:spacing w:val="-12"/>
              </w:rPr>
              <w:t>时，请在工作时间与交易中心联系。联系方 式：400-9</w:t>
            </w:r>
            <w:r>
              <w:rPr>
                <w:color w:val="auto"/>
                <w:spacing w:val="-13"/>
              </w:rPr>
              <w:t>98-0000，</w:t>
            </w:r>
            <w:r>
              <w:rPr>
                <w:color w:val="auto"/>
              </w:rPr>
              <w:t xml:space="preserve"> </w:t>
            </w:r>
            <w:r>
              <w:rPr>
                <w:color w:val="auto"/>
                <w:spacing w:val="-10"/>
              </w:rPr>
              <w:t>0379-69921065。</w:t>
            </w:r>
          </w:p>
        </w:tc>
      </w:tr>
      <w:tr w14:paraId="078B7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95" w:type="dxa"/>
            <w:vAlign w:val="top"/>
          </w:tcPr>
          <w:p w14:paraId="7C0A3704">
            <w:pPr>
              <w:pStyle w:val="11"/>
              <w:spacing w:before="205" w:line="186" w:lineRule="auto"/>
              <w:ind w:left="226"/>
              <w:rPr>
                <w:color w:val="auto"/>
              </w:rPr>
            </w:pPr>
            <w:r>
              <w:rPr>
                <w:color w:val="auto"/>
                <w:spacing w:val="-7"/>
              </w:rPr>
              <w:t>4.2.5</w:t>
            </w:r>
          </w:p>
        </w:tc>
        <w:tc>
          <w:tcPr>
            <w:tcW w:w="2941" w:type="dxa"/>
            <w:vAlign w:val="top"/>
          </w:tcPr>
          <w:p w14:paraId="55DCDFF4">
            <w:pPr>
              <w:pStyle w:val="11"/>
              <w:spacing w:before="169" w:line="231" w:lineRule="auto"/>
              <w:ind w:left="763"/>
              <w:rPr>
                <w:color w:val="auto"/>
              </w:rPr>
            </w:pPr>
            <w:r>
              <w:rPr>
                <w:color w:val="auto"/>
                <w:spacing w:val="-17"/>
              </w:rPr>
              <w:t>投标文件是否退还</w:t>
            </w:r>
          </w:p>
        </w:tc>
        <w:tc>
          <w:tcPr>
            <w:tcW w:w="5437" w:type="dxa"/>
            <w:vAlign w:val="top"/>
          </w:tcPr>
          <w:p w14:paraId="42DB3DDB">
            <w:pPr>
              <w:pStyle w:val="11"/>
              <w:spacing w:before="169" w:line="234" w:lineRule="auto"/>
              <w:ind w:left="108"/>
              <w:rPr>
                <w:color w:val="auto"/>
              </w:rPr>
            </w:pPr>
            <w:r>
              <w:rPr>
                <w:color w:val="auto"/>
                <w:spacing w:val="-14"/>
              </w:rPr>
              <w:t>不退还。</w:t>
            </w:r>
          </w:p>
        </w:tc>
      </w:tr>
      <w:tr w14:paraId="388DB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895" w:type="dxa"/>
            <w:vAlign w:val="top"/>
          </w:tcPr>
          <w:p w14:paraId="37AB916F">
            <w:pPr>
              <w:spacing w:line="413" w:lineRule="auto"/>
              <w:rPr>
                <w:rFonts w:ascii="Arial"/>
                <w:color w:val="auto"/>
                <w:sz w:val="21"/>
              </w:rPr>
            </w:pPr>
          </w:p>
          <w:p w14:paraId="3D71F19D">
            <w:pPr>
              <w:pStyle w:val="11"/>
              <w:spacing w:before="65" w:line="187" w:lineRule="auto"/>
              <w:ind w:left="320"/>
              <w:rPr>
                <w:color w:val="auto"/>
              </w:rPr>
            </w:pPr>
            <w:r>
              <w:rPr>
                <w:color w:val="auto"/>
                <w:spacing w:val="-5"/>
              </w:rPr>
              <w:t>5.1</w:t>
            </w:r>
          </w:p>
        </w:tc>
        <w:tc>
          <w:tcPr>
            <w:tcW w:w="2941" w:type="dxa"/>
            <w:vAlign w:val="top"/>
          </w:tcPr>
          <w:p w14:paraId="336FE587">
            <w:pPr>
              <w:spacing w:line="378" w:lineRule="auto"/>
              <w:rPr>
                <w:rFonts w:ascii="Arial"/>
                <w:color w:val="auto"/>
                <w:sz w:val="21"/>
              </w:rPr>
            </w:pPr>
          </w:p>
          <w:p w14:paraId="00242163">
            <w:pPr>
              <w:pStyle w:val="11"/>
              <w:spacing w:before="65" w:line="231" w:lineRule="auto"/>
              <w:ind w:left="855"/>
              <w:rPr>
                <w:color w:val="auto"/>
              </w:rPr>
            </w:pPr>
            <w:r>
              <w:rPr>
                <w:color w:val="auto"/>
                <w:spacing w:val="-17"/>
              </w:rPr>
              <w:t>开标时间和地点</w:t>
            </w:r>
          </w:p>
        </w:tc>
        <w:tc>
          <w:tcPr>
            <w:tcW w:w="5437" w:type="dxa"/>
            <w:vAlign w:val="top"/>
          </w:tcPr>
          <w:p w14:paraId="701DCCC0">
            <w:pPr>
              <w:pStyle w:val="11"/>
              <w:spacing w:before="170" w:line="231" w:lineRule="auto"/>
              <w:ind w:left="103"/>
              <w:rPr>
                <w:color w:val="auto"/>
              </w:rPr>
            </w:pPr>
            <w:r>
              <w:rPr>
                <w:color w:val="auto"/>
                <w:spacing w:val="-19"/>
              </w:rPr>
              <w:t>开标时间：同投标截止时间</w:t>
            </w:r>
          </w:p>
          <w:p w14:paraId="6F77C650">
            <w:pPr>
              <w:pStyle w:val="11"/>
              <w:spacing w:before="299" w:line="231" w:lineRule="auto"/>
              <w:ind w:left="103"/>
              <w:rPr>
                <w:color w:val="auto"/>
              </w:rPr>
            </w:pPr>
            <w:r>
              <w:rPr>
                <w:color w:val="auto"/>
                <w:spacing w:val="-19"/>
              </w:rPr>
              <w:t>开标地点：同提交投标文件地点</w:t>
            </w:r>
          </w:p>
        </w:tc>
      </w:tr>
      <w:tr w14:paraId="6BA55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95" w:type="dxa"/>
            <w:vAlign w:val="top"/>
          </w:tcPr>
          <w:p w14:paraId="0E70A1FA">
            <w:pPr>
              <w:pStyle w:val="11"/>
              <w:spacing w:before="208" w:line="186" w:lineRule="auto"/>
              <w:ind w:left="320"/>
              <w:rPr>
                <w:color w:val="auto"/>
              </w:rPr>
            </w:pPr>
            <w:r>
              <w:rPr>
                <w:color w:val="auto"/>
                <w:spacing w:val="-5"/>
              </w:rPr>
              <w:t>5.3</w:t>
            </w:r>
          </w:p>
        </w:tc>
        <w:tc>
          <w:tcPr>
            <w:tcW w:w="2941" w:type="dxa"/>
            <w:vAlign w:val="top"/>
          </w:tcPr>
          <w:p w14:paraId="16C08520">
            <w:pPr>
              <w:pStyle w:val="11"/>
              <w:spacing w:before="172" w:line="231" w:lineRule="auto"/>
              <w:ind w:left="1124"/>
              <w:rPr>
                <w:color w:val="auto"/>
              </w:rPr>
            </w:pPr>
            <w:r>
              <w:rPr>
                <w:color w:val="auto"/>
                <w:spacing w:val="-12"/>
              </w:rPr>
              <w:t>开标疑义</w:t>
            </w:r>
          </w:p>
        </w:tc>
        <w:tc>
          <w:tcPr>
            <w:tcW w:w="5437" w:type="dxa"/>
            <w:vAlign w:val="top"/>
          </w:tcPr>
          <w:p w14:paraId="41EA7D55">
            <w:pPr>
              <w:pStyle w:val="11"/>
              <w:spacing w:before="172" w:line="231" w:lineRule="auto"/>
              <w:ind w:left="108"/>
              <w:rPr>
                <w:color w:val="auto"/>
              </w:rPr>
            </w:pPr>
            <w:r>
              <w:rPr>
                <w:color w:val="auto"/>
                <w:spacing w:val="-19"/>
              </w:rPr>
              <w:t>不见面开标系统远程提出</w:t>
            </w:r>
          </w:p>
        </w:tc>
      </w:tr>
      <w:tr w14:paraId="498D3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895" w:type="dxa"/>
            <w:vAlign w:val="top"/>
          </w:tcPr>
          <w:p w14:paraId="0684C091">
            <w:pPr>
              <w:spacing w:line="308" w:lineRule="auto"/>
              <w:rPr>
                <w:rFonts w:ascii="Arial"/>
                <w:color w:val="auto"/>
                <w:sz w:val="21"/>
              </w:rPr>
            </w:pPr>
          </w:p>
          <w:p w14:paraId="62D61F78">
            <w:pPr>
              <w:spacing w:line="308" w:lineRule="auto"/>
              <w:rPr>
                <w:rFonts w:ascii="Arial"/>
                <w:color w:val="auto"/>
                <w:sz w:val="21"/>
              </w:rPr>
            </w:pPr>
          </w:p>
          <w:p w14:paraId="71E372A4">
            <w:pPr>
              <w:pStyle w:val="11"/>
              <w:spacing w:before="65" w:line="187" w:lineRule="auto"/>
              <w:ind w:left="228"/>
              <w:rPr>
                <w:color w:val="auto"/>
              </w:rPr>
            </w:pPr>
            <w:r>
              <w:rPr>
                <w:color w:val="auto"/>
                <w:spacing w:val="-7"/>
              </w:rPr>
              <w:t>6.1.1</w:t>
            </w:r>
          </w:p>
        </w:tc>
        <w:tc>
          <w:tcPr>
            <w:tcW w:w="2941" w:type="dxa"/>
            <w:vAlign w:val="top"/>
          </w:tcPr>
          <w:p w14:paraId="279AA42C">
            <w:pPr>
              <w:spacing w:line="290" w:lineRule="auto"/>
              <w:rPr>
                <w:rFonts w:ascii="Arial"/>
                <w:color w:val="auto"/>
                <w:sz w:val="21"/>
              </w:rPr>
            </w:pPr>
          </w:p>
          <w:p w14:paraId="53237E16">
            <w:pPr>
              <w:spacing w:line="291" w:lineRule="auto"/>
              <w:rPr>
                <w:rFonts w:ascii="Arial"/>
                <w:color w:val="auto"/>
                <w:sz w:val="21"/>
              </w:rPr>
            </w:pPr>
          </w:p>
          <w:p w14:paraId="223B426E">
            <w:pPr>
              <w:pStyle w:val="11"/>
              <w:spacing w:before="65" w:line="231" w:lineRule="auto"/>
              <w:ind w:left="765"/>
              <w:rPr>
                <w:color w:val="auto"/>
              </w:rPr>
            </w:pPr>
            <w:r>
              <w:rPr>
                <w:color w:val="auto"/>
                <w:spacing w:val="-17"/>
              </w:rPr>
              <w:t>评标委员会的组建</w:t>
            </w:r>
          </w:p>
        </w:tc>
        <w:tc>
          <w:tcPr>
            <w:tcW w:w="5437" w:type="dxa"/>
            <w:vAlign w:val="top"/>
          </w:tcPr>
          <w:p w14:paraId="45E78EE1">
            <w:pPr>
              <w:pStyle w:val="11"/>
              <w:spacing w:before="172" w:line="231" w:lineRule="auto"/>
              <w:ind w:left="104"/>
              <w:rPr>
                <w:color w:val="auto"/>
              </w:rPr>
            </w:pPr>
            <w:r>
              <w:rPr>
                <w:color w:val="auto"/>
                <w:spacing w:val="-17"/>
              </w:rPr>
              <w:t>评标委员会构成：</w:t>
            </w:r>
            <w:r>
              <w:rPr>
                <w:rFonts w:hint="eastAsia"/>
                <w:color w:val="auto"/>
                <w:spacing w:val="-17"/>
                <w:lang w:val="en-US" w:eastAsia="zh-CN"/>
              </w:rPr>
              <w:t>7</w:t>
            </w:r>
            <w:r>
              <w:rPr>
                <w:color w:val="auto"/>
                <w:spacing w:val="-17"/>
              </w:rPr>
              <w:t>人，其中采购人代表</w:t>
            </w:r>
            <w:r>
              <w:rPr>
                <w:color w:val="auto"/>
                <w:spacing w:val="-22"/>
              </w:rPr>
              <w:t xml:space="preserve"> </w:t>
            </w:r>
            <w:r>
              <w:rPr>
                <w:rFonts w:hint="eastAsia"/>
                <w:color w:val="auto"/>
                <w:spacing w:val="-17"/>
                <w:lang w:val="en-US" w:eastAsia="zh-CN"/>
              </w:rPr>
              <w:t>2</w:t>
            </w:r>
            <w:r>
              <w:rPr>
                <w:color w:val="auto"/>
                <w:spacing w:val="-17"/>
              </w:rPr>
              <w:t>人，专家</w:t>
            </w:r>
            <w:r>
              <w:rPr>
                <w:rFonts w:hint="eastAsia"/>
                <w:color w:val="auto"/>
                <w:spacing w:val="-29"/>
                <w:lang w:val="en-US" w:eastAsia="zh-CN"/>
              </w:rPr>
              <w:t>5</w:t>
            </w:r>
            <w:r>
              <w:rPr>
                <w:color w:val="auto"/>
                <w:spacing w:val="-17"/>
              </w:rPr>
              <w:t xml:space="preserve"> 人。</w:t>
            </w:r>
          </w:p>
          <w:p w14:paraId="41512343">
            <w:pPr>
              <w:pStyle w:val="11"/>
              <w:spacing w:before="298" w:line="360" w:lineRule="auto"/>
              <w:ind w:left="103" w:right="57" w:firstLine="2"/>
              <w:rPr>
                <w:color w:val="auto"/>
              </w:rPr>
            </w:pPr>
            <w:r>
              <w:rPr>
                <w:color w:val="auto"/>
                <w:spacing w:val="-19"/>
              </w:rPr>
              <w:t>专家确定方式：经济、技术专家从河南省政府采购评审专家库中随</w:t>
            </w:r>
            <w:r>
              <w:rPr>
                <w:color w:val="auto"/>
                <w:spacing w:val="18"/>
              </w:rPr>
              <w:t xml:space="preserve"> </w:t>
            </w:r>
            <w:r>
              <w:rPr>
                <w:color w:val="auto"/>
                <w:spacing w:val="-12"/>
              </w:rPr>
              <w:t>机抽取。</w:t>
            </w:r>
          </w:p>
        </w:tc>
      </w:tr>
      <w:tr w14:paraId="0FBB7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95" w:type="dxa"/>
            <w:vAlign w:val="top"/>
          </w:tcPr>
          <w:p w14:paraId="12136DA2">
            <w:pPr>
              <w:pStyle w:val="11"/>
              <w:spacing w:before="210" w:line="186" w:lineRule="auto"/>
              <w:ind w:left="228"/>
              <w:rPr>
                <w:color w:val="auto"/>
              </w:rPr>
            </w:pPr>
            <w:r>
              <w:rPr>
                <w:color w:val="auto"/>
                <w:spacing w:val="-7"/>
              </w:rPr>
              <w:t>6.3.2</w:t>
            </w:r>
          </w:p>
        </w:tc>
        <w:tc>
          <w:tcPr>
            <w:tcW w:w="2941" w:type="dxa"/>
            <w:vAlign w:val="top"/>
          </w:tcPr>
          <w:p w14:paraId="373067C2">
            <w:pPr>
              <w:pStyle w:val="11"/>
              <w:spacing w:before="174" w:line="230" w:lineRule="auto"/>
              <w:ind w:left="141"/>
              <w:rPr>
                <w:color w:val="auto"/>
              </w:rPr>
            </w:pPr>
            <w:r>
              <w:rPr>
                <w:color w:val="auto"/>
                <w:spacing w:val="-19"/>
              </w:rPr>
              <w:t>评标委员会推荐中标候选人的人数</w:t>
            </w:r>
          </w:p>
        </w:tc>
        <w:tc>
          <w:tcPr>
            <w:tcW w:w="5437" w:type="dxa"/>
            <w:vAlign w:val="top"/>
          </w:tcPr>
          <w:p w14:paraId="78B32BBE">
            <w:pPr>
              <w:pStyle w:val="11"/>
              <w:spacing w:before="174" w:line="230" w:lineRule="auto"/>
              <w:ind w:left="103"/>
              <w:rPr>
                <w:color w:val="auto"/>
              </w:rPr>
            </w:pPr>
            <w:r>
              <w:rPr>
                <w:color w:val="auto"/>
                <w:spacing w:val="-18"/>
              </w:rPr>
              <w:t>按得分高低顺序推荐前</w:t>
            </w:r>
            <w:r>
              <w:rPr>
                <w:color w:val="auto"/>
                <w:spacing w:val="-17"/>
              </w:rPr>
              <w:t xml:space="preserve"> </w:t>
            </w:r>
            <w:r>
              <w:rPr>
                <w:color w:val="auto"/>
                <w:spacing w:val="-18"/>
              </w:rPr>
              <w:t>3 名为中标候选人</w:t>
            </w:r>
          </w:p>
        </w:tc>
      </w:tr>
      <w:tr w14:paraId="74E51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895" w:type="dxa"/>
            <w:vAlign w:val="top"/>
          </w:tcPr>
          <w:p w14:paraId="4FA9D4EC">
            <w:pPr>
              <w:spacing w:line="412" w:lineRule="auto"/>
              <w:rPr>
                <w:rFonts w:ascii="Arial"/>
                <w:color w:val="auto"/>
                <w:sz w:val="21"/>
              </w:rPr>
            </w:pPr>
          </w:p>
          <w:p w14:paraId="6F6B6915">
            <w:pPr>
              <w:pStyle w:val="11"/>
              <w:spacing w:before="65" w:line="187" w:lineRule="auto"/>
              <w:ind w:left="232"/>
              <w:rPr>
                <w:color w:val="auto"/>
              </w:rPr>
            </w:pPr>
            <w:r>
              <w:rPr>
                <w:color w:val="auto"/>
                <w:spacing w:val="-8"/>
              </w:rPr>
              <w:t>7.1.1</w:t>
            </w:r>
          </w:p>
        </w:tc>
        <w:tc>
          <w:tcPr>
            <w:tcW w:w="2941" w:type="dxa"/>
            <w:vAlign w:val="top"/>
          </w:tcPr>
          <w:p w14:paraId="797AB0DA">
            <w:pPr>
              <w:pStyle w:val="11"/>
              <w:spacing w:before="170" w:line="487" w:lineRule="auto"/>
              <w:ind w:left="1239" w:right="455" w:hanging="741"/>
              <w:rPr>
                <w:color w:val="auto"/>
              </w:rPr>
            </w:pPr>
            <w:r>
              <w:rPr>
                <w:color w:val="auto"/>
                <w:spacing w:val="-20"/>
              </w:rPr>
              <w:t>是否授权评标委员会确定</w:t>
            </w:r>
            <w:r>
              <w:rPr>
                <w:color w:val="auto"/>
                <w:spacing w:val="1"/>
              </w:rPr>
              <w:t xml:space="preserve"> </w:t>
            </w:r>
            <w:r>
              <w:rPr>
                <w:color w:val="auto"/>
                <w:spacing w:val="-19"/>
              </w:rPr>
              <w:t>中标人</w:t>
            </w:r>
          </w:p>
        </w:tc>
        <w:tc>
          <w:tcPr>
            <w:tcW w:w="5437" w:type="dxa"/>
            <w:vAlign w:val="top"/>
          </w:tcPr>
          <w:p w14:paraId="698E6DCE">
            <w:pPr>
              <w:spacing w:line="377" w:lineRule="auto"/>
              <w:rPr>
                <w:rFonts w:ascii="Arial"/>
                <w:color w:val="auto"/>
                <w:sz w:val="21"/>
              </w:rPr>
            </w:pPr>
          </w:p>
          <w:p w14:paraId="07813C81">
            <w:pPr>
              <w:pStyle w:val="11"/>
              <w:spacing w:before="65" w:line="233" w:lineRule="auto"/>
              <w:ind w:left="104"/>
              <w:rPr>
                <w:color w:val="auto"/>
              </w:rPr>
            </w:pPr>
            <w:r>
              <w:rPr>
                <w:color w:val="auto"/>
              </w:rPr>
              <w:t>是</w:t>
            </w:r>
          </w:p>
        </w:tc>
      </w:tr>
      <w:tr w14:paraId="7CB3B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5" w:hRule="atLeast"/>
        </w:trPr>
        <w:tc>
          <w:tcPr>
            <w:tcW w:w="895" w:type="dxa"/>
            <w:vAlign w:val="top"/>
          </w:tcPr>
          <w:p w14:paraId="0BCD22A8">
            <w:pPr>
              <w:spacing w:line="274" w:lineRule="auto"/>
              <w:rPr>
                <w:rFonts w:ascii="Arial"/>
                <w:color w:val="auto"/>
                <w:sz w:val="21"/>
              </w:rPr>
            </w:pPr>
          </w:p>
          <w:p w14:paraId="2301790F">
            <w:pPr>
              <w:spacing w:line="274" w:lineRule="auto"/>
              <w:rPr>
                <w:rFonts w:ascii="Arial"/>
                <w:color w:val="auto"/>
                <w:sz w:val="21"/>
              </w:rPr>
            </w:pPr>
          </w:p>
          <w:p w14:paraId="2E2924DF">
            <w:pPr>
              <w:pStyle w:val="11"/>
              <w:spacing w:before="65" w:line="187" w:lineRule="auto"/>
              <w:ind w:left="232"/>
              <w:rPr>
                <w:color w:val="auto"/>
              </w:rPr>
            </w:pPr>
            <w:r>
              <w:rPr>
                <w:color w:val="auto"/>
                <w:spacing w:val="-8"/>
              </w:rPr>
              <w:t>7.1.2</w:t>
            </w:r>
          </w:p>
        </w:tc>
        <w:tc>
          <w:tcPr>
            <w:tcW w:w="2941" w:type="dxa"/>
            <w:vAlign w:val="top"/>
          </w:tcPr>
          <w:p w14:paraId="687F815F">
            <w:pPr>
              <w:spacing w:line="256" w:lineRule="auto"/>
              <w:rPr>
                <w:rFonts w:ascii="Arial"/>
                <w:color w:val="auto"/>
                <w:sz w:val="21"/>
              </w:rPr>
            </w:pPr>
          </w:p>
          <w:p w14:paraId="6B8B1BA2">
            <w:pPr>
              <w:spacing w:line="257" w:lineRule="auto"/>
              <w:rPr>
                <w:rFonts w:ascii="Arial"/>
                <w:color w:val="auto"/>
                <w:sz w:val="21"/>
              </w:rPr>
            </w:pPr>
          </w:p>
          <w:p w14:paraId="51AD35A9">
            <w:pPr>
              <w:pStyle w:val="11"/>
              <w:spacing w:before="65" w:line="231" w:lineRule="auto"/>
              <w:ind w:left="1128"/>
              <w:rPr>
                <w:color w:val="auto"/>
              </w:rPr>
            </w:pPr>
            <w:r>
              <w:rPr>
                <w:color w:val="auto"/>
                <w:spacing w:val="-13"/>
              </w:rPr>
              <w:t>定标原则</w:t>
            </w:r>
          </w:p>
        </w:tc>
        <w:tc>
          <w:tcPr>
            <w:tcW w:w="5437" w:type="dxa"/>
            <w:vAlign w:val="top"/>
          </w:tcPr>
          <w:p w14:paraId="7D5C21EB">
            <w:pPr>
              <w:pStyle w:val="11"/>
              <w:spacing w:before="173" w:line="366" w:lineRule="auto"/>
              <w:ind w:left="102" w:right="57" w:firstLine="1"/>
              <w:jc w:val="both"/>
              <w:rPr>
                <w:color w:val="auto"/>
              </w:rPr>
            </w:pPr>
            <w:r>
              <w:rPr>
                <w:color w:val="auto"/>
                <w:spacing w:val="-21"/>
              </w:rPr>
              <w:t>评标委员会根据评标排列顺序推荐第一名、第二名、第三名为中标</w:t>
            </w:r>
            <w:r>
              <w:rPr>
                <w:color w:val="auto"/>
              </w:rPr>
              <w:t xml:space="preserve"> </w:t>
            </w:r>
            <w:r>
              <w:rPr>
                <w:color w:val="auto"/>
                <w:spacing w:val="-18"/>
              </w:rPr>
              <w:t>候选人，并确定第一名为中标人。如中标候选人</w:t>
            </w:r>
            <w:r>
              <w:rPr>
                <w:color w:val="auto"/>
                <w:spacing w:val="-19"/>
              </w:rPr>
              <w:t>出现并列，由评标</w:t>
            </w:r>
            <w:r>
              <w:rPr>
                <w:color w:val="auto"/>
              </w:rPr>
              <w:t xml:space="preserve"> </w:t>
            </w:r>
            <w:r>
              <w:rPr>
                <w:color w:val="auto"/>
                <w:spacing w:val="-18"/>
              </w:rPr>
              <w:t>委员会投票确定中标人。</w:t>
            </w:r>
          </w:p>
        </w:tc>
      </w:tr>
      <w:tr w14:paraId="427A0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95" w:type="dxa"/>
            <w:shd w:val="clear" w:color="auto" w:fill="auto"/>
            <w:vAlign w:val="top"/>
          </w:tcPr>
          <w:p w14:paraId="06A9D6F7">
            <w:pPr>
              <w:spacing w:line="308" w:lineRule="auto"/>
              <w:rPr>
                <w:rFonts w:ascii="Arial"/>
                <w:color w:val="auto"/>
                <w:sz w:val="21"/>
              </w:rPr>
            </w:pPr>
          </w:p>
          <w:p w14:paraId="4B89D02E">
            <w:pPr>
              <w:spacing w:line="308" w:lineRule="auto"/>
              <w:rPr>
                <w:rFonts w:ascii="Arial"/>
                <w:color w:val="auto"/>
                <w:sz w:val="21"/>
              </w:rPr>
            </w:pPr>
          </w:p>
          <w:p w14:paraId="23C56E34">
            <w:pPr>
              <w:pStyle w:val="11"/>
              <w:spacing w:before="65" w:line="186" w:lineRule="auto"/>
              <w:ind w:left="320" w:leftChars="0"/>
              <w:rPr>
                <w:rFonts w:ascii="仿宋" w:hAnsi="仿宋" w:eastAsia="仿宋" w:cs="仿宋"/>
                <w:snapToGrid w:val="0"/>
                <w:color w:val="auto"/>
                <w:kern w:val="0"/>
                <w:sz w:val="20"/>
                <w:szCs w:val="20"/>
                <w:lang w:val="en-US" w:eastAsia="en-US" w:bidi="ar-SA"/>
              </w:rPr>
            </w:pPr>
            <w:r>
              <w:rPr>
                <w:color w:val="auto"/>
                <w:spacing w:val="-5"/>
              </w:rPr>
              <w:t>7.2</w:t>
            </w:r>
          </w:p>
        </w:tc>
        <w:tc>
          <w:tcPr>
            <w:tcW w:w="2941" w:type="dxa"/>
            <w:shd w:val="clear" w:color="auto" w:fill="auto"/>
            <w:vAlign w:val="top"/>
          </w:tcPr>
          <w:p w14:paraId="77BC4019">
            <w:pPr>
              <w:pStyle w:val="11"/>
              <w:spacing w:before="65" w:line="229" w:lineRule="auto"/>
              <w:ind w:left="524" w:leftChars="0"/>
              <w:rPr>
                <w:color w:val="auto"/>
                <w:spacing w:val="-21"/>
              </w:rPr>
            </w:pPr>
          </w:p>
          <w:p w14:paraId="31FA2474">
            <w:pPr>
              <w:pStyle w:val="11"/>
              <w:spacing w:before="65" w:line="229" w:lineRule="auto"/>
              <w:ind w:left="524" w:leftChars="0"/>
              <w:rPr>
                <w:rFonts w:ascii="仿宋" w:hAnsi="仿宋" w:eastAsia="仿宋" w:cs="仿宋"/>
                <w:snapToGrid w:val="0"/>
                <w:color w:val="auto"/>
                <w:kern w:val="0"/>
                <w:sz w:val="20"/>
                <w:szCs w:val="20"/>
                <w:lang w:val="en-US" w:eastAsia="en-US" w:bidi="ar-SA"/>
              </w:rPr>
            </w:pPr>
            <w:r>
              <w:rPr>
                <w:color w:val="auto"/>
                <w:spacing w:val="-21"/>
              </w:rPr>
              <w:t>中标结果公布媒介及期限</w:t>
            </w:r>
          </w:p>
        </w:tc>
        <w:tc>
          <w:tcPr>
            <w:tcW w:w="5437" w:type="dxa"/>
            <w:shd w:val="clear" w:color="auto" w:fill="auto"/>
            <w:vAlign w:val="top"/>
          </w:tcPr>
          <w:p w14:paraId="09F4126C">
            <w:pPr>
              <w:pStyle w:val="11"/>
              <w:spacing w:before="173" w:line="360" w:lineRule="auto"/>
              <w:ind w:left="108" w:right="60" w:hanging="1"/>
              <w:rPr>
                <w:color w:val="auto"/>
              </w:rPr>
            </w:pPr>
            <w:r>
              <w:rPr>
                <w:color w:val="auto"/>
                <w:spacing w:val="-36"/>
              </w:rPr>
              <w:t>公布媒介：《河南省政府采购网》、《洛阳市公</w:t>
            </w:r>
            <w:r>
              <w:rPr>
                <w:color w:val="auto"/>
                <w:spacing w:val="-18"/>
              </w:rPr>
              <w:t>共资源交易中心网》</w:t>
            </w:r>
          </w:p>
          <w:p w14:paraId="4C3E4072">
            <w:pPr>
              <w:pStyle w:val="11"/>
              <w:spacing w:before="173" w:line="229" w:lineRule="auto"/>
              <w:ind w:left="107" w:leftChars="0"/>
              <w:rPr>
                <w:rFonts w:ascii="仿宋" w:hAnsi="仿宋" w:eastAsia="仿宋" w:cs="仿宋"/>
                <w:snapToGrid w:val="0"/>
                <w:color w:val="auto"/>
                <w:kern w:val="0"/>
                <w:sz w:val="20"/>
                <w:szCs w:val="20"/>
                <w:lang w:val="en-US" w:eastAsia="en-US" w:bidi="ar-SA"/>
              </w:rPr>
            </w:pPr>
            <w:r>
              <w:rPr>
                <w:color w:val="auto"/>
                <w:spacing w:val="-17"/>
              </w:rPr>
              <w:t>公告期限：1个工作日</w:t>
            </w:r>
          </w:p>
        </w:tc>
      </w:tr>
      <w:tr w14:paraId="0575F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95" w:type="dxa"/>
            <w:shd w:val="clear" w:color="auto" w:fill="auto"/>
            <w:vAlign w:val="top"/>
          </w:tcPr>
          <w:p w14:paraId="2331EA6E">
            <w:pPr>
              <w:pStyle w:val="11"/>
              <w:spacing w:before="203" w:line="186" w:lineRule="auto"/>
              <w:ind w:left="320" w:leftChars="0"/>
              <w:rPr>
                <w:rFonts w:ascii="仿宋" w:hAnsi="仿宋" w:eastAsia="仿宋" w:cs="仿宋"/>
                <w:snapToGrid w:val="0"/>
                <w:color w:val="auto"/>
                <w:kern w:val="0"/>
                <w:sz w:val="20"/>
                <w:szCs w:val="20"/>
                <w:lang w:val="en-US" w:eastAsia="en-US" w:bidi="ar-SA"/>
              </w:rPr>
            </w:pPr>
            <w:r>
              <w:rPr>
                <w:color w:val="auto"/>
                <w:spacing w:val="-5"/>
              </w:rPr>
              <w:t>7.4</w:t>
            </w:r>
          </w:p>
        </w:tc>
        <w:tc>
          <w:tcPr>
            <w:tcW w:w="2941" w:type="dxa"/>
            <w:shd w:val="clear" w:color="auto" w:fill="auto"/>
            <w:vAlign w:val="top"/>
          </w:tcPr>
          <w:p w14:paraId="50BFB589">
            <w:pPr>
              <w:pStyle w:val="11"/>
              <w:spacing w:before="168" w:line="229" w:lineRule="auto"/>
              <w:ind w:left="1037" w:leftChars="0"/>
              <w:rPr>
                <w:rFonts w:ascii="仿宋" w:hAnsi="仿宋" w:eastAsia="仿宋" w:cs="仿宋"/>
                <w:snapToGrid w:val="0"/>
                <w:color w:val="auto"/>
                <w:kern w:val="0"/>
                <w:sz w:val="20"/>
                <w:szCs w:val="20"/>
                <w:lang w:val="en-US" w:eastAsia="en-US" w:bidi="ar-SA"/>
              </w:rPr>
            </w:pPr>
            <w:r>
              <w:rPr>
                <w:color w:val="auto"/>
                <w:spacing w:val="-15"/>
              </w:rPr>
              <w:t>履约保证金</w:t>
            </w:r>
          </w:p>
        </w:tc>
        <w:tc>
          <w:tcPr>
            <w:tcW w:w="5437" w:type="dxa"/>
            <w:shd w:val="clear" w:color="auto" w:fill="auto"/>
            <w:vAlign w:val="top"/>
          </w:tcPr>
          <w:p w14:paraId="581AF52A">
            <w:pPr>
              <w:pStyle w:val="11"/>
              <w:spacing w:before="168" w:line="229" w:lineRule="auto"/>
              <w:ind w:left="104" w:leftChars="0"/>
              <w:rPr>
                <w:rFonts w:ascii="仿宋" w:hAnsi="仿宋" w:eastAsia="仿宋" w:cs="仿宋"/>
                <w:snapToGrid w:val="0"/>
                <w:color w:val="auto"/>
                <w:kern w:val="0"/>
                <w:sz w:val="20"/>
                <w:szCs w:val="20"/>
                <w:lang w:val="en-US" w:eastAsia="en-US" w:bidi="ar-SA"/>
              </w:rPr>
            </w:pPr>
            <w:r>
              <w:rPr>
                <w:color w:val="auto"/>
                <w:spacing w:val="-18"/>
              </w:rPr>
              <w:t>本项目免收履约保证金。</w:t>
            </w:r>
          </w:p>
        </w:tc>
      </w:tr>
    </w:tbl>
    <w:p w14:paraId="1B57305D">
      <w:pPr>
        <w:pStyle w:val="3"/>
        <w:rPr>
          <w:color w:val="auto"/>
        </w:rPr>
      </w:pPr>
    </w:p>
    <w:p w14:paraId="0D1E15C8">
      <w:pPr>
        <w:rPr>
          <w:color w:val="auto"/>
        </w:rPr>
        <w:sectPr>
          <w:footerReference r:id="rId20" w:type="default"/>
          <w:pgSz w:w="11906" w:h="16839"/>
          <w:pgMar w:top="999" w:right="1246" w:bottom="844" w:left="1313" w:header="698" w:footer="682" w:gutter="0"/>
          <w:pgNumType w:fmt="decimal"/>
          <w:cols w:space="720" w:num="1"/>
        </w:sectPr>
      </w:pPr>
    </w:p>
    <w:p w14:paraId="276FADF7">
      <w:pPr>
        <w:spacing w:before="176"/>
        <w:rPr>
          <w:color w:val="auto"/>
        </w:rPr>
      </w:pPr>
    </w:p>
    <w:tbl>
      <w:tblPr>
        <w:tblStyle w:val="10"/>
        <w:tblW w:w="92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941"/>
        <w:gridCol w:w="5437"/>
      </w:tblGrid>
      <w:tr w14:paraId="13E87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6" w:hRule="atLeast"/>
        </w:trPr>
        <w:tc>
          <w:tcPr>
            <w:tcW w:w="895" w:type="dxa"/>
            <w:vAlign w:val="top"/>
          </w:tcPr>
          <w:p w14:paraId="168F5114">
            <w:pPr>
              <w:spacing w:line="248" w:lineRule="auto"/>
              <w:rPr>
                <w:rFonts w:ascii="Arial"/>
                <w:color w:val="auto"/>
                <w:sz w:val="21"/>
              </w:rPr>
            </w:pPr>
          </w:p>
          <w:p w14:paraId="1BE45743">
            <w:pPr>
              <w:spacing w:line="249" w:lineRule="auto"/>
              <w:rPr>
                <w:rFonts w:ascii="Arial"/>
                <w:color w:val="auto"/>
                <w:sz w:val="21"/>
              </w:rPr>
            </w:pPr>
          </w:p>
          <w:p w14:paraId="4B5E10AE">
            <w:pPr>
              <w:spacing w:line="249" w:lineRule="auto"/>
              <w:rPr>
                <w:rFonts w:ascii="Arial"/>
                <w:color w:val="auto"/>
                <w:sz w:val="21"/>
              </w:rPr>
            </w:pPr>
          </w:p>
          <w:p w14:paraId="47EE8EBE">
            <w:pPr>
              <w:pStyle w:val="11"/>
              <w:spacing w:before="65" w:line="186" w:lineRule="auto"/>
              <w:ind w:left="227"/>
              <w:rPr>
                <w:color w:val="auto"/>
              </w:rPr>
            </w:pPr>
            <w:r>
              <w:rPr>
                <w:color w:val="auto"/>
                <w:spacing w:val="-7"/>
              </w:rPr>
              <w:t>8.5.2</w:t>
            </w:r>
          </w:p>
        </w:tc>
        <w:tc>
          <w:tcPr>
            <w:tcW w:w="2941" w:type="dxa"/>
            <w:vAlign w:val="top"/>
          </w:tcPr>
          <w:p w14:paraId="3F262DE6">
            <w:pPr>
              <w:spacing w:line="355" w:lineRule="auto"/>
              <w:rPr>
                <w:rFonts w:ascii="Arial"/>
                <w:color w:val="auto"/>
                <w:sz w:val="21"/>
              </w:rPr>
            </w:pPr>
          </w:p>
          <w:p w14:paraId="4BC4AD9E">
            <w:pPr>
              <w:spacing w:line="355" w:lineRule="auto"/>
              <w:rPr>
                <w:rFonts w:ascii="Arial"/>
                <w:color w:val="auto"/>
                <w:sz w:val="21"/>
              </w:rPr>
            </w:pPr>
          </w:p>
          <w:p w14:paraId="221595F2">
            <w:pPr>
              <w:pStyle w:val="11"/>
              <w:spacing w:before="65" w:line="232" w:lineRule="auto"/>
              <w:ind w:left="769"/>
              <w:rPr>
                <w:color w:val="auto"/>
              </w:rPr>
            </w:pPr>
            <w:r>
              <w:rPr>
                <w:color w:val="auto"/>
                <w:spacing w:val="-18"/>
              </w:rPr>
              <w:t>质疑函的递交方式</w:t>
            </w:r>
          </w:p>
        </w:tc>
        <w:tc>
          <w:tcPr>
            <w:tcW w:w="5437" w:type="dxa"/>
            <w:vAlign w:val="top"/>
          </w:tcPr>
          <w:p w14:paraId="3B94199A">
            <w:pPr>
              <w:pStyle w:val="11"/>
              <w:spacing w:before="168" w:line="369" w:lineRule="auto"/>
              <w:ind w:left="102" w:right="57" w:firstLine="5"/>
              <w:jc w:val="both"/>
              <w:rPr>
                <w:color w:val="auto"/>
              </w:rPr>
            </w:pPr>
            <w:r>
              <w:rPr>
                <w:color w:val="auto"/>
                <w:spacing w:val="-19"/>
              </w:rPr>
              <w:t>质疑函应当面递交或通过洛阳市电子招投标交易平台发送；因情况</w:t>
            </w:r>
            <w:r>
              <w:rPr>
                <w:color w:val="auto"/>
                <w:spacing w:val="16"/>
              </w:rPr>
              <w:t xml:space="preserve"> </w:t>
            </w:r>
            <w:r>
              <w:rPr>
                <w:color w:val="auto"/>
                <w:spacing w:val="-18"/>
              </w:rPr>
              <w:t>特殊而邮寄的，交邮前应通知采购人、采购代理</w:t>
            </w:r>
            <w:r>
              <w:rPr>
                <w:color w:val="auto"/>
                <w:spacing w:val="-19"/>
              </w:rPr>
              <w:t>机构。接受质疑函</w:t>
            </w:r>
            <w:r>
              <w:rPr>
                <w:color w:val="auto"/>
              </w:rPr>
              <w:t xml:space="preserve"> </w:t>
            </w:r>
            <w:r>
              <w:rPr>
                <w:color w:val="auto"/>
                <w:spacing w:val="-18"/>
              </w:rPr>
              <w:t>的采购人、采购代理机构的联系部门、联系电话</w:t>
            </w:r>
            <w:r>
              <w:rPr>
                <w:color w:val="auto"/>
                <w:spacing w:val="-19"/>
              </w:rPr>
              <w:t>和通讯地址详见本</w:t>
            </w:r>
            <w:r>
              <w:rPr>
                <w:color w:val="auto"/>
              </w:rPr>
              <w:t xml:space="preserve"> </w:t>
            </w:r>
            <w:r>
              <w:rPr>
                <w:color w:val="auto"/>
                <w:spacing w:val="-18"/>
              </w:rPr>
              <w:t>项目招标公告和投</w:t>
            </w:r>
            <w:r>
              <w:rPr>
                <w:color w:val="auto"/>
                <w:spacing w:val="-28"/>
              </w:rPr>
              <w:t xml:space="preserve"> </w:t>
            </w:r>
            <w:r>
              <w:rPr>
                <w:color w:val="auto"/>
                <w:spacing w:val="-18"/>
              </w:rPr>
              <w:t>标人须知前附表。</w:t>
            </w:r>
          </w:p>
        </w:tc>
      </w:tr>
      <w:tr w14:paraId="1D0A5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895" w:type="dxa"/>
            <w:vAlign w:val="top"/>
          </w:tcPr>
          <w:p w14:paraId="62EDA4C3">
            <w:pPr>
              <w:pStyle w:val="11"/>
              <w:spacing w:before="206" w:line="186" w:lineRule="auto"/>
              <w:ind w:left="95"/>
              <w:rPr>
                <w:color w:val="auto"/>
              </w:rPr>
            </w:pPr>
            <w:r>
              <w:rPr>
                <w:color w:val="auto"/>
              </w:rPr>
              <w:t>9</w:t>
            </w:r>
          </w:p>
        </w:tc>
        <w:tc>
          <w:tcPr>
            <w:tcW w:w="8378" w:type="dxa"/>
            <w:gridSpan w:val="2"/>
            <w:vAlign w:val="top"/>
          </w:tcPr>
          <w:p w14:paraId="0B9894CF">
            <w:pPr>
              <w:pStyle w:val="11"/>
              <w:spacing w:before="170" w:line="230" w:lineRule="auto"/>
              <w:ind w:left="107"/>
              <w:rPr>
                <w:color w:val="auto"/>
              </w:rPr>
            </w:pPr>
            <w:r>
              <w:rPr>
                <w:color w:val="auto"/>
                <w:spacing w:val="-19"/>
              </w:rPr>
              <w:t>需要补充的其他内容</w:t>
            </w:r>
          </w:p>
        </w:tc>
      </w:tr>
      <w:tr w14:paraId="3BD4F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895" w:type="dxa"/>
            <w:vAlign w:val="top"/>
          </w:tcPr>
          <w:p w14:paraId="04ACC70E">
            <w:pPr>
              <w:spacing w:line="255" w:lineRule="auto"/>
              <w:rPr>
                <w:rFonts w:ascii="Arial"/>
                <w:color w:val="auto"/>
                <w:sz w:val="21"/>
              </w:rPr>
            </w:pPr>
          </w:p>
          <w:p w14:paraId="067F772D">
            <w:pPr>
              <w:spacing w:line="255" w:lineRule="auto"/>
              <w:rPr>
                <w:rFonts w:ascii="Arial"/>
                <w:color w:val="auto"/>
                <w:sz w:val="21"/>
              </w:rPr>
            </w:pPr>
          </w:p>
          <w:p w14:paraId="0A660C3D">
            <w:pPr>
              <w:spacing w:line="255" w:lineRule="auto"/>
              <w:rPr>
                <w:rFonts w:ascii="Arial"/>
                <w:color w:val="auto"/>
                <w:sz w:val="21"/>
              </w:rPr>
            </w:pPr>
          </w:p>
          <w:p w14:paraId="5898C9D2">
            <w:pPr>
              <w:spacing w:line="256" w:lineRule="auto"/>
              <w:rPr>
                <w:rFonts w:ascii="Arial"/>
                <w:color w:val="auto"/>
                <w:sz w:val="21"/>
              </w:rPr>
            </w:pPr>
          </w:p>
          <w:p w14:paraId="22AB9848">
            <w:pPr>
              <w:pStyle w:val="11"/>
              <w:spacing w:before="65" w:line="187" w:lineRule="auto"/>
              <w:ind w:left="316"/>
              <w:rPr>
                <w:color w:val="auto"/>
              </w:rPr>
            </w:pPr>
            <w:r>
              <w:rPr>
                <w:color w:val="auto"/>
                <w:spacing w:val="-4"/>
              </w:rPr>
              <w:t>9.1</w:t>
            </w:r>
          </w:p>
        </w:tc>
        <w:tc>
          <w:tcPr>
            <w:tcW w:w="2941" w:type="dxa"/>
            <w:vAlign w:val="top"/>
          </w:tcPr>
          <w:p w14:paraId="330E1059">
            <w:pPr>
              <w:spacing w:line="246" w:lineRule="auto"/>
              <w:rPr>
                <w:rFonts w:ascii="Arial"/>
                <w:color w:val="auto"/>
                <w:sz w:val="21"/>
              </w:rPr>
            </w:pPr>
          </w:p>
          <w:p w14:paraId="12A7B77D">
            <w:pPr>
              <w:spacing w:line="246" w:lineRule="auto"/>
              <w:rPr>
                <w:rFonts w:ascii="Arial"/>
                <w:color w:val="auto"/>
                <w:sz w:val="21"/>
              </w:rPr>
            </w:pPr>
          </w:p>
          <w:p w14:paraId="56F6C1AD">
            <w:pPr>
              <w:spacing w:line="247" w:lineRule="auto"/>
              <w:rPr>
                <w:rFonts w:ascii="Arial"/>
                <w:color w:val="auto"/>
                <w:sz w:val="21"/>
              </w:rPr>
            </w:pPr>
          </w:p>
          <w:p w14:paraId="63015328">
            <w:pPr>
              <w:spacing w:line="247" w:lineRule="auto"/>
              <w:rPr>
                <w:rFonts w:ascii="Arial"/>
                <w:color w:val="auto"/>
                <w:sz w:val="21"/>
              </w:rPr>
            </w:pPr>
          </w:p>
          <w:p w14:paraId="334D90CB">
            <w:pPr>
              <w:pStyle w:val="11"/>
              <w:spacing w:before="65" w:line="231" w:lineRule="auto"/>
              <w:ind w:left="674"/>
              <w:rPr>
                <w:color w:val="auto"/>
              </w:rPr>
            </w:pPr>
            <w:r>
              <w:rPr>
                <w:color w:val="auto"/>
                <w:spacing w:val="-18"/>
              </w:rPr>
              <w:t>投标人参加开标人员</w:t>
            </w:r>
          </w:p>
        </w:tc>
        <w:tc>
          <w:tcPr>
            <w:tcW w:w="5437" w:type="dxa"/>
            <w:vAlign w:val="top"/>
          </w:tcPr>
          <w:p w14:paraId="2355F815">
            <w:pPr>
              <w:pStyle w:val="11"/>
              <w:spacing w:before="171" w:line="365" w:lineRule="auto"/>
              <w:ind w:left="102" w:right="57" w:firstLine="1"/>
              <w:jc w:val="both"/>
              <w:rPr>
                <w:color w:val="auto"/>
              </w:rPr>
            </w:pPr>
            <w:r>
              <w:rPr>
                <w:color w:val="auto"/>
                <w:spacing w:val="-18"/>
              </w:rPr>
              <w:t>本项目采用远程不见面交易的模式，开标当日</w:t>
            </w:r>
            <w:r>
              <w:rPr>
                <w:color w:val="auto"/>
                <w:spacing w:val="-19"/>
              </w:rPr>
              <w:t>，投标人无需到开标</w:t>
            </w:r>
            <w:r>
              <w:rPr>
                <w:color w:val="auto"/>
              </w:rPr>
              <w:t xml:space="preserve"> </w:t>
            </w:r>
            <w:r>
              <w:rPr>
                <w:color w:val="auto"/>
                <w:spacing w:val="-18"/>
              </w:rPr>
              <w:t>现场参加开标会议，投标人应当在投标截至时间</w:t>
            </w:r>
            <w:r>
              <w:rPr>
                <w:color w:val="auto"/>
                <w:spacing w:val="-19"/>
              </w:rPr>
              <w:t>前，登陆到洛阳市</w:t>
            </w:r>
            <w:r>
              <w:rPr>
                <w:color w:val="auto"/>
              </w:rPr>
              <w:t xml:space="preserve"> </w:t>
            </w:r>
            <w:r>
              <w:rPr>
                <w:color w:val="auto"/>
                <w:spacing w:val="-18"/>
              </w:rPr>
              <w:t>电子招投标交易平台</w:t>
            </w:r>
            <w:r>
              <w:rPr>
                <w:color w:val="auto"/>
                <w:spacing w:val="-12"/>
              </w:rPr>
              <w:t>（</w:t>
            </w:r>
            <w:r>
              <w:rPr>
                <w:color w:val="auto"/>
              </w:rPr>
              <w:fldChar w:fldCharType="begin"/>
            </w:r>
            <w:r>
              <w:rPr>
                <w:color w:val="auto"/>
              </w:rPr>
              <w:instrText xml:space="preserve"> HYPERLINK "http://www.lyggzyjy.cn/TPBidder" </w:instrText>
            </w:r>
            <w:r>
              <w:rPr>
                <w:color w:val="auto"/>
              </w:rPr>
              <w:fldChar w:fldCharType="separate"/>
            </w:r>
            <w:r>
              <w:rPr>
                <w:color w:val="auto"/>
                <w:spacing w:val="-12"/>
              </w:rPr>
              <w:t>http://www.lyggzyjy.cn/TPBidder</w:t>
            </w:r>
            <w:r>
              <w:rPr>
                <w:color w:val="auto"/>
                <w:spacing w:val="-12"/>
              </w:rPr>
              <w:fldChar w:fldCharType="end"/>
            </w:r>
            <w:r>
              <w:rPr>
                <w:color w:val="auto"/>
                <w:spacing w:val="-55"/>
              </w:rPr>
              <w:t>），</w:t>
            </w:r>
            <w:r>
              <w:rPr>
                <w:color w:val="auto"/>
                <w:spacing w:val="-12"/>
              </w:rPr>
              <w:t>点击</w:t>
            </w:r>
            <w:r>
              <w:rPr>
                <w:color w:val="auto"/>
                <w:spacing w:val="-13"/>
              </w:rPr>
              <w:t>右上方【不见面开标</w:t>
            </w:r>
            <w:r>
              <w:rPr>
                <w:color w:val="auto"/>
              </w:rPr>
              <w:t xml:space="preserve"> </w:t>
            </w:r>
            <w:r>
              <w:rPr>
                <w:color w:val="auto"/>
                <w:spacing w:val="-22"/>
              </w:rPr>
              <w:t>大厅】按钮进入，在线准时参加开标活动</w:t>
            </w:r>
            <w:r>
              <w:rPr>
                <w:color w:val="auto"/>
                <w:spacing w:val="-10"/>
              </w:rPr>
              <w:t xml:space="preserve"> </w:t>
            </w:r>
            <w:r>
              <w:rPr>
                <w:color w:val="auto"/>
                <w:spacing w:val="-22"/>
              </w:rPr>
              <w:t>并进行投标文件解密等。</w:t>
            </w:r>
          </w:p>
        </w:tc>
      </w:tr>
      <w:tr w14:paraId="35C36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895" w:type="dxa"/>
            <w:vAlign w:val="top"/>
          </w:tcPr>
          <w:p w14:paraId="41D9E3E9">
            <w:pPr>
              <w:spacing w:line="344" w:lineRule="auto"/>
              <w:rPr>
                <w:rFonts w:ascii="Arial"/>
                <w:color w:val="auto"/>
                <w:sz w:val="21"/>
              </w:rPr>
            </w:pPr>
          </w:p>
          <w:p w14:paraId="2720FAC7">
            <w:pPr>
              <w:pStyle w:val="11"/>
              <w:spacing w:before="65" w:line="186" w:lineRule="auto"/>
              <w:ind w:left="316"/>
              <w:rPr>
                <w:color w:val="auto"/>
              </w:rPr>
            </w:pPr>
            <w:r>
              <w:rPr>
                <w:color w:val="auto"/>
                <w:spacing w:val="-4"/>
              </w:rPr>
              <w:t>9.2</w:t>
            </w:r>
          </w:p>
        </w:tc>
        <w:tc>
          <w:tcPr>
            <w:tcW w:w="2941" w:type="dxa"/>
            <w:vAlign w:val="top"/>
          </w:tcPr>
          <w:p w14:paraId="6B913DBE">
            <w:pPr>
              <w:spacing w:line="307" w:lineRule="auto"/>
              <w:rPr>
                <w:rFonts w:ascii="Arial"/>
                <w:color w:val="auto"/>
                <w:sz w:val="21"/>
              </w:rPr>
            </w:pPr>
          </w:p>
          <w:p w14:paraId="63842FE9">
            <w:pPr>
              <w:pStyle w:val="11"/>
              <w:spacing w:before="65" w:line="231" w:lineRule="auto"/>
              <w:ind w:left="857"/>
              <w:rPr>
                <w:color w:val="auto"/>
              </w:rPr>
            </w:pPr>
            <w:r>
              <w:rPr>
                <w:color w:val="auto"/>
                <w:spacing w:val="-17"/>
              </w:rPr>
              <w:t>采购代理服务费</w:t>
            </w:r>
          </w:p>
        </w:tc>
        <w:tc>
          <w:tcPr>
            <w:tcW w:w="5437" w:type="dxa"/>
            <w:vAlign w:val="top"/>
          </w:tcPr>
          <w:p w14:paraId="0BFBFA16">
            <w:pPr>
              <w:pStyle w:val="11"/>
              <w:spacing w:before="172" w:line="360" w:lineRule="auto"/>
              <w:ind w:left="114" w:right="70" w:hanging="10"/>
              <w:rPr>
                <w:color w:val="auto"/>
              </w:rPr>
            </w:pPr>
            <w:r>
              <w:rPr>
                <w:color w:val="auto"/>
                <w:spacing w:val="-19"/>
              </w:rPr>
              <w:t>本次招标代理服务费参照《孟津区政府采购代理服务费支付标准》</w:t>
            </w:r>
            <w:r>
              <w:rPr>
                <w:color w:val="auto"/>
                <w:spacing w:val="7"/>
              </w:rPr>
              <w:t xml:space="preserve"> </w:t>
            </w:r>
            <w:r>
              <w:rPr>
                <w:color w:val="auto"/>
                <w:spacing w:val="-20"/>
              </w:rPr>
              <w:t>收取，由成交人支付。投标人应充分考滤这</w:t>
            </w:r>
            <w:r>
              <w:rPr>
                <w:color w:val="auto"/>
                <w:spacing w:val="-21"/>
              </w:rPr>
              <w:t>一因素。</w:t>
            </w:r>
          </w:p>
        </w:tc>
      </w:tr>
      <w:tr w14:paraId="229BA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9" w:hRule="atLeast"/>
        </w:trPr>
        <w:tc>
          <w:tcPr>
            <w:tcW w:w="895" w:type="dxa"/>
            <w:vAlign w:val="top"/>
          </w:tcPr>
          <w:p w14:paraId="66E28A04">
            <w:pPr>
              <w:spacing w:line="342" w:lineRule="auto"/>
              <w:rPr>
                <w:rFonts w:ascii="Arial"/>
                <w:color w:val="auto"/>
                <w:sz w:val="21"/>
              </w:rPr>
            </w:pPr>
          </w:p>
          <w:p w14:paraId="76592D8B">
            <w:pPr>
              <w:spacing w:line="343" w:lineRule="auto"/>
              <w:rPr>
                <w:rFonts w:ascii="Arial"/>
                <w:color w:val="auto"/>
                <w:sz w:val="21"/>
              </w:rPr>
            </w:pPr>
          </w:p>
          <w:p w14:paraId="789F851A">
            <w:pPr>
              <w:pStyle w:val="11"/>
              <w:spacing w:before="65" w:line="186" w:lineRule="auto"/>
              <w:ind w:left="316"/>
              <w:rPr>
                <w:color w:val="auto"/>
              </w:rPr>
            </w:pPr>
            <w:r>
              <w:rPr>
                <w:color w:val="auto"/>
                <w:spacing w:val="-4"/>
              </w:rPr>
              <w:t>9.3</w:t>
            </w:r>
          </w:p>
        </w:tc>
        <w:tc>
          <w:tcPr>
            <w:tcW w:w="2941" w:type="dxa"/>
            <w:vAlign w:val="top"/>
          </w:tcPr>
          <w:p w14:paraId="1C2E82E6">
            <w:pPr>
              <w:spacing w:line="324" w:lineRule="auto"/>
              <w:rPr>
                <w:rFonts w:ascii="Arial"/>
                <w:color w:val="auto"/>
                <w:sz w:val="21"/>
              </w:rPr>
            </w:pPr>
          </w:p>
          <w:p w14:paraId="4EA718FB">
            <w:pPr>
              <w:spacing w:line="325" w:lineRule="auto"/>
              <w:rPr>
                <w:rFonts w:ascii="Arial"/>
                <w:color w:val="auto"/>
                <w:sz w:val="21"/>
              </w:rPr>
            </w:pPr>
          </w:p>
          <w:p w14:paraId="5CB106CD">
            <w:pPr>
              <w:pStyle w:val="11"/>
              <w:spacing w:before="65" w:line="230" w:lineRule="auto"/>
              <w:ind w:left="861"/>
              <w:rPr>
                <w:color w:val="auto"/>
              </w:rPr>
            </w:pPr>
            <w:r>
              <w:rPr>
                <w:color w:val="auto"/>
                <w:spacing w:val="-17"/>
              </w:rPr>
              <w:t>监督部门及电话</w:t>
            </w:r>
          </w:p>
        </w:tc>
        <w:tc>
          <w:tcPr>
            <w:tcW w:w="5437" w:type="dxa"/>
            <w:vAlign w:val="top"/>
          </w:tcPr>
          <w:p w14:paraId="3961FEC3">
            <w:pPr>
              <w:pStyle w:val="11"/>
              <w:spacing w:before="171" w:line="230" w:lineRule="auto"/>
              <w:ind w:left="109"/>
              <w:rPr>
                <w:color w:val="auto"/>
              </w:rPr>
            </w:pPr>
            <w:r>
              <w:rPr>
                <w:color w:val="auto"/>
                <w:spacing w:val="-19"/>
              </w:rPr>
              <w:t>监督部门：洛阳市孟津区财政局</w:t>
            </w:r>
          </w:p>
          <w:p w14:paraId="17FB8D6E">
            <w:pPr>
              <w:pStyle w:val="11"/>
              <w:spacing w:before="298" w:line="230" w:lineRule="auto"/>
              <w:ind w:left="109"/>
              <w:rPr>
                <w:color w:val="auto"/>
              </w:rPr>
            </w:pPr>
            <w:r>
              <w:rPr>
                <w:color w:val="auto"/>
                <w:spacing w:val="-20"/>
              </w:rPr>
              <w:t>监管部门联系人：洛阳市孟津区财政局采购办</w:t>
            </w:r>
          </w:p>
          <w:p w14:paraId="2232F2CD">
            <w:pPr>
              <w:pStyle w:val="11"/>
              <w:spacing w:before="300" w:line="230" w:lineRule="auto"/>
              <w:ind w:left="109"/>
              <w:rPr>
                <w:color w:val="auto"/>
              </w:rPr>
            </w:pPr>
            <w:r>
              <w:rPr>
                <w:color w:val="auto"/>
                <w:spacing w:val="-15"/>
              </w:rPr>
              <w:t>监管部门联系方式：0379-67937160</w:t>
            </w:r>
          </w:p>
        </w:tc>
      </w:tr>
      <w:tr w14:paraId="2F6C7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2" w:hRule="atLeast"/>
        </w:trPr>
        <w:tc>
          <w:tcPr>
            <w:tcW w:w="895" w:type="dxa"/>
            <w:vAlign w:val="top"/>
          </w:tcPr>
          <w:p w14:paraId="0D1C0A38">
            <w:pPr>
              <w:spacing w:line="248" w:lineRule="auto"/>
              <w:rPr>
                <w:rFonts w:ascii="Arial"/>
                <w:color w:val="auto"/>
                <w:sz w:val="21"/>
              </w:rPr>
            </w:pPr>
          </w:p>
          <w:p w14:paraId="068E38E9">
            <w:pPr>
              <w:spacing w:line="249" w:lineRule="auto"/>
              <w:rPr>
                <w:rFonts w:ascii="Arial"/>
                <w:color w:val="auto"/>
                <w:sz w:val="21"/>
              </w:rPr>
            </w:pPr>
          </w:p>
          <w:p w14:paraId="01CF3AFA">
            <w:pPr>
              <w:spacing w:line="249" w:lineRule="auto"/>
              <w:rPr>
                <w:rFonts w:ascii="Arial"/>
                <w:color w:val="auto"/>
                <w:sz w:val="21"/>
              </w:rPr>
            </w:pPr>
          </w:p>
          <w:p w14:paraId="0F764F2E">
            <w:pPr>
              <w:spacing w:line="249" w:lineRule="auto"/>
              <w:rPr>
                <w:rFonts w:ascii="Arial"/>
                <w:color w:val="auto"/>
                <w:sz w:val="21"/>
              </w:rPr>
            </w:pPr>
          </w:p>
          <w:p w14:paraId="6E0E2E3C">
            <w:pPr>
              <w:spacing w:line="249" w:lineRule="auto"/>
              <w:rPr>
                <w:rFonts w:ascii="Arial"/>
                <w:color w:val="auto"/>
                <w:sz w:val="21"/>
              </w:rPr>
            </w:pPr>
          </w:p>
          <w:p w14:paraId="621DD157">
            <w:pPr>
              <w:spacing w:line="249" w:lineRule="auto"/>
              <w:rPr>
                <w:rFonts w:ascii="Arial"/>
                <w:color w:val="auto"/>
                <w:sz w:val="21"/>
              </w:rPr>
            </w:pPr>
          </w:p>
          <w:p w14:paraId="1A5789A9">
            <w:pPr>
              <w:pStyle w:val="11"/>
              <w:spacing w:before="65" w:line="186" w:lineRule="auto"/>
              <w:ind w:left="316"/>
              <w:rPr>
                <w:color w:val="auto"/>
              </w:rPr>
            </w:pPr>
            <w:r>
              <w:rPr>
                <w:color w:val="auto"/>
                <w:spacing w:val="-4"/>
              </w:rPr>
              <w:t>9.4</w:t>
            </w:r>
          </w:p>
        </w:tc>
        <w:tc>
          <w:tcPr>
            <w:tcW w:w="2941" w:type="dxa"/>
            <w:vAlign w:val="top"/>
          </w:tcPr>
          <w:p w14:paraId="0E8AC947">
            <w:pPr>
              <w:spacing w:line="242" w:lineRule="auto"/>
              <w:rPr>
                <w:rFonts w:ascii="Arial"/>
                <w:color w:val="auto"/>
                <w:sz w:val="21"/>
              </w:rPr>
            </w:pPr>
          </w:p>
          <w:p w14:paraId="0A933CED">
            <w:pPr>
              <w:spacing w:line="243" w:lineRule="auto"/>
              <w:rPr>
                <w:rFonts w:ascii="Arial"/>
                <w:color w:val="auto"/>
                <w:sz w:val="21"/>
              </w:rPr>
            </w:pPr>
          </w:p>
          <w:p w14:paraId="2CAEEEED">
            <w:pPr>
              <w:spacing w:line="243" w:lineRule="auto"/>
              <w:rPr>
                <w:rFonts w:ascii="Arial"/>
                <w:color w:val="auto"/>
                <w:sz w:val="21"/>
              </w:rPr>
            </w:pPr>
          </w:p>
          <w:p w14:paraId="028FFAFE">
            <w:pPr>
              <w:spacing w:line="243" w:lineRule="auto"/>
              <w:rPr>
                <w:rFonts w:ascii="Arial"/>
                <w:color w:val="auto"/>
                <w:sz w:val="21"/>
              </w:rPr>
            </w:pPr>
          </w:p>
          <w:p w14:paraId="1820B8F8">
            <w:pPr>
              <w:spacing w:line="243" w:lineRule="auto"/>
              <w:rPr>
                <w:rFonts w:ascii="Arial"/>
                <w:color w:val="auto"/>
                <w:sz w:val="21"/>
              </w:rPr>
            </w:pPr>
          </w:p>
          <w:p w14:paraId="4947EB25">
            <w:pPr>
              <w:spacing w:line="243" w:lineRule="auto"/>
              <w:rPr>
                <w:rFonts w:ascii="Arial"/>
                <w:color w:val="auto"/>
                <w:sz w:val="21"/>
              </w:rPr>
            </w:pPr>
          </w:p>
          <w:p w14:paraId="6E21BB0B">
            <w:pPr>
              <w:pStyle w:val="11"/>
              <w:spacing w:before="65" w:line="231" w:lineRule="auto"/>
              <w:ind w:left="1214"/>
              <w:rPr>
                <w:color w:val="auto"/>
              </w:rPr>
            </w:pPr>
            <w:r>
              <w:rPr>
                <w:color w:val="auto"/>
                <w:spacing w:val="-10"/>
              </w:rPr>
              <w:t>解释权</w:t>
            </w:r>
          </w:p>
        </w:tc>
        <w:tc>
          <w:tcPr>
            <w:tcW w:w="5437" w:type="dxa"/>
            <w:vAlign w:val="top"/>
          </w:tcPr>
          <w:p w14:paraId="6D6D0CE4">
            <w:pPr>
              <w:pStyle w:val="11"/>
              <w:spacing w:before="173" w:line="372" w:lineRule="auto"/>
              <w:ind w:left="102" w:right="57"/>
              <w:jc w:val="both"/>
              <w:rPr>
                <w:color w:val="auto"/>
              </w:rPr>
            </w:pPr>
            <w:r>
              <w:rPr>
                <w:color w:val="auto"/>
                <w:spacing w:val="-18"/>
              </w:rPr>
              <w:t>构成本招标文件的各个组成文件应互为解释，互</w:t>
            </w:r>
            <w:r>
              <w:rPr>
                <w:color w:val="auto"/>
                <w:spacing w:val="-19"/>
              </w:rPr>
              <w:t>为说明；如有不明</w:t>
            </w:r>
            <w:r>
              <w:rPr>
                <w:color w:val="auto"/>
              </w:rPr>
              <w:t xml:space="preserve"> </w:t>
            </w:r>
            <w:r>
              <w:rPr>
                <w:color w:val="auto"/>
                <w:spacing w:val="-18"/>
              </w:rPr>
              <w:t>确或不一致，构成合同文件组成内容的，以合同</w:t>
            </w:r>
            <w:r>
              <w:rPr>
                <w:color w:val="auto"/>
                <w:spacing w:val="-19"/>
              </w:rPr>
              <w:t>文件约定内容为准</w:t>
            </w:r>
            <w:r>
              <w:rPr>
                <w:color w:val="auto"/>
              </w:rPr>
              <w:t xml:space="preserve"> </w:t>
            </w:r>
            <w:r>
              <w:rPr>
                <w:color w:val="auto"/>
                <w:spacing w:val="-22"/>
              </w:rPr>
              <w:t>,</w:t>
            </w:r>
            <w:r>
              <w:rPr>
                <w:color w:val="auto"/>
                <w:spacing w:val="27"/>
              </w:rPr>
              <w:t xml:space="preserve"> </w:t>
            </w:r>
            <w:r>
              <w:rPr>
                <w:color w:val="auto"/>
                <w:spacing w:val="-22"/>
              </w:rPr>
              <w:t>且以专用合同条款约定的合 同文件优先顺序解释；投标文件签章</w:t>
            </w:r>
            <w:r>
              <w:rPr>
                <w:color w:val="auto"/>
              </w:rPr>
              <w:t xml:space="preserve"> </w:t>
            </w:r>
            <w:r>
              <w:rPr>
                <w:color w:val="auto"/>
                <w:spacing w:val="-21"/>
              </w:rPr>
              <w:t>均为电子签章；除 招标文件中有特别规定外，仅适用于招标投标阶</w:t>
            </w:r>
            <w:r>
              <w:rPr>
                <w:color w:val="auto"/>
              </w:rPr>
              <w:t xml:space="preserve"> </w:t>
            </w:r>
            <w:r>
              <w:rPr>
                <w:color w:val="auto"/>
                <w:spacing w:val="-18"/>
              </w:rPr>
              <w:t>段的规定，按招标公告、投标人须知、评标办法</w:t>
            </w:r>
            <w:r>
              <w:rPr>
                <w:color w:val="auto"/>
                <w:spacing w:val="-19"/>
              </w:rPr>
              <w:t>、投标文件格式的</w:t>
            </w:r>
            <w:r>
              <w:rPr>
                <w:color w:val="auto"/>
              </w:rPr>
              <w:t xml:space="preserve"> </w:t>
            </w:r>
            <w:r>
              <w:rPr>
                <w:color w:val="auto"/>
                <w:spacing w:val="-18"/>
              </w:rPr>
              <w:t>先后顺序解释；同一组成文件中就同一事项的规</w:t>
            </w:r>
            <w:r>
              <w:rPr>
                <w:color w:val="auto"/>
                <w:spacing w:val="-19"/>
              </w:rPr>
              <w:t>定或约定不一致的</w:t>
            </w:r>
            <w:r>
              <w:rPr>
                <w:color w:val="auto"/>
              </w:rPr>
              <w:t xml:space="preserve"> </w:t>
            </w:r>
            <w:r>
              <w:rPr>
                <w:color w:val="auto"/>
                <w:spacing w:val="-20"/>
              </w:rPr>
              <w:t>,</w:t>
            </w:r>
            <w:r>
              <w:rPr>
                <w:color w:val="auto"/>
                <w:spacing w:val="57"/>
              </w:rPr>
              <w:t xml:space="preserve"> </w:t>
            </w:r>
            <w:r>
              <w:rPr>
                <w:color w:val="auto"/>
                <w:spacing w:val="-20"/>
              </w:rPr>
              <w:t>以编排顺序在后者为准；同一组成文件不同版本</w:t>
            </w:r>
            <w:r>
              <w:rPr>
                <w:color w:val="auto"/>
                <w:spacing w:val="-21"/>
              </w:rPr>
              <w:t>之间有不一致的</w:t>
            </w:r>
            <w:r>
              <w:rPr>
                <w:color w:val="auto"/>
              </w:rPr>
              <w:t xml:space="preserve"> </w:t>
            </w:r>
            <w:r>
              <w:rPr>
                <w:color w:val="auto"/>
                <w:spacing w:val="-22"/>
              </w:rPr>
              <w:t>,</w:t>
            </w:r>
            <w:r>
              <w:rPr>
                <w:color w:val="auto"/>
                <w:spacing w:val="45"/>
              </w:rPr>
              <w:t xml:space="preserve"> </w:t>
            </w:r>
            <w:r>
              <w:rPr>
                <w:color w:val="auto"/>
                <w:spacing w:val="-22"/>
              </w:rPr>
              <w:t>以形成时间在后者为准。</w:t>
            </w:r>
            <w:r>
              <w:rPr>
                <w:color w:val="auto"/>
                <w:spacing w:val="-28"/>
              </w:rPr>
              <w:t xml:space="preserve"> </w:t>
            </w:r>
            <w:r>
              <w:rPr>
                <w:color w:val="auto"/>
                <w:spacing w:val="-22"/>
              </w:rPr>
              <w:t>按本款前述规定仍</w:t>
            </w:r>
            <w:r>
              <w:rPr>
                <w:color w:val="auto"/>
                <w:spacing w:val="-23"/>
              </w:rPr>
              <w:t>不能形成结论的，由</w:t>
            </w:r>
            <w:r>
              <w:rPr>
                <w:color w:val="auto"/>
                <w:spacing w:val="-18"/>
              </w:rPr>
              <w:t>采购人或采购代</w:t>
            </w:r>
            <w:r>
              <w:rPr>
                <w:color w:val="auto"/>
                <w:spacing w:val="-26"/>
              </w:rPr>
              <w:t xml:space="preserve"> </w:t>
            </w:r>
            <w:r>
              <w:rPr>
                <w:color w:val="auto"/>
                <w:spacing w:val="-18"/>
              </w:rPr>
              <w:t>理机构负责解释。</w:t>
            </w:r>
          </w:p>
        </w:tc>
      </w:tr>
      <w:tr w14:paraId="325F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895" w:type="dxa"/>
            <w:shd w:val="clear" w:color="auto" w:fill="auto"/>
            <w:vAlign w:val="top"/>
          </w:tcPr>
          <w:p w14:paraId="30088765">
            <w:pPr>
              <w:spacing w:line="316" w:lineRule="auto"/>
              <w:rPr>
                <w:rFonts w:ascii="Arial"/>
                <w:color w:val="auto"/>
                <w:sz w:val="21"/>
              </w:rPr>
            </w:pPr>
          </w:p>
          <w:p w14:paraId="2E517F40">
            <w:pPr>
              <w:spacing w:line="317" w:lineRule="auto"/>
              <w:rPr>
                <w:rFonts w:ascii="Arial"/>
                <w:color w:val="auto"/>
                <w:sz w:val="21"/>
              </w:rPr>
            </w:pPr>
          </w:p>
          <w:p w14:paraId="41552392">
            <w:pPr>
              <w:spacing w:line="317" w:lineRule="auto"/>
              <w:rPr>
                <w:rFonts w:ascii="Arial"/>
                <w:color w:val="auto"/>
                <w:sz w:val="21"/>
              </w:rPr>
            </w:pPr>
          </w:p>
          <w:p w14:paraId="5CD2F5A3">
            <w:pPr>
              <w:pStyle w:val="11"/>
              <w:spacing w:before="65" w:line="186" w:lineRule="auto"/>
              <w:ind w:left="316" w:leftChars="0"/>
              <w:rPr>
                <w:rFonts w:ascii="仿宋" w:hAnsi="仿宋" w:eastAsia="仿宋" w:cs="仿宋"/>
                <w:snapToGrid w:val="0"/>
                <w:color w:val="auto"/>
                <w:kern w:val="0"/>
                <w:sz w:val="20"/>
                <w:szCs w:val="20"/>
                <w:lang w:val="en-US" w:eastAsia="en-US" w:bidi="ar-SA"/>
              </w:rPr>
            </w:pPr>
            <w:r>
              <w:rPr>
                <w:color w:val="auto"/>
                <w:spacing w:val="-4"/>
              </w:rPr>
              <w:t>9.5</w:t>
            </w:r>
          </w:p>
        </w:tc>
        <w:tc>
          <w:tcPr>
            <w:tcW w:w="2941" w:type="dxa"/>
            <w:shd w:val="clear" w:color="auto" w:fill="auto"/>
            <w:vAlign w:val="top"/>
          </w:tcPr>
          <w:p w14:paraId="1C014887">
            <w:pPr>
              <w:spacing w:line="250" w:lineRule="auto"/>
              <w:rPr>
                <w:rFonts w:ascii="Arial"/>
                <w:color w:val="auto"/>
                <w:sz w:val="21"/>
              </w:rPr>
            </w:pPr>
          </w:p>
          <w:p w14:paraId="68A6AC34">
            <w:pPr>
              <w:spacing w:line="251" w:lineRule="auto"/>
              <w:rPr>
                <w:rFonts w:ascii="Arial"/>
                <w:color w:val="auto"/>
                <w:sz w:val="21"/>
              </w:rPr>
            </w:pPr>
          </w:p>
          <w:p w14:paraId="38848F7D">
            <w:pPr>
              <w:spacing w:line="251" w:lineRule="auto"/>
              <w:rPr>
                <w:rFonts w:ascii="Arial"/>
                <w:color w:val="auto"/>
                <w:sz w:val="21"/>
              </w:rPr>
            </w:pPr>
          </w:p>
          <w:p w14:paraId="5906998D">
            <w:pPr>
              <w:pStyle w:val="11"/>
              <w:spacing w:before="65" w:line="414" w:lineRule="auto"/>
              <w:ind w:left="1272" w:leftChars="0" w:right="56" w:rightChars="0" w:hanging="1213" w:firstLineChars="0"/>
              <w:rPr>
                <w:rFonts w:ascii="仿宋" w:hAnsi="仿宋" w:eastAsia="仿宋" w:cs="仿宋"/>
                <w:snapToGrid w:val="0"/>
                <w:color w:val="auto"/>
                <w:kern w:val="0"/>
                <w:sz w:val="20"/>
                <w:szCs w:val="20"/>
                <w:lang w:val="en-US" w:eastAsia="en-US" w:bidi="ar-SA"/>
              </w:rPr>
            </w:pPr>
            <w:r>
              <w:rPr>
                <w:color w:val="auto"/>
                <w:spacing w:val="16"/>
              </w:rPr>
              <w:t>项目成果及知识产权的范围及</w:t>
            </w:r>
            <w:r>
              <w:rPr>
                <w:color w:val="auto"/>
                <w:spacing w:val="10"/>
              </w:rPr>
              <w:t xml:space="preserve"> </w:t>
            </w:r>
            <w:r>
              <w:rPr>
                <w:color w:val="auto"/>
                <w:spacing w:val="1"/>
              </w:rPr>
              <w:t>归属</w:t>
            </w:r>
          </w:p>
        </w:tc>
        <w:tc>
          <w:tcPr>
            <w:tcW w:w="5437" w:type="dxa"/>
            <w:shd w:val="clear" w:color="auto" w:fill="auto"/>
            <w:vAlign w:val="top"/>
          </w:tcPr>
          <w:p w14:paraId="246E14EB">
            <w:pPr>
              <w:pStyle w:val="11"/>
              <w:spacing w:before="171" w:line="370" w:lineRule="auto"/>
              <w:ind w:left="102" w:leftChars="0" w:right="88" w:rightChars="0"/>
              <w:jc w:val="both"/>
              <w:rPr>
                <w:rFonts w:ascii="仿宋" w:hAnsi="仿宋" w:eastAsia="仿宋" w:cs="仿宋"/>
                <w:snapToGrid w:val="0"/>
                <w:color w:val="auto"/>
                <w:kern w:val="0"/>
                <w:sz w:val="20"/>
                <w:szCs w:val="20"/>
                <w:lang w:val="en-US" w:eastAsia="en-US" w:bidi="ar-SA"/>
              </w:rPr>
            </w:pPr>
            <w:r>
              <w:rPr>
                <w:color w:val="auto"/>
                <w:spacing w:val="9"/>
              </w:rPr>
              <w:t>投标人所制作的投标文件须保证没有侵权第三方的知识产</w:t>
            </w:r>
            <w:r>
              <w:rPr>
                <w:color w:val="auto"/>
                <w:spacing w:val="14"/>
              </w:rPr>
              <w:t xml:space="preserve"> </w:t>
            </w:r>
            <w:r>
              <w:rPr>
                <w:color w:val="auto"/>
                <w:spacing w:val="5"/>
              </w:rPr>
              <w:t>权或专有技术和商业秘密;若有的话，投标人应保证已获得</w:t>
            </w:r>
            <w:r>
              <w:rPr>
                <w:color w:val="auto"/>
                <w:spacing w:val="9"/>
              </w:rPr>
              <w:t xml:space="preserve"> 权利人的使用权和收益权，并同意使用于该项目。如成交</w:t>
            </w:r>
            <w:r>
              <w:rPr>
                <w:color w:val="auto"/>
                <w:spacing w:val="14"/>
              </w:rPr>
              <w:t xml:space="preserve"> </w:t>
            </w:r>
            <w:r>
              <w:rPr>
                <w:color w:val="auto"/>
                <w:spacing w:val="9"/>
              </w:rPr>
              <w:t>候选人提供的成果内容由于成交候选人原因侵犯任何第三</w:t>
            </w:r>
            <w:r>
              <w:rPr>
                <w:color w:val="auto"/>
                <w:spacing w:val="14"/>
              </w:rPr>
              <w:t xml:space="preserve"> </w:t>
            </w:r>
            <w:r>
              <w:rPr>
                <w:color w:val="auto"/>
                <w:spacing w:val="8"/>
              </w:rPr>
              <w:t>方的合法权益，其产生的不良后果应自行承担。</w:t>
            </w:r>
          </w:p>
        </w:tc>
      </w:tr>
      <w:tr w14:paraId="75382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895" w:type="dxa"/>
            <w:shd w:val="clear" w:color="auto" w:fill="auto"/>
            <w:vAlign w:val="top"/>
          </w:tcPr>
          <w:p w14:paraId="01C6AE38">
            <w:pPr>
              <w:pStyle w:val="11"/>
              <w:spacing w:before="208" w:line="187" w:lineRule="auto"/>
              <w:ind w:left="376" w:leftChars="0"/>
              <w:rPr>
                <w:rFonts w:ascii="仿宋" w:hAnsi="仿宋" w:eastAsia="仿宋" w:cs="仿宋"/>
                <w:snapToGrid w:val="0"/>
                <w:color w:val="auto"/>
                <w:kern w:val="0"/>
                <w:sz w:val="20"/>
                <w:szCs w:val="20"/>
                <w:lang w:val="en-US" w:eastAsia="en-US" w:bidi="ar-SA"/>
              </w:rPr>
            </w:pPr>
            <w:r>
              <w:rPr>
                <w:color w:val="auto"/>
                <w:spacing w:val="-10"/>
              </w:rPr>
              <w:t>10</w:t>
            </w:r>
          </w:p>
        </w:tc>
        <w:tc>
          <w:tcPr>
            <w:tcW w:w="2941" w:type="dxa"/>
            <w:shd w:val="clear" w:color="auto" w:fill="auto"/>
            <w:vAlign w:val="top"/>
          </w:tcPr>
          <w:p w14:paraId="1900FE77">
            <w:pPr>
              <w:pStyle w:val="11"/>
              <w:spacing w:before="173" w:line="230" w:lineRule="auto"/>
              <w:ind w:left="1303" w:leftChars="0"/>
              <w:rPr>
                <w:rFonts w:ascii="仿宋" w:hAnsi="仿宋" w:eastAsia="仿宋" w:cs="仿宋"/>
                <w:snapToGrid w:val="0"/>
                <w:color w:val="auto"/>
                <w:kern w:val="0"/>
                <w:sz w:val="20"/>
                <w:szCs w:val="20"/>
                <w:lang w:val="en-US" w:eastAsia="en-US" w:bidi="ar-SA"/>
              </w:rPr>
            </w:pPr>
            <w:r>
              <w:rPr>
                <w:color w:val="auto"/>
                <w:spacing w:val="-4"/>
              </w:rPr>
              <w:t>其他</w:t>
            </w:r>
          </w:p>
        </w:tc>
        <w:tc>
          <w:tcPr>
            <w:tcW w:w="5437" w:type="dxa"/>
            <w:shd w:val="clear" w:color="auto" w:fill="auto"/>
            <w:vAlign w:val="top"/>
          </w:tcPr>
          <w:p w14:paraId="2297300F">
            <w:pPr>
              <w:pStyle w:val="11"/>
              <w:spacing w:before="173" w:line="229" w:lineRule="auto"/>
              <w:ind w:left="104" w:leftChars="0"/>
              <w:rPr>
                <w:rFonts w:ascii="仿宋" w:hAnsi="仿宋" w:eastAsia="仿宋" w:cs="仿宋"/>
                <w:snapToGrid w:val="0"/>
                <w:color w:val="auto"/>
                <w:kern w:val="0"/>
                <w:sz w:val="20"/>
                <w:szCs w:val="20"/>
                <w:lang w:val="en-US" w:eastAsia="en-US" w:bidi="ar-SA"/>
              </w:rPr>
            </w:pPr>
            <w:r>
              <w:rPr>
                <w:color w:val="auto"/>
                <w:spacing w:val="-20"/>
              </w:rPr>
              <w:t>其他未尽事宜，按国家有关法律法规执行。</w:t>
            </w:r>
          </w:p>
        </w:tc>
      </w:tr>
    </w:tbl>
    <w:p w14:paraId="59D4382F">
      <w:pPr>
        <w:pStyle w:val="3"/>
        <w:rPr>
          <w:color w:val="auto"/>
        </w:rPr>
      </w:pPr>
    </w:p>
    <w:p w14:paraId="2DC9F41C">
      <w:pPr>
        <w:rPr>
          <w:color w:val="auto"/>
        </w:rPr>
        <w:sectPr>
          <w:footerReference r:id="rId21" w:type="default"/>
          <w:pgSz w:w="11906" w:h="16839"/>
          <w:pgMar w:top="999" w:right="1246" w:bottom="844" w:left="1313" w:header="698" w:footer="682" w:gutter="0"/>
          <w:pgNumType w:fmt="decimal"/>
          <w:cols w:space="720" w:num="1"/>
        </w:sectPr>
      </w:pPr>
    </w:p>
    <w:p w14:paraId="0FF26A52">
      <w:pPr>
        <w:rPr>
          <w:rFonts w:ascii="仿宋" w:hAnsi="仿宋" w:eastAsia="仿宋" w:cs="仿宋"/>
          <w:b/>
          <w:bCs/>
          <w:color w:val="auto"/>
          <w:spacing w:val="-22"/>
          <w:sz w:val="28"/>
          <w:szCs w:val="28"/>
        </w:rPr>
      </w:pPr>
    </w:p>
    <w:p w14:paraId="7B67FE20">
      <w:pPr>
        <w:spacing w:before="91" w:line="224" w:lineRule="auto"/>
        <w:ind w:left="135"/>
        <w:rPr>
          <w:rFonts w:ascii="仿宋" w:hAnsi="仿宋" w:eastAsia="仿宋" w:cs="仿宋"/>
          <w:color w:val="auto"/>
          <w:sz w:val="28"/>
          <w:szCs w:val="28"/>
        </w:rPr>
      </w:pPr>
      <w:r>
        <w:rPr>
          <w:rFonts w:ascii="仿宋" w:hAnsi="仿宋" w:eastAsia="仿宋" w:cs="仿宋"/>
          <w:b/>
          <w:bCs/>
          <w:color w:val="auto"/>
          <w:spacing w:val="-22"/>
          <w:sz w:val="28"/>
          <w:szCs w:val="28"/>
        </w:rPr>
        <w:t>1、总则</w:t>
      </w:r>
    </w:p>
    <w:p w14:paraId="5735E5E9">
      <w:pPr>
        <w:pStyle w:val="3"/>
        <w:spacing w:line="454" w:lineRule="auto"/>
        <w:rPr>
          <w:color w:val="auto"/>
        </w:rPr>
      </w:pPr>
    </w:p>
    <w:p w14:paraId="6A9971DD">
      <w:pPr>
        <w:spacing w:before="78" w:line="222" w:lineRule="auto"/>
        <w:ind w:left="548"/>
        <w:rPr>
          <w:rFonts w:ascii="仿宋" w:hAnsi="仿宋" w:eastAsia="仿宋" w:cs="仿宋"/>
          <w:color w:val="auto"/>
          <w:sz w:val="24"/>
          <w:szCs w:val="24"/>
        </w:rPr>
      </w:pPr>
      <w:r>
        <w:rPr>
          <w:rFonts w:ascii="仿宋" w:hAnsi="仿宋" w:eastAsia="仿宋" w:cs="仿宋"/>
          <w:b/>
          <w:bCs/>
          <w:color w:val="auto"/>
          <w:spacing w:val="-24"/>
          <w:sz w:val="24"/>
          <w:szCs w:val="24"/>
        </w:rPr>
        <w:t>1.1</w:t>
      </w:r>
      <w:r>
        <w:rPr>
          <w:rFonts w:ascii="仿宋" w:hAnsi="仿宋" w:eastAsia="仿宋" w:cs="仿宋"/>
          <w:color w:val="auto"/>
          <w:spacing w:val="-14"/>
          <w:sz w:val="24"/>
          <w:szCs w:val="24"/>
        </w:rPr>
        <w:t xml:space="preserve"> </w:t>
      </w:r>
      <w:r>
        <w:rPr>
          <w:rFonts w:ascii="仿宋" w:hAnsi="仿宋" w:eastAsia="仿宋" w:cs="仿宋"/>
          <w:b/>
          <w:bCs/>
          <w:color w:val="auto"/>
          <w:spacing w:val="-24"/>
          <w:sz w:val="24"/>
          <w:szCs w:val="24"/>
        </w:rPr>
        <w:t>招标项目概况</w:t>
      </w:r>
    </w:p>
    <w:p w14:paraId="0EE4E9A3">
      <w:pPr>
        <w:spacing w:before="171" w:line="303" w:lineRule="auto"/>
        <w:ind w:left="133" w:right="4" w:firstLine="351"/>
        <w:rPr>
          <w:rFonts w:ascii="仿宋" w:hAnsi="仿宋" w:eastAsia="仿宋" w:cs="仿宋"/>
          <w:color w:val="auto"/>
          <w:sz w:val="20"/>
          <w:szCs w:val="20"/>
        </w:rPr>
      </w:pPr>
      <w:r>
        <w:rPr>
          <w:rFonts w:ascii="仿宋" w:hAnsi="仿宋" w:eastAsia="仿宋" w:cs="仿宋"/>
          <w:color w:val="auto"/>
          <w:spacing w:val="-22"/>
          <w:sz w:val="20"/>
          <w:szCs w:val="20"/>
        </w:rPr>
        <w:t>1</w:t>
      </w:r>
      <w:r>
        <w:rPr>
          <w:rFonts w:ascii="仿宋" w:hAnsi="仿宋" w:eastAsia="仿宋" w:cs="仿宋"/>
          <w:color w:val="auto"/>
          <w:spacing w:val="-21"/>
          <w:sz w:val="20"/>
          <w:szCs w:val="20"/>
        </w:rPr>
        <w:t>.1.1 根据《中华人民共和国政府采购法》《中华人民共和国政府采购法实施条例》等有关法律法规和规章的规</w:t>
      </w:r>
      <w:r>
        <w:rPr>
          <w:rFonts w:ascii="仿宋" w:hAnsi="仿宋" w:eastAsia="仿宋" w:cs="仿宋"/>
          <w:color w:val="auto"/>
          <w:spacing w:val="-20"/>
          <w:sz w:val="20"/>
          <w:szCs w:val="20"/>
        </w:rPr>
        <w:t>定</w:t>
      </w:r>
      <w:r>
        <w:rPr>
          <w:rFonts w:ascii="仿宋" w:hAnsi="仿宋" w:eastAsia="仿宋" w:cs="仿宋"/>
          <w:color w:val="auto"/>
          <w:spacing w:val="2"/>
          <w:sz w:val="20"/>
          <w:szCs w:val="20"/>
        </w:rPr>
        <w:t xml:space="preserve"> </w:t>
      </w:r>
      <w:r>
        <w:rPr>
          <w:rFonts w:ascii="仿宋" w:hAnsi="仿宋" w:eastAsia="仿宋" w:cs="仿宋"/>
          <w:color w:val="auto"/>
          <w:spacing w:val="-22"/>
          <w:sz w:val="20"/>
          <w:szCs w:val="20"/>
        </w:rPr>
        <w:t>,</w:t>
      </w:r>
      <w:r>
        <w:rPr>
          <w:rFonts w:ascii="仿宋" w:hAnsi="仿宋" w:eastAsia="仿宋" w:cs="仿宋"/>
          <w:color w:val="auto"/>
          <w:spacing w:val="37"/>
          <w:sz w:val="20"/>
          <w:szCs w:val="20"/>
        </w:rPr>
        <w:t xml:space="preserve"> </w:t>
      </w:r>
      <w:r>
        <w:rPr>
          <w:rFonts w:ascii="仿宋" w:hAnsi="仿宋" w:eastAsia="仿宋" w:cs="仿宋"/>
          <w:color w:val="auto"/>
          <w:spacing w:val="-22"/>
          <w:sz w:val="20"/>
          <w:szCs w:val="20"/>
        </w:rPr>
        <w:t>本招标项目已具备招标条件，现进行招标。</w:t>
      </w:r>
    </w:p>
    <w:p w14:paraId="3478198B">
      <w:pPr>
        <w:spacing w:before="159" w:line="230" w:lineRule="auto"/>
        <w:ind w:left="485"/>
        <w:rPr>
          <w:rFonts w:ascii="仿宋" w:hAnsi="仿宋" w:eastAsia="仿宋" w:cs="仿宋"/>
          <w:color w:val="auto"/>
          <w:sz w:val="20"/>
          <w:szCs w:val="20"/>
        </w:rPr>
      </w:pPr>
      <w:r>
        <w:rPr>
          <w:rFonts w:ascii="仿宋" w:hAnsi="仿宋" w:eastAsia="仿宋" w:cs="仿宋"/>
          <w:color w:val="auto"/>
          <w:spacing w:val="-17"/>
          <w:sz w:val="20"/>
          <w:szCs w:val="20"/>
        </w:rPr>
        <w:t>1.1.2 采购人：见投标人须知前附表。</w:t>
      </w:r>
    </w:p>
    <w:p w14:paraId="75E7E5DE">
      <w:pPr>
        <w:spacing w:before="162" w:line="230" w:lineRule="auto"/>
        <w:ind w:left="485"/>
        <w:rPr>
          <w:rFonts w:ascii="仿宋" w:hAnsi="仿宋" w:eastAsia="仿宋" w:cs="仿宋"/>
          <w:color w:val="auto"/>
          <w:sz w:val="20"/>
          <w:szCs w:val="20"/>
        </w:rPr>
      </w:pPr>
      <w:r>
        <w:rPr>
          <w:rFonts w:ascii="仿宋" w:hAnsi="仿宋" w:eastAsia="仿宋" w:cs="仿宋"/>
          <w:color w:val="auto"/>
          <w:spacing w:val="-18"/>
          <w:sz w:val="20"/>
          <w:szCs w:val="20"/>
        </w:rPr>
        <w:t>1.1.3 采购代理机构：见投标人须知前附表。</w:t>
      </w:r>
    </w:p>
    <w:p w14:paraId="126C4124">
      <w:pPr>
        <w:spacing w:before="159" w:line="229" w:lineRule="auto"/>
        <w:ind w:left="485"/>
        <w:rPr>
          <w:rFonts w:ascii="仿宋" w:hAnsi="仿宋" w:eastAsia="仿宋" w:cs="仿宋"/>
          <w:color w:val="auto"/>
          <w:sz w:val="20"/>
          <w:szCs w:val="20"/>
        </w:rPr>
      </w:pPr>
      <w:r>
        <w:rPr>
          <w:rFonts w:ascii="仿宋" w:hAnsi="仿宋" w:eastAsia="仿宋" w:cs="仿宋"/>
          <w:color w:val="auto"/>
          <w:spacing w:val="-17"/>
          <w:sz w:val="20"/>
          <w:szCs w:val="20"/>
        </w:rPr>
        <w:t>1.1.4 项目名称：见投标人须知前附表。</w:t>
      </w:r>
    </w:p>
    <w:p w14:paraId="6B6A2033">
      <w:pPr>
        <w:spacing w:before="159" w:line="230" w:lineRule="auto"/>
        <w:ind w:left="485"/>
        <w:rPr>
          <w:rFonts w:ascii="仿宋" w:hAnsi="仿宋" w:eastAsia="仿宋" w:cs="仿宋"/>
          <w:color w:val="auto"/>
          <w:sz w:val="20"/>
          <w:szCs w:val="20"/>
        </w:rPr>
      </w:pPr>
      <w:r>
        <w:rPr>
          <w:rFonts w:ascii="仿宋" w:hAnsi="仿宋" w:eastAsia="仿宋" w:cs="仿宋"/>
          <w:color w:val="auto"/>
          <w:spacing w:val="-18"/>
          <w:sz w:val="20"/>
          <w:szCs w:val="20"/>
        </w:rPr>
        <w:t>1.1.5 落实政府采购政策要求：见投标人须知前附表。</w:t>
      </w:r>
    </w:p>
    <w:p w14:paraId="17E25540">
      <w:pPr>
        <w:spacing w:before="159" w:line="328" w:lineRule="auto"/>
        <w:ind w:left="118" w:right="7" w:firstLine="362"/>
        <w:rPr>
          <w:rFonts w:ascii="仿宋" w:hAnsi="仿宋" w:eastAsia="仿宋" w:cs="仿宋"/>
          <w:color w:val="auto"/>
          <w:sz w:val="20"/>
          <w:szCs w:val="20"/>
        </w:rPr>
      </w:pPr>
      <w:r>
        <w:rPr>
          <w:rFonts w:ascii="仿宋" w:hAnsi="仿宋" w:eastAsia="仿宋" w:cs="仿宋"/>
          <w:color w:val="auto"/>
          <w:spacing w:val="-22"/>
          <w:sz w:val="20"/>
          <w:szCs w:val="20"/>
        </w:rPr>
        <w:t>（1）根据财政部、工业和信息化部《政府采购促进中小企业发展管理办法》（财库〔2020〕</w:t>
      </w:r>
      <w:r>
        <w:rPr>
          <w:rFonts w:ascii="仿宋" w:hAnsi="仿宋" w:eastAsia="仿宋" w:cs="仿宋"/>
          <w:color w:val="auto"/>
          <w:spacing w:val="-20"/>
          <w:sz w:val="20"/>
          <w:szCs w:val="20"/>
        </w:rPr>
        <w:t xml:space="preserve"> </w:t>
      </w:r>
      <w:r>
        <w:rPr>
          <w:rFonts w:ascii="仿宋" w:hAnsi="仿宋" w:eastAsia="仿宋" w:cs="仿宋"/>
          <w:color w:val="auto"/>
          <w:spacing w:val="-22"/>
          <w:sz w:val="20"/>
          <w:szCs w:val="20"/>
        </w:rPr>
        <w:t>46 号）、洛阳市财政</w:t>
      </w:r>
      <w:r>
        <w:rPr>
          <w:rFonts w:ascii="仿宋" w:hAnsi="仿宋" w:eastAsia="仿宋" w:cs="仿宋"/>
          <w:color w:val="auto"/>
          <w:sz w:val="20"/>
          <w:szCs w:val="20"/>
        </w:rPr>
        <w:t xml:space="preserve"> </w:t>
      </w:r>
      <w:r>
        <w:rPr>
          <w:rFonts w:ascii="仿宋" w:hAnsi="仿宋" w:eastAsia="仿宋" w:cs="仿宋"/>
          <w:color w:val="auto"/>
          <w:spacing w:val="-21"/>
          <w:sz w:val="20"/>
          <w:szCs w:val="20"/>
        </w:rPr>
        <w:t>局关于进一步加大政府采购支持中小企业力度的通知（洛财购（2022）6 号）的规定，本项目专门面向中小微（监狱企</w:t>
      </w:r>
      <w:r>
        <w:rPr>
          <w:rFonts w:ascii="仿宋" w:hAnsi="仿宋" w:eastAsia="仿宋" w:cs="仿宋"/>
          <w:color w:val="auto"/>
          <w:spacing w:val="9"/>
          <w:sz w:val="20"/>
          <w:szCs w:val="20"/>
        </w:rPr>
        <w:t xml:space="preserve"> </w:t>
      </w:r>
      <w:r>
        <w:rPr>
          <w:rFonts w:ascii="仿宋" w:hAnsi="仿宋" w:eastAsia="仿宋" w:cs="仿宋"/>
          <w:color w:val="auto"/>
          <w:spacing w:val="-20"/>
          <w:sz w:val="20"/>
          <w:szCs w:val="20"/>
        </w:rPr>
        <w:t>业、残疾人福利性单位视同小型、微型企业）企业采购。</w:t>
      </w:r>
    </w:p>
    <w:p w14:paraId="11A82A7A">
      <w:pPr>
        <w:spacing w:before="161" w:line="303" w:lineRule="auto"/>
        <w:ind w:left="118" w:right="7" w:firstLine="362"/>
        <w:rPr>
          <w:rFonts w:ascii="仿宋" w:hAnsi="仿宋" w:eastAsia="仿宋" w:cs="仿宋"/>
          <w:color w:val="auto"/>
          <w:sz w:val="20"/>
          <w:szCs w:val="20"/>
        </w:rPr>
      </w:pPr>
      <w:r>
        <w:rPr>
          <w:rFonts w:ascii="仿宋" w:hAnsi="仿宋" w:eastAsia="仿宋" w:cs="仿宋"/>
          <w:color w:val="auto"/>
          <w:spacing w:val="-20"/>
          <w:sz w:val="20"/>
          <w:szCs w:val="20"/>
        </w:rPr>
        <w:t>（2）根据财政部司法部《关于政府采购支持监狱企业发展</w:t>
      </w:r>
      <w:r>
        <w:rPr>
          <w:rFonts w:ascii="仿宋" w:hAnsi="仿宋" w:eastAsia="仿宋" w:cs="仿宋"/>
          <w:color w:val="auto"/>
          <w:spacing w:val="-21"/>
          <w:sz w:val="20"/>
          <w:szCs w:val="20"/>
        </w:rPr>
        <w:t>有关问题的通知》（财库〔2014〕68 号）规定，监狱企</w:t>
      </w:r>
      <w:r>
        <w:rPr>
          <w:rFonts w:ascii="仿宋" w:hAnsi="仿宋" w:eastAsia="仿宋" w:cs="仿宋"/>
          <w:color w:val="auto"/>
          <w:sz w:val="20"/>
          <w:szCs w:val="20"/>
        </w:rPr>
        <w:t xml:space="preserve"> </w:t>
      </w:r>
      <w:r>
        <w:rPr>
          <w:rFonts w:ascii="仿宋" w:hAnsi="仿宋" w:eastAsia="仿宋" w:cs="仿宋"/>
          <w:color w:val="auto"/>
          <w:spacing w:val="-20"/>
          <w:sz w:val="20"/>
          <w:szCs w:val="20"/>
        </w:rPr>
        <w:t>业视同小型、微型企业，享受评审中价格扣除等政府采购促进</w:t>
      </w:r>
      <w:r>
        <w:rPr>
          <w:rFonts w:ascii="仿宋" w:hAnsi="仿宋" w:eastAsia="仿宋" w:cs="仿宋"/>
          <w:color w:val="auto"/>
          <w:spacing w:val="-21"/>
          <w:sz w:val="20"/>
          <w:szCs w:val="20"/>
        </w:rPr>
        <w:t>中小企业发展的政府采购政策。</w:t>
      </w:r>
    </w:p>
    <w:p w14:paraId="202EA52D">
      <w:pPr>
        <w:spacing w:before="158" w:line="304" w:lineRule="auto"/>
        <w:ind w:left="117" w:right="23" w:firstLine="362"/>
        <w:rPr>
          <w:rFonts w:ascii="仿宋" w:hAnsi="仿宋" w:eastAsia="仿宋" w:cs="仿宋"/>
          <w:color w:val="auto"/>
          <w:sz w:val="20"/>
          <w:szCs w:val="20"/>
        </w:rPr>
      </w:pPr>
      <w:r>
        <w:rPr>
          <w:rFonts w:ascii="仿宋" w:hAnsi="仿宋" w:eastAsia="仿宋" w:cs="仿宋"/>
          <w:color w:val="auto"/>
          <w:spacing w:val="-20"/>
          <w:sz w:val="20"/>
          <w:szCs w:val="20"/>
        </w:rPr>
        <w:t>（3）根据财政部民政部中国残疾人联合会《关于促进残疾人就业政府</w:t>
      </w:r>
      <w:r>
        <w:rPr>
          <w:rFonts w:ascii="仿宋" w:hAnsi="仿宋" w:eastAsia="仿宋" w:cs="仿宋"/>
          <w:color w:val="auto"/>
          <w:spacing w:val="-21"/>
          <w:sz w:val="20"/>
          <w:szCs w:val="20"/>
        </w:rPr>
        <w:t>采购政策的通知》（财 库〔2017〕141 号）</w:t>
      </w:r>
      <w:r>
        <w:rPr>
          <w:rFonts w:ascii="仿宋" w:hAnsi="仿宋" w:eastAsia="仿宋" w:cs="仿宋"/>
          <w:color w:val="auto"/>
          <w:sz w:val="20"/>
          <w:szCs w:val="20"/>
        </w:rPr>
        <w:t xml:space="preserve"> </w:t>
      </w:r>
      <w:r>
        <w:rPr>
          <w:rFonts w:ascii="仿宋" w:hAnsi="仿宋" w:eastAsia="仿宋" w:cs="仿宋"/>
          <w:color w:val="auto"/>
          <w:spacing w:val="-21"/>
          <w:sz w:val="20"/>
          <w:szCs w:val="20"/>
        </w:rPr>
        <w:t>规定，残疾人福利性单位视同小型、微型企业，享受评审中价格扣除等政府</w:t>
      </w:r>
      <w:r>
        <w:rPr>
          <w:rFonts w:ascii="仿宋" w:hAnsi="仿宋" w:eastAsia="仿宋" w:cs="仿宋"/>
          <w:color w:val="auto"/>
          <w:spacing w:val="-27"/>
          <w:sz w:val="20"/>
          <w:szCs w:val="20"/>
        </w:rPr>
        <w:t xml:space="preserve"> </w:t>
      </w:r>
      <w:r>
        <w:rPr>
          <w:rFonts w:ascii="仿宋" w:hAnsi="仿宋" w:eastAsia="仿宋" w:cs="仿宋"/>
          <w:color w:val="auto"/>
          <w:spacing w:val="-21"/>
          <w:sz w:val="20"/>
          <w:szCs w:val="20"/>
        </w:rPr>
        <w:t>采购促进</w:t>
      </w:r>
      <w:r>
        <w:rPr>
          <w:rFonts w:ascii="仿宋" w:hAnsi="仿宋" w:eastAsia="仿宋" w:cs="仿宋"/>
          <w:color w:val="auto"/>
          <w:spacing w:val="-22"/>
          <w:sz w:val="20"/>
          <w:szCs w:val="20"/>
        </w:rPr>
        <w:t>中小企业发展的政府采购政策。</w:t>
      </w:r>
    </w:p>
    <w:p w14:paraId="7CA6249B">
      <w:pPr>
        <w:spacing w:before="160" w:line="304" w:lineRule="auto"/>
        <w:ind w:left="123" w:firstLine="357"/>
        <w:rPr>
          <w:color w:val="auto"/>
        </w:rPr>
      </w:pPr>
      <w:r>
        <w:rPr>
          <w:rFonts w:ascii="仿宋" w:hAnsi="仿宋" w:eastAsia="仿宋" w:cs="仿宋"/>
          <w:color w:val="auto"/>
          <w:spacing w:val="-22"/>
          <w:sz w:val="20"/>
          <w:szCs w:val="20"/>
        </w:rPr>
        <w:t>（4）同一投标人（包括联合体</w:t>
      </w:r>
      <w:r>
        <w:rPr>
          <w:rFonts w:ascii="仿宋" w:hAnsi="仿宋" w:eastAsia="仿宋" w:cs="仿宋"/>
          <w:color w:val="auto"/>
          <w:spacing w:val="-53"/>
          <w:w w:val="95"/>
          <w:sz w:val="20"/>
          <w:szCs w:val="20"/>
        </w:rPr>
        <w:t>），</w:t>
      </w:r>
      <w:r>
        <w:rPr>
          <w:rFonts w:ascii="仿宋" w:hAnsi="仿宋" w:eastAsia="仿宋" w:cs="仿宋"/>
          <w:color w:val="auto"/>
          <w:spacing w:val="-22"/>
          <w:sz w:val="20"/>
          <w:szCs w:val="20"/>
        </w:rPr>
        <w:t>中小微企业产品、监狱企业产品、残疾人福利性单位价格扣除优惠只享受一次，</w:t>
      </w:r>
      <w:r>
        <w:rPr>
          <w:rFonts w:ascii="仿宋" w:hAnsi="仿宋" w:eastAsia="仿宋" w:cs="仿宋"/>
          <w:color w:val="auto"/>
          <w:spacing w:val="3"/>
          <w:sz w:val="20"/>
          <w:szCs w:val="20"/>
        </w:rPr>
        <w:t xml:space="preserve"> </w:t>
      </w:r>
      <w:r>
        <w:rPr>
          <w:rFonts w:ascii="仿宋" w:hAnsi="仿宋" w:eastAsia="仿宋" w:cs="仿宋"/>
          <w:color w:val="auto"/>
          <w:spacing w:val="-17"/>
          <w:sz w:val="20"/>
          <w:szCs w:val="20"/>
        </w:rPr>
        <w:t>不得重复享受。</w:t>
      </w:r>
    </w:p>
    <w:p w14:paraId="64F529E9">
      <w:pPr>
        <w:spacing w:before="65" w:line="230" w:lineRule="auto"/>
        <w:ind w:left="380"/>
        <w:rPr>
          <w:rFonts w:ascii="仿宋" w:hAnsi="仿宋" w:eastAsia="仿宋" w:cs="仿宋"/>
          <w:color w:val="auto"/>
          <w:sz w:val="20"/>
          <w:szCs w:val="20"/>
        </w:rPr>
      </w:pPr>
      <w:r>
        <w:rPr>
          <w:rFonts w:ascii="仿宋" w:hAnsi="仿宋" w:eastAsia="仿宋" w:cs="仿宋"/>
          <w:color w:val="auto"/>
          <w:spacing w:val="-18"/>
          <w:sz w:val="20"/>
          <w:szCs w:val="20"/>
        </w:rPr>
        <w:t>1.1.6 政府采购管理部门备案编号:见投标人须知前附表。</w:t>
      </w:r>
    </w:p>
    <w:p w14:paraId="7594A15E">
      <w:pPr>
        <w:spacing w:before="158" w:line="230" w:lineRule="auto"/>
        <w:ind w:left="380"/>
        <w:rPr>
          <w:rFonts w:ascii="仿宋" w:hAnsi="仿宋" w:eastAsia="仿宋" w:cs="仿宋"/>
          <w:color w:val="auto"/>
          <w:sz w:val="20"/>
          <w:szCs w:val="20"/>
        </w:rPr>
      </w:pPr>
      <w:r>
        <w:rPr>
          <w:rFonts w:ascii="仿宋" w:hAnsi="仿宋" w:eastAsia="仿宋" w:cs="仿宋"/>
          <w:color w:val="auto"/>
          <w:spacing w:val="-17"/>
          <w:sz w:val="20"/>
          <w:szCs w:val="20"/>
        </w:rPr>
        <w:t>1.1.7 包号：见投标人须知前附表。</w:t>
      </w:r>
    </w:p>
    <w:p w14:paraId="5861C4EB">
      <w:pPr>
        <w:spacing w:before="161" w:line="230" w:lineRule="auto"/>
        <w:ind w:left="380"/>
        <w:rPr>
          <w:rFonts w:ascii="仿宋" w:hAnsi="仿宋" w:eastAsia="仿宋" w:cs="仿宋"/>
          <w:color w:val="auto"/>
          <w:sz w:val="20"/>
          <w:szCs w:val="20"/>
        </w:rPr>
      </w:pPr>
      <w:r>
        <w:rPr>
          <w:rFonts w:ascii="仿宋" w:hAnsi="仿宋" w:eastAsia="仿宋" w:cs="仿宋"/>
          <w:color w:val="auto"/>
          <w:spacing w:val="-17"/>
          <w:sz w:val="20"/>
          <w:szCs w:val="20"/>
        </w:rPr>
        <w:t>1.1.8 标段划分:见投标人须知前附表。</w:t>
      </w:r>
    </w:p>
    <w:p w14:paraId="1C5855EF">
      <w:pPr>
        <w:spacing w:before="162" w:line="222" w:lineRule="auto"/>
        <w:ind w:left="444"/>
        <w:rPr>
          <w:rFonts w:ascii="仿宋" w:hAnsi="仿宋" w:eastAsia="仿宋" w:cs="仿宋"/>
          <w:color w:val="auto"/>
          <w:sz w:val="24"/>
          <w:szCs w:val="24"/>
        </w:rPr>
      </w:pPr>
      <w:r>
        <w:rPr>
          <w:rFonts w:ascii="仿宋" w:hAnsi="仿宋" w:eastAsia="仿宋" w:cs="仿宋"/>
          <w:b/>
          <w:bCs/>
          <w:color w:val="auto"/>
          <w:spacing w:val="-28"/>
          <w:sz w:val="24"/>
          <w:szCs w:val="24"/>
        </w:rPr>
        <w:t>1.2</w:t>
      </w:r>
      <w:r>
        <w:rPr>
          <w:rFonts w:ascii="仿宋" w:hAnsi="仿宋" w:eastAsia="仿宋" w:cs="仿宋"/>
          <w:color w:val="auto"/>
          <w:spacing w:val="-28"/>
          <w:sz w:val="24"/>
          <w:szCs w:val="24"/>
        </w:rPr>
        <w:t xml:space="preserve"> </w:t>
      </w:r>
      <w:r>
        <w:rPr>
          <w:rFonts w:ascii="仿宋" w:hAnsi="仿宋" w:eastAsia="仿宋" w:cs="仿宋"/>
          <w:b/>
          <w:bCs/>
          <w:color w:val="auto"/>
          <w:spacing w:val="-28"/>
          <w:sz w:val="24"/>
          <w:szCs w:val="24"/>
        </w:rPr>
        <w:t>招标项目的资金来源及付款方式</w:t>
      </w:r>
    </w:p>
    <w:p w14:paraId="11A33DBD">
      <w:pPr>
        <w:spacing w:before="173" w:line="230" w:lineRule="auto"/>
        <w:ind w:left="380"/>
        <w:rPr>
          <w:rFonts w:ascii="仿宋" w:hAnsi="仿宋" w:eastAsia="仿宋" w:cs="仿宋"/>
          <w:color w:val="auto"/>
          <w:sz w:val="20"/>
          <w:szCs w:val="20"/>
        </w:rPr>
      </w:pPr>
      <w:r>
        <w:rPr>
          <w:rFonts w:ascii="仿宋" w:hAnsi="仿宋" w:eastAsia="仿宋" w:cs="仿宋"/>
          <w:color w:val="auto"/>
          <w:spacing w:val="-17"/>
          <w:sz w:val="20"/>
          <w:szCs w:val="20"/>
        </w:rPr>
        <w:t>1.2.1 资金来源：见投标人须知前附表。</w:t>
      </w:r>
    </w:p>
    <w:p w14:paraId="7B93C14C">
      <w:pPr>
        <w:spacing w:before="159" w:line="230" w:lineRule="auto"/>
        <w:ind w:left="380"/>
        <w:rPr>
          <w:rFonts w:ascii="仿宋" w:hAnsi="仿宋" w:eastAsia="仿宋" w:cs="仿宋"/>
          <w:color w:val="auto"/>
          <w:sz w:val="20"/>
          <w:szCs w:val="20"/>
        </w:rPr>
      </w:pPr>
      <w:r>
        <w:rPr>
          <w:rFonts w:ascii="仿宋" w:hAnsi="仿宋" w:eastAsia="仿宋" w:cs="仿宋"/>
          <w:color w:val="auto"/>
          <w:spacing w:val="-19"/>
          <w:sz w:val="20"/>
          <w:szCs w:val="20"/>
        </w:rPr>
        <w:t>1.2.2 付款方式：见投标人须知前附表，不接受该条件的投标将被否决。</w:t>
      </w:r>
    </w:p>
    <w:p w14:paraId="0C6CEFB9">
      <w:pPr>
        <w:spacing w:before="166" w:line="222" w:lineRule="auto"/>
        <w:ind w:left="444"/>
        <w:rPr>
          <w:rFonts w:ascii="仿宋" w:hAnsi="仿宋" w:eastAsia="仿宋" w:cs="仿宋"/>
          <w:color w:val="auto"/>
          <w:sz w:val="24"/>
          <w:szCs w:val="24"/>
        </w:rPr>
      </w:pPr>
      <w:r>
        <w:rPr>
          <w:rFonts w:ascii="仿宋" w:hAnsi="仿宋" w:eastAsia="仿宋" w:cs="仿宋"/>
          <w:b/>
          <w:bCs/>
          <w:color w:val="auto"/>
          <w:spacing w:val="-29"/>
          <w:sz w:val="24"/>
          <w:szCs w:val="24"/>
        </w:rPr>
        <w:t>1.3</w:t>
      </w:r>
      <w:r>
        <w:rPr>
          <w:rFonts w:ascii="仿宋" w:hAnsi="仿宋" w:eastAsia="仿宋" w:cs="仿宋"/>
          <w:color w:val="auto"/>
          <w:spacing w:val="-29"/>
          <w:sz w:val="24"/>
          <w:szCs w:val="24"/>
        </w:rPr>
        <w:t xml:space="preserve"> </w:t>
      </w:r>
      <w:r>
        <w:rPr>
          <w:rFonts w:ascii="仿宋" w:hAnsi="仿宋" w:eastAsia="仿宋" w:cs="仿宋"/>
          <w:b/>
          <w:bCs/>
          <w:color w:val="auto"/>
          <w:spacing w:val="-29"/>
          <w:sz w:val="24"/>
          <w:szCs w:val="24"/>
        </w:rPr>
        <w:t>服务周期、服务地点、质量要求、履约验收</w:t>
      </w:r>
    </w:p>
    <w:p w14:paraId="73245E81">
      <w:pPr>
        <w:spacing w:before="172" w:line="230" w:lineRule="auto"/>
        <w:ind w:left="380"/>
        <w:rPr>
          <w:rFonts w:ascii="仿宋" w:hAnsi="仿宋" w:eastAsia="仿宋" w:cs="仿宋"/>
          <w:color w:val="auto"/>
          <w:sz w:val="20"/>
          <w:szCs w:val="20"/>
        </w:rPr>
      </w:pPr>
      <w:r>
        <w:rPr>
          <w:rFonts w:ascii="仿宋" w:hAnsi="仿宋" w:eastAsia="仿宋" w:cs="仿宋"/>
          <w:color w:val="auto"/>
          <w:spacing w:val="-19"/>
          <w:sz w:val="20"/>
          <w:szCs w:val="20"/>
        </w:rPr>
        <w:t>1.3.1 服务周期：见投标人须知前附表，不接受该条件的投标将被否决。</w:t>
      </w:r>
    </w:p>
    <w:p w14:paraId="0D701D1B">
      <w:pPr>
        <w:spacing w:before="159" w:line="230" w:lineRule="auto"/>
        <w:ind w:left="380"/>
        <w:rPr>
          <w:rFonts w:ascii="仿宋" w:hAnsi="仿宋" w:eastAsia="仿宋" w:cs="仿宋"/>
          <w:color w:val="auto"/>
          <w:sz w:val="20"/>
          <w:szCs w:val="20"/>
        </w:rPr>
      </w:pPr>
      <w:r>
        <w:rPr>
          <w:rFonts w:ascii="仿宋" w:hAnsi="仿宋" w:eastAsia="仿宋" w:cs="仿宋"/>
          <w:color w:val="auto"/>
          <w:spacing w:val="-19"/>
          <w:sz w:val="20"/>
          <w:szCs w:val="20"/>
        </w:rPr>
        <w:t>1.3.2 服务地点：见投标人须知前附表，不接受该条件的投标将被否决。</w:t>
      </w:r>
    </w:p>
    <w:p w14:paraId="723866D8">
      <w:pPr>
        <w:spacing w:before="161" w:line="230" w:lineRule="auto"/>
        <w:ind w:left="380"/>
        <w:rPr>
          <w:rFonts w:ascii="仿宋" w:hAnsi="仿宋" w:eastAsia="仿宋" w:cs="仿宋"/>
          <w:color w:val="auto"/>
          <w:sz w:val="20"/>
          <w:szCs w:val="20"/>
        </w:rPr>
      </w:pPr>
      <w:r>
        <w:rPr>
          <w:rFonts w:ascii="仿宋" w:hAnsi="仿宋" w:eastAsia="仿宋" w:cs="仿宋"/>
          <w:color w:val="auto"/>
          <w:spacing w:val="-19"/>
          <w:sz w:val="20"/>
          <w:szCs w:val="20"/>
        </w:rPr>
        <w:t>1.3.3 服务质量：见投标人须知前附表，不接受该条件的投标将被否决。</w:t>
      </w:r>
    </w:p>
    <w:p w14:paraId="1A65E0BD">
      <w:pPr>
        <w:spacing w:before="159" w:line="230" w:lineRule="auto"/>
        <w:ind w:left="380"/>
        <w:rPr>
          <w:rFonts w:ascii="仿宋" w:hAnsi="仿宋" w:eastAsia="仿宋" w:cs="仿宋"/>
          <w:color w:val="auto"/>
          <w:sz w:val="20"/>
          <w:szCs w:val="20"/>
        </w:rPr>
      </w:pPr>
      <w:r>
        <w:rPr>
          <w:rFonts w:ascii="仿宋" w:hAnsi="仿宋" w:eastAsia="仿宋" w:cs="仿宋"/>
          <w:color w:val="auto"/>
          <w:spacing w:val="-17"/>
          <w:sz w:val="20"/>
          <w:szCs w:val="20"/>
        </w:rPr>
        <w:t>1.3.4 履约验收：见投标人须知前附表。</w:t>
      </w:r>
    </w:p>
    <w:p w14:paraId="0DC42808">
      <w:pPr>
        <w:spacing w:before="164" w:line="222" w:lineRule="auto"/>
        <w:ind w:left="444"/>
        <w:rPr>
          <w:rFonts w:ascii="仿宋" w:hAnsi="仿宋" w:eastAsia="仿宋" w:cs="仿宋"/>
          <w:color w:val="auto"/>
          <w:sz w:val="24"/>
          <w:szCs w:val="24"/>
        </w:rPr>
      </w:pPr>
      <w:r>
        <w:rPr>
          <w:rFonts w:ascii="仿宋" w:hAnsi="仿宋" w:eastAsia="仿宋" w:cs="仿宋"/>
          <w:b/>
          <w:bCs/>
          <w:color w:val="auto"/>
          <w:spacing w:val="-24"/>
          <w:sz w:val="24"/>
          <w:szCs w:val="24"/>
        </w:rPr>
        <w:t>1.4</w:t>
      </w:r>
      <w:r>
        <w:rPr>
          <w:rFonts w:ascii="仿宋" w:hAnsi="仿宋" w:eastAsia="仿宋" w:cs="仿宋"/>
          <w:color w:val="auto"/>
          <w:spacing w:val="-24"/>
          <w:sz w:val="24"/>
          <w:szCs w:val="24"/>
        </w:rPr>
        <w:t xml:space="preserve"> </w:t>
      </w:r>
      <w:r>
        <w:rPr>
          <w:rFonts w:ascii="仿宋" w:hAnsi="仿宋" w:eastAsia="仿宋" w:cs="仿宋"/>
          <w:b/>
          <w:bCs/>
          <w:color w:val="auto"/>
          <w:spacing w:val="-24"/>
          <w:sz w:val="24"/>
          <w:szCs w:val="24"/>
        </w:rPr>
        <w:t>投标人资格要求</w:t>
      </w:r>
    </w:p>
    <w:p w14:paraId="068D557F">
      <w:pPr>
        <w:spacing w:before="175" w:line="303" w:lineRule="auto"/>
        <w:ind w:left="13" w:firstLine="367"/>
        <w:rPr>
          <w:rFonts w:ascii="仿宋" w:hAnsi="仿宋" w:eastAsia="仿宋" w:cs="仿宋"/>
          <w:color w:val="auto"/>
          <w:sz w:val="20"/>
          <w:szCs w:val="20"/>
        </w:rPr>
      </w:pPr>
      <w:r>
        <w:rPr>
          <w:rFonts w:ascii="仿宋" w:hAnsi="仿宋" w:eastAsia="仿宋" w:cs="仿宋"/>
          <w:color w:val="auto"/>
          <w:spacing w:val="-20"/>
          <w:sz w:val="20"/>
          <w:szCs w:val="20"/>
        </w:rPr>
        <w:t>1</w:t>
      </w:r>
      <w:r>
        <w:rPr>
          <w:rFonts w:ascii="仿宋" w:hAnsi="仿宋" w:eastAsia="仿宋" w:cs="仿宋"/>
          <w:color w:val="auto"/>
          <w:spacing w:val="-19"/>
          <w:sz w:val="20"/>
          <w:szCs w:val="20"/>
        </w:rPr>
        <w:t>.4.1 投标人资格要求：投标人应当符合《中华人民共和国政府采购法》第二十二条第一款</w:t>
      </w:r>
      <w:r>
        <w:rPr>
          <w:rFonts w:ascii="仿宋" w:hAnsi="仿宋" w:eastAsia="仿宋" w:cs="仿宋"/>
          <w:color w:val="auto"/>
          <w:spacing w:val="-25"/>
          <w:sz w:val="20"/>
          <w:szCs w:val="20"/>
        </w:rPr>
        <w:t xml:space="preserve"> </w:t>
      </w:r>
      <w:r>
        <w:rPr>
          <w:rFonts w:ascii="仿宋" w:hAnsi="仿宋" w:eastAsia="仿宋" w:cs="仿宋"/>
          <w:color w:val="auto"/>
          <w:spacing w:val="-19"/>
          <w:sz w:val="20"/>
          <w:szCs w:val="20"/>
        </w:rPr>
        <w:t>规定的条件，具体</w:t>
      </w:r>
      <w:r>
        <w:rPr>
          <w:rFonts w:ascii="仿宋" w:hAnsi="仿宋" w:eastAsia="仿宋" w:cs="仿宋"/>
          <w:color w:val="auto"/>
          <w:spacing w:val="-18"/>
          <w:sz w:val="20"/>
          <w:szCs w:val="20"/>
        </w:rPr>
        <w:t>见</w:t>
      </w:r>
      <w:r>
        <w:rPr>
          <w:rFonts w:ascii="仿宋" w:hAnsi="仿宋" w:eastAsia="仿宋" w:cs="仿宋"/>
          <w:color w:val="auto"/>
          <w:sz w:val="20"/>
          <w:szCs w:val="20"/>
        </w:rPr>
        <w:t xml:space="preserve"> </w:t>
      </w:r>
      <w:r>
        <w:rPr>
          <w:rFonts w:ascii="仿宋" w:hAnsi="仿宋" w:eastAsia="仿宋" w:cs="仿宋"/>
          <w:color w:val="auto"/>
          <w:spacing w:val="-18"/>
          <w:sz w:val="20"/>
          <w:szCs w:val="20"/>
        </w:rPr>
        <w:t>投标人须知前附表。</w:t>
      </w:r>
    </w:p>
    <w:p w14:paraId="2B4C1C83">
      <w:pPr>
        <w:spacing w:before="158" w:line="231" w:lineRule="auto"/>
        <w:ind w:left="380"/>
        <w:rPr>
          <w:rFonts w:ascii="仿宋" w:hAnsi="仿宋" w:eastAsia="仿宋" w:cs="仿宋"/>
          <w:color w:val="auto"/>
          <w:sz w:val="20"/>
          <w:szCs w:val="20"/>
        </w:rPr>
      </w:pPr>
      <w:r>
        <w:rPr>
          <w:rFonts w:ascii="仿宋" w:hAnsi="仿宋" w:eastAsia="仿宋" w:cs="仿宋"/>
          <w:color w:val="auto"/>
          <w:spacing w:val="-17"/>
          <w:sz w:val="20"/>
          <w:szCs w:val="20"/>
        </w:rPr>
        <w:t>1.4.2 本项目不接受联合体投标。</w:t>
      </w:r>
    </w:p>
    <w:p w14:paraId="45C28FBE">
      <w:pPr>
        <w:spacing w:before="158" w:line="228" w:lineRule="auto"/>
        <w:ind w:left="380"/>
        <w:rPr>
          <w:rFonts w:ascii="仿宋" w:hAnsi="仿宋" w:eastAsia="仿宋" w:cs="仿宋"/>
          <w:color w:val="auto"/>
          <w:sz w:val="20"/>
          <w:szCs w:val="20"/>
        </w:rPr>
      </w:pPr>
      <w:r>
        <w:rPr>
          <w:rFonts w:ascii="仿宋" w:hAnsi="仿宋" w:eastAsia="仿宋" w:cs="仿宋"/>
          <w:color w:val="auto"/>
          <w:spacing w:val="-17"/>
          <w:sz w:val="20"/>
          <w:szCs w:val="20"/>
        </w:rPr>
        <w:t>1.4.3 投标人不得存在下列情形之一：</w:t>
      </w:r>
    </w:p>
    <w:p w14:paraId="563C5618">
      <w:pPr>
        <w:spacing w:before="164" w:line="228" w:lineRule="auto"/>
        <w:ind w:left="376"/>
        <w:rPr>
          <w:rFonts w:ascii="仿宋" w:hAnsi="仿宋" w:eastAsia="仿宋" w:cs="仿宋"/>
          <w:color w:val="auto"/>
          <w:sz w:val="20"/>
          <w:szCs w:val="20"/>
        </w:rPr>
      </w:pPr>
      <w:r>
        <w:rPr>
          <w:rFonts w:ascii="仿宋" w:hAnsi="仿宋" w:eastAsia="仿宋" w:cs="仿宋"/>
          <w:color w:val="auto"/>
          <w:spacing w:val="-20"/>
          <w:sz w:val="20"/>
          <w:szCs w:val="20"/>
        </w:rPr>
        <w:t>（1）与采购人存在利害关系且可能影响采购公正性；</w:t>
      </w:r>
    </w:p>
    <w:p w14:paraId="6C07A472">
      <w:pPr>
        <w:spacing w:before="161"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（2）与本采购项目的其他投标人为同一个单位负责人；</w:t>
      </w:r>
    </w:p>
    <w:p w14:paraId="03B5C9F5">
      <w:pPr>
        <w:spacing w:before="159" w:line="228" w:lineRule="auto"/>
        <w:ind w:left="376"/>
        <w:rPr>
          <w:rFonts w:ascii="仿宋" w:hAnsi="仿宋" w:eastAsia="仿宋" w:cs="仿宋"/>
          <w:color w:val="auto"/>
          <w:sz w:val="20"/>
          <w:szCs w:val="20"/>
        </w:rPr>
      </w:pPr>
      <w:r>
        <w:rPr>
          <w:rFonts w:ascii="仿宋" w:hAnsi="仿宋" w:eastAsia="仿宋" w:cs="仿宋"/>
          <w:color w:val="auto"/>
          <w:spacing w:val="-20"/>
          <w:sz w:val="20"/>
          <w:szCs w:val="20"/>
        </w:rPr>
        <w:t>（3）与本采购项目的其他投标人存在直接控股、管理关系；</w:t>
      </w:r>
    </w:p>
    <w:p w14:paraId="4AC37BCC">
      <w:pPr>
        <w:spacing w:before="161"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（4）为本采购项目提供整体设计、规范编制或者项目管理、监理、检测等服务；</w:t>
      </w:r>
    </w:p>
    <w:p w14:paraId="19F5083A">
      <w:pPr>
        <w:spacing w:before="160" w:line="231" w:lineRule="auto"/>
        <w:ind w:left="376"/>
        <w:rPr>
          <w:rFonts w:ascii="仿宋" w:hAnsi="仿宋" w:eastAsia="仿宋" w:cs="仿宋"/>
          <w:color w:val="auto"/>
          <w:sz w:val="20"/>
          <w:szCs w:val="20"/>
        </w:rPr>
      </w:pPr>
      <w:r>
        <w:rPr>
          <w:rFonts w:ascii="仿宋" w:hAnsi="仿宋" w:eastAsia="仿宋" w:cs="仿宋"/>
          <w:color w:val="auto"/>
          <w:spacing w:val="-20"/>
          <w:sz w:val="20"/>
          <w:szCs w:val="20"/>
        </w:rPr>
        <w:t>（5）为本采购项目的采购代理机构或与采购代理机构同为一个法定代表人；</w:t>
      </w:r>
    </w:p>
    <w:p w14:paraId="62A7075E">
      <w:pPr>
        <w:spacing w:before="156" w:line="341" w:lineRule="auto"/>
        <w:ind w:left="15" w:firstLine="360"/>
        <w:rPr>
          <w:rFonts w:ascii="仿宋" w:hAnsi="仿宋" w:eastAsia="仿宋" w:cs="仿宋"/>
          <w:color w:val="auto"/>
          <w:sz w:val="20"/>
          <w:szCs w:val="20"/>
        </w:rPr>
      </w:pPr>
      <w:r>
        <w:rPr>
          <w:rFonts w:ascii="仿宋" w:hAnsi="仿宋" w:eastAsia="仿宋" w:cs="仿宋"/>
          <w:color w:val="auto"/>
          <w:spacing w:val="-19"/>
          <w:sz w:val="20"/>
          <w:szCs w:val="20"/>
        </w:rPr>
        <w:t>（6）</w:t>
      </w:r>
      <w:r>
        <w:rPr>
          <w:rFonts w:ascii="仿宋" w:hAnsi="仿宋" w:eastAsia="仿宋" w:cs="仿宋"/>
          <w:color w:val="auto"/>
          <w:spacing w:val="-18"/>
          <w:sz w:val="20"/>
          <w:szCs w:val="20"/>
        </w:rPr>
        <w:t>被列入中国政府采购网(www.ccgp.gov.cn)“政府采购严重违法失信行为记录名单 ”</w:t>
      </w:r>
      <w:r>
        <w:rPr>
          <w:rFonts w:ascii="仿宋" w:hAnsi="仿宋" w:eastAsia="仿宋" w:cs="仿宋"/>
          <w:color w:val="auto"/>
          <w:spacing w:val="-46"/>
          <w:sz w:val="20"/>
          <w:szCs w:val="20"/>
        </w:rPr>
        <w:t xml:space="preserve"> </w:t>
      </w:r>
      <w:r>
        <w:rPr>
          <w:rFonts w:ascii="仿宋" w:hAnsi="仿宋" w:eastAsia="仿宋" w:cs="仿宋"/>
          <w:color w:val="auto"/>
          <w:spacing w:val="-18"/>
          <w:sz w:val="20"/>
          <w:szCs w:val="20"/>
        </w:rPr>
        <w:t>的（指政府采购行政</w:t>
      </w:r>
      <w:r>
        <w:rPr>
          <w:rFonts w:ascii="仿宋" w:hAnsi="仿宋" w:eastAsia="仿宋" w:cs="仿宋"/>
          <w:color w:val="auto"/>
          <w:spacing w:val="-15"/>
          <w:sz w:val="20"/>
          <w:szCs w:val="20"/>
        </w:rPr>
        <w:t>处</w:t>
      </w:r>
      <w:r>
        <w:rPr>
          <w:rFonts w:ascii="仿宋" w:hAnsi="仿宋" w:eastAsia="仿宋" w:cs="仿宋"/>
          <w:color w:val="auto"/>
          <w:sz w:val="20"/>
          <w:szCs w:val="20"/>
        </w:rPr>
        <w:t xml:space="preserve"> </w:t>
      </w:r>
      <w:r>
        <w:rPr>
          <w:rFonts w:ascii="仿宋" w:hAnsi="仿宋" w:eastAsia="仿宋" w:cs="仿宋"/>
          <w:color w:val="auto"/>
          <w:spacing w:val="-17"/>
          <w:sz w:val="20"/>
          <w:szCs w:val="20"/>
        </w:rPr>
        <w:t>罚有效期内</w:t>
      </w:r>
      <w:r>
        <w:rPr>
          <w:rFonts w:ascii="仿宋" w:hAnsi="仿宋" w:eastAsia="仿宋" w:cs="仿宋"/>
          <w:color w:val="auto"/>
          <w:spacing w:val="-50"/>
          <w:w w:val="90"/>
          <w:sz w:val="20"/>
          <w:szCs w:val="20"/>
        </w:rPr>
        <w:t>），</w:t>
      </w:r>
      <w:r>
        <w:rPr>
          <w:rFonts w:ascii="仿宋" w:hAnsi="仿宋" w:eastAsia="仿宋" w:cs="仿宋"/>
          <w:color w:val="auto"/>
          <w:spacing w:val="-17"/>
          <w:sz w:val="20"/>
          <w:szCs w:val="20"/>
        </w:rPr>
        <w:t>被列入中国执行信息公开网（zxgk.court.gov.cn/，也</w:t>
      </w:r>
      <w:r>
        <w:rPr>
          <w:rFonts w:ascii="仿宋" w:hAnsi="仿宋" w:eastAsia="仿宋" w:cs="仿宋"/>
          <w:color w:val="auto"/>
          <w:spacing w:val="78"/>
          <w:sz w:val="20"/>
          <w:szCs w:val="20"/>
        </w:rPr>
        <w:t xml:space="preserve"> </w:t>
      </w:r>
      <w:r>
        <w:rPr>
          <w:rFonts w:ascii="仿宋" w:hAnsi="仿宋" w:eastAsia="仿宋" w:cs="仿宋"/>
          <w:color w:val="auto"/>
          <w:spacing w:val="-17"/>
          <w:sz w:val="20"/>
          <w:szCs w:val="20"/>
        </w:rPr>
        <w:t>即全国法院失信被执行人名单信息公布与查询</w:t>
      </w:r>
      <w:r>
        <w:rPr>
          <w:rFonts w:ascii="仿宋" w:hAnsi="仿宋" w:eastAsia="仿宋" w:cs="仿宋"/>
          <w:color w:val="auto"/>
          <w:sz w:val="20"/>
          <w:szCs w:val="20"/>
        </w:rPr>
        <w:t xml:space="preserve"> </w:t>
      </w:r>
      <w:r>
        <w:rPr>
          <w:rFonts w:ascii="仿宋" w:hAnsi="仿宋" w:eastAsia="仿宋" w:cs="仿宋"/>
          <w:color w:val="auto"/>
          <w:spacing w:val="-19"/>
          <w:sz w:val="20"/>
          <w:szCs w:val="20"/>
        </w:rPr>
        <w:t>网）“失信</w:t>
      </w:r>
      <w:r>
        <w:rPr>
          <w:rFonts w:ascii="仿宋" w:hAnsi="仿宋" w:eastAsia="仿宋" w:cs="仿宋"/>
          <w:color w:val="auto"/>
          <w:spacing w:val="-18"/>
          <w:sz w:val="20"/>
          <w:szCs w:val="20"/>
        </w:rPr>
        <w:t>被执行人 ”的、被列入国家税务总局  网站（www.chinatax.gov.cn/）——重大案件查询栏目“ 重大税</w:t>
      </w:r>
      <w:r>
        <w:rPr>
          <w:rFonts w:ascii="仿宋" w:hAnsi="仿宋" w:eastAsia="仿宋" w:cs="仿宋"/>
          <w:color w:val="auto"/>
          <w:spacing w:val="-13"/>
          <w:sz w:val="20"/>
          <w:szCs w:val="20"/>
        </w:rPr>
        <w:t>收</w:t>
      </w:r>
      <w:r>
        <w:rPr>
          <w:rFonts w:ascii="仿宋" w:hAnsi="仿宋" w:eastAsia="仿宋" w:cs="仿宋"/>
          <w:color w:val="auto"/>
          <w:spacing w:val="4"/>
          <w:sz w:val="20"/>
          <w:szCs w:val="20"/>
        </w:rPr>
        <w:t xml:space="preserve"> </w:t>
      </w:r>
      <w:r>
        <w:rPr>
          <w:rFonts w:ascii="仿宋" w:hAnsi="仿宋" w:eastAsia="仿宋" w:cs="仿宋"/>
          <w:color w:val="auto"/>
          <w:spacing w:val="-19"/>
          <w:sz w:val="20"/>
          <w:szCs w:val="20"/>
        </w:rPr>
        <w:t>违法失信主体 ”的投标人将</w:t>
      </w:r>
      <w:r>
        <w:rPr>
          <w:rFonts w:ascii="仿宋" w:hAnsi="仿宋" w:eastAsia="仿宋" w:cs="仿宋"/>
          <w:color w:val="auto"/>
          <w:spacing w:val="76"/>
          <w:sz w:val="20"/>
          <w:szCs w:val="20"/>
        </w:rPr>
        <w:t xml:space="preserve"> </w:t>
      </w:r>
      <w:r>
        <w:rPr>
          <w:rFonts w:ascii="仿宋" w:hAnsi="仿宋" w:eastAsia="仿宋" w:cs="仿宋"/>
          <w:color w:val="auto"/>
          <w:spacing w:val="-19"/>
          <w:sz w:val="20"/>
          <w:szCs w:val="20"/>
        </w:rPr>
        <w:t>被拒绝参加投标。</w:t>
      </w:r>
    </w:p>
    <w:p w14:paraId="0B089E2C">
      <w:pPr>
        <w:spacing w:before="159"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（7）因违法经营受到刑事处罚或者责令停产停业、吊销许可证或者执照</w:t>
      </w:r>
      <w:r>
        <w:rPr>
          <w:rFonts w:ascii="仿宋" w:hAnsi="仿宋" w:eastAsia="仿宋" w:cs="仿宋"/>
          <w:color w:val="auto"/>
          <w:spacing w:val="-21"/>
          <w:sz w:val="20"/>
          <w:szCs w:val="20"/>
        </w:rPr>
        <w:t>、较大数额罚款等行政处罚；</w:t>
      </w:r>
    </w:p>
    <w:p w14:paraId="193168CC">
      <w:pPr>
        <w:spacing w:before="162" w:line="230" w:lineRule="auto"/>
        <w:ind w:left="376"/>
        <w:rPr>
          <w:rFonts w:ascii="仿宋" w:hAnsi="仿宋" w:eastAsia="仿宋" w:cs="仿宋"/>
          <w:color w:val="auto"/>
          <w:sz w:val="20"/>
          <w:szCs w:val="20"/>
        </w:rPr>
      </w:pPr>
      <w:r>
        <w:rPr>
          <w:rFonts w:ascii="仿宋" w:hAnsi="仿宋" w:eastAsia="仿宋" w:cs="仿宋"/>
          <w:color w:val="auto"/>
          <w:spacing w:val="-20"/>
          <w:sz w:val="20"/>
          <w:szCs w:val="20"/>
        </w:rPr>
        <w:t>（8）进入清算程序，或被宣告破产，或其他丧失履约能力的情形；</w:t>
      </w:r>
    </w:p>
    <w:p w14:paraId="3E834A4C">
      <w:pPr>
        <w:spacing w:before="160"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（9）不具有履行合同所必需的设备和专业技术能力；</w:t>
      </w:r>
    </w:p>
    <w:p w14:paraId="3D23F8F6">
      <w:pPr>
        <w:spacing w:before="159" w:line="228" w:lineRule="auto"/>
        <w:ind w:left="376"/>
        <w:rPr>
          <w:rFonts w:ascii="仿宋" w:hAnsi="仿宋" w:eastAsia="仿宋" w:cs="仿宋"/>
          <w:color w:val="auto"/>
          <w:sz w:val="20"/>
          <w:szCs w:val="20"/>
        </w:rPr>
      </w:pPr>
      <w:r>
        <w:rPr>
          <w:rFonts w:ascii="仿宋" w:hAnsi="仿宋" w:eastAsia="仿宋" w:cs="仿宋"/>
          <w:color w:val="auto"/>
          <w:spacing w:val="-19"/>
          <w:sz w:val="20"/>
          <w:szCs w:val="20"/>
        </w:rPr>
        <w:t>（10）在近三年内供应商有行贿犯罪行为的；</w:t>
      </w:r>
    </w:p>
    <w:p w14:paraId="49481A18">
      <w:pPr>
        <w:spacing w:before="161" w:line="230" w:lineRule="auto"/>
        <w:ind w:left="376"/>
        <w:rPr>
          <w:rFonts w:ascii="仿宋" w:hAnsi="仿宋" w:eastAsia="仿宋" w:cs="仿宋"/>
          <w:color w:val="auto"/>
          <w:sz w:val="20"/>
          <w:szCs w:val="20"/>
        </w:rPr>
      </w:pPr>
      <w:r>
        <w:rPr>
          <w:rFonts w:ascii="仿宋" w:hAnsi="仿宋" w:eastAsia="仿宋" w:cs="仿宋"/>
          <w:color w:val="auto"/>
          <w:spacing w:val="-19"/>
          <w:sz w:val="20"/>
          <w:szCs w:val="20"/>
        </w:rPr>
        <w:t>（11）法律法规或投标人须知前附表规定的其他情</w:t>
      </w:r>
      <w:r>
        <w:rPr>
          <w:rFonts w:ascii="仿宋" w:hAnsi="仿宋" w:eastAsia="仿宋" w:cs="仿宋"/>
          <w:color w:val="auto"/>
          <w:spacing w:val="-20"/>
          <w:sz w:val="20"/>
          <w:szCs w:val="20"/>
        </w:rPr>
        <w:t>形。</w:t>
      </w:r>
    </w:p>
    <w:p w14:paraId="06AAA109">
      <w:pPr>
        <w:spacing w:before="163" w:line="224" w:lineRule="auto"/>
        <w:ind w:left="444"/>
        <w:rPr>
          <w:rFonts w:ascii="仿宋" w:hAnsi="仿宋" w:eastAsia="仿宋" w:cs="仿宋"/>
          <w:color w:val="auto"/>
          <w:sz w:val="24"/>
          <w:szCs w:val="24"/>
        </w:rPr>
      </w:pPr>
      <w:r>
        <w:rPr>
          <w:rFonts w:ascii="仿宋" w:hAnsi="仿宋" w:eastAsia="仿宋" w:cs="仿宋"/>
          <w:b/>
          <w:bCs/>
          <w:color w:val="auto"/>
          <w:spacing w:val="-21"/>
          <w:sz w:val="24"/>
          <w:szCs w:val="24"/>
        </w:rPr>
        <w:t>1.5</w:t>
      </w:r>
      <w:r>
        <w:rPr>
          <w:rFonts w:ascii="仿宋" w:hAnsi="仿宋" w:eastAsia="仿宋" w:cs="仿宋"/>
          <w:color w:val="auto"/>
          <w:spacing w:val="-21"/>
          <w:sz w:val="24"/>
          <w:szCs w:val="24"/>
        </w:rPr>
        <w:t xml:space="preserve"> </w:t>
      </w:r>
      <w:r>
        <w:rPr>
          <w:rFonts w:ascii="仿宋" w:hAnsi="仿宋" w:eastAsia="仿宋" w:cs="仿宋"/>
          <w:b/>
          <w:bCs/>
          <w:color w:val="auto"/>
          <w:spacing w:val="-21"/>
          <w:sz w:val="24"/>
          <w:szCs w:val="24"/>
        </w:rPr>
        <w:t>费用承担</w:t>
      </w:r>
    </w:p>
    <w:p w14:paraId="666AACD0">
      <w:pPr>
        <w:spacing w:before="172" w:line="231" w:lineRule="auto"/>
        <w:ind w:left="371"/>
        <w:rPr>
          <w:rFonts w:ascii="仿宋" w:hAnsi="仿宋" w:eastAsia="仿宋" w:cs="仿宋"/>
          <w:color w:val="auto"/>
          <w:sz w:val="20"/>
          <w:szCs w:val="20"/>
        </w:rPr>
      </w:pPr>
      <w:r>
        <w:rPr>
          <w:rFonts w:ascii="仿宋" w:hAnsi="仿宋" w:eastAsia="仿宋" w:cs="仿宋"/>
          <w:color w:val="auto"/>
          <w:spacing w:val="-20"/>
          <w:sz w:val="20"/>
          <w:szCs w:val="20"/>
        </w:rPr>
        <w:t>投标人准备和参加投标活动发生的费用自理。</w:t>
      </w:r>
    </w:p>
    <w:p w14:paraId="3C335CCD">
      <w:pPr>
        <w:spacing w:before="163" w:line="221" w:lineRule="auto"/>
        <w:ind w:left="444"/>
        <w:rPr>
          <w:rFonts w:ascii="仿宋" w:hAnsi="仿宋" w:eastAsia="仿宋" w:cs="仿宋"/>
          <w:color w:val="auto"/>
          <w:sz w:val="24"/>
          <w:szCs w:val="24"/>
        </w:rPr>
      </w:pPr>
      <w:r>
        <w:rPr>
          <w:rFonts w:ascii="仿宋" w:hAnsi="仿宋" w:eastAsia="仿宋" w:cs="仿宋"/>
          <w:b/>
          <w:bCs/>
          <w:color w:val="auto"/>
          <w:spacing w:val="-17"/>
          <w:sz w:val="24"/>
          <w:szCs w:val="24"/>
        </w:rPr>
        <w:t>1.6</w:t>
      </w:r>
      <w:r>
        <w:rPr>
          <w:rFonts w:ascii="仿宋" w:hAnsi="仿宋" w:eastAsia="仿宋" w:cs="仿宋"/>
          <w:color w:val="auto"/>
          <w:spacing w:val="-15"/>
          <w:sz w:val="24"/>
          <w:szCs w:val="24"/>
        </w:rPr>
        <w:t xml:space="preserve"> </w:t>
      </w:r>
      <w:r>
        <w:rPr>
          <w:rFonts w:ascii="仿宋" w:hAnsi="仿宋" w:eastAsia="仿宋" w:cs="仿宋"/>
          <w:b/>
          <w:bCs/>
          <w:color w:val="auto"/>
          <w:spacing w:val="-17"/>
          <w:sz w:val="24"/>
          <w:szCs w:val="24"/>
        </w:rPr>
        <w:t>保密</w:t>
      </w:r>
    </w:p>
    <w:p w14:paraId="238A8A0E">
      <w:pPr>
        <w:spacing w:before="65" w:line="229" w:lineRule="auto"/>
        <w:ind w:left="375"/>
        <w:rPr>
          <w:rFonts w:ascii="仿宋" w:hAnsi="仿宋" w:eastAsia="仿宋" w:cs="仿宋"/>
          <w:color w:val="auto"/>
          <w:sz w:val="20"/>
          <w:szCs w:val="20"/>
        </w:rPr>
      </w:pPr>
      <w:r>
        <w:rPr>
          <w:rFonts w:ascii="仿宋" w:hAnsi="仿宋" w:eastAsia="仿宋" w:cs="仿宋"/>
          <w:color w:val="auto"/>
          <w:spacing w:val="-20"/>
          <w:sz w:val="20"/>
          <w:szCs w:val="20"/>
        </w:rPr>
        <w:t>参与招标投标活动的各方应对招标文件和投标文件中的商业和技术等秘密保密，否则</w:t>
      </w:r>
      <w:r>
        <w:rPr>
          <w:rFonts w:ascii="仿宋" w:hAnsi="仿宋" w:eastAsia="仿宋" w:cs="仿宋"/>
          <w:color w:val="auto"/>
          <w:spacing w:val="-21"/>
          <w:sz w:val="20"/>
          <w:szCs w:val="20"/>
        </w:rPr>
        <w:t>应承</w:t>
      </w:r>
      <w:r>
        <w:rPr>
          <w:rFonts w:ascii="仿宋" w:hAnsi="仿宋" w:eastAsia="仿宋" w:cs="仿宋"/>
          <w:color w:val="auto"/>
          <w:spacing w:val="-27"/>
          <w:sz w:val="20"/>
          <w:szCs w:val="20"/>
        </w:rPr>
        <w:t xml:space="preserve"> </w:t>
      </w:r>
      <w:r>
        <w:rPr>
          <w:rFonts w:ascii="仿宋" w:hAnsi="仿宋" w:eastAsia="仿宋" w:cs="仿宋"/>
          <w:color w:val="auto"/>
          <w:spacing w:val="-21"/>
          <w:sz w:val="20"/>
          <w:szCs w:val="20"/>
        </w:rPr>
        <w:t>担相应的法律责任。</w:t>
      </w:r>
    </w:p>
    <w:p w14:paraId="5C7FBF06">
      <w:pPr>
        <w:spacing w:before="164" w:line="222" w:lineRule="auto"/>
        <w:ind w:left="444"/>
        <w:rPr>
          <w:rFonts w:ascii="仿宋" w:hAnsi="仿宋" w:eastAsia="仿宋" w:cs="仿宋"/>
          <w:color w:val="auto"/>
          <w:sz w:val="24"/>
          <w:szCs w:val="24"/>
        </w:rPr>
      </w:pPr>
      <w:r>
        <w:rPr>
          <w:rFonts w:ascii="仿宋" w:hAnsi="仿宋" w:eastAsia="仿宋" w:cs="仿宋"/>
          <w:b/>
          <w:bCs/>
          <w:color w:val="auto"/>
          <w:spacing w:val="-21"/>
          <w:sz w:val="24"/>
          <w:szCs w:val="24"/>
        </w:rPr>
        <w:t>1.7</w:t>
      </w:r>
      <w:r>
        <w:rPr>
          <w:rFonts w:ascii="仿宋" w:hAnsi="仿宋" w:eastAsia="仿宋" w:cs="仿宋"/>
          <w:color w:val="auto"/>
          <w:spacing w:val="-18"/>
          <w:sz w:val="24"/>
          <w:szCs w:val="24"/>
        </w:rPr>
        <w:t xml:space="preserve"> </w:t>
      </w:r>
      <w:r>
        <w:rPr>
          <w:rFonts w:ascii="仿宋" w:hAnsi="仿宋" w:eastAsia="仿宋" w:cs="仿宋"/>
          <w:b/>
          <w:bCs/>
          <w:color w:val="auto"/>
          <w:spacing w:val="-21"/>
          <w:sz w:val="24"/>
          <w:szCs w:val="24"/>
        </w:rPr>
        <w:t>语言文字</w:t>
      </w:r>
    </w:p>
    <w:p w14:paraId="6C44D05C">
      <w:pPr>
        <w:spacing w:before="174" w:line="231" w:lineRule="auto"/>
        <w:ind w:left="371"/>
        <w:rPr>
          <w:rFonts w:ascii="仿宋" w:hAnsi="仿宋" w:eastAsia="仿宋" w:cs="仿宋"/>
          <w:color w:val="auto"/>
          <w:sz w:val="20"/>
          <w:szCs w:val="20"/>
        </w:rPr>
      </w:pPr>
      <w:r>
        <w:rPr>
          <w:rFonts w:ascii="仿宋" w:hAnsi="仿宋" w:eastAsia="仿宋" w:cs="仿宋"/>
          <w:color w:val="auto"/>
          <w:spacing w:val="-20"/>
          <w:sz w:val="20"/>
          <w:szCs w:val="20"/>
        </w:rPr>
        <w:t>招标投标文件使用的语言文字为中文。专用术语使用外文的，应</w:t>
      </w:r>
      <w:r>
        <w:rPr>
          <w:rFonts w:ascii="仿宋" w:hAnsi="仿宋" w:eastAsia="仿宋" w:cs="仿宋"/>
          <w:color w:val="auto"/>
          <w:spacing w:val="-21"/>
          <w:sz w:val="20"/>
          <w:szCs w:val="20"/>
        </w:rPr>
        <w:t>附有中文注释。</w:t>
      </w:r>
    </w:p>
    <w:p w14:paraId="17C6F00A">
      <w:pPr>
        <w:spacing w:before="162" w:line="221" w:lineRule="auto"/>
        <w:ind w:left="444"/>
        <w:rPr>
          <w:rFonts w:ascii="仿宋" w:hAnsi="仿宋" w:eastAsia="仿宋" w:cs="仿宋"/>
          <w:color w:val="auto"/>
          <w:sz w:val="24"/>
          <w:szCs w:val="24"/>
        </w:rPr>
      </w:pPr>
      <w:r>
        <w:rPr>
          <w:rFonts w:ascii="仿宋" w:hAnsi="仿宋" w:eastAsia="仿宋" w:cs="仿宋"/>
          <w:b/>
          <w:bCs/>
          <w:color w:val="auto"/>
          <w:spacing w:val="-21"/>
          <w:sz w:val="24"/>
          <w:szCs w:val="24"/>
        </w:rPr>
        <w:t>1.8</w:t>
      </w:r>
      <w:r>
        <w:rPr>
          <w:rFonts w:ascii="仿宋" w:hAnsi="仿宋" w:eastAsia="仿宋" w:cs="仿宋"/>
          <w:color w:val="auto"/>
          <w:spacing w:val="-18"/>
          <w:sz w:val="24"/>
          <w:szCs w:val="24"/>
        </w:rPr>
        <w:t xml:space="preserve"> </w:t>
      </w:r>
      <w:r>
        <w:rPr>
          <w:rFonts w:ascii="仿宋" w:hAnsi="仿宋" w:eastAsia="仿宋" w:cs="仿宋"/>
          <w:b/>
          <w:bCs/>
          <w:color w:val="auto"/>
          <w:spacing w:val="-21"/>
          <w:sz w:val="24"/>
          <w:szCs w:val="24"/>
        </w:rPr>
        <w:t>计量单位</w:t>
      </w:r>
    </w:p>
    <w:p w14:paraId="0FBBD75B">
      <w:pPr>
        <w:spacing w:before="174" w:line="229" w:lineRule="auto"/>
        <w:ind w:left="372"/>
        <w:rPr>
          <w:rFonts w:ascii="仿宋" w:hAnsi="仿宋" w:eastAsia="仿宋" w:cs="仿宋"/>
          <w:color w:val="auto"/>
          <w:sz w:val="20"/>
          <w:szCs w:val="20"/>
        </w:rPr>
      </w:pPr>
      <w:r>
        <w:rPr>
          <w:rFonts w:ascii="仿宋" w:hAnsi="仿宋" w:eastAsia="仿宋" w:cs="仿宋"/>
          <w:color w:val="auto"/>
          <w:spacing w:val="-20"/>
          <w:sz w:val="20"/>
          <w:szCs w:val="20"/>
        </w:rPr>
        <w:t>所有计量均采用中华人民共和国法定计量单位。</w:t>
      </w:r>
    </w:p>
    <w:p w14:paraId="2F44C523">
      <w:pPr>
        <w:spacing w:before="167" w:line="222" w:lineRule="auto"/>
        <w:ind w:left="444"/>
        <w:rPr>
          <w:rFonts w:ascii="仿宋" w:hAnsi="仿宋" w:eastAsia="仿宋" w:cs="仿宋"/>
          <w:color w:val="auto"/>
          <w:sz w:val="24"/>
          <w:szCs w:val="24"/>
        </w:rPr>
      </w:pPr>
      <w:r>
        <w:rPr>
          <w:rFonts w:ascii="仿宋" w:hAnsi="仿宋" w:eastAsia="仿宋" w:cs="仿宋"/>
          <w:b/>
          <w:bCs/>
          <w:color w:val="auto"/>
          <w:spacing w:val="-23"/>
          <w:sz w:val="24"/>
          <w:szCs w:val="24"/>
        </w:rPr>
        <w:t>1.9</w:t>
      </w:r>
      <w:r>
        <w:rPr>
          <w:rFonts w:ascii="仿宋" w:hAnsi="仿宋" w:eastAsia="仿宋" w:cs="仿宋"/>
          <w:color w:val="auto"/>
          <w:spacing w:val="-15"/>
          <w:sz w:val="24"/>
          <w:szCs w:val="24"/>
        </w:rPr>
        <w:t xml:space="preserve"> </w:t>
      </w:r>
      <w:r>
        <w:rPr>
          <w:rFonts w:ascii="仿宋" w:hAnsi="仿宋" w:eastAsia="仿宋" w:cs="仿宋"/>
          <w:b/>
          <w:bCs/>
          <w:color w:val="auto"/>
          <w:spacing w:val="-23"/>
          <w:sz w:val="24"/>
          <w:szCs w:val="24"/>
        </w:rPr>
        <w:t>投标预备会</w:t>
      </w:r>
    </w:p>
    <w:p w14:paraId="568256DE">
      <w:pPr>
        <w:spacing w:before="171" w:line="304" w:lineRule="auto"/>
        <w:ind w:left="29" w:right="2" w:firstLine="351"/>
        <w:rPr>
          <w:rFonts w:ascii="仿宋" w:hAnsi="仿宋" w:eastAsia="仿宋" w:cs="仿宋"/>
          <w:color w:val="auto"/>
          <w:sz w:val="20"/>
          <w:szCs w:val="20"/>
        </w:rPr>
      </w:pPr>
      <w:r>
        <w:rPr>
          <w:rFonts w:ascii="仿宋" w:hAnsi="仿宋" w:eastAsia="仿宋" w:cs="仿宋"/>
          <w:color w:val="auto"/>
          <w:spacing w:val="-20"/>
          <w:sz w:val="20"/>
          <w:szCs w:val="20"/>
        </w:rPr>
        <w:t>1.9.</w:t>
      </w:r>
      <w:r>
        <w:rPr>
          <w:rFonts w:ascii="仿宋" w:hAnsi="仿宋" w:eastAsia="仿宋" w:cs="仿宋"/>
          <w:color w:val="auto"/>
          <w:spacing w:val="-19"/>
          <w:sz w:val="20"/>
          <w:szCs w:val="20"/>
        </w:rPr>
        <w:t>1 投标人须知前附表规定召开投标预备会的，采购人按投标人须知前附表规定的时间</w:t>
      </w:r>
      <w:r>
        <w:rPr>
          <w:rFonts w:ascii="仿宋" w:hAnsi="仿宋" w:eastAsia="仿宋" w:cs="仿宋"/>
          <w:color w:val="auto"/>
          <w:spacing w:val="-25"/>
          <w:sz w:val="20"/>
          <w:szCs w:val="20"/>
        </w:rPr>
        <w:t xml:space="preserve"> </w:t>
      </w:r>
      <w:r>
        <w:rPr>
          <w:rFonts w:ascii="仿宋" w:hAnsi="仿宋" w:eastAsia="仿宋" w:cs="仿宋"/>
          <w:color w:val="auto"/>
          <w:spacing w:val="-19"/>
          <w:sz w:val="20"/>
          <w:szCs w:val="20"/>
        </w:rPr>
        <w:t>和地点召开投标预备</w:t>
      </w:r>
      <w:r>
        <w:rPr>
          <w:rFonts w:ascii="仿宋" w:hAnsi="仿宋" w:eastAsia="仿宋" w:cs="仿宋"/>
          <w:color w:val="auto"/>
          <w:spacing w:val="-15"/>
          <w:sz w:val="20"/>
          <w:szCs w:val="20"/>
        </w:rPr>
        <w:t>会</w:t>
      </w:r>
      <w:r>
        <w:rPr>
          <w:rFonts w:ascii="仿宋" w:hAnsi="仿宋" w:eastAsia="仿宋" w:cs="仿宋"/>
          <w:color w:val="auto"/>
          <w:sz w:val="20"/>
          <w:szCs w:val="20"/>
        </w:rPr>
        <w:t xml:space="preserve"> </w:t>
      </w:r>
      <w:r>
        <w:rPr>
          <w:rFonts w:ascii="仿宋" w:hAnsi="仿宋" w:eastAsia="仿宋" w:cs="仿宋"/>
          <w:color w:val="auto"/>
          <w:spacing w:val="-22"/>
          <w:sz w:val="20"/>
          <w:szCs w:val="20"/>
        </w:rPr>
        <w:t>,</w:t>
      </w:r>
      <w:r>
        <w:rPr>
          <w:rFonts w:ascii="仿宋" w:hAnsi="仿宋" w:eastAsia="仿宋" w:cs="仿宋"/>
          <w:color w:val="auto"/>
          <w:spacing w:val="31"/>
          <w:sz w:val="20"/>
          <w:szCs w:val="20"/>
        </w:rPr>
        <w:t xml:space="preserve"> </w:t>
      </w:r>
      <w:r>
        <w:rPr>
          <w:rFonts w:ascii="仿宋" w:hAnsi="仿宋" w:eastAsia="仿宋" w:cs="仿宋"/>
          <w:color w:val="auto"/>
          <w:spacing w:val="-22"/>
          <w:sz w:val="20"/>
          <w:szCs w:val="20"/>
        </w:rPr>
        <w:t>澄清投标人提出的问题。</w:t>
      </w:r>
    </w:p>
    <w:p w14:paraId="1A3966B4">
      <w:pPr>
        <w:spacing w:before="160" w:line="228" w:lineRule="auto"/>
        <w:ind w:right="13"/>
        <w:jc w:val="right"/>
        <w:rPr>
          <w:rFonts w:ascii="仿宋" w:hAnsi="仿宋" w:eastAsia="仿宋" w:cs="仿宋"/>
          <w:color w:val="auto"/>
          <w:sz w:val="20"/>
          <w:szCs w:val="20"/>
        </w:rPr>
      </w:pPr>
      <w:r>
        <w:rPr>
          <w:rFonts w:ascii="仿宋" w:hAnsi="仿宋" w:eastAsia="仿宋" w:cs="仿宋"/>
          <w:color w:val="auto"/>
          <w:spacing w:val="-19"/>
          <w:sz w:val="20"/>
          <w:szCs w:val="20"/>
        </w:rPr>
        <w:t>1.9.2 投标人应按投标人须知前附表规定的时间和形式将提出的问题送达采购人，以便采</w:t>
      </w:r>
      <w:r>
        <w:rPr>
          <w:rFonts w:ascii="仿宋" w:hAnsi="仿宋" w:eastAsia="仿宋" w:cs="仿宋"/>
          <w:color w:val="auto"/>
          <w:spacing w:val="-26"/>
          <w:sz w:val="20"/>
          <w:szCs w:val="20"/>
        </w:rPr>
        <w:t xml:space="preserve"> </w:t>
      </w:r>
      <w:r>
        <w:rPr>
          <w:rFonts w:ascii="仿宋" w:hAnsi="仿宋" w:eastAsia="仿宋" w:cs="仿宋"/>
          <w:color w:val="auto"/>
          <w:spacing w:val="-20"/>
          <w:sz w:val="20"/>
          <w:szCs w:val="20"/>
        </w:rPr>
        <w:t>购人在会议期间澄清。</w:t>
      </w:r>
    </w:p>
    <w:p w14:paraId="1D2F81AB">
      <w:pPr>
        <w:spacing w:before="161" w:line="231" w:lineRule="auto"/>
        <w:ind w:left="380"/>
        <w:rPr>
          <w:rFonts w:ascii="仿宋" w:hAnsi="仿宋" w:eastAsia="仿宋" w:cs="仿宋"/>
          <w:color w:val="auto"/>
          <w:sz w:val="20"/>
          <w:szCs w:val="20"/>
        </w:rPr>
      </w:pPr>
      <w:r>
        <w:rPr>
          <w:rFonts w:ascii="仿宋" w:hAnsi="仿宋" w:eastAsia="仿宋" w:cs="仿宋"/>
          <w:color w:val="auto"/>
          <w:spacing w:val="-19"/>
          <w:sz w:val="20"/>
          <w:szCs w:val="20"/>
        </w:rPr>
        <w:t>1.9.3 投标预备会后，采购人对投标人所提问题的澄清为招标文件的组成部分。</w:t>
      </w:r>
    </w:p>
    <w:p w14:paraId="1982DFD0">
      <w:pPr>
        <w:spacing w:before="162" w:line="224" w:lineRule="auto"/>
        <w:ind w:left="444"/>
        <w:rPr>
          <w:rFonts w:ascii="仿宋" w:hAnsi="仿宋" w:eastAsia="仿宋" w:cs="仿宋"/>
          <w:color w:val="auto"/>
          <w:sz w:val="24"/>
          <w:szCs w:val="24"/>
        </w:rPr>
      </w:pPr>
      <w:r>
        <w:rPr>
          <w:rFonts w:ascii="仿宋" w:hAnsi="仿宋" w:eastAsia="仿宋" w:cs="仿宋"/>
          <w:b/>
          <w:bCs/>
          <w:color w:val="auto"/>
          <w:spacing w:val="-17"/>
          <w:sz w:val="24"/>
          <w:szCs w:val="24"/>
        </w:rPr>
        <w:t>1.10</w:t>
      </w:r>
      <w:r>
        <w:rPr>
          <w:rFonts w:ascii="仿宋" w:hAnsi="仿宋" w:eastAsia="仿宋" w:cs="仿宋"/>
          <w:color w:val="auto"/>
          <w:spacing w:val="-15"/>
          <w:sz w:val="24"/>
          <w:szCs w:val="24"/>
        </w:rPr>
        <w:t xml:space="preserve"> </w:t>
      </w:r>
      <w:r>
        <w:rPr>
          <w:rFonts w:ascii="仿宋" w:hAnsi="仿宋" w:eastAsia="仿宋" w:cs="仿宋"/>
          <w:b/>
          <w:bCs/>
          <w:color w:val="auto"/>
          <w:spacing w:val="-17"/>
          <w:sz w:val="24"/>
          <w:szCs w:val="24"/>
        </w:rPr>
        <w:t>分包</w:t>
      </w:r>
    </w:p>
    <w:p w14:paraId="7F27407E">
      <w:pPr>
        <w:spacing w:before="172" w:line="303" w:lineRule="auto"/>
        <w:ind w:left="14" w:firstLine="366"/>
        <w:rPr>
          <w:rFonts w:ascii="仿宋" w:hAnsi="仿宋" w:eastAsia="仿宋" w:cs="仿宋"/>
          <w:color w:val="auto"/>
          <w:sz w:val="20"/>
          <w:szCs w:val="20"/>
        </w:rPr>
      </w:pPr>
      <w:r>
        <w:rPr>
          <w:rFonts w:ascii="仿宋" w:hAnsi="仿宋" w:eastAsia="仿宋" w:cs="仿宋"/>
          <w:color w:val="auto"/>
          <w:spacing w:val="-20"/>
          <w:sz w:val="20"/>
          <w:szCs w:val="20"/>
        </w:rPr>
        <w:t>1.10</w:t>
      </w:r>
      <w:r>
        <w:rPr>
          <w:rFonts w:ascii="仿宋" w:hAnsi="仿宋" w:eastAsia="仿宋" w:cs="仿宋"/>
          <w:color w:val="auto"/>
          <w:spacing w:val="-19"/>
          <w:sz w:val="20"/>
          <w:szCs w:val="20"/>
        </w:rPr>
        <w:t>.1 投标人拟在中标后将中标项目的非主体内容进行分包的，应符合投标人须知前附表规定的分包内</w:t>
      </w:r>
      <w:r>
        <w:rPr>
          <w:rFonts w:ascii="仿宋" w:hAnsi="仿宋" w:eastAsia="仿宋" w:cs="仿宋"/>
          <w:color w:val="auto"/>
          <w:spacing w:val="-20"/>
          <w:sz w:val="20"/>
          <w:szCs w:val="20"/>
        </w:rPr>
        <w:t>容、分</w:t>
      </w:r>
      <w:r>
        <w:rPr>
          <w:rFonts w:ascii="仿宋" w:hAnsi="仿宋" w:eastAsia="仿宋" w:cs="仿宋"/>
          <w:color w:val="auto"/>
          <w:spacing w:val="-16"/>
          <w:sz w:val="20"/>
          <w:szCs w:val="20"/>
        </w:rPr>
        <w:t>包</w:t>
      </w:r>
      <w:r>
        <w:rPr>
          <w:rFonts w:ascii="仿宋" w:hAnsi="仿宋" w:eastAsia="仿宋" w:cs="仿宋"/>
          <w:color w:val="auto"/>
          <w:sz w:val="20"/>
          <w:szCs w:val="20"/>
        </w:rPr>
        <w:t xml:space="preserve"> </w:t>
      </w:r>
      <w:r>
        <w:rPr>
          <w:rFonts w:ascii="仿宋" w:hAnsi="仿宋" w:eastAsia="仿宋" w:cs="仿宋"/>
          <w:color w:val="auto"/>
          <w:spacing w:val="-20"/>
          <w:sz w:val="20"/>
          <w:szCs w:val="20"/>
        </w:rPr>
        <w:t>金额和资质要求等限制性条件，除投标人须知前附表规定的非主</w:t>
      </w:r>
      <w:r>
        <w:rPr>
          <w:rFonts w:ascii="仿宋" w:hAnsi="仿宋" w:eastAsia="仿宋" w:cs="仿宋"/>
          <w:color w:val="auto"/>
          <w:spacing w:val="-21"/>
          <w:sz w:val="20"/>
          <w:szCs w:val="20"/>
        </w:rPr>
        <w:t>体货物外，其他工作不得分包。</w:t>
      </w:r>
    </w:p>
    <w:p w14:paraId="2BFFDF96">
      <w:pPr>
        <w:spacing w:before="160" w:line="303" w:lineRule="auto"/>
        <w:ind w:left="24" w:firstLine="356"/>
        <w:rPr>
          <w:rFonts w:ascii="仿宋" w:hAnsi="仿宋" w:eastAsia="仿宋" w:cs="仿宋"/>
          <w:color w:val="auto"/>
          <w:sz w:val="20"/>
          <w:szCs w:val="20"/>
        </w:rPr>
      </w:pPr>
      <w:r>
        <w:rPr>
          <w:rFonts w:ascii="仿宋" w:hAnsi="仿宋" w:eastAsia="仿宋" w:cs="仿宋"/>
          <w:color w:val="auto"/>
          <w:spacing w:val="-20"/>
          <w:sz w:val="20"/>
          <w:szCs w:val="20"/>
        </w:rPr>
        <w:t xml:space="preserve">1.10.2 </w:t>
      </w:r>
      <w:r>
        <w:rPr>
          <w:rFonts w:ascii="仿宋" w:hAnsi="仿宋" w:eastAsia="仿宋" w:cs="仿宋"/>
          <w:color w:val="auto"/>
          <w:spacing w:val="-19"/>
          <w:sz w:val="20"/>
          <w:szCs w:val="20"/>
        </w:rPr>
        <w:t>中标人不得向他人转让中标项目，接受分包的人不得再次分包。中标人应当就分包项目向采购人</w:t>
      </w:r>
      <w:r>
        <w:rPr>
          <w:rFonts w:ascii="仿宋" w:hAnsi="仿宋" w:eastAsia="仿宋" w:cs="仿宋"/>
          <w:color w:val="auto"/>
          <w:spacing w:val="-20"/>
          <w:sz w:val="20"/>
          <w:szCs w:val="20"/>
        </w:rPr>
        <w:t>负责，</w:t>
      </w:r>
      <w:r>
        <w:rPr>
          <w:rFonts w:ascii="仿宋" w:hAnsi="仿宋" w:eastAsia="仿宋" w:cs="仿宋"/>
          <w:color w:val="auto"/>
          <w:spacing w:val="-13"/>
          <w:sz w:val="20"/>
          <w:szCs w:val="20"/>
        </w:rPr>
        <w:t>接</w:t>
      </w:r>
      <w:r>
        <w:rPr>
          <w:rFonts w:ascii="仿宋" w:hAnsi="仿宋" w:eastAsia="仿宋" w:cs="仿宋"/>
          <w:color w:val="auto"/>
          <w:sz w:val="20"/>
          <w:szCs w:val="20"/>
        </w:rPr>
        <w:t xml:space="preserve"> </w:t>
      </w:r>
      <w:r>
        <w:rPr>
          <w:rFonts w:ascii="仿宋" w:hAnsi="仿宋" w:eastAsia="仿宋" w:cs="仿宋"/>
          <w:color w:val="auto"/>
          <w:spacing w:val="-20"/>
          <w:sz w:val="20"/>
          <w:szCs w:val="20"/>
        </w:rPr>
        <w:t>受分包的人就分包项目承担连带责任。</w:t>
      </w:r>
    </w:p>
    <w:p w14:paraId="067E4BC0">
      <w:pPr>
        <w:spacing w:before="167" w:line="223" w:lineRule="auto"/>
        <w:ind w:left="444"/>
        <w:rPr>
          <w:rFonts w:ascii="仿宋" w:hAnsi="仿宋" w:eastAsia="仿宋" w:cs="仿宋"/>
          <w:color w:val="auto"/>
          <w:sz w:val="24"/>
          <w:szCs w:val="24"/>
        </w:rPr>
      </w:pPr>
      <w:r>
        <w:rPr>
          <w:rFonts w:ascii="仿宋" w:hAnsi="仿宋" w:eastAsia="仿宋" w:cs="仿宋"/>
          <w:b/>
          <w:bCs/>
          <w:color w:val="auto"/>
          <w:spacing w:val="-22"/>
          <w:sz w:val="24"/>
          <w:szCs w:val="24"/>
        </w:rPr>
        <w:t>1.11</w:t>
      </w:r>
      <w:r>
        <w:rPr>
          <w:rFonts w:ascii="仿宋" w:hAnsi="仿宋" w:eastAsia="仿宋" w:cs="仿宋"/>
          <w:color w:val="auto"/>
          <w:spacing w:val="-22"/>
          <w:sz w:val="24"/>
          <w:szCs w:val="24"/>
        </w:rPr>
        <w:t xml:space="preserve"> </w:t>
      </w:r>
      <w:r>
        <w:rPr>
          <w:rFonts w:ascii="仿宋" w:hAnsi="仿宋" w:eastAsia="仿宋" w:cs="仿宋"/>
          <w:b/>
          <w:bCs/>
          <w:color w:val="auto"/>
          <w:spacing w:val="-22"/>
          <w:sz w:val="24"/>
          <w:szCs w:val="24"/>
        </w:rPr>
        <w:t>响应和偏差</w:t>
      </w:r>
    </w:p>
    <w:p w14:paraId="4219044D">
      <w:pPr>
        <w:spacing w:before="170" w:line="303" w:lineRule="auto"/>
        <w:ind w:left="15" w:firstLine="365"/>
        <w:rPr>
          <w:rFonts w:ascii="仿宋" w:hAnsi="仿宋" w:eastAsia="仿宋" w:cs="仿宋"/>
          <w:color w:val="auto"/>
          <w:sz w:val="20"/>
          <w:szCs w:val="20"/>
        </w:rPr>
      </w:pPr>
      <w:r>
        <w:rPr>
          <w:rFonts w:ascii="仿宋" w:hAnsi="仿宋" w:eastAsia="仿宋" w:cs="仿宋"/>
          <w:color w:val="auto"/>
          <w:spacing w:val="-20"/>
          <w:sz w:val="20"/>
          <w:szCs w:val="20"/>
        </w:rPr>
        <w:t xml:space="preserve">1.11.1 </w:t>
      </w:r>
      <w:r>
        <w:rPr>
          <w:rFonts w:ascii="仿宋" w:hAnsi="仿宋" w:eastAsia="仿宋" w:cs="仿宋"/>
          <w:color w:val="auto"/>
          <w:spacing w:val="-19"/>
          <w:sz w:val="20"/>
          <w:szCs w:val="20"/>
        </w:rPr>
        <w:t>投标文件应当对采购文件的实质性要求和条件做出满足性或更有利于采购人的响应，否则，投标</w:t>
      </w:r>
      <w:r>
        <w:rPr>
          <w:rFonts w:ascii="仿宋" w:hAnsi="仿宋" w:eastAsia="仿宋" w:cs="仿宋"/>
          <w:color w:val="auto"/>
          <w:spacing w:val="-20"/>
          <w:sz w:val="20"/>
          <w:szCs w:val="20"/>
        </w:rPr>
        <w:t>人的投</w:t>
      </w:r>
      <w:r>
        <w:rPr>
          <w:rFonts w:ascii="仿宋" w:hAnsi="仿宋" w:eastAsia="仿宋" w:cs="仿宋"/>
          <w:color w:val="auto"/>
          <w:spacing w:val="-13"/>
          <w:sz w:val="20"/>
          <w:szCs w:val="20"/>
        </w:rPr>
        <w:t>标</w:t>
      </w:r>
      <w:r>
        <w:rPr>
          <w:rFonts w:ascii="仿宋" w:hAnsi="仿宋" w:eastAsia="仿宋" w:cs="仿宋"/>
          <w:color w:val="auto"/>
          <w:sz w:val="20"/>
          <w:szCs w:val="20"/>
        </w:rPr>
        <w:t xml:space="preserve"> </w:t>
      </w:r>
      <w:r>
        <w:rPr>
          <w:rFonts w:ascii="仿宋" w:hAnsi="仿宋" w:eastAsia="仿宋" w:cs="仿宋"/>
          <w:color w:val="auto"/>
          <w:spacing w:val="-20"/>
          <w:sz w:val="20"/>
          <w:szCs w:val="20"/>
        </w:rPr>
        <w:t>将被否决。实质性要求和条件见投标人须知前附表。</w:t>
      </w:r>
    </w:p>
    <w:p w14:paraId="0FA07375">
      <w:pPr>
        <w:spacing w:before="162" w:line="303" w:lineRule="auto"/>
        <w:ind w:left="13" w:firstLine="367"/>
        <w:rPr>
          <w:rFonts w:ascii="仿宋" w:hAnsi="仿宋" w:eastAsia="仿宋" w:cs="仿宋"/>
          <w:color w:val="auto"/>
          <w:sz w:val="20"/>
          <w:szCs w:val="20"/>
        </w:rPr>
      </w:pPr>
      <w:r>
        <w:rPr>
          <w:rFonts w:ascii="仿宋" w:hAnsi="仿宋" w:eastAsia="仿宋" w:cs="仿宋"/>
          <w:color w:val="auto"/>
          <w:spacing w:val="-20"/>
          <w:sz w:val="20"/>
          <w:szCs w:val="20"/>
        </w:rPr>
        <w:t>1.11.</w:t>
      </w:r>
      <w:r>
        <w:rPr>
          <w:rFonts w:ascii="仿宋" w:hAnsi="仿宋" w:eastAsia="仿宋" w:cs="仿宋"/>
          <w:color w:val="auto"/>
          <w:spacing w:val="-19"/>
          <w:sz w:val="20"/>
          <w:szCs w:val="20"/>
        </w:rPr>
        <w:t>2 投标人应根据采购文件的要求提供技术要求响应与偏差表、商务要求响应与偏差表、重要技术条</w:t>
      </w:r>
      <w:r>
        <w:rPr>
          <w:rFonts w:ascii="仿宋" w:hAnsi="仿宋" w:eastAsia="仿宋" w:cs="仿宋"/>
          <w:color w:val="auto"/>
          <w:spacing w:val="-20"/>
          <w:sz w:val="20"/>
          <w:szCs w:val="20"/>
        </w:rPr>
        <w:t>款的客</w:t>
      </w:r>
      <w:r>
        <w:rPr>
          <w:rFonts w:ascii="仿宋" w:hAnsi="仿宋" w:eastAsia="仿宋" w:cs="仿宋"/>
          <w:color w:val="auto"/>
          <w:spacing w:val="-15"/>
          <w:sz w:val="20"/>
          <w:szCs w:val="20"/>
        </w:rPr>
        <w:t>观</w:t>
      </w:r>
      <w:r>
        <w:rPr>
          <w:rFonts w:ascii="仿宋" w:hAnsi="仿宋" w:eastAsia="仿宋" w:cs="仿宋"/>
          <w:color w:val="auto"/>
          <w:sz w:val="20"/>
          <w:szCs w:val="20"/>
        </w:rPr>
        <w:t xml:space="preserve"> </w:t>
      </w:r>
      <w:r>
        <w:rPr>
          <w:rFonts w:ascii="仿宋" w:hAnsi="仿宋" w:eastAsia="仿宋" w:cs="仿宋"/>
          <w:color w:val="auto"/>
          <w:spacing w:val="-20"/>
          <w:sz w:val="20"/>
          <w:szCs w:val="20"/>
        </w:rPr>
        <w:t>证明材料、合同履行期限要求计划等内容以对采购文件作出响应。</w:t>
      </w:r>
    </w:p>
    <w:p w14:paraId="0BAD1BA3">
      <w:pPr>
        <w:spacing w:before="160" w:line="303" w:lineRule="auto"/>
        <w:ind w:left="18" w:right="2" w:firstLine="362"/>
        <w:rPr>
          <w:rFonts w:ascii="仿宋" w:hAnsi="仿宋" w:eastAsia="仿宋" w:cs="仿宋"/>
          <w:color w:val="auto"/>
          <w:sz w:val="20"/>
          <w:szCs w:val="20"/>
        </w:rPr>
      </w:pPr>
      <w:r>
        <w:rPr>
          <w:rFonts w:ascii="仿宋" w:hAnsi="仿宋" w:eastAsia="仿宋" w:cs="仿宋"/>
          <w:color w:val="auto"/>
          <w:spacing w:val="-22"/>
          <w:sz w:val="20"/>
          <w:szCs w:val="20"/>
        </w:rPr>
        <w:t>1.</w:t>
      </w:r>
      <w:r>
        <w:rPr>
          <w:rFonts w:ascii="仿宋" w:hAnsi="仿宋" w:eastAsia="仿宋" w:cs="仿宋"/>
          <w:color w:val="auto"/>
          <w:spacing w:val="-21"/>
          <w:sz w:val="20"/>
          <w:szCs w:val="20"/>
        </w:rPr>
        <w:t>11.3（如有）投标文件中应针对实质性要求和条件中列明的技术要求提供技术支持资料。技术支持资料以制造</w:t>
      </w:r>
      <w:r>
        <w:rPr>
          <w:rFonts w:ascii="仿宋" w:hAnsi="仿宋" w:eastAsia="仿宋" w:cs="仿宋"/>
          <w:color w:val="auto"/>
          <w:spacing w:val="-19"/>
          <w:sz w:val="20"/>
          <w:szCs w:val="20"/>
        </w:rPr>
        <w:t>商</w:t>
      </w:r>
      <w:r>
        <w:rPr>
          <w:rFonts w:ascii="仿宋" w:hAnsi="仿宋" w:eastAsia="仿宋" w:cs="仿宋"/>
          <w:color w:val="auto"/>
          <w:sz w:val="20"/>
          <w:szCs w:val="20"/>
        </w:rPr>
        <w:t xml:space="preserve"> </w:t>
      </w:r>
      <w:r>
        <w:rPr>
          <w:rFonts w:ascii="仿宋" w:hAnsi="仿宋" w:eastAsia="仿宋" w:cs="仿宋"/>
          <w:color w:val="auto"/>
          <w:spacing w:val="-20"/>
          <w:sz w:val="20"/>
          <w:szCs w:val="20"/>
        </w:rPr>
        <w:t>公开发布的印刷资料，或检验检测机构出具的检测</w:t>
      </w:r>
      <w:r>
        <w:rPr>
          <w:rFonts w:ascii="仿宋" w:hAnsi="仿宋" w:eastAsia="仿宋" w:cs="仿宋"/>
          <w:color w:val="auto"/>
          <w:spacing w:val="-21"/>
          <w:sz w:val="20"/>
          <w:szCs w:val="20"/>
        </w:rPr>
        <w:t>报告或投标人须知前附表允许的其他形式为准。</w:t>
      </w:r>
    </w:p>
    <w:p w14:paraId="23DB7E12">
      <w:pPr>
        <w:spacing w:before="162" w:line="304" w:lineRule="auto"/>
        <w:ind w:left="25" w:firstLine="355"/>
        <w:rPr>
          <w:rFonts w:ascii="仿宋" w:hAnsi="仿宋" w:eastAsia="仿宋" w:cs="仿宋"/>
          <w:color w:val="auto"/>
          <w:sz w:val="20"/>
          <w:szCs w:val="20"/>
        </w:rPr>
      </w:pPr>
      <w:r>
        <w:rPr>
          <w:rFonts w:ascii="仿宋" w:hAnsi="仿宋" w:eastAsia="仿宋" w:cs="仿宋"/>
          <w:color w:val="auto"/>
          <w:spacing w:val="-20"/>
          <w:sz w:val="20"/>
          <w:szCs w:val="20"/>
        </w:rPr>
        <w:t>1.</w:t>
      </w:r>
      <w:r>
        <w:rPr>
          <w:rFonts w:ascii="仿宋" w:hAnsi="仿宋" w:eastAsia="仿宋" w:cs="仿宋"/>
          <w:color w:val="auto"/>
          <w:spacing w:val="-19"/>
          <w:sz w:val="20"/>
          <w:szCs w:val="20"/>
        </w:rPr>
        <w:t>11.4 投标人须知前附表规定了可以偏差的范围和最高偏差项数的，偏差应当符合投标人须知前附表规</w:t>
      </w:r>
      <w:r>
        <w:rPr>
          <w:rFonts w:ascii="仿宋" w:hAnsi="仿宋" w:eastAsia="仿宋" w:cs="仿宋"/>
          <w:color w:val="auto"/>
          <w:spacing w:val="-20"/>
          <w:sz w:val="20"/>
          <w:szCs w:val="20"/>
        </w:rPr>
        <w:t>定的偏</w:t>
      </w:r>
      <w:r>
        <w:rPr>
          <w:rFonts w:ascii="仿宋" w:hAnsi="仿宋" w:eastAsia="仿宋" w:cs="仿宋"/>
          <w:color w:val="auto"/>
          <w:spacing w:val="-18"/>
          <w:sz w:val="20"/>
          <w:szCs w:val="20"/>
        </w:rPr>
        <w:t>差</w:t>
      </w:r>
      <w:r>
        <w:rPr>
          <w:rFonts w:ascii="仿宋" w:hAnsi="仿宋" w:eastAsia="仿宋" w:cs="仿宋"/>
          <w:color w:val="auto"/>
          <w:sz w:val="20"/>
          <w:szCs w:val="20"/>
        </w:rPr>
        <w:t xml:space="preserve"> </w:t>
      </w:r>
      <w:r>
        <w:rPr>
          <w:rFonts w:ascii="仿宋" w:hAnsi="仿宋" w:eastAsia="仿宋" w:cs="仿宋"/>
          <w:color w:val="auto"/>
          <w:spacing w:val="-18"/>
          <w:sz w:val="20"/>
          <w:szCs w:val="20"/>
        </w:rPr>
        <w:t>范围和最高项数。</w:t>
      </w:r>
    </w:p>
    <w:p w14:paraId="73E3C74F">
      <w:pPr>
        <w:spacing w:before="157" w:line="304" w:lineRule="auto"/>
        <w:ind w:left="27" w:firstLine="353"/>
        <w:rPr>
          <w:rFonts w:ascii="仿宋" w:hAnsi="仿宋" w:eastAsia="仿宋" w:cs="仿宋"/>
          <w:color w:val="auto"/>
          <w:sz w:val="20"/>
          <w:szCs w:val="20"/>
        </w:rPr>
      </w:pPr>
      <w:r>
        <w:rPr>
          <w:rFonts w:ascii="仿宋" w:hAnsi="仿宋" w:eastAsia="仿宋" w:cs="仿宋"/>
          <w:color w:val="auto"/>
          <w:spacing w:val="-19"/>
          <w:sz w:val="20"/>
          <w:szCs w:val="20"/>
        </w:rPr>
        <w:t>1.11.5 投标文件对采购文件的全部偏差，均应在投标文件的服务要求响应与偏差表、商务要求响应与偏</w:t>
      </w:r>
      <w:r>
        <w:rPr>
          <w:rFonts w:ascii="仿宋" w:hAnsi="仿宋" w:eastAsia="仿宋" w:cs="仿宋"/>
          <w:color w:val="auto"/>
          <w:spacing w:val="-20"/>
          <w:sz w:val="20"/>
          <w:szCs w:val="20"/>
        </w:rPr>
        <w:t>差表中列</w:t>
      </w:r>
      <w:r>
        <w:rPr>
          <w:rFonts w:ascii="仿宋" w:hAnsi="仿宋" w:eastAsia="仿宋" w:cs="仿宋"/>
          <w:color w:val="auto"/>
          <w:sz w:val="20"/>
          <w:szCs w:val="20"/>
        </w:rPr>
        <w:t xml:space="preserve"> </w:t>
      </w:r>
      <w:r>
        <w:rPr>
          <w:rFonts w:ascii="仿宋" w:hAnsi="仿宋" w:eastAsia="仿宋" w:cs="仿宋"/>
          <w:color w:val="auto"/>
          <w:spacing w:val="-21"/>
          <w:sz w:val="20"/>
          <w:szCs w:val="20"/>
        </w:rPr>
        <w:t>明，除列明的内容外，视为投标人响应采购文件的全部要求。</w:t>
      </w:r>
    </w:p>
    <w:p w14:paraId="7910689F">
      <w:pPr>
        <w:spacing w:before="157" w:line="304" w:lineRule="auto"/>
        <w:ind w:left="16" w:firstLine="364"/>
        <w:rPr>
          <w:rFonts w:ascii="仿宋" w:hAnsi="仿宋" w:eastAsia="仿宋" w:cs="仿宋"/>
          <w:color w:val="auto"/>
          <w:sz w:val="20"/>
          <w:szCs w:val="20"/>
        </w:rPr>
      </w:pPr>
      <w:r>
        <w:rPr>
          <w:rFonts w:ascii="仿宋" w:hAnsi="仿宋" w:eastAsia="仿宋" w:cs="仿宋"/>
          <w:color w:val="auto"/>
          <w:spacing w:val="-20"/>
          <w:sz w:val="20"/>
          <w:szCs w:val="20"/>
        </w:rPr>
        <w:t>1.1</w:t>
      </w:r>
      <w:r>
        <w:rPr>
          <w:rFonts w:ascii="仿宋" w:hAnsi="仿宋" w:eastAsia="仿宋" w:cs="仿宋"/>
          <w:color w:val="auto"/>
          <w:spacing w:val="-19"/>
          <w:sz w:val="20"/>
          <w:szCs w:val="20"/>
        </w:rPr>
        <w:t>1.6 如投标文件服务要求响应与偏差表、商务要求响应与偏差表中列明的内容与投标文件的其他地方</w:t>
      </w:r>
      <w:r>
        <w:rPr>
          <w:rFonts w:ascii="仿宋" w:hAnsi="仿宋" w:eastAsia="仿宋" w:cs="仿宋"/>
          <w:color w:val="auto"/>
          <w:spacing w:val="-20"/>
          <w:sz w:val="20"/>
          <w:szCs w:val="20"/>
        </w:rPr>
        <w:t>存在不</w:t>
      </w:r>
      <w:r>
        <w:rPr>
          <w:rFonts w:ascii="仿宋" w:hAnsi="仿宋" w:eastAsia="仿宋" w:cs="仿宋"/>
          <w:color w:val="auto"/>
          <w:spacing w:val="-17"/>
          <w:sz w:val="20"/>
          <w:szCs w:val="20"/>
        </w:rPr>
        <w:t>一</w:t>
      </w:r>
      <w:r>
        <w:rPr>
          <w:rFonts w:ascii="仿宋" w:hAnsi="仿宋" w:eastAsia="仿宋" w:cs="仿宋"/>
          <w:color w:val="auto"/>
          <w:sz w:val="20"/>
          <w:szCs w:val="20"/>
        </w:rPr>
        <w:t xml:space="preserve"> </w:t>
      </w:r>
      <w:r>
        <w:rPr>
          <w:rFonts w:ascii="仿宋" w:hAnsi="仿宋" w:eastAsia="仿宋" w:cs="仿宋"/>
          <w:color w:val="auto"/>
          <w:spacing w:val="-20"/>
          <w:sz w:val="20"/>
          <w:szCs w:val="20"/>
        </w:rPr>
        <w:t>致，以服务要求响应与偏差表、商务要求响应与偏差表中列</w:t>
      </w:r>
      <w:r>
        <w:rPr>
          <w:rFonts w:ascii="仿宋" w:hAnsi="仿宋" w:eastAsia="仿宋" w:cs="仿宋"/>
          <w:color w:val="auto"/>
          <w:spacing w:val="-21"/>
          <w:sz w:val="20"/>
          <w:szCs w:val="20"/>
        </w:rPr>
        <w:t>明的内容为准。</w:t>
      </w:r>
    </w:p>
    <w:p w14:paraId="683CC3D8">
      <w:pPr>
        <w:spacing w:before="221" w:line="223" w:lineRule="auto"/>
        <w:ind w:left="13"/>
        <w:rPr>
          <w:rFonts w:ascii="仿宋" w:hAnsi="仿宋" w:eastAsia="仿宋" w:cs="仿宋"/>
          <w:color w:val="auto"/>
          <w:sz w:val="28"/>
          <w:szCs w:val="28"/>
        </w:rPr>
      </w:pPr>
      <w:r>
        <w:rPr>
          <w:rFonts w:ascii="仿宋" w:hAnsi="仿宋" w:eastAsia="仿宋" w:cs="仿宋"/>
          <w:b/>
          <w:bCs/>
          <w:color w:val="auto"/>
          <w:spacing w:val="-23"/>
          <w:sz w:val="28"/>
          <w:szCs w:val="28"/>
        </w:rPr>
        <w:t>2、招标文件</w:t>
      </w:r>
    </w:p>
    <w:p w14:paraId="62C5456B">
      <w:pPr>
        <w:spacing w:before="79" w:line="222" w:lineRule="auto"/>
        <w:ind w:left="429"/>
        <w:rPr>
          <w:rFonts w:ascii="仿宋" w:hAnsi="仿宋" w:eastAsia="仿宋" w:cs="仿宋"/>
          <w:color w:val="auto"/>
          <w:sz w:val="24"/>
          <w:szCs w:val="24"/>
        </w:rPr>
      </w:pPr>
      <w:r>
        <w:rPr>
          <w:rFonts w:ascii="仿宋" w:hAnsi="仿宋" w:eastAsia="仿宋" w:cs="仿宋"/>
          <w:b/>
          <w:bCs/>
          <w:color w:val="auto"/>
          <w:spacing w:val="-23"/>
          <w:sz w:val="24"/>
          <w:szCs w:val="24"/>
        </w:rPr>
        <w:t>2.1</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招标文件的组成</w:t>
      </w:r>
    </w:p>
    <w:p w14:paraId="3248C369">
      <w:pPr>
        <w:spacing w:before="174" w:line="231" w:lineRule="auto"/>
        <w:ind w:left="372"/>
        <w:rPr>
          <w:rFonts w:ascii="仿宋" w:hAnsi="仿宋" w:eastAsia="仿宋" w:cs="仿宋"/>
          <w:color w:val="auto"/>
          <w:sz w:val="20"/>
          <w:szCs w:val="20"/>
        </w:rPr>
      </w:pPr>
      <w:r>
        <w:rPr>
          <w:rFonts w:ascii="仿宋" w:hAnsi="仿宋" w:eastAsia="仿宋" w:cs="仿宋"/>
          <w:color w:val="auto"/>
          <w:spacing w:val="-17"/>
          <w:sz w:val="20"/>
          <w:szCs w:val="20"/>
        </w:rPr>
        <w:t>本招标文件包括：</w:t>
      </w:r>
    </w:p>
    <w:p w14:paraId="36A5F418">
      <w:pPr>
        <w:spacing w:before="158" w:line="231" w:lineRule="auto"/>
        <w:ind w:left="376"/>
        <w:rPr>
          <w:rFonts w:ascii="仿宋" w:hAnsi="仿宋" w:eastAsia="仿宋" w:cs="仿宋"/>
          <w:color w:val="auto"/>
          <w:sz w:val="20"/>
          <w:szCs w:val="20"/>
        </w:rPr>
      </w:pPr>
      <w:r>
        <w:rPr>
          <w:rFonts w:ascii="仿宋" w:hAnsi="仿宋" w:eastAsia="仿宋" w:cs="仿宋"/>
          <w:color w:val="auto"/>
          <w:spacing w:val="-16"/>
          <w:sz w:val="20"/>
          <w:szCs w:val="20"/>
        </w:rPr>
        <w:t>（1）招标公告；</w:t>
      </w:r>
    </w:p>
    <w:p w14:paraId="4661D343">
      <w:pPr>
        <w:spacing w:before="65" w:line="231" w:lineRule="auto"/>
        <w:ind w:left="376"/>
        <w:rPr>
          <w:rFonts w:ascii="仿宋" w:hAnsi="仿宋" w:eastAsia="仿宋" w:cs="仿宋"/>
          <w:color w:val="auto"/>
          <w:sz w:val="20"/>
          <w:szCs w:val="20"/>
        </w:rPr>
      </w:pPr>
      <w:r>
        <w:rPr>
          <w:rFonts w:ascii="仿宋" w:hAnsi="仿宋" w:eastAsia="仿宋" w:cs="仿宋"/>
          <w:color w:val="auto"/>
          <w:spacing w:val="-17"/>
          <w:sz w:val="20"/>
          <w:szCs w:val="20"/>
        </w:rPr>
        <w:t>（2）投标人须知；</w:t>
      </w:r>
    </w:p>
    <w:p w14:paraId="26182EFA">
      <w:pPr>
        <w:spacing w:before="157" w:line="231" w:lineRule="auto"/>
        <w:ind w:left="376"/>
        <w:rPr>
          <w:rFonts w:ascii="仿宋" w:hAnsi="仿宋" w:eastAsia="仿宋" w:cs="仿宋"/>
          <w:color w:val="auto"/>
          <w:sz w:val="20"/>
          <w:szCs w:val="20"/>
        </w:rPr>
      </w:pPr>
      <w:r>
        <w:rPr>
          <w:rFonts w:ascii="仿宋" w:hAnsi="仿宋" w:eastAsia="仿宋" w:cs="仿宋"/>
          <w:color w:val="auto"/>
          <w:spacing w:val="-16"/>
          <w:sz w:val="20"/>
          <w:szCs w:val="20"/>
        </w:rPr>
        <w:t>（3）采购需求；</w:t>
      </w:r>
    </w:p>
    <w:p w14:paraId="63C2E0B8">
      <w:pPr>
        <w:spacing w:before="160" w:line="228" w:lineRule="auto"/>
        <w:ind w:left="376"/>
        <w:rPr>
          <w:rFonts w:ascii="仿宋" w:hAnsi="仿宋" w:eastAsia="仿宋" w:cs="仿宋"/>
          <w:color w:val="auto"/>
          <w:sz w:val="20"/>
          <w:szCs w:val="20"/>
        </w:rPr>
      </w:pPr>
      <w:r>
        <w:rPr>
          <w:rFonts w:ascii="仿宋" w:hAnsi="仿宋" w:eastAsia="仿宋" w:cs="仿宋"/>
          <w:color w:val="auto"/>
          <w:spacing w:val="-19"/>
          <w:sz w:val="20"/>
          <w:szCs w:val="20"/>
        </w:rPr>
        <w:t>（4）合同（样本</w:t>
      </w:r>
      <w:r>
        <w:rPr>
          <w:rFonts w:ascii="仿宋" w:hAnsi="仿宋" w:eastAsia="仿宋" w:cs="仿宋"/>
          <w:color w:val="auto"/>
          <w:spacing w:val="-50"/>
          <w:w w:val="90"/>
          <w:sz w:val="20"/>
          <w:szCs w:val="20"/>
        </w:rPr>
        <w:t>）；</w:t>
      </w:r>
    </w:p>
    <w:p w14:paraId="310D04CA">
      <w:pPr>
        <w:spacing w:before="160" w:line="231" w:lineRule="auto"/>
        <w:ind w:left="376"/>
        <w:rPr>
          <w:rFonts w:ascii="仿宋" w:hAnsi="仿宋" w:eastAsia="仿宋" w:cs="仿宋"/>
          <w:color w:val="auto"/>
          <w:sz w:val="20"/>
          <w:szCs w:val="20"/>
        </w:rPr>
      </w:pPr>
      <w:r>
        <w:rPr>
          <w:rFonts w:ascii="仿宋" w:hAnsi="仿宋" w:eastAsia="仿宋" w:cs="仿宋"/>
          <w:color w:val="auto"/>
          <w:spacing w:val="-18"/>
          <w:sz w:val="20"/>
          <w:szCs w:val="20"/>
        </w:rPr>
        <w:t>（5）资格审查与评标办法；</w:t>
      </w:r>
    </w:p>
    <w:p w14:paraId="3C43D9D1">
      <w:pPr>
        <w:spacing w:before="157" w:line="231" w:lineRule="auto"/>
        <w:ind w:left="376"/>
        <w:rPr>
          <w:rFonts w:ascii="仿宋" w:hAnsi="仿宋" w:eastAsia="仿宋" w:cs="仿宋"/>
          <w:color w:val="auto"/>
          <w:sz w:val="20"/>
          <w:szCs w:val="20"/>
        </w:rPr>
      </w:pPr>
      <w:r>
        <w:rPr>
          <w:rFonts w:ascii="仿宋" w:hAnsi="仿宋" w:eastAsia="仿宋" w:cs="仿宋"/>
          <w:color w:val="auto"/>
          <w:spacing w:val="-18"/>
          <w:sz w:val="20"/>
          <w:szCs w:val="20"/>
        </w:rPr>
        <w:t>（6）资格审查与评审标准；</w:t>
      </w:r>
    </w:p>
    <w:p w14:paraId="7FA5FDEA">
      <w:pPr>
        <w:spacing w:before="158" w:line="231" w:lineRule="auto"/>
        <w:ind w:left="376"/>
        <w:rPr>
          <w:rFonts w:ascii="仿宋" w:hAnsi="仿宋" w:eastAsia="仿宋" w:cs="仿宋"/>
          <w:color w:val="auto"/>
          <w:sz w:val="20"/>
          <w:szCs w:val="20"/>
        </w:rPr>
      </w:pPr>
      <w:r>
        <w:rPr>
          <w:rFonts w:ascii="仿宋" w:hAnsi="仿宋" w:eastAsia="仿宋" w:cs="仿宋"/>
          <w:color w:val="auto"/>
          <w:spacing w:val="-17"/>
          <w:sz w:val="20"/>
          <w:szCs w:val="20"/>
        </w:rPr>
        <w:t>（7）投标文件格式；</w:t>
      </w:r>
    </w:p>
    <w:p w14:paraId="3EA03031">
      <w:pPr>
        <w:spacing w:before="160" w:line="229" w:lineRule="auto"/>
        <w:ind w:left="376"/>
        <w:rPr>
          <w:rFonts w:ascii="仿宋" w:hAnsi="仿宋" w:eastAsia="仿宋" w:cs="仿宋"/>
          <w:color w:val="auto"/>
          <w:sz w:val="20"/>
          <w:szCs w:val="20"/>
        </w:rPr>
      </w:pPr>
      <w:r>
        <w:rPr>
          <w:rFonts w:ascii="仿宋" w:hAnsi="仿宋" w:eastAsia="仿宋" w:cs="仿宋"/>
          <w:color w:val="auto"/>
          <w:spacing w:val="-19"/>
          <w:sz w:val="20"/>
          <w:szCs w:val="20"/>
        </w:rPr>
        <w:t>（8）投标人须知前附表规定的其他资料。</w:t>
      </w:r>
    </w:p>
    <w:p w14:paraId="46F048D3">
      <w:pPr>
        <w:spacing w:before="160" w:line="229" w:lineRule="auto"/>
        <w:ind w:left="372"/>
        <w:rPr>
          <w:rFonts w:ascii="仿宋" w:hAnsi="仿宋" w:eastAsia="仿宋" w:cs="仿宋"/>
          <w:color w:val="auto"/>
          <w:sz w:val="20"/>
          <w:szCs w:val="20"/>
        </w:rPr>
      </w:pPr>
      <w:r>
        <w:rPr>
          <w:rFonts w:ascii="仿宋" w:hAnsi="仿宋" w:eastAsia="仿宋" w:cs="仿宋"/>
          <w:color w:val="auto"/>
          <w:spacing w:val="-18"/>
          <w:sz w:val="20"/>
          <w:szCs w:val="20"/>
        </w:rPr>
        <w:t>根据本章第 1.9 款、第</w:t>
      </w:r>
      <w:r>
        <w:rPr>
          <w:rFonts w:ascii="仿宋" w:hAnsi="仿宋" w:eastAsia="仿宋" w:cs="仿宋"/>
          <w:color w:val="auto"/>
          <w:spacing w:val="-23"/>
          <w:sz w:val="20"/>
          <w:szCs w:val="20"/>
        </w:rPr>
        <w:t xml:space="preserve"> </w:t>
      </w:r>
      <w:r>
        <w:rPr>
          <w:rFonts w:ascii="仿宋" w:hAnsi="仿宋" w:eastAsia="仿宋" w:cs="仿宋"/>
          <w:color w:val="auto"/>
          <w:spacing w:val="-18"/>
          <w:sz w:val="20"/>
          <w:szCs w:val="20"/>
        </w:rPr>
        <w:t>2.2 款对招标文件所作的澄清、修改，构成招标文件的组成部分。</w:t>
      </w:r>
    </w:p>
    <w:p w14:paraId="0D818E7F">
      <w:pPr>
        <w:spacing w:before="165" w:line="222" w:lineRule="auto"/>
        <w:ind w:left="429"/>
        <w:rPr>
          <w:rFonts w:ascii="仿宋" w:hAnsi="仿宋" w:eastAsia="仿宋" w:cs="仿宋"/>
          <w:color w:val="auto"/>
          <w:sz w:val="24"/>
          <w:szCs w:val="24"/>
        </w:rPr>
      </w:pPr>
      <w:r>
        <w:rPr>
          <w:rFonts w:ascii="仿宋" w:hAnsi="仿宋" w:eastAsia="仿宋" w:cs="仿宋"/>
          <w:b/>
          <w:bCs/>
          <w:color w:val="auto"/>
          <w:spacing w:val="-23"/>
          <w:sz w:val="24"/>
          <w:szCs w:val="24"/>
        </w:rPr>
        <w:t>2.2</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招标文件的澄清</w:t>
      </w:r>
    </w:p>
    <w:p w14:paraId="00438EE9">
      <w:pPr>
        <w:spacing w:before="175" w:line="328" w:lineRule="auto"/>
        <w:ind w:left="15" w:right="7" w:firstLine="352"/>
        <w:rPr>
          <w:rFonts w:ascii="仿宋" w:hAnsi="仿宋" w:eastAsia="仿宋" w:cs="仿宋"/>
          <w:color w:val="auto"/>
          <w:sz w:val="20"/>
          <w:szCs w:val="20"/>
        </w:rPr>
      </w:pPr>
      <w:r>
        <w:rPr>
          <w:rFonts w:ascii="仿宋" w:hAnsi="仿宋" w:eastAsia="仿宋" w:cs="仿宋"/>
          <w:color w:val="auto"/>
          <w:spacing w:val="-19"/>
          <w:sz w:val="20"/>
          <w:szCs w:val="20"/>
        </w:rPr>
        <w:t>2.2.1 投标人应仔细阅读和检查招标文件的全部内容。如发现缺页或附件不全，应及时向采</w:t>
      </w:r>
      <w:r>
        <w:rPr>
          <w:rFonts w:ascii="仿宋" w:hAnsi="仿宋" w:eastAsia="仿宋" w:cs="仿宋"/>
          <w:color w:val="auto"/>
          <w:spacing w:val="-12"/>
          <w:sz w:val="20"/>
          <w:szCs w:val="20"/>
        </w:rPr>
        <w:t xml:space="preserve"> </w:t>
      </w:r>
      <w:r>
        <w:rPr>
          <w:rFonts w:ascii="仿宋" w:hAnsi="仿宋" w:eastAsia="仿宋" w:cs="仿宋"/>
          <w:color w:val="auto"/>
          <w:spacing w:val="-19"/>
          <w:sz w:val="20"/>
          <w:szCs w:val="20"/>
        </w:rPr>
        <w:t>购代理机构提出，以</w:t>
      </w:r>
      <w:r>
        <w:rPr>
          <w:rFonts w:ascii="仿宋" w:hAnsi="仿宋" w:eastAsia="仿宋" w:cs="仿宋"/>
          <w:color w:val="auto"/>
          <w:sz w:val="20"/>
          <w:szCs w:val="20"/>
        </w:rPr>
        <w:t xml:space="preserve"> </w:t>
      </w:r>
      <w:r>
        <w:rPr>
          <w:rFonts w:ascii="仿宋" w:hAnsi="仿宋" w:eastAsia="仿宋" w:cs="仿宋"/>
          <w:color w:val="auto"/>
          <w:spacing w:val="-20"/>
          <w:sz w:val="20"/>
          <w:szCs w:val="20"/>
        </w:rPr>
        <w:t>便补齐。如有疑问，应按投标人须知前附表规定的时间和形式将提出的问</w:t>
      </w:r>
      <w:r>
        <w:rPr>
          <w:rFonts w:ascii="仿宋" w:hAnsi="仿宋" w:eastAsia="仿宋" w:cs="仿宋"/>
          <w:color w:val="auto"/>
          <w:spacing w:val="-25"/>
          <w:sz w:val="20"/>
          <w:szCs w:val="20"/>
        </w:rPr>
        <w:t xml:space="preserve"> </w:t>
      </w:r>
      <w:r>
        <w:rPr>
          <w:rFonts w:ascii="仿宋" w:hAnsi="仿宋" w:eastAsia="仿宋" w:cs="仿宋"/>
          <w:color w:val="auto"/>
          <w:spacing w:val="-20"/>
          <w:sz w:val="20"/>
          <w:szCs w:val="20"/>
        </w:rPr>
        <w:t>题送达采购代理机构，要求对招标文件予以</w:t>
      </w:r>
      <w:r>
        <w:rPr>
          <w:rFonts w:ascii="仿宋" w:hAnsi="仿宋" w:eastAsia="仿宋" w:cs="仿宋"/>
          <w:color w:val="auto"/>
          <w:sz w:val="20"/>
          <w:szCs w:val="20"/>
        </w:rPr>
        <w:t xml:space="preserve"> </w:t>
      </w:r>
      <w:r>
        <w:rPr>
          <w:rFonts w:ascii="仿宋" w:hAnsi="仿宋" w:eastAsia="仿宋" w:cs="仿宋"/>
          <w:color w:val="auto"/>
          <w:spacing w:val="-10"/>
          <w:sz w:val="20"/>
          <w:szCs w:val="20"/>
        </w:rPr>
        <w:t>澄清。</w:t>
      </w:r>
    </w:p>
    <w:p w14:paraId="7DA4AB93">
      <w:pPr>
        <w:spacing w:before="157" w:line="303" w:lineRule="auto"/>
        <w:ind w:left="58" w:right="20" w:firstLine="309"/>
        <w:rPr>
          <w:rFonts w:ascii="仿宋" w:hAnsi="仿宋" w:eastAsia="仿宋" w:cs="仿宋"/>
          <w:color w:val="auto"/>
          <w:sz w:val="20"/>
          <w:szCs w:val="20"/>
        </w:rPr>
      </w:pPr>
      <w:r>
        <w:rPr>
          <w:rFonts w:ascii="仿宋" w:hAnsi="仿宋" w:eastAsia="仿宋" w:cs="仿宋"/>
          <w:color w:val="auto"/>
          <w:spacing w:val="-22"/>
          <w:sz w:val="20"/>
          <w:szCs w:val="20"/>
        </w:rPr>
        <w:t>2.2.2 招标文件的澄清、修改按投标人须知前附表规定的形式发出。澄清、修改发出的时间距投标截止时间不足 15</w:t>
      </w:r>
      <w:r>
        <w:rPr>
          <w:rFonts w:ascii="仿宋" w:hAnsi="仿宋" w:eastAsia="仿宋" w:cs="仿宋"/>
          <w:color w:val="auto"/>
          <w:sz w:val="20"/>
          <w:szCs w:val="20"/>
        </w:rPr>
        <w:t xml:space="preserve"> </w:t>
      </w:r>
      <w:r>
        <w:rPr>
          <w:rFonts w:ascii="仿宋" w:hAnsi="仿宋" w:eastAsia="仿宋" w:cs="仿宋"/>
          <w:color w:val="auto"/>
          <w:spacing w:val="-22"/>
          <w:sz w:val="20"/>
          <w:szCs w:val="20"/>
        </w:rPr>
        <w:t>日的，并且修改内容可能影响投标文件编制的，将相应延长投标截止时间。</w:t>
      </w:r>
    </w:p>
    <w:p w14:paraId="2C884F56">
      <w:pPr>
        <w:spacing w:before="160" w:line="305" w:lineRule="auto"/>
        <w:ind w:left="15" w:right="9" w:firstLine="352"/>
        <w:rPr>
          <w:rFonts w:ascii="仿宋" w:hAnsi="仿宋" w:eastAsia="仿宋" w:cs="仿宋"/>
          <w:color w:val="auto"/>
          <w:sz w:val="20"/>
          <w:szCs w:val="20"/>
        </w:rPr>
      </w:pPr>
      <w:r>
        <w:rPr>
          <w:rFonts w:ascii="仿宋" w:hAnsi="仿宋" w:eastAsia="仿宋" w:cs="仿宋"/>
          <w:color w:val="auto"/>
          <w:spacing w:val="-17"/>
          <w:sz w:val="20"/>
          <w:szCs w:val="20"/>
        </w:rPr>
        <w:t>2.2.3 除非采购人认为确有必要答复，</w:t>
      </w:r>
      <w:r>
        <w:rPr>
          <w:rFonts w:ascii="仿宋" w:hAnsi="仿宋" w:eastAsia="仿宋" w:cs="仿宋"/>
          <w:color w:val="auto"/>
          <w:spacing w:val="-18"/>
          <w:sz w:val="20"/>
          <w:szCs w:val="20"/>
        </w:rPr>
        <w:t>否则，采购人有权拒绝回复投标人在本章第</w:t>
      </w:r>
      <w:r>
        <w:rPr>
          <w:rFonts w:ascii="仿宋" w:hAnsi="仿宋" w:eastAsia="仿宋" w:cs="仿宋"/>
          <w:color w:val="auto"/>
          <w:spacing w:val="-30"/>
          <w:sz w:val="20"/>
          <w:szCs w:val="20"/>
        </w:rPr>
        <w:t xml:space="preserve"> </w:t>
      </w:r>
      <w:r>
        <w:rPr>
          <w:rFonts w:ascii="仿宋" w:hAnsi="仿宋" w:eastAsia="仿宋" w:cs="仿宋"/>
          <w:color w:val="auto"/>
          <w:spacing w:val="-18"/>
          <w:sz w:val="20"/>
          <w:szCs w:val="20"/>
        </w:rPr>
        <w:t>2.2.1 项规定的时间后的任何</w:t>
      </w:r>
      <w:r>
        <w:rPr>
          <w:rFonts w:ascii="仿宋" w:hAnsi="仿宋" w:eastAsia="仿宋" w:cs="仿宋"/>
          <w:color w:val="auto"/>
          <w:sz w:val="20"/>
          <w:szCs w:val="20"/>
        </w:rPr>
        <w:t xml:space="preserve"> </w:t>
      </w:r>
      <w:r>
        <w:rPr>
          <w:rFonts w:ascii="仿宋" w:hAnsi="仿宋" w:eastAsia="仿宋" w:cs="仿宋"/>
          <w:color w:val="auto"/>
          <w:spacing w:val="-15"/>
          <w:sz w:val="20"/>
          <w:szCs w:val="20"/>
        </w:rPr>
        <w:t>澄清要求。</w:t>
      </w:r>
    </w:p>
    <w:p w14:paraId="47DBD2E4">
      <w:pPr>
        <w:spacing w:before="158" w:line="231" w:lineRule="auto"/>
        <w:ind w:left="367"/>
        <w:rPr>
          <w:rFonts w:ascii="仿宋" w:hAnsi="仿宋" w:eastAsia="仿宋" w:cs="仿宋"/>
          <w:color w:val="auto"/>
          <w:sz w:val="20"/>
          <w:szCs w:val="20"/>
        </w:rPr>
      </w:pPr>
      <w:r>
        <w:rPr>
          <w:rFonts w:ascii="仿宋" w:hAnsi="仿宋" w:eastAsia="仿宋" w:cs="仿宋"/>
          <w:color w:val="auto"/>
          <w:spacing w:val="-14"/>
          <w:sz w:val="20"/>
          <w:szCs w:val="20"/>
        </w:rPr>
        <w:t>2.3</w:t>
      </w:r>
      <w:r>
        <w:rPr>
          <w:rFonts w:ascii="仿宋" w:hAnsi="仿宋" w:eastAsia="仿宋" w:cs="仿宋"/>
          <w:color w:val="auto"/>
          <w:spacing w:val="-12"/>
          <w:sz w:val="20"/>
          <w:szCs w:val="20"/>
        </w:rPr>
        <w:t xml:space="preserve"> </w:t>
      </w:r>
      <w:r>
        <w:rPr>
          <w:rFonts w:ascii="仿宋" w:hAnsi="仿宋" w:eastAsia="仿宋" w:cs="仿宋"/>
          <w:color w:val="auto"/>
          <w:spacing w:val="-14"/>
          <w:sz w:val="20"/>
          <w:szCs w:val="20"/>
        </w:rPr>
        <w:t>招标文件的异议</w:t>
      </w:r>
    </w:p>
    <w:p w14:paraId="2BC55882">
      <w:pPr>
        <w:spacing w:before="157" w:line="228" w:lineRule="auto"/>
        <w:ind w:left="371"/>
        <w:rPr>
          <w:rFonts w:ascii="仿宋" w:hAnsi="仿宋" w:eastAsia="仿宋" w:cs="仿宋"/>
          <w:color w:val="auto"/>
          <w:sz w:val="20"/>
          <w:szCs w:val="20"/>
        </w:rPr>
      </w:pPr>
      <w:r>
        <w:rPr>
          <w:rFonts w:ascii="仿宋" w:hAnsi="仿宋" w:eastAsia="仿宋" w:cs="仿宋"/>
          <w:color w:val="auto"/>
          <w:spacing w:val="-20"/>
          <w:sz w:val="20"/>
          <w:szCs w:val="20"/>
        </w:rPr>
        <w:t>投标人或者其他利害关系人对招标文件有质</w:t>
      </w:r>
      <w:r>
        <w:rPr>
          <w:rFonts w:ascii="仿宋" w:hAnsi="仿宋" w:eastAsia="仿宋" w:cs="仿宋"/>
          <w:color w:val="auto"/>
          <w:spacing w:val="-21"/>
          <w:sz w:val="20"/>
          <w:szCs w:val="20"/>
        </w:rPr>
        <w:t>疑的，应当在投标截止时间 10</w:t>
      </w:r>
      <w:r>
        <w:rPr>
          <w:rFonts w:ascii="仿宋" w:hAnsi="仿宋" w:eastAsia="仿宋" w:cs="仿宋"/>
          <w:color w:val="auto"/>
          <w:spacing w:val="29"/>
          <w:sz w:val="20"/>
          <w:szCs w:val="20"/>
        </w:rPr>
        <w:t xml:space="preserve"> </w:t>
      </w:r>
      <w:r>
        <w:rPr>
          <w:rFonts w:ascii="仿宋" w:hAnsi="仿宋" w:eastAsia="仿宋" w:cs="仿宋"/>
          <w:color w:val="auto"/>
          <w:spacing w:val="-21"/>
          <w:sz w:val="20"/>
          <w:szCs w:val="20"/>
        </w:rPr>
        <w:t>日前以书面形式提出。</w:t>
      </w:r>
    </w:p>
    <w:p w14:paraId="6014B3EF">
      <w:pPr>
        <w:spacing w:before="172" w:line="223" w:lineRule="auto"/>
        <w:ind w:left="512"/>
        <w:rPr>
          <w:rFonts w:ascii="仿宋" w:hAnsi="仿宋" w:eastAsia="仿宋" w:cs="仿宋"/>
          <w:color w:val="auto"/>
          <w:sz w:val="28"/>
          <w:szCs w:val="28"/>
        </w:rPr>
      </w:pPr>
      <w:r>
        <w:rPr>
          <w:rFonts w:ascii="仿宋" w:hAnsi="仿宋" w:eastAsia="仿宋" w:cs="仿宋"/>
          <w:b/>
          <w:bCs/>
          <w:color w:val="auto"/>
          <w:spacing w:val="-24"/>
          <w:sz w:val="28"/>
          <w:szCs w:val="28"/>
        </w:rPr>
        <w:t>3、投标文件</w:t>
      </w:r>
    </w:p>
    <w:p w14:paraId="6EBF7B63">
      <w:pPr>
        <w:spacing w:before="201" w:line="222" w:lineRule="auto"/>
        <w:ind w:left="431"/>
        <w:rPr>
          <w:rFonts w:ascii="仿宋" w:hAnsi="仿宋" w:eastAsia="仿宋" w:cs="仿宋"/>
          <w:color w:val="auto"/>
          <w:sz w:val="24"/>
          <w:szCs w:val="24"/>
        </w:rPr>
      </w:pPr>
      <w:r>
        <w:rPr>
          <w:rFonts w:ascii="仿宋" w:hAnsi="仿宋" w:eastAsia="仿宋" w:cs="仿宋"/>
          <w:b/>
          <w:bCs/>
          <w:color w:val="auto"/>
          <w:spacing w:val="-23"/>
          <w:sz w:val="24"/>
          <w:szCs w:val="24"/>
        </w:rPr>
        <w:t>3.1</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投标文件的组成</w:t>
      </w:r>
    </w:p>
    <w:p w14:paraId="1F9A0E42">
      <w:pPr>
        <w:spacing w:before="175" w:line="229" w:lineRule="auto"/>
        <w:ind w:left="369"/>
        <w:rPr>
          <w:rFonts w:ascii="仿宋" w:hAnsi="仿宋" w:eastAsia="仿宋" w:cs="仿宋"/>
          <w:color w:val="auto"/>
          <w:sz w:val="20"/>
          <w:szCs w:val="20"/>
        </w:rPr>
      </w:pPr>
      <w:r>
        <w:rPr>
          <w:rFonts w:ascii="仿宋" w:hAnsi="仿宋" w:eastAsia="仿宋" w:cs="仿宋"/>
          <w:color w:val="auto"/>
          <w:spacing w:val="-19"/>
          <w:sz w:val="20"/>
          <w:szCs w:val="20"/>
        </w:rPr>
        <w:t>3.1.1 投标文件应包括下列内容（详见招标文件第七章“投标文件格式 ”</w:t>
      </w:r>
      <w:r>
        <w:rPr>
          <w:rFonts w:ascii="仿宋" w:hAnsi="仿宋" w:eastAsia="仿宋" w:cs="仿宋"/>
          <w:color w:val="auto"/>
          <w:spacing w:val="-42"/>
          <w:w w:val="73"/>
          <w:sz w:val="20"/>
          <w:szCs w:val="20"/>
        </w:rPr>
        <w:t>）：</w:t>
      </w:r>
    </w:p>
    <w:p w14:paraId="79A83A91">
      <w:pPr>
        <w:spacing w:before="159" w:line="228" w:lineRule="auto"/>
        <w:ind w:left="371"/>
        <w:rPr>
          <w:rFonts w:ascii="仿宋" w:hAnsi="仿宋" w:eastAsia="仿宋" w:cs="仿宋"/>
          <w:color w:val="auto"/>
          <w:sz w:val="20"/>
          <w:szCs w:val="20"/>
        </w:rPr>
      </w:pPr>
      <w:r>
        <w:rPr>
          <w:rFonts w:ascii="仿宋" w:hAnsi="仿宋" w:eastAsia="仿宋" w:cs="仿宋"/>
          <w:color w:val="auto"/>
          <w:spacing w:val="-20"/>
          <w:sz w:val="20"/>
          <w:szCs w:val="20"/>
        </w:rPr>
        <w:t>投标人在评标过程中作出的符合法律法规和招标文件规定的澄</w:t>
      </w:r>
      <w:r>
        <w:rPr>
          <w:rFonts w:ascii="仿宋" w:hAnsi="仿宋" w:eastAsia="仿宋" w:cs="仿宋"/>
          <w:color w:val="auto"/>
          <w:spacing w:val="-21"/>
          <w:sz w:val="20"/>
          <w:szCs w:val="20"/>
        </w:rPr>
        <w:t>清确认，构成投标文件的组成部分。</w:t>
      </w:r>
    </w:p>
    <w:p w14:paraId="6E1850C5">
      <w:pPr>
        <w:spacing w:before="166" w:line="222" w:lineRule="auto"/>
        <w:ind w:left="431"/>
        <w:rPr>
          <w:rFonts w:ascii="仿宋" w:hAnsi="仿宋" w:eastAsia="仿宋" w:cs="仿宋"/>
          <w:color w:val="auto"/>
          <w:sz w:val="24"/>
          <w:szCs w:val="24"/>
        </w:rPr>
      </w:pPr>
      <w:r>
        <w:rPr>
          <w:rFonts w:ascii="仿宋" w:hAnsi="仿宋" w:eastAsia="仿宋" w:cs="仿宋"/>
          <w:b/>
          <w:bCs/>
          <w:color w:val="auto"/>
          <w:spacing w:val="-19"/>
          <w:sz w:val="24"/>
          <w:szCs w:val="24"/>
        </w:rPr>
        <w:t>3.2</w:t>
      </w:r>
      <w:r>
        <w:rPr>
          <w:rFonts w:ascii="仿宋" w:hAnsi="仿宋" w:eastAsia="仿宋" w:cs="仿宋"/>
          <w:color w:val="auto"/>
          <w:spacing w:val="-19"/>
          <w:sz w:val="24"/>
          <w:szCs w:val="24"/>
        </w:rPr>
        <w:t xml:space="preserve"> </w:t>
      </w:r>
      <w:r>
        <w:rPr>
          <w:rFonts w:ascii="仿宋" w:hAnsi="仿宋" w:eastAsia="仿宋" w:cs="仿宋"/>
          <w:b/>
          <w:bCs/>
          <w:color w:val="auto"/>
          <w:spacing w:val="-19"/>
          <w:sz w:val="24"/>
          <w:szCs w:val="24"/>
        </w:rPr>
        <w:t>投标报价</w:t>
      </w:r>
    </w:p>
    <w:p w14:paraId="06FA1039">
      <w:pPr>
        <w:spacing w:before="174" w:line="303" w:lineRule="auto"/>
        <w:ind w:left="15" w:right="9" w:firstLine="353"/>
        <w:rPr>
          <w:rFonts w:ascii="仿宋" w:hAnsi="仿宋" w:eastAsia="仿宋" w:cs="仿宋"/>
          <w:color w:val="auto"/>
          <w:sz w:val="20"/>
          <w:szCs w:val="20"/>
        </w:rPr>
      </w:pPr>
      <w:r>
        <w:rPr>
          <w:rFonts w:ascii="仿宋" w:hAnsi="仿宋" w:eastAsia="仿宋" w:cs="仿宋"/>
          <w:color w:val="auto"/>
          <w:spacing w:val="-21"/>
          <w:sz w:val="20"/>
          <w:szCs w:val="20"/>
        </w:rPr>
        <w:t>3.2.1 投标报价涉及货币的应为人民币，包括国家规定的增值税税金。投标人应按第七章“投标文件格式”的要求</w:t>
      </w:r>
      <w:r>
        <w:rPr>
          <w:rFonts w:ascii="仿宋" w:hAnsi="仿宋" w:eastAsia="仿宋" w:cs="仿宋"/>
          <w:color w:val="auto"/>
          <w:spacing w:val="11"/>
          <w:sz w:val="20"/>
          <w:szCs w:val="20"/>
        </w:rPr>
        <w:t xml:space="preserve"> </w:t>
      </w:r>
      <w:r>
        <w:rPr>
          <w:rFonts w:ascii="仿宋" w:hAnsi="仿宋" w:eastAsia="仿宋" w:cs="仿宋"/>
          <w:color w:val="auto"/>
          <w:spacing w:val="-19"/>
          <w:sz w:val="20"/>
          <w:szCs w:val="20"/>
        </w:rPr>
        <w:t>进行报价并填写报价明细表。</w:t>
      </w:r>
    </w:p>
    <w:p w14:paraId="759A5393">
      <w:pPr>
        <w:spacing w:before="160" w:line="230" w:lineRule="auto"/>
        <w:ind w:left="369"/>
        <w:rPr>
          <w:rFonts w:ascii="仿宋" w:hAnsi="仿宋" w:eastAsia="仿宋" w:cs="仿宋"/>
          <w:color w:val="auto"/>
          <w:sz w:val="20"/>
          <w:szCs w:val="20"/>
        </w:rPr>
      </w:pPr>
      <w:r>
        <w:rPr>
          <w:rFonts w:ascii="仿宋" w:hAnsi="仿宋" w:eastAsia="仿宋" w:cs="仿宋"/>
          <w:color w:val="auto"/>
          <w:spacing w:val="-18"/>
          <w:sz w:val="20"/>
          <w:szCs w:val="20"/>
        </w:rPr>
        <w:t>3.2.2 投标人应充分了解该项目的总体情况</w:t>
      </w:r>
      <w:r>
        <w:rPr>
          <w:rFonts w:ascii="仿宋" w:hAnsi="仿宋" w:eastAsia="仿宋" w:cs="仿宋"/>
          <w:color w:val="auto"/>
          <w:spacing w:val="-19"/>
          <w:sz w:val="20"/>
          <w:szCs w:val="20"/>
        </w:rPr>
        <w:t>以及影响投标报价的其他要素。</w:t>
      </w:r>
    </w:p>
    <w:p w14:paraId="7CB60C66">
      <w:pPr>
        <w:spacing w:before="160" w:line="303" w:lineRule="auto"/>
        <w:ind w:left="13" w:right="9" w:firstLine="355"/>
        <w:rPr>
          <w:rFonts w:ascii="仿宋" w:hAnsi="仿宋" w:eastAsia="仿宋" w:cs="仿宋"/>
          <w:color w:val="auto"/>
          <w:sz w:val="20"/>
          <w:szCs w:val="20"/>
        </w:rPr>
      </w:pPr>
      <w:r>
        <w:rPr>
          <w:rFonts w:ascii="仿宋" w:hAnsi="仿宋" w:eastAsia="仿宋" w:cs="仿宋"/>
          <w:color w:val="auto"/>
          <w:spacing w:val="-21"/>
          <w:sz w:val="20"/>
          <w:szCs w:val="20"/>
        </w:rPr>
        <w:t>3.2.3 投标报价为各分项报价金额之和，投标报价与分项报价的合价不一致的，应以各分项合价累计数为准，修正</w:t>
      </w:r>
      <w:r>
        <w:rPr>
          <w:rFonts w:ascii="仿宋" w:hAnsi="仿宋" w:eastAsia="仿宋" w:cs="仿宋"/>
          <w:color w:val="auto"/>
          <w:spacing w:val="11"/>
          <w:sz w:val="20"/>
          <w:szCs w:val="20"/>
        </w:rPr>
        <w:t xml:space="preserve"> </w:t>
      </w:r>
      <w:r>
        <w:rPr>
          <w:rFonts w:ascii="仿宋" w:hAnsi="仿宋" w:eastAsia="仿宋" w:cs="仿宋"/>
          <w:color w:val="auto"/>
          <w:spacing w:val="-20"/>
          <w:sz w:val="20"/>
          <w:szCs w:val="20"/>
        </w:rPr>
        <w:t>投标报价；如分项报价中存在缺漏项，则视为缺漏项价格已包含在</w:t>
      </w:r>
      <w:r>
        <w:rPr>
          <w:rFonts w:ascii="仿宋" w:hAnsi="仿宋" w:eastAsia="仿宋" w:cs="仿宋"/>
          <w:color w:val="auto"/>
          <w:spacing w:val="-21"/>
          <w:sz w:val="20"/>
          <w:szCs w:val="20"/>
        </w:rPr>
        <w:t>其他分项报价之中。</w:t>
      </w:r>
    </w:p>
    <w:p w14:paraId="219BD449">
      <w:pPr>
        <w:spacing w:before="162" w:line="302" w:lineRule="auto"/>
        <w:ind w:left="19" w:firstLine="350"/>
        <w:rPr>
          <w:rFonts w:ascii="仿宋" w:hAnsi="仿宋" w:eastAsia="仿宋" w:cs="仿宋"/>
          <w:color w:val="auto"/>
          <w:sz w:val="20"/>
          <w:szCs w:val="20"/>
        </w:rPr>
      </w:pPr>
      <w:r>
        <w:rPr>
          <w:rFonts w:ascii="仿宋" w:hAnsi="仿宋" w:eastAsia="仿宋" w:cs="仿宋"/>
          <w:color w:val="auto"/>
          <w:spacing w:val="-20"/>
          <w:sz w:val="20"/>
          <w:szCs w:val="20"/>
        </w:rPr>
        <w:t>3.2.4 采购人设有预算金额和最高限价的</w:t>
      </w:r>
      <w:r>
        <w:rPr>
          <w:rFonts w:ascii="仿宋" w:hAnsi="仿宋" w:eastAsia="仿宋" w:cs="仿宋"/>
          <w:color w:val="auto"/>
          <w:spacing w:val="-21"/>
          <w:sz w:val="20"/>
          <w:szCs w:val="20"/>
        </w:rPr>
        <w:t>，投标人的投标报价不得超过预算金额（预算金额和最高限价不一致时，</w:t>
      </w:r>
      <w:r>
        <w:rPr>
          <w:rFonts w:ascii="仿宋" w:hAnsi="仿宋" w:eastAsia="仿宋" w:cs="仿宋"/>
          <w:color w:val="auto"/>
          <w:sz w:val="20"/>
          <w:szCs w:val="20"/>
        </w:rPr>
        <w:t xml:space="preserve"> </w:t>
      </w:r>
      <w:r>
        <w:rPr>
          <w:rFonts w:ascii="仿宋" w:hAnsi="仿宋" w:eastAsia="仿宋" w:cs="仿宋"/>
          <w:color w:val="auto"/>
          <w:spacing w:val="-20"/>
          <w:sz w:val="20"/>
          <w:szCs w:val="20"/>
        </w:rPr>
        <w:t>不得超过最高限价</w:t>
      </w:r>
      <w:r>
        <w:rPr>
          <w:rFonts w:ascii="仿宋" w:hAnsi="仿宋" w:eastAsia="仿宋" w:cs="仿宋"/>
          <w:color w:val="auto"/>
          <w:spacing w:val="-50"/>
          <w:w w:val="90"/>
          <w:sz w:val="20"/>
          <w:szCs w:val="20"/>
        </w:rPr>
        <w:t>），</w:t>
      </w:r>
      <w:r>
        <w:rPr>
          <w:rFonts w:ascii="仿宋" w:hAnsi="仿宋" w:eastAsia="仿宋" w:cs="仿宋"/>
          <w:color w:val="auto"/>
          <w:spacing w:val="-20"/>
          <w:sz w:val="20"/>
          <w:szCs w:val="20"/>
        </w:rPr>
        <w:t>预算金额和最高限价在投标人须知前附表中载明。</w:t>
      </w:r>
    </w:p>
    <w:p w14:paraId="2902B468">
      <w:pPr>
        <w:spacing w:before="161" w:line="230" w:lineRule="auto"/>
        <w:ind w:left="369"/>
        <w:rPr>
          <w:rFonts w:ascii="仿宋" w:hAnsi="仿宋" w:eastAsia="仿宋" w:cs="仿宋"/>
          <w:color w:val="auto"/>
          <w:sz w:val="20"/>
          <w:szCs w:val="20"/>
        </w:rPr>
      </w:pPr>
      <w:r>
        <w:rPr>
          <w:rFonts w:ascii="仿宋" w:hAnsi="仿宋" w:eastAsia="仿宋" w:cs="仿宋"/>
          <w:color w:val="auto"/>
          <w:spacing w:val="-17"/>
          <w:sz w:val="20"/>
          <w:szCs w:val="20"/>
        </w:rPr>
        <w:t>3.2.5 投标报价的其他要求见投标人须</w:t>
      </w:r>
      <w:r>
        <w:rPr>
          <w:rFonts w:ascii="仿宋" w:hAnsi="仿宋" w:eastAsia="仿宋" w:cs="仿宋"/>
          <w:color w:val="auto"/>
          <w:spacing w:val="-18"/>
          <w:sz w:val="20"/>
          <w:szCs w:val="20"/>
        </w:rPr>
        <w:t>知前附表。</w:t>
      </w:r>
    </w:p>
    <w:p w14:paraId="4F3E14EF">
      <w:pPr>
        <w:spacing w:before="164" w:line="222" w:lineRule="auto"/>
        <w:ind w:left="431"/>
        <w:rPr>
          <w:rFonts w:ascii="仿宋" w:hAnsi="仿宋" w:eastAsia="仿宋" w:cs="仿宋"/>
          <w:color w:val="auto"/>
          <w:sz w:val="24"/>
          <w:szCs w:val="24"/>
        </w:rPr>
      </w:pPr>
      <w:r>
        <w:rPr>
          <w:rFonts w:ascii="仿宋" w:hAnsi="仿宋" w:eastAsia="仿宋" w:cs="仿宋"/>
          <w:b/>
          <w:bCs/>
          <w:color w:val="auto"/>
          <w:spacing w:val="-21"/>
          <w:sz w:val="24"/>
          <w:szCs w:val="24"/>
        </w:rPr>
        <w:t>3.3</w:t>
      </w:r>
      <w:r>
        <w:rPr>
          <w:rFonts w:ascii="仿宋" w:hAnsi="仿宋" w:eastAsia="仿宋" w:cs="仿宋"/>
          <w:color w:val="auto"/>
          <w:spacing w:val="-18"/>
          <w:sz w:val="24"/>
          <w:szCs w:val="24"/>
        </w:rPr>
        <w:t xml:space="preserve"> </w:t>
      </w:r>
      <w:r>
        <w:rPr>
          <w:rFonts w:ascii="仿宋" w:hAnsi="仿宋" w:eastAsia="仿宋" w:cs="仿宋"/>
          <w:b/>
          <w:bCs/>
          <w:color w:val="auto"/>
          <w:spacing w:val="-21"/>
          <w:sz w:val="24"/>
          <w:szCs w:val="24"/>
        </w:rPr>
        <w:t>投标有效期</w:t>
      </w:r>
    </w:p>
    <w:p w14:paraId="1F5F4EE2">
      <w:pPr>
        <w:spacing w:before="174" w:line="230" w:lineRule="auto"/>
        <w:ind w:left="369"/>
        <w:rPr>
          <w:rFonts w:ascii="仿宋" w:hAnsi="仿宋" w:eastAsia="仿宋" w:cs="仿宋"/>
          <w:color w:val="auto"/>
          <w:sz w:val="20"/>
          <w:szCs w:val="20"/>
        </w:rPr>
      </w:pPr>
      <w:r>
        <w:rPr>
          <w:rFonts w:ascii="仿宋" w:hAnsi="仿宋" w:eastAsia="仿宋" w:cs="仿宋"/>
          <w:color w:val="auto"/>
          <w:spacing w:val="-19"/>
          <w:sz w:val="20"/>
          <w:szCs w:val="20"/>
        </w:rPr>
        <w:t>3.3.1 除投标人须知前附表另有规定外，投标有效期为提交投标文件截止之日起</w:t>
      </w:r>
      <w:r>
        <w:rPr>
          <w:rFonts w:ascii="仿宋" w:hAnsi="仿宋" w:eastAsia="仿宋" w:cs="仿宋"/>
          <w:color w:val="auto"/>
          <w:spacing w:val="-25"/>
          <w:sz w:val="20"/>
          <w:szCs w:val="20"/>
        </w:rPr>
        <w:t xml:space="preserve"> </w:t>
      </w:r>
      <w:r>
        <w:rPr>
          <w:rFonts w:ascii="仿宋" w:hAnsi="仿宋" w:eastAsia="仿宋" w:cs="仿宋"/>
          <w:color w:val="auto"/>
          <w:spacing w:val="-19"/>
          <w:sz w:val="20"/>
          <w:szCs w:val="20"/>
        </w:rPr>
        <w:t>90</w:t>
      </w:r>
      <w:r>
        <w:rPr>
          <w:rFonts w:ascii="仿宋" w:hAnsi="仿宋" w:eastAsia="仿宋" w:cs="仿宋"/>
          <w:color w:val="auto"/>
          <w:spacing w:val="29"/>
          <w:sz w:val="20"/>
          <w:szCs w:val="20"/>
        </w:rPr>
        <w:t xml:space="preserve"> </w:t>
      </w:r>
      <w:r>
        <w:rPr>
          <w:rFonts w:ascii="仿宋" w:hAnsi="仿宋" w:eastAsia="仿宋" w:cs="仿宋"/>
          <w:color w:val="auto"/>
          <w:spacing w:val="-19"/>
          <w:sz w:val="20"/>
          <w:szCs w:val="20"/>
        </w:rPr>
        <w:t>日历天。</w:t>
      </w:r>
    </w:p>
    <w:p w14:paraId="6B2E47C0">
      <w:pPr>
        <w:spacing w:before="65" w:line="228" w:lineRule="auto"/>
        <w:ind w:left="369"/>
        <w:rPr>
          <w:rFonts w:ascii="仿宋" w:hAnsi="仿宋" w:eastAsia="仿宋" w:cs="仿宋"/>
          <w:color w:val="auto"/>
          <w:sz w:val="20"/>
          <w:szCs w:val="20"/>
        </w:rPr>
      </w:pPr>
      <w:r>
        <w:rPr>
          <w:rFonts w:ascii="仿宋" w:hAnsi="仿宋" w:eastAsia="仿宋" w:cs="仿宋"/>
          <w:color w:val="auto"/>
          <w:spacing w:val="-19"/>
          <w:sz w:val="20"/>
          <w:szCs w:val="20"/>
        </w:rPr>
        <w:t>3.3.2 在投标有效期内，投标人撤销投标文件的，应承担招标文件和法律规定的责任。</w:t>
      </w:r>
    </w:p>
    <w:p w14:paraId="79DC7187">
      <w:pPr>
        <w:spacing w:before="161" w:line="328" w:lineRule="auto"/>
        <w:ind w:left="15" w:firstLine="353"/>
        <w:rPr>
          <w:rFonts w:ascii="仿宋" w:hAnsi="仿宋" w:eastAsia="仿宋" w:cs="仿宋"/>
          <w:color w:val="auto"/>
          <w:sz w:val="20"/>
          <w:szCs w:val="20"/>
        </w:rPr>
      </w:pPr>
      <w:r>
        <w:rPr>
          <w:rFonts w:ascii="仿宋" w:hAnsi="仿宋" w:eastAsia="仿宋" w:cs="仿宋"/>
          <w:color w:val="auto"/>
          <w:spacing w:val="-21"/>
          <w:sz w:val="20"/>
          <w:szCs w:val="20"/>
        </w:rPr>
        <w:t>3.3.3 出现特殊情况需要延长投标有效期的，采购人以书面形式通知所有投标人延长投标有效期。投标人应予以书</w:t>
      </w:r>
      <w:r>
        <w:rPr>
          <w:rFonts w:ascii="仿宋" w:hAnsi="仿宋" w:eastAsia="仿宋" w:cs="仿宋"/>
          <w:color w:val="auto"/>
          <w:spacing w:val="14"/>
          <w:sz w:val="20"/>
          <w:szCs w:val="20"/>
        </w:rPr>
        <w:t xml:space="preserve"> </w:t>
      </w:r>
      <w:r>
        <w:rPr>
          <w:rFonts w:ascii="仿宋" w:hAnsi="仿宋" w:eastAsia="仿宋" w:cs="仿宋"/>
          <w:color w:val="auto"/>
          <w:spacing w:val="-23"/>
          <w:sz w:val="20"/>
          <w:szCs w:val="20"/>
        </w:rPr>
        <w:t>面答复，同意延长的，应相应延长其投标保证金的有效期，但不得要求 或被允许修改其投标文件；投标人拒绝延长的，</w:t>
      </w:r>
      <w:r>
        <w:rPr>
          <w:rFonts w:ascii="仿宋" w:hAnsi="仿宋" w:eastAsia="仿宋" w:cs="仿宋"/>
          <w:color w:val="auto"/>
          <w:spacing w:val="14"/>
          <w:sz w:val="20"/>
          <w:szCs w:val="20"/>
        </w:rPr>
        <w:t xml:space="preserve"> </w:t>
      </w:r>
      <w:r>
        <w:rPr>
          <w:rFonts w:ascii="仿宋" w:hAnsi="仿宋" w:eastAsia="仿宋" w:cs="仿宋"/>
          <w:color w:val="auto"/>
          <w:spacing w:val="-20"/>
          <w:sz w:val="20"/>
          <w:szCs w:val="20"/>
        </w:rPr>
        <w:t>其投标失效，但投标人有权收回其投标保证金。</w:t>
      </w:r>
    </w:p>
    <w:p w14:paraId="430616FA">
      <w:pPr>
        <w:spacing w:before="163" w:line="221" w:lineRule="auto"/>
        <w:ind w:left="431"/>
        <w:rPr>
          <w:rFonts w:ascii="仿宋" w:hAnsi="仿宋" w:eastAsia="仿宋" w:cs="仿宋"/>
          <w:color w:val="auto"/>
          <w:sz w:val="24"/>
          <w:szCs w:val="24"/>
        </w:rPr>
      </w:pPr>
      <w:r>
        <w:rPr>
          <w:rFonts w:ascii="仿宋" w:hAnsi="仿宋" w:eastAsia="仿宋" w:cs="仿宋"/>
          <w:b/>
          <w:bCs/>
          <w:color w:val="auto"/>
          <w:spacing w:val="-21"/>
          <w:sz w:val="24"/>
          <w:szCs w:val="24"/>
        </w:rPr>
        <w:t>3.4</w:t>
      </w:r>
      <w:r>
        <w:rPr>
          <w:rFonts w:ascii="仿宋" w:hAnsi="仿宋" w:eastAsia="仿宋" w:cs="仿宋"/>
          <w:color w:val="auto"/>
          <w:spacing w:val="-18"/>
          <w:sz w:val="24"/>
          <w:szCs w:val="24"/>
        </w:rPr>
        <w:t xml:space="preserve"> </w:t>
      </w:r>
      <w:r>
        <w:rPr>
          <w:rFonts w:ascii="仿宋" w:hAnsi="仿宋" w:eastAsia="仿宋" w:cs="仿宋"/>
          <w:b/>
          <w:bCs/>
          <w:color w:val="auto"/>
          <w:spacing w:val="-21"/>
          <w:sz w:val="24"/>
          <w:szCs w:val="24"/>
        </w:rPr>
        <w:t>投标保证金</w:t>
      </w:r>
    </w:p>
    <w:p w14:paraId="39367509">
      <w:pPr>
        <w:spacing w:before="173" w:line="362" w:lineRule="auto"/>
        <w:ind w:left="13" w:right="43" w:firstLine="359"/>
        <w:rPr>
          <w:rFonts w:ascii="仿宋" w:hAnsi="仿宋" w:eastAsia="仿宋" w:cs="仿宋"/>
          <w:color w:val="auto"/>
          <w:sz w:val="20"/>
          <w:szCs w:val="20"/>
        </w:rPr>
      </w:pPr>
      <w:r>
        <w:rPr>
          <w:rFonts w:ascii="仿宋" w:hAnsi="仿宋" w:eastAsia="仿宋" w:cs="仿宋"/>
          <w:color w:val="auto"/>
          <w:spacing w:val="-21"/>
          <w:sz w:val="20"/>
          <w:szCs w:val="20"/>
        </w:rPr>
        <w:t>依据河南省财政厅《关于优化政府采购营商环境有关问题的通知》（豫财购〔2019〕4 号）文件要求，本项目免收</w:t>
      </w:r>
      <w:r>
        <w:rPr>
          <w:rFonts w:ascii="仿宋" w:hAnsi="仿宋" w:eastAsia="仿宋" w:cs="仿宋"/>
          <w:color w:val="auto"/>
          <w:spacing w:val="8"/>
          <w:sz w:val="20"/>
          <w:szCs w:val="20"/>
        </w:rPr>
        <w:t xml:space="preserve"> </w:t>
      </w:r>
      <w:r>
        <w:rPr>
          <w:rFonts w:ascii="仿宋" w:hAnsi="仿宋" w:eastAsia="仿宋" w:cs="仿宋"/>
          <w:color w:val="auto"/>
          <w:spacing w:val="-15"/>
          <w:sz w:val="20"/>
          <w:szCs w:val="20"/>
        </w:rPr>
        <w:t>投标保证金。</w:t>
      </w:r>
    </w:p>
    <w:p w14:paraId="20BF5092">
      <w:pPr>
        <w:spacing w:before="39" w:line="220" w:lineRule="auto"/>
        <w:ind w:left="431"/>
        <w:rPr>
          <w:rFonts w:ascii="仿宋" w:hAnsi="仿宋" w:eastAsia="仿宋" w:cs="仿宋"/>
          <w:color w:val="auto"/>
          <w:sz w:val="24"/>
          <w:szCs w:val="24"/>
        </w:rPr>
      </w:pPr>
      <w:r>
        <w:rPr>
          <w:rFonts w:ascii="仿宋" w:hAnsi="仿宋" w:eastAsia="仿宋" w:cs="仿宋"/>
          <w:b/>
          <w:bCs/>
          <w:color w:val="auto"/>
          <w:spacing w:val="-22"/>
          <w:sz w:val="24"/>
          <w:szCs w:val="24"/>
        </w:rPr>
        <w:t>3.5</w:t>
      </w:r>
      <w:r>
        <w:rPr>
          <w:rFonts w:ascii="仿宋" w:hAnsi="仿宋" w:eastAsia="仿宋" w:cs="仿宋"/>
          <w:color w:val="auto"/>
          <w:spacing w:val="-22"/>
          <w:sz w:val="24"/>
          <w:szCs w:val="24"/>
        </w:rPr>
        <w:t xml:space="preserve"> </w:t>
      </w:r>
      <w:r>
        <w:rPr>
          <w:rFonts w:ascii="仿宋" w:hAnsi="仿宋" w:eastAsia="仿宋" w:cs="仿宋"/>
          <w:b/>
          <w:bCs/>
          <w:color w:val="auto"/>
          <w:spacing w:val="-22"/>
          <w:sz w:val="24"/>
          <w:szCs w:val="24"/>
        </w:rPr>
        <w:t>资格审查资料</w:t>
      </w:r>
    </w:p>
    <w:p w14:paraId="688683EE">
      <w:pPr>
        <w:spacing w:before="175" w:line="229" w:lineRule="auto"/>
        <w:ind w:left="369"/>
        <w:rPr>
          <w:rFonts w:ascii="仿宋" w:hAnsi="仿宋" w:eastAsia="仿宋" w:cs="仿宋"/>
          <w:color w:val="auto"/>
          <w:sz w:val="20"/>
          <w:szCs w:val="20"/>
        </w:rPr>
      </w:pPr>
      <w:r>
        <w:rPr>
          <w:rFonts w:ascii="仿宋" w:hAnsi="仿宋" w:eastAsia="仿宋" w:cs="仿宋"/>
          <w:color w:val="auto"/>
          <w:spacing w:val="-17"/>
          <w:sz w:val="20"/>
          <w:szCs w:val="20"/>
        </w:rPr>
        <w:t>3.5.1 根据第六章内容提供证明材料。</w:t>
      </w:r>
    </w:p>
    <w:p w14:paraId="58D19451">
      <w:pPr>
        <w:spacing w:before="162" w:line="229" w:lineRule="auto"/>
        <w:ind w:left="369"/>
        <w:rPr>
          <w:rFonts w:ascii="仿宋" w:hAnsi="仿宋" w:eastAsia="仿宋" w:cs="仿宋"/>
          <w:color w:val="auto"/>
          <w:sz w:val="20"/>
          <w:szCs w:val="20"/>
        </w:rPr>
      </w:pPr>
      <w:r>
        <w:rPr>
          <w:rFonts w:ascii="仿宋" w:hAnsi="仿宋" w:eastAsia="仿宋" w:cs="仿宋"/>
          <w:color w:val="auto"/>
          <w:spacing w:val="-19"/>
          <w:sz w:val="20"/>
          <w:szCs w:val="20"/>
        </w:rPr>
        <w:t>3.5.2 投标人须知前附表规定接受联合体投标的，联合体各方均应提供资格审查资料。</w:t>
      </w:r>
    </w:p>
    <w:p w14:paraId="14761400">
      <w:pPr>
        <w:spacing w:before="160" w:line="229" w:lineRule="auto"/>
        <w:ind w:left="369"/>
        <w:rPr>
          <w:rFonts w:ascii="仿宋" w:hAnsi="仿宋" w:eastAsia="仿宋" w:cs="仿宋"/>
          <w:color w:val="auto"/>
          <w:sz w:val="20"/>
          <w:szCs w:val="20"/>
        </w:rPr>
      </w:pPr>
      <w:r>
        <w:rPr>
          <w:rFonts w:ascii="仿宋" w:hAnsi="仿宋" w:eastAsia="仿宋" w:cs="仿宋"/>
          <w:color w:val="auto"/>
          <w:spacing w:val="-18"/>
          <w:sz w:val="20"/>
          <w:szCs w:val="20"/>
        </w:rPr>
        <w:t>3.5.3 资格审查资料的特殊要求见投标人须知前附表。</w:t>
      </w:r>
    </w:p>
    <w:p w14:paraId="16E71509">
      <w:pPr>
        <w:spacing w:before="165" w:line="222" w:lineRule="auto"/>
        <w:ind w:left="431"/>
        <w:rPr>
          <w:rFonts w:ascii="仿宋" w:hAnsi="仿宋" w:eastAsia="仿宋" w:cs="仿宋"/>
          <w:color w:val="auto"/>
          <w:sz w:val="24"/>
          <w:szCs w:val="24"/>
        </w:rPr>
      </w:pPr>
      <w:r>
        <w:rPr>
          <w:rFonts w:ascii="仿宋" w:hAnsi="仿宋" w:eastAsia="仿宋" w:cs="仿宋"/>
          <w:b/>
          <w:bCs/>
          <w:color w:val="auto"/>
          <w:spacing w:val="-22"/>
          <w:sz w:val="24"/>
          <w:szCs w:val="24"/>
        </w:rPr>
        <w:t>3.6</w:t>
      </w:r>
      <w:r>
        <w:rPr>
          <w:rFonts w:ascii="仿宋" w:hAnsi="仿宋" w:eastAsia="仿宋" w:cs="仿宋"/>
          <w:color w:val="auto"/>
          <w:spacing w:val="-22"/>
          <w:sz w:val="24"/>
          <w:szCs w:val="24"/>
        </w:rPr>
        <w:t xml:space="preserve"> </w:t>
      </w:r>
      <w:r>
        <w:rPr>
          <w:rFonts w:ascii="仿宋" w:hAnsi="仿宋" w:eastAsia="仿宋" w:cs="仿宋"/>
          <w:b/>
          <w:bCs/>
          <w:color w:val="auto"/>
          <w:spacing w:val="-22"/>
          <w:sz w:val="24"/>
          <w:szCs w:val="24"/>
        </w:rPr>
        <w:t>备选投标方案</w:t>
      </w:r>
    </w:p>
    <w:p w14:paraId="4A4AD3E9">
      <w:pPr>
        <w:spacing w:before="175" w:line="230" w:lineRule="auto"/>
        <w:ind w:left="369"/>
        <w:rPr>
          <w:rFonts w:ascii="仿宋" w:hAnsi="仿宋" w:eastAsia="仿宋" w:cs="仿宋"/>
          <w:color w:val="auto"/>
          <w:sz w:val="20"/>
          <w:szCs w:val="20"/>
        </w:rPr>
      </w:pPr>
      <w:r>
        <w:rPr>
          <w:rFonts w:ascii="仿宋" w:hAnsi="仿宋" w:eastAsia="仿宋" w:cs="仿宋"/>
          <w:color w:val="auto"/>
          <w:spacing w:val="-19"/>
          <w:sz w:val="20"/>
          <w:szCs w:val="20"/>
        </w:rPr>
        <w:t>3.6.1 除投标人须知前附表规定允许外，投标人不得提交备选投标方案，否则其投标将被否</w:t>
      </w:r>
      <w:r>
        <w:rPr>
          <w:rFonts w:ascii="仿宋" w:hAnsi="仿宋" w:eastAsia="仿宋" w:cs="仿宋"/>
          <w:color w:val="auto"/>
          <w:spacing w:val="-8"/>
          <w:sz w:val="20"/>
          <w:szCs w:val="20"/>
        </w:rPr>
        <w:t xml:space="preserve"> </w:t>
      </w:r>
      <w:r>
        <w:rPr>
          <w:rFonts w:ascii="仿宋" w:hAnsi="仿宋" w:eastAsia="仿宋" w:cs="仿宋"/>
          <w:color w:val="auto"/>
          <w:spacing w:val="-19"/>
          <w:sz w:val="20"/>
          <w:szCs w:val="20"/>
        </w:rPr>
        <w:t>决。</w:t>
      </w:r>
    </w:p>
    <w:p w14:paraId="7A1E9BDF">
      <w:pPr>
        <w:spacing w:before="159" w:line="303" w:lineRule="auto"/>
        <w:ind w:left="26" w:right="43" w:firstLine="342"/>
        <w:rPr>
          <w:rFonts w:ascii="仿宋" w:hAnsi="仿宋" w:eastAsia="仿宋" w:cs="仿宋"/>
          <w:color w:val="auto"/>
          <w:sz w:val="20"/>
          <w:szCs w:val="20"/>
        </w:rPr>
      </w:pPr>
      <w:r>
        <w:rPr>
          <w:rFonts w:ascii="仿宋" w:hAnsi="仿宋" w:eastAsia="仿宋" w:cs="仿宋"/>
          <w:color w:val="auto"/>
          <w:spacing w:val="-21"/>
          <w:sz w:val="20"/>
          <w:szCs w:val="20"/>
        </w:rPr>
        <w:t>3.6.2 允许投标人提交备选投标方案的，只有中标人所提交的备选投标方案方可予以考虑。评标委员会认为中标人</w:t>
      </w:r>
      <w:r>
        <w:rPr>
          <w:rFonts w:ascii="仿宋" w:hAnsi="仿宋" w:eastAsia="仿宋" w:cs="仿宋"/>
          <w:color w:val="auto"/>
          <w:spacing w:val="11"/>
          <w:sz w:val="20"/>
          <w:szCs w:val="20"/>
        </w:rPr>
        <w:t xml:space="preserve"> </w:t>
      </w:r>
      <w:r>
        <w:rPr>
          <w:rFonts w:ascii="仿宋" w:hAnsi="仿宋" w:eastAsia="仿宋" w:cs="仿宋"/>
          <w:color w:val="auto"/>
          <w:spacing w:val="-20"/>
          <w:sz w:val="20"/>
          <w:szCs w:val="20"/>
        </w:rPr>
        <w:t>的备选投标方案优于其按照招标文件要求编制的投标</w:t>
      </w:r>
      <w:r>
        <w:rPr>
          <w:rFonts w:ascii="仿宋" w:hAnsi="仿宋" w:eastAsia="仿宋" w:cs="仿宋"/>
          <w:color w:val="auto"/>
          <w:spacing w:val="-21"/>
          <w:sz w:val="20"/>
          <w:szCs w:val="20"/>
        </w:rPr>
        <w:t>方案的，采购人可 以接受该备选投标方案。</w:t>
      </w:r>
    </w:p>
    <w:p w14:paraId="2DA7A192">
      <w:pPr>
        <w:spacing w:before="160" w:line="305" w:lineRule="auto"/>
        <w:ind w:left="19" w:right="43" w:firstLine="350"/>
        <w:rPr>
          <w:rFonts w:ascii="仿宋" w:hAnsi="仿宋" w:eastAsia="仿宋" w:cs="仿宋"/>
          <w:color w:val="auto"/>
          <w:sz w:val="20"/>
          <w:szCs w:val="20"/>
        </w:rPr>
      </w:pPr>
      <w:r>
        <w:rPr>
          <w:rFonts w:ascii="仿宋" w:hAnsi="仿宋" w:eastAsia="仿宋" w:cs="仿宋"/>
          <w:color w:val="auto"/>
          <w:spacing w:val="-19"/>
          <w:sz w:val="20"/>
          <w:szCs w:val="20"/>
        </w:rPr>
        <w:t>3.6.3 投标人提供两个或两个以上投标报价，或者在投标文件中提供一个报价，但同时提供 两个或两个以上供货</w:t>
      </w:r>
      <w:r>
        <w:rPr>
          <w:rFonts w:ascii="仿宋" w:hAnsi="仿宋" w:eastAsia="仿宋" w:cs="仿宋"/>
          <w:color w:val="auto"/>
          <w:spacing w:val="5"/>
          <w:sz w:val="20"/>
          <w:szCs w:val="20"/>
        </w:rPr>
        <w:t xml:space="preserve"> </w:t>
      </w:r>
      <w:r>
        <w:rPr>
          <w:rFonts w:ascii="仿宋" w:hAnsi="仿宋" w:eastAsia="仿宋" w:cs="仿宋"/>
          <w:color w:val="auto"/>
          <w:spacing w:val="-19"/>
          <w:sz w:val="20"/>
          <w:szCs w:val="20"/>
        </w:rPr>
        <w:t>方案的，视为提供备选方案。</w:t>
      </w:r>
    </w:p>
    <w:p w14:paraId="7D39AD75">
      <w:pPr>
        <w:spacing w:before="159" w:line="220" w:lineRule="auto"/>
        <w:ind w:left="431"/>
        <w:rPr>
          <w:rFonts w:ascii="仿宋" w:hAnsi="仿宋" w:eastAsia="仿宋" w:cs="仿宋"/>
          <w:color w:val="auto"/>
          <w:sz w:val="24"/>
          <w:szCs w:val="24"/>
        </w:rPr>
      </w:pPr>
      <w:r>
        <w:rPr>
          <w:rFonts w:ascii="仿宋" w:hAnsi="仿宋" w:eastAsia="仿宋" w:cs="仿宋"/>
          <w:b/>
          <w:bCs/>
          <w:color w:val="auto"/>
          <w:spacing w:val="-23"/>
          <w:sz w:val="24"/>
          <w:szCs w:val="24"/>
        </w:rPr>
        <w:t>3.7</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投标文件的制作</w:t>
      </w:r>
    </w:p>
    <w:p w14:paraId="235C1725">
      <w:pPr>
        <w:spacing w:before="177" w:line="229" w:lineRule="auto"/>
        <w:ind w:left="369"/>
        <w:rPr>
          <w:rFonts w:ascii="仿宋" w:hAnsi="仿宋" w:eastAsia="仿宋" w:cs="仿宋"/>
          <w:color w:val="auto"/>
          <w:sz w:val="20"/>
          <w:szCs w:val="20"/>
        </w:rPr>
      </w:pPr>
      <w:r>
        <w:rPr>
          <w:rFonts w:ascii="仿宋" w:hAnsi="仿宋" w:eastAsia="仿宋" w:cs="仿宋"/>
          <w:color w:val="auto"/>
          <w:spacing w:val="-18"/>
          <w:sz w:val="20"/>
          <w:szCs w:val="20"/>
        </w:rPr>
        <w:t>3.7.1 投标人登录“洛阳市公共资源</w:t>
      </w:r>
      <w:r>
        <w:rPr>
          <w:rFonts w:ascii="仿宋" w:hAnsi="仿宋" w:eastAsia="仿宋" w:cs="仿宋"/>
          <w:color w:val="auto"/>
          <w:spacing w:val="-19"/>
          <w:sz w:val="20"/>
          <w:szCs w:val="20"/>
        </w:rPr>
        <w:t>交易中心 ”网站，按要求下载“新点投标文件制作软件 ”。</w:t>
      </w:r>
    </w:p>
    <w:p w14:paraId="729E8AB1">
      <w:pPr>
        <w:spacing w:before="162" w:line="340" w:lineRule="auto"/>
        <w:ind w:left="13" w:right="41" w:firstLine="355"/>
        <w:rPr>
          <w:rFonts w:ascii="仿宋" w:hAnsi="仿宋" w:eastAsia="仿宋" w:cs="仿宋"/>
          <w:color w:val="auto"/>
          <w:sz w:val="20"/>
          <w:szCs w:val="20"/>
        </w:rPr>
      </w:pPr>
      <w:r>
        <w:rPr>
          <w:rFonts w:ascii="仿宋" w:hAnsi="仿宋" w:eastAsia="仿宋" w:cs="仿宋"/>
          <w:color w:val="auto"/>
          <w:spacing w:val="-18"/>
          <w:sz w:val="20"/>
          <w:szCs w:val="20"/>
        </w:rPr>
        <w:t>3.7.2 投标人凭CA 锁登录，并按网上提示自行下载</w:t>
      </w:r>
      <w:r>
        <w:rPr>
          <w:rFonts w:ascii="仿宋" w:hAnsi="仿宋" w:eastAsia="仿宋" w:cs="仿宋"/>
          <w:color w:val="auto"/>
          <w:spacing w:val="-19"/>
          <w:sz w:val="20"/>
          <w:szCs w:val="20"/>
        </w:rPr>
        <w:t>招标文件。使用“新点投标文件制作软件”按要求制作电子投</w:t>
      </w:r>
      <w:r>
        <w:rPr>
          <w:rFonts w:ascii="仿宋" w:hAnsi="仿宋" w:eastAsia="仿宋" w:cs="仿宋"/>
          <w:color w:val="auto"/>
          <w:sz w:val="20"/>
          <w:szCs w:val="20"/>
        </w:rPr>
        <w:t xml:space="preserve"> </w:t>
      </w:r>
      <w:r>
        <w:rPr>
          <w:rFonts w:ascii="仿宋" w:hAnsi="仿宋" w:eastAsia="仿宋" w:cs="仿宋"/>
          <w:color w:val="auto"/>
          <w:spacing w:val="-20"/>
          <w:sz w:val="20"/>
          <w:szCs w:val="20"/>
        </w:rPr>
        <w:t>标文件。投标人在制作电子投标文件时，应按要求进行电子签章。投标 人编辑电子投标文件时，根据招标文件</w:t>
      </w:r>
      <w:r>
        <w:rPr>
          <w:rFonts w:ascii="仿宋" w:hAnsi="仿宋" w:eastAsia="仿宋" w:cs="仿宋"/>
          <w:color w:val="auto"/>
          <w:spacing w:val="-21"/>
          <w:sz w:val="20"/>
          <w:szCs w:val="20"/>
        </w:rPr>
        <w:t>要求用</w:t>
      </w:r>
      <w:r>
        <w:rPr>
          <w:rFonts w:ascii="仿宋" w:hAnsi="仿宋" w:eastAsia="仿宋" w:cs="仿宋"/>
          <w:color w:val="auto"/>
          <w:sz w:val="20"/>
          <w:szCs w:val="20"/>
        </w:rPr>
        <w:t xml:space="preserve"> </w:t>
      </w:r>
      <w:r>
        <w:rPr>
          <w:rFonts w:ascii="仿宋" w:hAnsi="仿宋" w:eastAsia="仿宋" w:cs="仿宋"/>
          <w:color w:val="auto"/>
          <w:spacing w:val="-17"/>
          <w:sz w:val="20"/>
          <w:szCs w:val="20"/>
        </w:rPr>
        <w:t>法定代表人</w:t>
      </w:r>
      <w:r>
        <w:rPr>
          <w:rFonts w:ascii="仿宋" w:hAnsi="仿宋" w:eastAsia="仿宋" w:cs="仿宋"/>
          <w:color w:val="auto"/>
          <w:spacing w:val="-37"/>
          <w:sz w:val="20"/>
          <w:szCs w:val="20"/>
        </w:rPr>
        <w:t xml:space="preserve"> </w:t>
      </w:r>
      <w:r>
        <w:rPr>
          <w:rFonts w:ascii="仿宋" w:hAnsi="仿宋" w:eastAsia="仿宋" w:cs="仿宋"/>
          <w:color w:val="auto"/>
          <w:spacing w:val="-17"/>
          <w:sz w:val="20"/>
          <w:szCs w:val="20"/>
        </w:rPr>
        <w:t>CA 锁和企业</w:t>
      </w:r>
      <w:r>
        <w:rPr>
          <w:rFonts w:ascii="仿宋" w:hAnsi="仿宋" w:eastAsia="仿宋" w:cs="仿宋"/>
          <w:color w:val="auto"/>
          <w:spacing w:val="-35"/>
          <w:sz w:val="20"/>
          <w:szCs w:val="20"/>
        </w:rPr>
        <w:t xml:space="preserve"> </w:t>
      </w:r>
      <w:r>
        <w:rPr>
          <w:rFonts w:ascii="仿宋" w:hAnsi="仿宋" w:eastAsia="仿宋" w:cs="仿宋"/>
          <w:color w:val="auto"/>
          <w:spacing w:val="-17"/>
          <w:sz w:val="20"/>
          <w:szCs w:val="20"/>
        </w:rPr>
        <w:t>CA 锁进行签章制作；最 后一步生成电子投标文件（*.l</w:t>
      </w:r>
      <w:r>
        <w:rPr>
          <w:rFonts w:ascii="仿宋" w:hAnsi="仿宋" w:eastAsia="仿宋" w:cs="仿宋"/>
          <w:color w:val="auto"/>
          <w:spacing w:val="-18"/>
          <w:sz w:val="20"/>
          <w:szCs w:val="20"/>
        </w:rPr>
        <w:t>ytf 格式和*.nlytf</w:t>
      </w:r>
      <w:r>
        <w:rPr>
          <w:rFonts w:ascii="仿宋" w:hAnsi="仿宋" w:eastAsia="仿宋" w:cs="仿宋"/>
          <w:color w:val="auto"/>
          <w:spacing w:val="-16"/>
          <w:sz w:val="20"/>
          <w:szCs w:val="20"/>
        </w:rPr>
        <w:t xml:space="preserve"> </w:t>
      </w:r>
      <w:r>
        <w:rPr>
          <w:rFonts w:ascii="仿宋" w:hAnsi="仿宋" w:eastAsia="仿宋" w:cs="仿宋"/>
          <w:color w:val="auto"/>
          <w:spacing w:val="-18"/>
          <w:sz w:val="20"/>
          <w:szCs w:val="20"/>
        </w:rPr>
        <w:t>格式）时，只能</w:t>
      </w:r>
      <w:r>
        <w:rPr>
          <w:rFonts w:ascii="仿宋" w:hAnsi="仿宋" w:eastAsia="仿宋" w:cs="仿宋"/>
          <w:color w:val="auto"/>
          <w:sz w:val="20"/>
          <w:szCs w:val="20"/>
        </w:rPr>
        <w:t xml:space="preserve"> </w:t>
      </w:r>
      <w:r>
        <w:rPr>
          <w:rFonts w:ascii="仿宋" w:hAnsi="仿宋" w:eastAsia="仿宋" w:cs="仿宋"/>
          <w:color w:val="auto"/>
          <w:spacing w:val="-18"/>
          <w:sz w:val="20"/>
          <w:szCs w:val="20"/>
        </w:rPr>
        <w:t>用本单位的企业</w:t>
      </w:r>
      <w:r>
        <w:rPr>
          <w:rFonts w:ascii="仿宋" w:hAnsi="仿宋" w:eastAsia="仿宋" w:cs="仿宋"/>
          <w:color w:val="auto"/>
          <w:spacing w:val="-37"/>
          <w:sz w:val="20"/>
          <w:szCs w:val="20"/>
        </w:rPr>
        <w:t xml:space="preserve"> </w:t>
      </w:r>
      <w:r>
        <w:rPr>
          <w:rFonts w:ascii="仿宋" w:hAnsi="仿宋" w:eastAsia="仿宋" w:cs="仿宋"/>
          <w:color w:val="auto"/>
          <w:spacing w:val="-18"/>
          <w:sz w:val="20"/>
          <w:szCs w:val="20"/>
        </w:rPr>
        <w:t>CA 锁。联合</w:t>
      </w:r>
      <w:r>
        <w:rPr>
          <w:rFonts w:ascii="仿宋" w:hAnsi="仿宋" w:eastAsia="仿宋" w:cs="仿宋"/>
          <w:color w:val="auto"/>
          <w:spacing w:val="-26"/>
          <w:sz w:val="20"/>
          <w:szCs w:val="20"/>
        </w:rPr>
        <w:t xml:space="preserve"> </w:t>
      </w:r>
      <w:r>
        <w:rPr>
          <w:rFonts w:ascii="仿宋" w:hAnsi="仿宋" w:eastAsia="仿宋" w:cs="仿宋"/>
          <w:color w:val="auto"/>
          <w:spacing w:val="-18"/>
          <w:sz w:val="20"/>
          <w:szCs w:val="20"/>
        </w:rPr>
        <w:t>体投标的，投</w:t>
      </w:r>
      <w:r>
        <w:rPr>
          <w:rFonts w:ascii="仿宋" w:hAnsi="仿宋" w:eastAsia="仿宋" w:cs="仿宋"/>
          <w:color w:val="auto"/>
          <w:spacing w:val="-19"/>
          <w:sz w:val="20"/>
          <w:szCs w:val="20"/>
        </w:rPr>
        <w:t>标文件由联合体牵头人按上述规定进行签章。</w:t>
      </w:r>
    </w:p>
    <w:p w14:paraId="4346839F">
      <w:pPr>
        <w:spacing w:before="159" w:line="304" w:lineRule="auto"/>
        <w:ind w:left="13" w:right="43" w:firstLine="355"/>
        <w:rPr>
          <w:rFonts w:ascii="仿宋" w:hAnsi="仿宋" w:eastAsia="仿宋" w:cs="仿宋"/>
          <w:color w:val="auto"/>
          <w:sz w:val="20"/>
          <w:szCs w:val="20"/>
        </w:rPr>
      </w:pPr>
      <w:r>
        <w:rPr>
          <w:rFonts w:ascii="仿宋" w:hAnsi="仿宋" w:eastAsia="仿宋" w:cs="仿宋"/>
          <w:color w:val="auto"/>
          <w:spacing w:val="-18"/>
          <w:sz w:val="20"/>
          <w:szCs w:val="20"/>
        </w:rPr>
        <w:t>3.7.3 加密的电子投标文件为“洛阳市公共资源交易中心 ”网</w:t>
      </w:r>
      <w:r>
        <w:rPr>
          <w:rFonts w:ascii="仿宋" w:hAnsi="仿宋" w:eastAsia="仿宋" w:cs="仿宋"/>
          <w:color w:val="auto"/>
          <w:spacing w:val="-19"/>
          <w:sz w:val="20"/>
          <w:szCs w:val="20"/>
        </w:rPr>
        <w:t>站提供的“新点投标文件制作</w:t>
      </w:r>
      <w:r>
        <w:rPr>
          <w:rFonts w:ascii="仿宋" w:hAnsi="仿宋" w:eastAsia="仿宋" w:cs="仿宋"/>
          <w:color w:val="auto"/>
          <w:spacing w:val="-26"/>
          <w:sz w:val="20"/>
          <w:szCs w:val="20"/>
        </w:rPr>
        <w:t xml:space="preserve"> </w:t>
      </w:r>
      <w:r>
        <w:rPr>
          <w:rFonts w:ascii="仿宋" w:hAnsi="仿宋" w:eastAsia="仿宋" w:cs="仿宋"/>
          <w:color w:val="auto"/>
          <w:spacing w:val="-19"/>
          <w:sz w:val="20"/>
          <w:szCs w:val="20"/>
        </w:rPr>
        <w:t>软件 ”制作生成的</w:t>
      </w:r>
      <w:r>
        <w:rPr>
          <w:rFonts w:ascii="仿宋" w:hAnsi="仿宋" w:eastAsia="仿宋" w:cs="仿宋"/>
          <w:color w:val="auto"/>
          <w:sz w:val="20"/>
          <w:szCs w:val="20"/>
        </w:rPr>
        <w:t xml:space="preserve"> </w:t>
      </w:r>
      <w:r>
        <w:rPr>
          <w:rFonts w:ascii="仿宋" w:hAnsi="仿宋" w:eastAsia="仿宋" w:cs="仿宋"/>
          <w:color w:val="auto"/>
          <w:spacing w:val="-20"/>
          <w:sz w:val="20"/>
          <w:szCs w:val="20"/>
        </w:rPr>
        <w:t>加密版投标文件。未加密的电子投标文件应与加密的电子投标文件为同时生</w:t>
      </w:r>
      <w:r>
        <w:rPr>
          <w:rFonts w:ascii="仿宋" w:hAnsi="仿宋" w:eastAsia="仿宋" w:cs="仿宋"/>
          <w:color w:val="auto"/>
          <w:spacing w:val="-22"/>
          <w:sz w:val="20"/>
          <w:szCs w:val="20"/>
        </w:rPr>
        <w:t xml:space="preserve"> </w:t>
      </w:r>
      <w:r>
        <w:rPr>
          <w:rFonts w:ascii="仿宋" w:hAnsi="仿宋" w:eastAsia="仿宋" w:cs="仿宋"/>
          <w:color w:val="auto"/>
          <w:spacing w:val="-20"/>
          <w:sz w:val="20"/>
          <w:szCs w:val="20"/>
        </w:rPr>
        <w:t>成的版本。</w:t>
      </w:r>
    </w:p>
    <w:p w14:paraId="0A4A95B1">
      <w:pPr>
        <w:spacing w:before="161" w:line="302" w:lineRule="auto"/>
        <w:ind w:left="20" w:right="43" w:firstLine="349"/>
        <w:rPr>
          <w:rFonts w:ascii="仿宋" w:hAnsi="仿宋" w:eastAsia="仿宋" w:cs="仿宋"/>
          <w:color w:val="auto"/>
          <w:sz w:val="20"/>
          <w:szCs w:val="20"/>
        </w:rPr>
      </w:pPr>
      <w:r>
        <w:rPr>
          <w:rFonts w:ascii="仿宋" w:hAnsi="仿宋" w:eastAsia="仿宋" w:cs="仿宋"/>
          <w:color w:val="auto"/>
          <w:spacing w:val="-19"/>
          <w:sz w:val="20"/>
          <w:szCs w:val="20"/>
        </w:rPr>
        <w:t>3.7.4 招标文件格式所要求包含的全部资料应全部制作在投标文件内，严格按照本项目招标</w:t>
      </w:r>
      <w:r>
        <w:rPr>
          <w:rFonts w:ascii="仿宋" w:hAnsi="仿宋" w:eastAsia="仿宋" w:cs="仿宋"/>
          <w:color w:val="auto"/>
          <w:spacing w:val="-14"/>
          <w:sz w:val="20"/>
          <w:szCs w:val="20"/>
        </w:rPr>
        <w:t xml:space="preserve"> </w:t>
      </w:r>
      <w:r>
        <w:rPr>
          <w:rFonts w:ascii="仿宋" w:hAnsi="仿宋" w:eastAsia="仿宋" w:cs="仿宋"/>
          <w:color w:val="auto"/>
          <w:spacing w:val="-19"/>
          <w:sz w:val="20"/>
          <w:szCs w:val="20"/>
        </w:rPr>
        <w:t>文件所有格式如实填</w:t>
      </w:r>
      <w:r>
        <w:rPr>
          <w:rFonts w:ascii="仿宋" w:hAnsi="仿宋" w:eastAsia="仿宋" w:cs="仿宋"/>
          <w:color w:val="auto"/>
          <w:sz w:val="20"/>
          <w:szCs w:val="20"/>
        </w:rPr>
        <w:t xml:space="preserve"> </w:t>
      </w:r>
      <w:r>
        <w:rPr>
          <w:rFonts w:ascii="仿宋" w:hAnsi="仿宋" w:eastAsia="仿宋" w:cs="仿宋"/>
          <w:color w:val="auto"/>
          <w:spacing w:val="-20"/>
          <w:sz w:val="20"/>
          <w:szCs w:val="20"/>
        </w:rPr>
        <w:t>写（不涉及的内容除外</w:t>
      </w:r>
      <w:r>
        <w:rPr>
          <w:rFonts w:ascii="仿宋" w:hAnsi="仿宋" w:eastAsia="仿宋" w:cs="仿宋"/>
          <w:color w:val="auto"/>
          <w:spacing w:val="-50"/>
          <w:w w:val="90"/>
          <w:sz w:val="20"/>
          <w:szCs w:val="20"/>
        </w:rPr>
        <w:t>），</w:t>
      </w:r>
      <w:r>
        <w:rPr>
          <w:rFonts w:ascii="仿宋" w:hAnsi="仿宋" w:eastAsia="仿宋" w:cs="仿宋"/>
          <w:color w:val="auto"/>
          <w:spacing w:val="-20"/>
          <w:sz w:val="20"/>
          <w:szCs w:val="20"/>
        </w:rPr>
        <w:t>不应存在漏项或缺项，否则将存在投标文件被 否决的风险。</w:t>
      </w:r>
    </w:p>
    <w:p w14:paraId="28CFE808">
      <w:pPr>
        <w:spacing w:before="161" w:line="328" w:lineRule="auto"/>
        <w:ind w:left="17" w:right="41" w:firstLine="351"/>
        <w:rPr>
          <w:rFonts w:ascii="仿宋" w:hAnsi="仿宋" w:eastAsia="仿宋" w:cs="仿宋"/>
          <w:color w:val="auto"/>
          <w:sz w:val="20"/>
          <w:szCs w:val="20"/>
        </w:rPr>
      </w:pPr>
      <w:r>
        <w:rPr>
          <w:rFonts w:ascii="仿宋" w:hAnsi="仿宋" w:eastAsia="仿宋" w:cs="仿宋"/>
          <w:color w:val="auto"/>
          <w:spacing w:val="-19"/>
          <w:sz w:val="20"/>
          <w:szCs w:val="20"/>
        </w:rPr>
        <w:t>3.7.5 投标文件所附证明材料均为原件的扫描件，尺寸和清晰度应该能够在电脑上被阅读、 识别和判断；若投标</w:t>
      </w:r>
      <w:r>
        <w:rPr>
          <w:rFonts w:ascii="仿宋" w:hAnsi="仿宋" w:eastAsia="仿宋" w:cs="仿宋"/>
          <w:color w:val="auto"/>
          <w:spacing w:val="5"/>
          <w:sz w:val="20"/>
          <w:szCs w:val="20"/>
        </w:rPr>
        <w:t xml:space="preserve"> </w:t>
      </w:r>
      <w:r>
        <w:rPr>
          <w:rFonts w:ascii="仿宋" w:hAnsi="仿宋" w:eastAsia="仿宋" w:cs="仿宋"/>
          <w:color w:val="auto"/>
          <w:spacing w:val="-20"/>
          <w:sz w:val="20"/>
          <w:szCs w:val="20"/>
        </w:rPr>
        <w:t>人未按要求提供证明材料或提供不清晰的扫描件的，评标委员会有权认定 其投标文件未对招标文件有</w:t>
      </w:r>
      <w:r>
        <w:rPr>
          <w:rFonts w:ascii="仿宋" w:hAnsi="仿宋" w:eastAsia="仿宋" w:cs="仿宋"/>
          <w:color w:val="auto"/>
          <w:spacing w:val="-21"/>
          <w:sz w:val="20"/>
          <w:szCs w:val="20"/>
        </w:rPr>
        <w:t>关要求进行响应</w:t>
      </w:r>
      <w:r>
        <w:rPr>
          <w:rFonts w:ascii="仿宋" w:hAnsi="仿宋" w:eastAsia="仿宋" w:cs="仿宋"/>
          <w:color w:val="auto"/>
          <w:sz w:val="20"/>
          <w:szCs w:val="20"/>
        </w:rPr>
        <w:t xml:space="preserve"> </w:t>
      </w:r>
      <w:r>
        <w:rPr>
          <w:rFonts w:ascii="仿宋" w:hAnsi="仿宋" w:eastAsia="仿宋" w:cs="仿宋"/>
          <w:color w:val="auto"/>
          <w:spacing w:val="-22"/>
          <w:sz w:val="20"/>
          <w:szCs w:val="20"/>
        </w:rPr>
        <w:t>,</w:t>
      </w:r>
      <w:r>
        <w:rPr>
          <w:rFonts w:ascii="仿宋" w:hAnsi="仿宋" w:eastAsia="仿宋" w:cs="仿宋"/>
          <w:color w:val="auto"/>
          <w:spacing w:val="49"/>
          <w:sz w:val="20"/>
          <w:szCs w:val="20"/>
        </w:rPr>
        <w:t xml:space="preserve"> </w:t>
      </w:r>
      <w:r>
        <w:rPr>
          <w:rFonts w:ascii="仿宋" w:hAnsi="仿宋" w:eastAsia="仿宋" w:cs="仿宋"/>
          <w:color w:val="auto"/>
          <w:spacing w:val="-22"/>
          <w:sz w:val="20"/>
          <w:szCs w:val="20"/>
        </w:rPr>
        <w:t>涉及资格审查或符合性审查的将不予通过。</w:t>
      </w:r>
    </w:p>
    <w:p w14:paraId="0FDA37E9">
      <w:pPr>
        <w:spacing w:before="160" w:line="230" w:lineRule="auto"/>
        <w:ind w:left="369"/>
        <w:rPr>
          <w:rFonts w:ascii="仿宋" w:hAnsi="仿宋" w:eastAsia="仿宋" w:cs="仿宋"/>
          <w:color w:val="auto"/>
          <w:sz w:val="20"/>
          <w:szCs w:val="20"/>
        </w:rPr>
      </w:pPr>
      <w:r>
        <w:rPr>
          <w:rFonts w:ascii="仿宋" w:hAnsi="仿宋" w:eastAsia="仿宋" w:cs="仿宋"/>
          <w:color w:val="auto"/>
          <w:spacing w:val="-19"/>
          <w:sz w:val="20"/>
          <w:szCs w:val="20"/>
        </w:rPr>
        <w:t>3.7.6 综合标的格式应满足投标人须知前附表关于“暗标”评审的要求，否则其对应的评分</w:t>
      </w:r>
      <w:r>
        <w:rPr>
          <w:rFonts w:ascii="仿宋" w:hAnsi="仿宋" w:eastAsia="仿宋" w:cs="仿宋"/>
          <w:color w:val="auto"/>
          <w:spacing w:val="-20"/>
          <w:sz w:val="20"/>
          <w:szCs w:val="20"/>
        </w:rPr>
        <w:t>点不得分。</w:t>
      </w:r>
    </w:p>
    <w:p w14:paraId="4B9D1B4D">
      <w:pPr>
        <w:spacing w:before="169" w:line="223" w:lineRule="auto"/>
        <w:ind w:left="505"/>
        <w:rPr>
          <w:rFonts w:ascii="仿宋" w:hAnsi="仿宋" w:eastAsia="仿宋" w:cs="仿宋"/>
          <w:color w:val="auto"/>
          <w:sz w:val="28"/>
          <w:szCs w:val="28"/>
        </w:rPr>
      </w:pPr>
      <w:r>
        <w:rPr>
          <w:rFonts w:ascii="仿宋" w:hAnsi="仿宋" w:eastAsia="仿宋" w:cs="仿宋"/>
          <w:b/>
          <w:bCs/>
          <w:color w:val="auto"/>
          <w:spacing w:val="-17"/>
          <w:sz w:val="28"/>
          <w:szCs w:val="28"/>
        </w:rPr>
        <w:t>4、投标</w:t>
      </w:r>
    </w:p>
    <w:p w14:paraId="5553000B">
      <w:pPr>
        <w:spacing w:before="201" w:line="222" w:lineRule="auto"/>
        <w:ind w:left="425"/>
        <w:rPr>
          <w:rFonts w:ascii="仿宋" w:hAnsi="仿宋" w:eastAsia="仿宋" w:cs="仿宋"/>
          <w:color w:val="auto"/>
          <w:sz w:val="24"/>
          <w:szCs w:val="24"/>
        </w:rPr>
      </w:pPr>
      <w:r>
        <w:rPr>
          <w:rFonts w:ascii="仿宋" w:hAnsi="仿宋" w:eastAsia="仿宋" w:cs="仿宋"/>
          <w:b/>
          <w:bCs/>
          <w:color w:val="auto"/>
          <w:spacing w:val="-25"/>
          <w:sz w:val="24"/>
          <w:szCs w:val="24"/>
        </w:rPr>
        <w:t>4.1</w:t>
      </w:r>
      <w:r>
        <w:rPr>
          <w:rFonts w:ascii="仿宋" w:hAnsi="仿宋" w:eastAsia="仿宋" w:cs="仿宋"/>
          <w:color w:val="auto"/>
          <w:spacing w:val="-25"/>
          <w:sz w:val="24"/>
          <w:szCs w:val="24"/>
        </w:rPr>
        <w:t xml:space="preserve"> </w:t>
      </w:r>
      <w:r>
        <w:rPr>
          <w:rFonts w:ascii="仿宋" w:hAnsi="仿宋" w:eastAsia="仿宋" w:cs="仿宋"/>
          <w:b/>
          <w:bCs/>
          <w:color w:val="auto"/>
          <w:spacing w:val="-25"/>
          <w:sz w:val="24"/>
          <w:szCs w:val="24"/>
        </w:rPr>
        <w:t>投标文件的密封和标记</w:t>
      </w:r>
    </w:p>
    <w:p w14:paraId="0CF6FC01">
      <w:pPr>
        <w:spacing w:before="65" w:line="229" w:lineRule="auto"/>
        <w:ind w:left="364"/>
        <w:rPr>
          <w:rFonts w:ascii="仿宋" w:hAnsi="仿宋" w:eastAsia="仿宋" w:cs="仿宋"/>
          <w:color w:val="auto"/>
          <w:sz w:val="20"/>
          <w:szCs w:val="20"/>
        </w:rPr>
      </w:pPr>
      <w:r>
        <w:rPr>
          <w:rFonts w:ascii="仿宋" w:hAnsi="仿宋" w:eastAsia="仿宋" w:cs="仿宋"/>
          <w:color w:val="auto"/>
          <w:spacing w:val="-19"/>
          <w:sz w:val="20"/>
          <w:szCs w:val="20"/>
        </w:rPr>
        <w:t>4.1.1 投标人应当按照招标文件和电子招标投标交易平台的要求上传加密投标文件。</w:t>
      </w:r>
    </w:p>
    <w:p w14:paraId="5FEA88DB">
      <w:pPr>
        <w:spacing w:before="164" w:line="222" w:lineRule="auto"/>
        <w:ind w:left="425"/>
        <w:rPr>
          <w:rFonts w:ascii="仿宋" w:hAnsi="仿宋" w:eastAsia="仿宋" w:cs="仿宋"/>
          <w:color w:val="auto"/>
          <w:sz w:val="24"/>
          <w:szCs w:val="24"/>
        </w:rPr>
      </w:pPr>
      <w:r>
        <w:rPr>
          <w:rFonts w:ascii="仿宋" w:hAnsi="仿宋" w:eastAsia="仿宋" w:cs="仿宋"/>
          <w:b/>
          <w:bCs/>
          <w:color w:val="auto"/>
          <w:spacing w:val="-23"/>
          <w:sz w:val="24"/>
          <w:szCs w:val="24"/>
        </w:rPr>
        <w:t>4.2</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投标文件的提交</w:t>
      </w:r>
    </w:p>
    <w:p w14:paraId="5686BD49">
      <w:pPr>
        <w:spacing w:before="173" w:line="303" w:lineRule="auto"/>
        <w:ind w:left="13" w:right="17" w:firstLine="350"/>
        <w:rPr>
          <w:rFonts w:ascii="仿宋" w:hAnsi="仿宋" w:eastAsia="仿宋" w:cs="仿宋"/>
          <w:color w:val="auto"/>
          <w:sz w:val="20"/>
          <w:szCs w:val="20"/>
        </w:rPr>
      </w:pPr>
      <w:r>
        <w:rPr>
          <w:rFonts w:ascii="仿宋" w:hAnsi="仿宋" w:eastAsia="仿宋" w:cs="仿宋"/>
          <w:color w:val="auto"/>
          <w:spacing w:val="-20"/>
          <w:sz w:val="20"/>
          <w:szCs w:val="20"/>
        </w:rPr>
        <w:t>4.2.1 投标人应在投标人须知前附表</w:t>
      </w:r>
      <w:r>
        <w:rPr>
          <w:rFonts w:ascii="仿宋" w:hAnsi="仿宋" w:eastAsia="仿宋" w:cs="仿宋"/>
          <w:color w:val="auto"/>
          <w:spacing w:val="-21"/>
          <w:sz w:val="20"/>
          <w:szCs w:val="20"/>
        </w:rPr>
        <w:t>规定的投标截止时间前提交投标文件。不接受邮寄、电报、电话、传真等方式</w:t>
      </w:r>
      <w:r>
        <w:rPr>
          <w:rFonts w:ascii="仿宋" w:hAnsi="仿宋" w:eastAsia="仿宋" w:cs="仿宋"/>
          <w:color w:val="auto"/>
          <w:sz w:val="20"/>
          <w:szCs w:val="20"/>
        </w:rPr>
        <w:t xml:space="preserve"> </w:t>
      </w:r>
      <w:r>
        <w:rPr>
          <w:rFonts w:ascii="仿宋" w:hAnsi="仿宋" w:eastAsia="仿宋" w:cs="仿宋"/>
          <w:color w:val="auto"/>
          <w:spacing w:val="-20"/>
          <w:sz w:val="20"/>
          <w:szCs w:val="20"/>
        </w:rPr>
        <w:t>投标。除电子投标文件外，投标时不再接受任何纸质文件、资料等。</w:t>
      </w:r>
    </w:p>
    <w:p w14:paraId="7B6BE38A">
      <w:pPr>
        <w:spacing w:before="160" w:line="230" w:lineRule="auto"/>
        <w:ind w:left="364"/>
        <w:rPr>
          <w:rFonts w:ascii="仿宋" w:hAnsi="仿宋" w:eastAsia="仿宋" w:cs="仿宋"/>
          <w:color w:val="auto"/>
          <w:sz w:val="20"/>
          <w:szCs w:val="20"/>
        </w:rPr>
      </w:pPr>
      <w:r>
        <w:rPr>
          <w:rFonts w:ascii="仿宋" w:hAnsi="仿宋" w:eastAsia="仿宋" w:cs="仿宋"/>
          <w:color w:val="auto"/>
          <w:spacing w:val="-18"/>
          <w:sz w:val="20"/>
          <w:szCs w:val="20"/>
        </w:rPr>
        <w:t>4.2.2 投标人提交投标文件的地点：见投标人须知前附表。</w:t>
      </w:r>
    </w:p>
    <w:p w14:paraId="670AEC53">
      <w:pPr>
        <w:spacing w:before="160" w:line="340" w:lineRule="auto"/>
        <w:ind w:left="13" w:firstLine="350"/>
        <w:rPr>
          <w:rFonts w:ascii="仿宋" w:hAnsi="仿宋" w:eastAsia="仿宋" w:cs="仿宋"/>
          <w:color w:val="auto"/>
          <w:sz w:val="20"/>
          <w:szCs w:val="20"/>
        </w:rPr>
      </w:pPr>
      <w:r>
        <w:rPr>
          <w:rFonts w:ascii="仿宋" w:hAnsi="仿宋" w:eastAsia="仿宋" w:cs="仿宋"/>
          <w:color w:val="auto"/>
          <w:spacing w:val="-17"/>
          <w:sz w:val="20"/>
          <w:szCs w:val="20"/>
        </w:rPr>
        <w:t>4.2.3 投标人应在投标截止时间前上传加密的电子投标文件（*</w:t>
      </w:r>
      <w:r>
        <w:rPr>
          <w:rFonts w:ascii="仿宋" w:hAnsi="仿宋" w:eastAsia="仿宋" w:cs="仿宋"/>
          <w:color w:val="auto"/>
          <w:spacing w:val="-18"/>
          <w:sz w:val="20"/>
          <w:szCs w:val="20"/>
        </w:rPr>
        <w:t>.lytf）到洛阳市电子招投标 交易平台指定位置。</w:t>
      </w:r>
      <w:r>
        <w:rPr>
          <w:rFonts w:ascii="仿宋" w:hAnsi="仿宋" w:eastAsia="仿宋" w:cs="仿宋"/>
          <w:color w:val="auto"/>
          <w:sz w:val="20"/>
          <w:szCs w:val="20"/>
        </w:rPr>
        <w:t xml:space="preserve"> </w:t>
      </w:r>
      <w:r>
        <w:rPr>
          <w:rFonts w:ascii="仿宋" w:hAnsi="仿宋" w:eastAsia="仿宋" w:cs="仿宋"/>
          <w:color w:val="auto"/>
          <w:spacing w:val="-20"/>
          <w:sz w:val="20"/>
          <w:szCs w:val="20"/>
        </w:rPr>
        <w:t>上传时投标人须使用制作该投标文件的同一</w:t>
      </w:r>
      <w:r>
        <w:rPr>
          <w:rFonts w:ascii="仿宋" w:hAnsi="仿宋" w:eastAsia="仿宋" w:cs="仿宋"/>
          <w:color w:val="auto"/>
          <w:spacing w:val="-37"/>
          <w:sz w:val="20"/>
          <w:szCs w:val="20"/>
        </w:rPr>
        <w:t xml:space="preserve"> </w:t>
      </w:r>
      <w:r>
        <w:rPr>
          <w:rFonts w:ascii="仿宋" w:hAnsi="仿宋" w:eastAsia="仿宋" w:cs="仿宋"/>
          <w:color w:val="auto"/>
          <w:spacing w:val="-20"/>
          <w:sz w:val="20"/>
          <w:szCs w:val="20"/>
        </w:rPr>
        <w:t>CA 锁进</w:t>
      </w:r>
      <w:r>
        <w:rPr>
          <w:rFonts w:ascii="仿宋" w:hAnsi="仿宋" w:eastAsia="仿宋" w:cs="仿宋"/>
          <w:color w:val="auto"/>
          <w:spacing w:val="-21"/>
          <w:sz w:val="20"/>
          <w:szCs w:val="20"/>
        </w:rPr>
        <w:t>行上传操作。请投标人在上传时认真检查上传投标文件是否完整、</w:t>
      </w:r>
      <w:r>
        <w:rPr>
          <w:rFonts w:ascii="仿宋" w:hAnsi="仿宋" w:eastAsia="仿宋" w:cs="仿宋"/>
          <w:color w:val="auto"/>
          <w:sz w:val="20"/>
          <w:szCs w:val="20"/>
        </w:rPr>
        <w:t xml:space="preserve"> </w:t>
      </w:r>
      <w:r>
        <w:rPr>
          <w:rFonts w:ascii="仿宋" w:hAnsi="仿宋" w:eastAsia="仿宋" w:cs="仿宋"/>
          <w:color w:val="auto"/>
          <w:spacing w:val="-20"/>
          <w:sz w:val="20"/>
          <w:szCs w:val="20"/>
        </w:rPr>
        <w:t>正确。投标人应充分考虑上传文件时的不可预见因 素，未在投标截止时间前完成上传的，视为逾期送达，洛阳</w:t>
      </w:r>
      <w:r>
        <w:rPr>
          <w:rFonts w:ascii="仿宋" w:hAnsi="仿宋" w:eastAsia="仿宋" w:cs="仿宋"/>
          <w:color w:val="auto"/>
          <w:spacing w:val="-21"/>
          <w:sz w:val="20"/>
          <w:szCs w:val="20"/>
        </w:rPr>
        <w:t>市电子</w:t>
      </w:r>
      <w:r>
        <w:rPr>
          <w:rFonts w:ascii="仿宋" w:hAnsi="仿宋" w:eastAsia="仿宋" w:cs="仿宋"/>
          <w:color w:val="auto"/>
          <w:sz w:val="20"/>
          <w:szCs w:val="20"/>
        </w:rPr>
        <w:t xml:space="preserve"> </w:t>
      </w:r>
      <w:r>
        <w:rPr>
          <w:rFonts w:ascii="仿宋" w:hAnsi="仿宋" w:eastAsia="仿宋" w:cs="仿宋"/>
          <w:color w:val="auto"/>
          <w:spacing w:val="-20"/>
          <w:sz w:val="20"/>
          <w:szCs w:val="20"/>
        </w:rPr>
        <w:t>招投标交易平台将拒绝接收。 上传成功后将得到上传成功的确认。</w:t>
      </w:r>
    </w:p>
    <w:p w14:paraId="1007090D">
      <w:pPr>
        <w:spacing w:before="163" w:line="303" w:lineRule="auto"/>
        <w:ind w:left="19" w:right="19" w:firstLine="345"/>
        <w:rPr>
          <w:rFonts w:ascii="仿宋" w:hAnsi="仿宋" w:eastAsia="仿宋" w:cs="仿宋"/>
          <w:color w:val="auto"/>
          <w:sz w:val="20"/>
          <w:szCs w:val="20"/>
        </w:rPr>
      </w:pPr>
      <w:r>
        <w:rPr>
          <w:rFonts w:ascii="仿宋" w:hAnsi="仿宋" w:eastAsia="仿宋" w:cs="仿宋"/>
          <w:color w:val="auto"/>
          <w:spacing w:val="-21"/>
          <w:sz w:val="20"/>
          <w:szCs w:val="20"/>
        </w:rPr>
        <w:t>4.2.4 投标人因洛阳市电子招投标交易平台问题无法上传电子投标文件时，请在工作时间与交易中心联系。联系方</w:t>
      </w:r>
      <w:r>
        <w:rPr>
          <w:rFonts w:ascii="仿宋" w:hAnsi="仿宋" w:eastAsia="仿宋" w:cs="仿宋"/>
          <w:color w:val="auto"/>
          <w:spacing w:val="16"/>
          <w:sz w:val="20"/>
          <w:szCs w:val="20"/>
        </w:rPr>
        <w:t xml:space="preserve"> </w:t>
      </w:r>
      <w:r>
        <w:rPr>
          <w:rFonts w:ascii="仿宋" w:hAnsi="仿宋" w:eastAsia="仿宋" w:cs="仿宋"/>
          <w:color w:val="auto"/>
          <w:spacing w:val="-19"/>
          <w:sz w:val="20"/>
          <w:szCs w:val="20"/>
        </w:rPr>
        <w:t>式见投标人须知前附表。</w:t>
      </w:r>
    </w:p>
    <w:p w14:paraId="151686E1">
      <w:pPr>
        <w:spacing w:before="159" w:line="230" w:lineRule="auto"/>
        <w:ind w:left="364"/>
        <w:rPr>
          <w:rFonts w:ascii="仿宋" w:hAnsi="仿宋" w:eastAsia="仿宋" w:cs="仿宋"/>
          <w:color w:val="auto"/>
          <w:sz w:val="20"/>
          <w:szCs w:val="20"/>
        </w:rPr>
      </w:pPr>
      <w:r>
        <w:rPr>
          <w:rFonts w:ascii="仿宋" w:hAnsi="仿宋" w:eastAsia="仿宋" w:cs="仿宋"/>
          <w:color w:val="auto"/>
          <w:spacing w:val="-18"/>
          <w:sz w:val="20"/>
          <w:szCs w:val="20"/>
        </w:rPr>
        <w:t>4.2.5 除投标人须知前附表另有规定外，投标</w:t>
      </w:r>
      <w:r>
        <w:rPr>
          <w:rFonts w:ascii="仿宋" w:hAnsi="仿宋" w:eastAsia="仿宋" w:cs="仿宋"/>
          <w:color w:val="auto"/>
          <w:spacing w:val="-19"/>
          <w:sz w:val="20"/>
          <w:szCs w:val="20"/>
        </w:rPr>
        <w:t>人所提交的投标文件不予退还。</w:t>
      </w:r>
    </w:p>
    <w:p w14:paraId="438D7ABF">
      <w:pPr>
        <w:spacing w:before="163" w:line="222" w:lineRule="auto"/>
        <w:ind w:left="425"/>
        <w:rPr>
          <w:rFonts w:ascii="仿宋" w:hAnsi="仿宋" w:eastAsia="仿宋" w:cs="仿宋"/>
          <w:color w:val="auto"/>
          <w:sz w:val="24"/>
          <w:szCs w:val="24"/>
        </w:rPr>
      </w:pPr>
      <w:r>
        <w:rPr>
          <w:rFonts w:ascii="仿宋" w:hAnsi="仿宋" w:eastAsia="仿宋" w:cs="仿宋"/>
          <w:b/>
          <w:bCs/>
          <w:color w:val="auto"/>
          <w:spacing w:val="-25"/>
          <w:sz w:val="24"/>
          <w:szCs w:val="24"/>
        </w:rPr>
        <w:t>4.3</w:t>
      </w:r>
      <w:r>
        <w:rPr>
          <w:rFonts w:ascii="仿宋" w:hAnsi="仿宋" w:eastAsia="仿宋" w:cs="仿宋"/>
          <w:color w:val="auto"/>
          <w:spacing w:val="-25"/>
          <w:sz w:val="24"/>
          <w:szCs w:val="24"/>
        </w:rPr>
        <w:t xml:space="preserve"> </w:t>
      </w:r>
      <w:r>
        <w:rPr>
          <w:rFonts w:ascii="仿宋" w:hAnsi="仿宋" w:eastAsia="仿宋" w:cs="仿宋"/>
          <w:b/>
          <w:bCs/>
          <w:color w:val="auto"/>
          <w:spacing w:val="-25"/>
          <w:sz w:val="24"/>
          <w:szCs w:val="24"/>
        </w:rPr>
        <w:t>投标文件的修改与撤回</w:t>
      </w:r>
    </w:p>
    <w:p w14:paraId="0223CA50">
      <w:pPr>
        <w:spacing w:before="174" w:line="303" w:lineRule="auto"/>
        <w:ind w:left="15" w:right="19" w:firstLine="348"/>
        <w:rPr>
          <w:rFonts w:ascii="仿宋" w:hAnsi="仿宋" w:eastAsia="仿宋" w:cs="仿宋"/>
          <w:color w:val="auto"/>
          <w:sz w:val="20"/>
          <w:szCs w:val="20"/>
        </w:rPr>
      </w:pPr>
      <w:r>
        <w:rPr>
          <w:rFonts w:ascii="仿宋" w:hAnsi="仿宋" w:eastAsia="仿宋" w:cs="仿宋"/>
          <w:color w:val="auto"/>
          <w:spacing w:val="-19"/>
          <w:sz w:val="20"/>
          <w:szCs w:val="20"/>
        </w:rPr>
        <w:t>4.3.1 投标人在提交投标文件后可对其投标文件进行修改并重新上传投标文件或在洛阳市 电子招投标交易平台上</w:t>
      </w:r>
      <w:r>
        <w:rPr>
          <w:rFonts w:ascii="仿宋" w:hAnsi="仿宋" w:eastAsia="仿宋" w:cs="仿宋"/>
          <w:color w:val="auto"/>
          <w:spacing w:val="10"/>
          <w:sz w:val="20"/>
          <w:szCs w:val="20"/>
        </w:rPr>
        <w:t xml:space="preserve"> </w:t>
      </w:r>
      <w:r>
        <w:rPr>
          <w:rFonts w:ascii="仿宋" w:hAnsi="仿宋" w:eastAsia="仿宋" w:cs="仿宋"/>
          <w:color w:val="auto"/>
          <w:spacing w:val="-18"/>
          <w:sz w:val="20"/>
          <w:szCs w:val="20"/>
        </w:rPr>
        <w:t>进行撤回投标的操作。</w:t>
      </w:r>
    </w:p>
    <w:p w14:paraId="3FCFC69B">
      <w:pPr>
        <w:spacing w:before="160" w:line="231" w:lineRule="auto"/>
        <w:ind w:left="364"/>
        <w:rPr>
          <w:rFonts w:ascii="仿宋" w:hAnsi="仿宋" w:eastAsia="仿宋" w:cs="仿宋"/>
          <w:color w:val="auto"/>
          <w:sz w:val="20"/>
          <w:szCs w:val="20"/>
        </w:rPr>
      </w:pPr>
      <w:r>
        <w:rPr>
          <w:rFonts w:ascii="仿宋" w:hAnsi="仿宋" w:eastAsia="仿宋" w:cs="仿宋"/>
          <w:color w:val="auto"/>
          <w:spacing w:val="-17"/>
          <w:sz w:val="20"/>
          <w:szCs w:val="20"/>
        </w:rPr>
        <w:t>4.3.2 投标截止时间以后不得修改投标文件。</w:t>
      </w:r>
    </w:p>
    <w:p w14:paraId="2C94FCA0">
      <w:pPr>
        <w:spacing w:before="168" w:line="223" w:lineRule="auto"/>
        <w:ind w:left="512"/>
        <w:rPr>
          <w:rFonts w:ascii="仿宋" w:hAnsi="仿宋" w:eastAsia="仿宋" w:cs="仿宋"/>
          <w:color w:val="auto"/>
          <w:sz w:val="28"/>
          <w:szCs w:val="28"/>
        </w:rPr>
      </w:pPr>
      <w:r>
        <w:rPr>
          <w:rFonts w:ascii="仿宋" w:hAnsi="仿宋" w:eastAsia="仿宋" w:cs="仿宋"/>
          <w:b/>
          <w:bCs/>
          <w:color w:val="auto"/>
          <w:spacing w:val="-18"/>
          <w:sz w:val="28"/>
          <w:szCs w:val="28"/>
        </w:rPr>
        <w:t>5、开标</w:t>
      </w:r>
    </w:p>
    <w:p w14:paraId="32A25EAA">
      <w:pPr>
        <w:spacing w:before="202" w:line="222" w:lineRule="auto"/>
        <w:ind w:left="431"/>
        <w:rPr>
          <w:rFonts w:ascii="仿宋" w:hAnsi="仿宋" w:eastAsia="仿宋" w:cs="仿宋"/>
          <w:color w:val="auto"/>
          <w:sz w:val="24"/>
          <w:szCs w:val="24"/>
        </w:rPr>
      </w:pPr>
      <w:r>
        <w:rPr>
          <w:rFonts w:ascii="仿宋" w:hAnsi="仿宋" w:eastAsia="仿宋" w:cs="仿宋"/>
          <w:b/>
          <w:bCs/>
          <w:color w:val="auto"/>
          <w:spacing w:val="-23"/>
          <w:sz w:val="24"/>
          <w:szCs w:val="24"/>
        </w:rPr>
        <w:t>5.1</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开标时间和地点</w:t>
      </w:r>
    </w:p>
    <w:p w14:paraId="07B40C15">
      <w:pPr>
        <w:spacing w:before="174" w:line="228" w:lineRule="auto"/>
        <w:ind w:left="373"/>
        <w:rPr>
          <w:rFonts w:ascii="仿宋" w:hAnsi="仿宋" w:eastAsia="仿宋" w:cs="仿宋"/>
          <w:color w:val="auto"/>
          <w:sz w:val="20"/>
          <w:szCs w:val="20"/>
        </w:rPr>
      </w:pPr>
      <w:r>
        <w:rPr>
          <w:rFonts w:ascii="仿宋" w:hAnsi="仿宋" w:eastAsia="仿宋" w:cs="仿宋"/>
          <w:color w:val="auto"/>
          <w:spacing w:val="-18"/>
          <w:sz w:val="20"/>
          <w:szCs w:val="20"/>
        </w:rPr>
        <w:t>采购人在本章第</w:t>
      </w:r>
      <w:r>
        <w:rPr>
          <w:rFonts w:ascii="仿宋" w:hAnsi="仿宋" w:eastAsia="仿宋" w:cs="仿宋"/>
          <w:color w:val="auto"/>
          <w:spacing w:val="-36"/>
          <w:sz w:val="20"/>
          <w:szCs w:val="20"/>
        </w:rPr>
        <w:t xml:space="preserve"> </w:t>
      </w:r>
      <w:r>
        <w:rPr>
          <w:rFonts w:ascii="仿宋" w:hAnsi="仿宋" w:eastAsia="仿宋" w:cs="仿宋"/>
          <w:color w:val="auto"/>
          <w:spacing w:val="-18"/>
          <w:sz w:val="20"/>
          <w:szCs w:val="20"/>
        </w:rPr>
        <w:t>4.2.1 项规定的投标截</w:t>
      </w:r>
      <w:r>
        <w:rPr>
          <w:rFonts w:ascii="仿宋" w:hAnsi="仿宋" w:eastAsia="仿宋" w:cs="仿宋"/>
          <w:color w:val="auto"/>
          <w:spacing w:val="-19"/>
          <w:sz w:val="20"/>
          <w:szCs w:val="20"/>
        </w:rPr>
        <w:t>止时间（开标时间）和投标人须知前附表规定的地点开标。</w:t>
      </w:r>
    </w:p>
    <w:p w14:paraId="5D8B9989">
      <w:pPr>
        <w:spacing w:before="166" w:line="222" w:lineRule="auto"/>
        <w:ind w:left="431"/>
        <w:rPr>
          <w:rFonts w:ascii="仿宋" w:hAnsi="仿宋" w:eastAsia="仿宋" w:cs="仿宋"/>
          <w:color w:val="auto"/>
          <w:sz w:val="24"/>
          <w:szCs w:val="24"/>
        </w:rPr>
      </w:pPr>
      <w:r>
        <w:rPr>
          <w:rFonts w:ascii="仿宋" w:hAnsi="仿宋" w:eastAsia="仿宋" w:cs="仿宋"/>
          <w:b/>
          <w:bCs/>
          <w:color w:val="auto"/>
          <w:spacing w:val="-20"/>
          <w:sz w:val="24"/>
          <w:szCs w:val="24"/>
        </w:rPr>
        <w:t>5.2</w:t>
      </w:r>
      <w:r>
        <w:rPr>
          <w:rFonts w:ascii="仿宋" w:hAnsi="仿宋" w:eastAsia="仿宋" w:cs="仿宋"/>
          <w:color w:val="auto"/>
          <w:spacing w:val="-12"/>
          <w:sz w:val="24"/>
          <w:szCs w:val="24"/>
        </w:rPr>
        <w:t xml:space="preserve"> </w:t>
      </w:r>
      <w:r>
        <w:rPr>
          <w:rFonts w:ascii="仿宋" w:hAnsi="仿宋" w:eastAsia="仿宋" w:cs="仿宋"/>
          <w:b/>
          <w:bCs/>
          <w:color w:val="auto"/>
          <w:spacing w:val="-20"/>
          <w:sz w:val="24"/>
          <w:szCs w:val="24"/>
        </w:rPr>
        <w:t>开标规定</w:t>
      </w:r>
    </w:p>
    <w:p w14:paraId="226DB6F2">
      <w:pPr>
        <w:spacing w:before="171" w:line="328" w:lineRule="auto"/>
        <w:ind w:left="14" w:right="17" w:firstLine="355"/>
        <w:rPr>
          <w:rFonts w:ascii="仿宋" w:hAnsi="仿宋" w:eastAsia="仿宋" w:cs="仿宋"/>
          <w:color w:val="auto"/>
          <w:sz w:val="20"/>
          <w:szCs w:val="20"/>
        </w:rPr>
      </w:pPr>
      <w:r>
        <w:rPr>
          <w:rFonts w:ascii="仿宋" w:hAnsi="仿宋" w:eastAsia="仿宋" w:cs="仿宋"/>
          <w:color w:val="auto"/>
          <w:spacing w:val="-19"/>
          <w:sz w:val="20"/>
          <w:szCs w:val="20"/>
        </w:rPr>
        <w:t>5.2.1 本项目采用远程不见面交易的模式。开标当日，采购人在招标文件规定的时间和地点</w:t>
      </w:r>
      <w:r>
        <w:rPr>
          <w:rFonts w:ascii="仿宋" w:hAnsi="仿宋" w:eastAsia="仿宋" w:cs="仿宋"/>
          <w:color w:val="auto"/>
          <w:spacing w:val="-14"/>
          <w:sz w:val="20"/>
          <w:szCs w:val="20"/>
        </w:rPr>
        <w:t xml:space="preserve"> </w:t>
      </w:r>
      <w:r>
        <w:rPr>
          <w:rFonts w:ascii="仿宋" w:hAnsi="仿宋" w:eastAsia="仿宋" w:cs="仿宋"/>
          <w:color w:val="auto"/>
          <w:spacing w:val="-19"/>
          <w:sz w:val="20"/>
          <w:szCs w:val="20"/>
        </w:rPr>
        <w:t>开标，投标人无需到</w:t>
      </w:r>
      <w:r>
        <w:rPr>
          <w:rFonts w:ascii="仿宋" w:hAnsi="仿宋" w:eastAsia="仿宋" w:cs="仿宋"/>
          <w:color w:val="auto"/>
          <w:sz w:val="20"/>
          <w:szCs w:val="20"/>
        </w:rPr>
        <w:t xml:space="preserve"> </w:t>
      </w:r>
      <w:r>
        <w:rPr>
          <w:rFonts w:ascii="仿宋" w:hAnsi="仿宋" w:eastAsia="仿宋" w:cs="仿宋"/>
          <w:color w:val="auto"/>
          <w:spacing w:val="-20"/>
          <w:sz w:val="20"/>
          <w:szCs w:val="20"/>
        </w:rPr>
        <w:t>开标现场参加开标会议，投标人应当在投标截止时间前，登录远程开标大</w:t>
      </w:r>
      <w:r>
        <w:rPr>
          <w:rFonts w:ascii="仿宋" w:hAnsi="仿宋" w:eastAsia="仿宋" w:cs="仿宋"/>
          <w:color w:val="auto"/>
          <w:spacing w:val="-24"/>
          <w:sz w:val="20"/>
          <w:szCs w:val="20"/>
        </w:rPr>
        <w:t xml:space="preserve"> </w:t>
      </w:r>
      <w:r>
        <w:rPr>
          <w:rFonts w:ascii="仿宋" w:hAnsi="仿宋" w:eastAsia="仿宋" w:cs="仿宋"/>
          <w:color w:val="auto"/>
          <w:spacing w:val="-20"/>
          <w:sz w:val="20"/>
          <w:szCs w:val="20"/>
        </w:rPr>
        <w:t>厅选择洛阳市公共资源电子招投标系统进行</w:t>
      </w:r>
      <w:r>
        <w:rPr>
          <w:rFonts w:ascii="仿宋" w:hAnsi="仿宋" w:eastAsia="仿宋" w:cs="仿宋"/>
          <w:color w:val="auto"/>
          <w:sz w:val="20"/>
          <w:szCs w:val="20"/>
        </w:rPr>
        <w:t xml:space="preserve"> </w:t>
      </w:r>
      <w:r>
        <w:rPr>
          <w:rFonts w:ascii="仿宋" w:hAnsi="仿宋" w:eastAsia="仿宋" w:cs="仿宋"/>
          <w:color w:val="auto"/>
          <w:spacing w:val="-20"/>
          <w:sz w:val="20"/>
          <w:szCs w:val="20"/>
        </w:rPr>
        <w:t>登录，在线准时参加开标活动并进行投标文件解密 等。因投标人原因未能解密、</w:t>
      </w:r>
      <w:r>
        <w:rPr>
          <w:rFonts w:ascii="仿宋" w:hAnsi="仿宋" w:eastAsia="仿宋" w:cs="仿宋"/>
          <w:color w:val="auto"/>
          <w:spacing w:val="-21"/>
          <w:sz w:val="20"/>
          <w:szCs w:val="20"/>
        </w:rPr>
        <w:t>解密失败或解密超时的将被拒绝。</w:t>
      </w:r>
    </w:p>
    <w:p w14:paraId="246D1156">
      <w:pPr>
        <w:spacing w:before="161" w:line="228" w:lineRule="auto"/>
        <w:ind w:left="369"/>
        <w:rPr>
          <w:rFonts w:ascii="仿宋" w:hAnsi="仿宋" w:eastAsia="仿宋" w:cs="仿宋"/>
          <w:color w:val="auto"/>
          <w:sz w:val="20"/>
          <w:szCs w:val="20"/>
        </w:rPr>
      </w:pPr>
      <w:r>
        <w:rPr>
          <w:rFonts w:ascii="仿宋" w:hAnsi="仿宋" w:eastAsia="仿宋" w:cs="仿宋"/>
          <w:color w:val="auto"/>
          <w:spacing w:val="-18"/>
          <w:sz w:val="20"/>
          <w:szCs w:val="20"/>
        </w:rPr>
        <w:t>5.2.2 开标时，各投标人应在规定时间内对本单位的投</w:t>
      </w:r>
      <w:r>
        <w:rPr>
          <w:rFonts w:ascii="仿宋" w:hAnsi="仿宋" w:eastAsia="仿宋" w:cs="仿宋"/>
          <w:color w:val="auto"/>
          <w:spacing w:val="-19"/>
          <w:sz w:val="20"/>
          <w:szCs w:val="20"/>
        </w:rPr>
        <w:t>标文件解密。</w:t>
      </w:r>
    </w:p>
    <w:p w14:paraId="16A11B6C">
      <w:pPr>
        <w:spacing w:before="162" w:line="229" w:lineRule="auto"/>
        <w:ind w:left="369"/>
        <w:rPr>
          <w:rFonts w:ascii="仿宋" w:hAnsi="仿宋" w:eastAsia="仿宋" w:cs="仿宋"/>
          <w:color w:val="auto"/>
          <w:sz w:val="20"/>
          <w:szCs w:val="20"/>
        </w:rPr>
      </w:pPr>
      <w:r>
        <w:rPr>
          <w:rFonts w:ascii="仿宋" w:hAnsi="仿宋" w:eastAsia="仿宋" w:cs="仿宋"/>
          <w:color w:val="auto"/>
          <w:spacing w:val="-18"/>
          <w:sz w:val="20"/>
          <w:szCs w:val="20"/>
        </w:rPr>
        <w:t>5.2.3 开标时，采购代理机构将通过洛阳</w:t>
      </w:r>
      <w:r>
        <w:rPr>
          <w:rFonts w:ascii="仿宋" w:hAnsi="仿宋" w:eastAsia="仿宋" w:cs="仿宋"/>
          <w:color w:val="auto"/>
          <w:spacing w:val="-19"/>
          <w:sz w:val="20"/>
          <w:szCs w:val="20"/>
        </w:rPr>
        <w:t>市电子招投标交易平台进行唱标。</w:t>
      </w:r>
    </w:p>
    <w:p w14:paraId="2F3E91E2">
      <w:pPr>
        <w:spacing w:before="159" w:line="231" w:lineRule="auto"/>
        <w:ind w:left="369"/>
        <w:rPr>
          <w:rFonts w:ascii="仿宋" w:hAnsi="仿宋" w:eastAsia="仿宋" w:cs="仿宋"/>
          <w:color w:val="auto"/>
          <w:sz w:val="20"/>
          <w:szCs w:val="20"/>
        </w:rPr>
      </w:pPr>
      <w:r>
        <w:rPr>
          <w:rFonts w:ascii="仿宋" w:hAnsi="仿宋" w:eastAsia="仿宋" w:cs="仿宋"/>
          <w:color w:val="auto"/>
          <w:spacing w:val="-11"/>
          <w:sz w:val="20"/>
          <w:szCs w:val="20"/>
        </w:rPr>
        <w:t>5.3</w:t>
      </w:r>
      <w:r>
        <w:rPr>
          <w:rFonts w:ascii="仿宋" w:hAnsi="仿宋" w:eastAsia="仿宋" w:cs="仿宋"/>
          <w:color w:val="auto"/>
          <w:spacing w:val="-12"/>
          <w:sz w:val="20"/>
          <w:szCs w:val="20"/>
        </w:rPr>
        <w:t xml:space="preserve"> </w:t>
      </w:r>
      <w:r>
        <w:rPr>
          <w:rFonts w:ascii="仿宋" w:hAnsi="仿宋" w:eastAsia="仿宋" w:cs="仿宋"/>
          <w:color w:val="auto"/>
          <w:spacing w:val="-11"/>
          <w:sz w:val="20"/>
          <w:szCs w:val="20"/>
        </w:rPr>
        <w:t>开标疑义</w:t>
      </w:r>
    </w:p>
    <w:p w14:paraId="01E06865">
      <w:pPr>
        <w:spacing w:before="160" w:line="228" w:lineRule="auto"/>
        <w:ind w:left="373"/>
        <w:rPr>
          <w:rFonts w:ascii="仿宋" w:hAnsi="仿宋" w:eastAsia="仿宋" w:cs="仿宋"/>
          <w:color w:val="auto"/>
          <w:sz w:val="20"/>
          <w:szCs w:val="20"/>
        </w:rPr>
      </w:pPr>
      <w:r>
        <w:rPr>
          <w:rFonts w:ascii="仿宋" w:hAnsi="仿宋" w:eastAsia="仿宋" w:cs="仿宋"/>
          <w:color w:val="auto"/>
          <w:spacing w:val="-20"/>
          <w:sz w:val="20"/>
          <w:szCs w:val="20"/>
        </w:rPr>
        <w:t>对开标过程有疑义的，请现场远程提出。未在规定时间提出</w:t>
      </w:r>
      <w:r>
        <w:rPr>
          <w:rFonts w:ascii="仿宋" w:hAnsi="仿宋" w:eastAsia="仿宋" w:cs="仿宋"/>
          <w:color w:val="auto"/>
          <w:spacing w:val="-21"/>
          <w:sz w:val="20"/>
          <w:szCs w:val="20"/>
        </w:rPr>
        <w:t>异议的，视同投标人承认开标记录。</w:t>
      </w:r>
    </w:p>
    <w:p w14:paraId="42876FF6">
      <w:pPr>
        <w:spacing w:before="172" w:line="223" w:lineRule="auto"/>
        <w:ind w:left="509"/>
        <w:rPr>
          <w:rFonts w:ascii="仿宋" w:hAnsi="仿宋" w:eastAsia="仿宋" w:cs="仿宋"/>
          <w:color w:val="auto"/>
          <w:sz w:val="28"/>
          <w:szCs w:val="28"/>
        </w:rPr>
      </w:pPr>
      <w:r>
        <w:rPr>
          <w:rFonts w:ascii="仿宋" w:hAnsi="仿宋" w:eastAsia="仿宋" w:cs="仿宋"/>
          <w:b/>
          <w:bCs/>
          <w:color w:val="auto"/>
          <w:spacing w:val="-26"/>
          <w:sz w:val="28"/>
          <w:szCs w:val="28"/>
        </w:rPr>
        <w:t>6、资格审查与评标</w:t>
      </w:r>
    </w:p>
    <w:p w14:paraId="11A19491">
      <w:pPr>
        <w:spacing w:before="201" w:line="222" w:lineRule="auto"/>
        <w:ind w:left="428"/>
        <w:rPr>
          <w:rFonts w:ascii="仿宋" w:hAnsi="仿宋" w:eastAsia="仿宋" w:cs="仿宋"/>
          <w:color w:val="auto"/>
          <w:sz w:val="24"/>
          <w:szCs w:val="24"/>
        </w:rPr>
      </w:pPr>
      <w:r>
        <w:rPr>
          <w:rFonts w:ascii="仿宋" w:hAnsi="仿宋" w:eastAsia="仿宋" w:cs="仿宋"/>
          <w:b/>
          <w:bCs/>
          <w:color w:val="auto"/>
          <w:spacing w:val="-26"/>
          <w:sz w:val="24"/>
          <w:szCs w:val="24"/>
        </w:rPr>
        <w:t>6.1</w:t>
      </w:r>
      <w:r>
        <w:rPr>
          <w:rFonts w:ascii="仿宋" w:hAnsi="仿宋" w:eastAsia="仿宋" w:cs="仿宋"/>
          <w:color w:val="auto"/>
          <w:spacing w:val="-26"/>
          <w:sz w:val="24"/>
          <w:szCs w:val="24"/>
        </w:rPr>
        <w:t xml:space="preserve"> </w:t>
      </w:r>
      <w:r>
        <w:rPr>
          <w:rFonts w:ascii="仿宋" w:hAnsi="仿宋" w:eastAsia="仿宋" w:cs="仿宋"/>
          <w:b/>
          <w:bCs/>
          <w:color w:val="auto"/>
          <w:spacing w:val="-26"/>
          <w:sz w:val="24"/>
          <w:szCs w:val="24"/>
        </w:rPr>
        <w:t>资格审查小组与评标委员会</w:t>
      </w:r>
    </w:p>
    <w:p w14:paraId="7A311B2D">
      <w:pPr>
        <w:spacing w:before="174" w:line="328" w:lineRule="auto"/>
        <w:ind w:left="15" w:right="19" w:firstLine="351"/>
        <w:rPr>
          <w:rFonts w:ascii="仿宋" w:hAnsi="仿宋" w:eastAsia="仿宋" w:cs="仿宋"/>
          <w:color w:val="auto"/>
          <w:sz w:val="20"/>
          <w:szCs w:val="20"/>
        </w:rPr>
      </w:pPr>
      <w:r>
        <w:rPr>
          <w:rFonts w:ascii="仿宋" w:hAnsi="仿宋" w:eastAsia="仿宋" w:cs="仿宋"/>
          <w:color w:val="auto"/>
          <w:spacing w:val="-21"/>
          <w:sz w:val="20"/>
          <w:szCs w:val="20"/>
        </w:rPr>
        <w:t>6.1.1 采购人负责资格审查。采购人组建资格审查小组，可以由采购人代表以及评审专家机构组成，在资格审查中</w:t>
      </w:r>
      <w:r>
        <w:rPr>
          <w:rFonts w:ascii="仿宋" w:hAnsi="仿宋" w:eastAsia="仿宋" w:cs="仿宋"/>
          <w:color w:val="auto"/>
          <w:spacing w:val="14"/>
          <w:sz w:val="20"/>
          <w:szCs w:val="20"/>
        </w:rPr>
        <w:t xml:space="preserve"> </w:t>
      </w:r>
      <w:r>
        <w:rPr>
          <w:rFonts w:ascii="仿宋" w:hAnsi="仿宋" w:eastAsia="仿宋" w:cs="仿宋"/>
          <w:color w:val="auto"/>
          <w:spacing w:val="-22"/>
          <w:sz w:val="20"/>
          <w:szCs w:val="20"/>
        </w:rPr>
        <w:t>为采购人提供支持和帮助。评标委员会由采购人代表以及评审专家组成。评标委员会成员人数以及评审专家的</w:t>
      </w:r>
      <w:r>
        <w:rPr>
          <w:rFonts w:ascii="仿宋" w:hAnsi="仿宋" w:eastAsia="仿宋" w:cs="仿宋"/>
          <w:color w:val="auto"/>
          <w:spacing w:val="-23"/>
          <w:sz w:val="20"/>
          <w:szCs w:val="20"/>
        </w:rPr>
        <w:t>确定方式</w:t>
      </w:r>
      <w:r>
        <w:rPr>
          <w:rFonts w:ascii="仿宋" w:hAnsi="仿宋" w:eastAsia="仿宋" w:cs="仿宋"/>
          <w:color w:val="auto"/>
          <w:sz w:val="20"/>
          <w:szCs w:val="20"/>
        </w:rPr>
        <w:t xml:space="preserve"> </w:t>
      </w:r>
      <w:r>
        <w:rPr>
          <w:rFonts w:ascii="仿宋" w:hAnsi="仿宋" w:eastAsia="仿宋" w:cs="仿宋"/>
          <w:color w:val="auto"/>
          <w:spacing w:val="-18"/>
          <w:sz w:val="20"/>
          <w:szCs w:val="20"/>
        </w:rPr>
        <w:t>见投标人须知前附表。</w:t>
      </w:r>
    </w:p>
    <w:p w14:paraId="6E70B728">
      <w:pPr>
        <w:spacing w:before="158" w:line="231" w:lineRule="auto"/>
        <w:ind w:left="366"/>
        <w:rPr>
          <w:rFonts w:ascii="仿宋" w:hAnsi="仿宋" w:eastAsia="仿宋" w:cs="仿宋"/>
          <w:color w:val="auto"/>
          <w:sz w:val="20"/>
          <w:szCs w:val="20"/>
        </w:rPr>
      </w:pPr>
      <w:r>
        <w:rPr>
          <w:rFonts w:ascii="仿宋" w:hAnsi="仿宋" w:eastAsia="仿宋" w:cs="仿宋"/>
          <w:color w:val="auto"/>
          <w:spacing w:val="-18"/>
          <w:sz w:val="20"/>
          <w:szCs w:val="20"/>
        </w:rPr>
        <w:t>6.1.2 评标委员会成员有下列情形之一的，应当回避：</w:t>
      </w:r>
    </w:p>
    <w:p w14:paraId="0A5412E1">
      <w:pPr>
        <w:spacing w:before="65" w:line="228" w:lineRule="auto"/>
        <w:ind w:left="376"/>
        <w:rPr>
          <w:rFonts w:ascii="仿宋" w:hAnsi="仿宋" w:eastAsia="仿宋" w:cs="仿宋"/>
          <w:color w:val="auto"/>
          <w:sz w:val="20"/>
          <w:szCs w:val="20"/>
        </w:rPr>
      </w:pPr>
      <w:r>
        <w:rPr>
          <w:rFonts w:ascii="仿宋" w:hAnsi="仿宋" w:eastAsia="仿宋" w:cs="仿宋"/>
          <w:color w:val="auto"/>
          <w:spacing w:val="-18"/>
          <w:sz w:val="20"/>
          <w:szCs w:val="20"/>
        </w:rPr>
        <w:t>（1）参加采购活动前</w:t>
      </w:r>
      <w:r>
        <w:rPr>
          <w:rFonts w:ascii="仿宋" w:hAnsi="仿宋" w:eastAsia="仿宋" w:cs="仿宋"/>
          <w:color w:val="auto"/>
          <w:spacing w:val="-29"/>
          <w:sz w:val="20"/>
          <w:szCs w:val="20"/>
        </w:rPr>
        <w:t xml:space="preserve"> </w:t>
      </w:r>
      <w:r>
        <w:rPr>
          <w:rFonts w:ascii="仿宋" w:hAnsi="仿宋" w:eastAsia="仿宋" w:cs="仿宋"/>
          <w:color w:val="auto"/>
          <w:spacing w:val="-18"/>
          <w:sz w:val="20"/>
          <w:szCs w:val="20"/>
        </w:rPr>
        <w:t>3 年内与投标人存在劳动关系；</w:t>
      </w:r>
    </w:p>
    <w:p w14:paraId="7C5BE545">
      <w:pPr>
        <w:spacing w:before="161" w:line="230" w:lineRule="auto"/>
        <w:ind w:left="376"/>
        <w:rPr>
          <w:rFonts w:ascii="仿宋" w:hAnsi="仿宋" w:eastAsia="仿宋" w:cs="仿宋"/>
          <w:color w:val="auto"/>
          <w:sz w:val="20"/>
          <w:szCs w:val="20"/>
        </w:rPr>
      </w:pPr>
      <w:r>
        <w:rPr>
          <w:rFonts w:ascii="仿宋" w:hAnsi="仿宋" w:eastAsia="仿宋" w:cs="仿宋"/>
          <w:color w:val="auto"/>
          <w:spacing w:val="-18"/>
          <w:sz w:val="20"/>
          <w:szCs w:val="20"/>
        </w:rPr>
        <w:t>（2）参加采购活动前</w:t>
      </w:r>
      <w:r>
        <w:rPr>
          <w:rFonts w:ascii="仿宋" w:hAnsi="仿宋" w:eastAsia="仿宋" w:cs="仿宋"/>
          <w:color w:val="auto"/>
          <w:spacing w:val="-29"/>
          <w:sz w:val="20"/>
          <w:szCs w:val="20"/>
        </w:rPr>
        <w:t xml:space="preserve"> </w:t>
      </w:r>
      <w:r>
        <w:rPr>
          <w:rFonts w:ascii="仿宋" w:hAnsi="仿宋" w:eastAsia="仿宋" w:cs="仿宋"/>
          <w:color w:val="auto"/>
          <w:spacing w:val="-18"/>
          <w:sz w:val="20"/>
          <w:szCs w:val="20"/>
        </w:rPr>
        <w:t>3 年内担任投标人的董事、</w:t>
      </w:r>
      <w:r>
        <w:rPr>
          <w:rFonts w:ascii="仿宋" w:hAnsi="仿宋" w:eastAsia="仿宋" w:cs="仿宋"/>
          <w:color w:val="auto"/>
          <w:spacing w:val="-19"/>
          <w:sz w:val="20"/>
          <w:szCs w:val="20"/>
        </w:rPr>
        <w:t>监事；</w:t>
      </w:r>
    </w:p>
    <w:p w14:paraId="21FF6E78">
      <w:pPr>
        <w:spacing w:before="161" w:line="230" w:lineRule="auto"/>
        <w:ind w:left="376"/>
        <w:rPr>
          <w:rFonts w:ascii="仿宋" w:hAnsi="仿宋" w:eastAsia="仿宋" w:cs="仿宋"/>
          <w:color w:val="auto"/>
          <w:sz w:val="20"/>
          <w:szCs w:val="20"/>
        </w:rPr>
      </w:pPr>
      <w:r>
        <w:rPr>
          <w:rFonts w:ascii="仿宋" w:hAnsi="仿宋" w:eastAsia="仿宋" w:cs="仿宋"/>
          <w:color w:val="auto"/>
          <w:spacing w:val="-19"/>
          <w:sz w:val="20"/>
          <w:szCs w:val="20"/>
        </w:rPr>
        <w:t>（3）参加采购活动前</w:t>
      </w:r>
      <w:r>
        <w:rPr>
          <w:rFonts w:ascii="仿宋" w:hAnsi="仿宋" w:eastAsia="仿宋" w:cs="仿宋"/>
          <w:color w:val="auto"/>
          <w:spacing w:val="-18"/>
          <w:sz w:val="20"/>
          <w:szCs w:val="20"/>
        </w:rPr>
        <w:t xml:space="preserve"> </w:t>
      </w:r>
      <w:r>
        <w:rPr>
          <w:rFonts w:ascii="仿宋" w:hAnsi="仿宋" w:eastAsia="仿宋" w:cs="仿宋"/>
          <w:color w:val="auto"/>
          <w:spacing w:val="-19"/>
          <w:sz w:val="20"/>
          <w:szCs w:val="20"/>
        </w:rPr>
        <w:t>3 年内是投标人的控股股东或者实际控制人；</w:t>
      </w:r>
    </w:p>
    <w:p w14:paraId="61EF861A">
      <w:pPr>
        <w:spacing w:before="158" w:line="231" w:lineRule="auto"/>
        <w:ind w:left="376"/>
        <w:rPr>
          <w:rFonts w:ascii="仿宋" w:hAnsi="仿宋" w:eastAsia="仿宋" w:cs="仿宋"/>
          <w:color w:val="auto"/>
          <w:sz w:val="20"/>
          <w:szCs w:val="20"/>
        </w:rPr>
      </w:pPr>
      <w:r>
        <w:rPr>
          <w:rFonts w:ascii="仿宋" w:hAnsi="仿宋" w:eastAsia="仿宋" w:cs="仿宋"/>
          <w:color w:val="auto"/>
          <w:spacing w:val="-20"/>
          <w:sz w:val="20"/>
          <w:szCs w:val="20"/>
        </w:rPr>
        <w:t>（4）与投标人的法定代表人或者负责人有夫妻、直系血亲、三代以内旁系血亲或者近姻亲 关系；</w:t>
      </w:r>
    </w:p>
    <w:p w14:paraId="79F9B41F">
      <w:pPr>
        <w:spacing w:before="158"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（5）与投标人有其他可能影响政府采购活动公平、公正进行的关系。</w:t>
      </w:r>
    </w:p>
    <w:p w14:paraId="14C52F30">
      <w:pPr>
        <w:spacing w:before="158" w:line="304" w:lineRule="auto"/>
        <w:ind w:left="14" w:right="4" w:firstLine="352"/>
        <w:rPr>
          <w:rFonts w:ascii="仿宋" w:hAnsi="仿宋" w:eastAsia="仿宋" w:cs="仿宋"/>
          <w:color w:val="auto"/>
          <w:sz w:val="20"/>
          <w:szCs w:val="20"/>
        </w:rPr>
      </w:pPr>
      <w:r>
        <w:rPr>
          <w:rFonts w:ascii="仿宋" w:hAnsi="仿宋" w:eastAsia="仿宋" w:cs="仿宋"/>
          <w:color w:val="auto"/>
          <w:spacing w:val="-20"/>
          <w:sz w:val="20"/>
          <w:szCs w:val="20"/>
        </w:rPr>
        <w:t>6.1.3 评标过程中，评标委员会成员有回避事由、擅离职守或者因健康等原因不能</w:t>
      </w:r>
      <w:r>
        <w:rPr>
          <w:rFonts w:ascii="仿宋" w:hAnsi="仿宋" w:eastAsia="仿宋" w:cs="仿宋"/>
          <w:color w:val="auto"/>
          <w:spacing w:val="-21"/>
          <w:sz w:val="20"/>
          <w:szCs w:val="20"/>
        </w:rPr>
        <w:t>继续评标的，采购人有权更换。</w:t>
      </w:r>
      <w:r>
        <w:rPr>
          <w:rFonts w:ascii="仿宋" w:hAnsi="仿宋" w:eastAsia="仿宋" w:cs="仿宋"/>
          <w:color w:val="auto"/>
          <w:sz w:val="20"/>
          <w:szCs w:val="20"/>
        </w:rPr>
        <w:t xml:space="preserve"> </w:t>
      </w:r>
      <w:r>
        <w:rPr>
          <w:rFonts w:ascii="仿宋" w:hAnsi="仿宋" w:eastAsia="仿宋" w:cs="仿宋"/>
          <w:color w:val="auto"/>
          <w:spacing w:val="-20"/>
          <w:sz w:val="20"/>
          <w:szCs w:val="20"/>
        </w:rPr>
        <w:t>被更换的评标委员会成员作出的评审结论无效，由更换后的评标</w:t>
      </w:r>
      <w:r>
        <w:rPr>
          <w:rFonts w:ascii="仿宋" w:hAnsi="仿宋" w:eastAsia="仿宋" w:cs="仿宋"/>
          <w:color w:val="auto"/>
          <w:spacing w:val="-21"/>
          <w:sz w:val="20"/>
          <w:szCs w:val="20"/>
        </w:rPr>
        <w:t>委员会成员重新进行评审。</w:t>
      </w:r>
    </w:p>
    <w:p w14:paraId="0DA65CB1">
      <w:pPr>
        <w:spacing w:before="163" w:line="222" w:lineRule="auto"/>
        <w:ind w:left="428"/>
        <w:rPr>
          <w:rFonts w:ascii="仿宋" w:hAnsi="仿宋" w:eastAsia="仿宋" w:cs="仿宋"/>
          <w:color w:val="auto"/>
          <w:sz w:val="24"/>
          <w:szCs w:val="24"/>
        </w:rPr>
      </w:pPr>
      <w:r>
        <w:rPr>
          <w:rFonts w:ascii="仿宋" w:hAnsi="仿宋" w:eastAsia="仿宋" w:cs="仿宋"/>
          <w:b/>
          <w:bCs/>
          <w:color w:val="auto"/>
          <w:spacing w:val="-24"/>
          <w:sz w:val="24"/>
          <w:szCs w:val="24"/>
        </w:rPr>
        <w:t>6.2</w:t>
      </w:r>
      <w:r>
        <w:rPr>
          <w:rFonts w:ascii="仿宋" w:hAnsi="仿宋" w:eastAsia="仿宋" w:cs="仿宋"/>
          <w:color w:val="auto"/>
          <w:spacing w:val="-24"/>
          <w:sz w:val="24"/>
          <w:szCs w:val="24"/>
        </w:rPr>
        <w:t xml:space="preserve"> </w:t>
      </w:r>
      <w:r>
        <w:rPr>
          <w:rFonts w:ascii="仿宋" w:hAnsi="仿宋" w:eastAsia="仿宋" w:cs="仿宋"/>
          <w:b/>
          <w:bCs/>
          <w:color w:val="auto"/>
          <w:spacing w:val="-24"/>
          <w:sz w:val="24"/>
          <w:szCs w:val="24"/>
        </w:rPr>
        <w:t>资格审查与评标原则</w:t>
      </w:r>
    </w:p>
    <w:p w14:paraId="4FCBF29B">
      <w:pPr>
        <w:spacing w:before="174" w:line="229" w:lineRule="auto"/>
        <w:ind w:left="382"/>
        <w:rPr>
          <w:rFonts w:ascii="仿宋" w:hAnsi="仿宋" w:eastAsia="仿宋" w:cs="仿宋"/>
          <w:color w:val="auto"/>
          <w:sz w:val="20"/>
          <w:szCs w:val="20"/>
        </w:rPr>
      </w:pPr>
      <w:r>
        <w:rPr>
          <w:rFonts w:ascii="仿宋" w:hAnsi="仿宋" w:eastAsia="仿宋" w:cs="仿宋"/>
          <w:color w:val="auto"/>
          <w:spacing w:val="-21"/>
          <w:sz w:val="20"/>
          <w:szCs w:val="20"/>
        </w:rPr>
        <w:t>资格审查遵循公平、公正的原则，评标活动遵循公平、公正、科学和择优的原则。</w:t>
      </w:r>
    </w:p>
    <w:p w14:paraId="4310EFB3">
      <w:pPr>
        <w:spacing w:before="165" w:line="222" w:lineRule="auto"/>
        <w:ind w:left="428"/>
        <w:rPr>
          <w:rFonts w:ascii="仿宋" w:hAnsi="仿宋" w:eastAsia="仿宋" w:cs="仿宋"/>
          <w:color w:val="auto"/>
          <w:sz w:val="24"/>
          <w:szCs w:val="24"/>
        </w:rPr>
      </w:pPr>
      <w:r>
        <w:rPr>
          <w:rFonts w:ascii="仿宋" w:hAnsi="仿宋" w:eastAsia="仿宋" w:cs="仿宋"/>
          <w:b/>
          <w:bCs/>
          <w:color w:val="auto"/>
          <w:spacing w:val="-23"/>
          <w:sz w:val="24"/>
          <w:szCs w:val="24"/>
        </w:rPr>
        <w:t>6.3</w:t>
      </w:r>
      <w:r>
        <w:rPr>
          <w:rFonts w:ascii="仿宋" w:hAnsi="仿宋" w:eastAsia="仿宋" w:cs="仿宋"/>
          <w:color w:val="auto"/>
          <w:spacing w:val="-23"/>
          <w:sz w:val="24"/>
          <w:szCs w:val="24"/>
        </w:rPr>
        <w:t xml:space="preserve"> </w:t>
      </w:r>
      <w:r>
        <w:rPr>
          <w:rFonts w:ascii="仿宋" w:hAnsi="仿宋" w:eastAsia="仿宋" w:cs="仿宋"/>
          <w:b/>
          <w:bCs/>
          <w:color w:val="auto"/>
          <w:spacing w:val="-23"/>
          <w:sz w:val="24"/>
          <w:szCs w:val="24"/>
        </w:rPr>
        <w:t>资格审查与评标</w:t>
      </w:r>
    </w:p>
    <w:p w14:paraId="4A388912">
      <w:pPr>
        <w:spacing w:before="175" w:line="328" w:lineRule="auto"/>
        <w:ind w:left="17" w:right="30" w:firstLine="349"/>
        <w:rPr>
          <w:rFonts w:ascii="仿宋" w:hAnsi="仿宋" w:eastAsia="仿宋" w:cs="仿宋"/>
          <w:color w:val="auto"/>
          <w:sz w:val="20"/>
          <w:szCs w:val="20"/>
        </w:rPr>
      </w:pPr>
      <w:r>
        <w:rPr>
          <w:rFonts w:ascii="仿宋" w:hAnsi="仿宋" w:eastAsia="仿宋" w:cs="仿宋"/>
          <w:color w:val="auto"/>
          <w:spacing w:val="-21"/>
          <w:sz w:val="20"/>
          <w:szCs w:val="20"/>
        </w:rPr>
        <w:t>6.3.1 资格审查小组与评标委员会按照第五章“资格审查与评标办法”规定的方法、评审因素、标准和程序对投标</w:t>
      </w:r>
      <w:r>
        <w:rPr>
          <w:rFonts w:ascii="仿宋" w:hAnsi="仿宋" w:eastAsia="仿宋" w:cs="仿宋"/>
          <w:color w:val="auto"/>
          <w:spacing w:val="14"/>
          <w:sz w:val="20"/>
          <w:szCs w:val="20"/>
        </w:rPr>
        <w:t xml:space="preserve"> </w:t>
      </w:r>
      <w:r>
        <w:rPr>
          <w:rFonts w:ascii="仿宋" w:hAnsi="仿宋" w:eastAsia="仿宋" w:cs="仿宋"/>
          <w:color w:val="auto"/>
          <w:spacing w:val="-22"/>
          <w:sz w:val="20"/>
          <w:szCs w:val="20"/>
        </w:rPr>
        <w:t>人进行资格审查，并对投标文件进行评审。第五章“ 资格审查与评标办法 ”没有规定的方法、评审因素和标准，不作</w:t>
      </w:r>
      <w:r>
        <w:rPr>
          <w:rFonts w:ascii="仿宋" w:hAnsi="仿宋" w:eastAsia="仿宋" w:cs="仿宋"/>
          <w:color w:val="auto"/>
          <w:spacing w:val="16"/>
          <w:sz w:val="20"/>
          <w:szCs w:val="20"/>
        </w:rPr>
        <w:t xml:space="preserve"> </w:t>
      </w:r>
      <w:r>
        <w:rPr>
          <w:rFonts w:ascii="仿宋" w:hAnsi="仿宋" w:eastAsia="仿宋" w:cs="仿宋"/>
          <w:color w:val="auto"/>
          <w:spacing w:val="-19"/>
          <w:sz w:val="20"/>
          <w:szCs w:val="20"/>
        </w:rPr>
        <w:t>为资格审查与评标依据。</w:t>
      </w:r>
    </w:p>
    <w:p w14:paraId="3AFFA3F2">
      <w:pPr>
        <w:spacing w:before="160" w:line="303" w:lineRule="auto"/>
        <w:ind w:left="14" w:right="27" w:firstLine="352"/>
        <w:rPr>
          <w:rFonts w:ascii="仿宋" w:hAnsi="仿宋" w:eastAsia="仿宋" w:cs="仿宋"/>
          <w:color w:val="auto"/>
          <w:sz w:val="20"/>
          <w:szCs w:val="20"/>
        </w:rPr>
      </w:pPr>
      <w:r>
        <w:rPr>
          <w:rFonts w:ascii="仿宋" w:hAnsi="仿宋" w:eastAsia="仿宋" w:cs="仿宋"/>
          <w:color w:val="auto"/>
          <w:spacing w:val="-21"/>
          <w:sz w:val="20"/>
          <w:szCs w:val="20"/>
        </w:rPr>
        <w:t>6.3.2 通过资格审查的投标人的投标文件由评标委员会进行评审。评标完成后，评标委员会应当提交书面评标报告</w:t>
      </w:r>
      <w:r>
        <w:rPr>
          <w:rFonts w:ascii="仿宋" w:hAnsi="仿宋" w:eastAsia="仿宋" w:cs="仿宋"/>
          <w:color w:val="auto"/>
          <w:spacing w:val="16"/>
          <w:sz w:val="20"/>
          <w:szCs w:val="20"/>
        </w:rPr>
        <w:t xml:space="preserve"> </w:t>
      </w:r>
      <w:r>
        <w:rPr>
          <w:rFonts w:ascii="仿宋" w:hAnsi="仿宋" w:eastAsia="仿宋" w:cs="仿宋"/>
          <w:color w:val="auto"/>
          <w:spacing w:val="-20"/>
          <w:sz w:val="20"/>
          <w:szCs w:val="20"/>
        </w:rPr>
        <w:t>和中标候选人名单。评标委员会推荐中标候选人的人数见投标人须</w:t>
      </w:r>
      <w:r>
        <w:rPr>
          <w:rFonts w:ascii="仿宋" w:hAnsi="仿宋" w:eastAsia="仿宋" w:cs="仿宋"/>
          <w:color w:val="auto"/>
          <w:spacing w:val="-21"/>
          <w:sz w:val="20"/>
          <w:szCs w:val="20"/>
        </w:rPr>
        <w:t>知前附表。</w:t>
      </w:r>
    </w:p>
    <w:p w14:paraId="766CE129">
      <w:pPr>
        <w:spacing w:before="159" w:line="303" w:lineRule="auto"/>
        <w:ind w:left="17" w:right="77" w:firstLine="349"/>
        <w:rPr>
          <w:rFonts w:ascii="仿宋" w:hAnsi="仿宋" w:eastAsia="仿宋" w:cs="仿宋"/>
          <w:color w:val="auto"/>
          <w:sz w:val="20"/>
          <w:szCs w:val="20"/>
        </w:rPr>
      </w:pPr>
      <w:r>
        <w:rPr>
          <w:rFonts w:ascii="仿宋" w:hAnsi="仿宋" w:eastAsia="仿宋" w:cs="仿宋"/>
          <w:color w:val="auto"/>
          <w:spacing w:val="-20"/>
          <w:sz w:val="20"/>
          <w:szCs w:val="20"/>
        </w:rPr>
        <w:t>6.3.3 本次招标采用电子化评标，如“洛阳市电子招投标交易平台 ”系统出现故障，导致无法继续评审工作的，</w:t>
      </w:r>
      <w:r>
        <w:rPr>
          <w:rFonts w:ascii="仿宋" w:hAnsi="仿宋" w:eastAsia="仿宋" w:cs="仿宋"/>
          <w:color w:val="auto"/>
          <w:spacing w:val="13"/>
          <w:sz w:val="20"/>
          <w:szCs w:val="20"/>
        </w:rPr>
        <w:t xml:space="preserve"> </w:t>
      </w:r>
      <w:r>
        <w:rPr>
          <w:rFonts w:ascii="仿宋" w:hAnsi="仿宋" w:eastAsia="仿宋" w:cs="仿宋"/>
          <w:color w:val="auto"/>
          <w:spacing w:val="-20"/>
          <w:sz w:val="20"/>
          <w:szCs w:val="20"/>
        </w:rPr>
        <w:t>可暂停评标，对原有资料及信息做出妥善保密处理，</w:t>
      </w:r>
      <w:r>
        <w:rPr>
          <w:rFonts w:ascii="仿宋" w:hAnsi="仿宋" w:eastAsia="仿宋" w:cs="仿宋"/>
          <w:color w:val="auto"/>
          <w:spacing w:val="-21"/>
          <w:sz w:val="20"/>
          <w:szCs w:val="20"/>
        </w:rPr>
        <w:t>待电子评标系统恢复正常之后组织评审。</w:t>
      </w:r>
    </w:p>
    <w:p w14:paraId="35EB78FD">
      <w:pPr>
        <w:spacing w:before="170" w:line="223" w:lineRule="auto"/>
        <w:ind w:left="513"/>
        <w:rPr>
          <w:rFonts w:ascii="仿宋" w:hAnsi="仿宋" w:eastAsia="仿宋" w:cs="仿宋"/>
          <w:color w:val="auto"/>
          <w:sz w:val="28"/>
          <w:szCs w:val="28"/>
        </w:rPr>
      </w:pPr>
      <w:r>
        <w:rPr>
          <w:rFonts w:ascii="仿宋" w:hAnsi="仿宋" w:eastAsia="仿宋" w:cs="仿宋"/>
          <w:b/>
          <w:bCs/>
          <w:color w:val="auto"/>
          <w:spacing w:val="-27"/>
          <w:sz w:val="28"/>
          <w:szCs w:val="28"/>
        </w:rPr>
        <w:t>7、定标及合同授予</w:t>
      </w:r>
    </w:p>
    <w:p w14:paraId="156F8E74">
      <w:pPr>
        <w:spacing w:before="202" w:line="222" w:lineRule="auto"/>
        <w:ind w:left="432"/>
        <w:rPr>
          <w:rFonts w:ascii="仿宋" w:hAnsi="仿宋" w:eastAsia="仿宋" w:cs="仿宋"/>
          <w:color w:val="auto"/>
          <w:sz w:val="24"/>
          <w:szCs w:val="24"/>
        </w:rPr>
      </w:pPr>
      <w:r>
        <w:rPr>
          <w:rFonts w:ascii="仿宋" w:hAnsi="仿宋" w:eastAsia="仿宋" w:cs="仿宋"/>
          <w:b/>
          <w:bCs/>
          <w:color w:val="auto"/>
          <w:spacing w:val="-15"/>
          <w:sz w:val="24"/>
          <w:szCs w:val="24"/>
        </w:rPr>
        <w:t>7.1</w:t>
      </w:r>
      <w:r>
        <w:rPr>
          <w:rFonts w:ascii="仿宋" w:hAnsi="仿宋" w:eastAsia="仿宋" w:cs="仿宋"/>
          <w:color w:val="auto"/>
          <w:spacing w:val="-15"/>
          <w:sz w:val="24"/>
          <w:szCs w:val="24"/>
        </w:rPr>
        <w:t xml:space="preserve"> </w:t>
      </w:r>
      <w:r>
        <w:rPr>
          <w:rFonts w:ascii="仿宋" w:hAnsi="仿宋" w:eastAsia="仿宋" w:cs="仿宋"/>
          <w:b/>
          <w:bCs/>
          <w:color w:val="auto"/>
          <w:spacing w:val="-15"/>
          <w:sz w:val="24"/>
          <w:szCs w:val="24"/>
        </w:rPr>
        <w:t>定标</w:t>
      </w:r>
    </w:p>
    <w:p w14:paraId="221F6DEB">
      <w:pPr>
        <w:spacing w:before="174" w:line="230" w:lineRule="auto"/>
        <w:ind w:left="370"/>
        <w:rPr>
          <w:rFonts w:ascii="仿宋" w:hAnsi="仿宋" w:eastAsia="仿宋" w:cs="仿宋"/>
          <w:color w:val="auto"/>
          <w:sz w:val="20"/>
          <w:szCs w:val="20"/>
        </w:rPr>
      </w:pPr>
      <w:r>
        <w:rPr>
          <w:rFonts w:ascii="仿宋" w:hAnsi="仿宋" w:eastAsia="仿宋" w:cs="仿宋"/>
          <w:color w:val="auto"/>
          <w:spacing w:val="-19"/>
          <w:sz w:val="20"/>
          <w:szCs w:val="20"/>
        </w:rPr>
        <w:t>7.1.1 按照投标人须知前附表的规定，采购人或采购人授权的评标委员会依法确定中标人。</w:t>
      </w:r>
    </w:p>
    <w:p w14:paraId="154453FC">
      <w:pPr>
        <w:spacing w:before="159" w:line="230" w:lineRule="auto"/>
        <w:ind w:left="370"/>
        <w:rPr>
          <w:rFonts w:ascii="仿宋" w:hAnsi="仿宋" w:eastAsia="仿宋" w:cs="仿宋"/>
          <w:color w:val="auto"/>
          <w:sz w:val="20"/>
          <w:szCs w:val="20"/>
        </w:rPr>
      </w:pPr>
      <w:r>
        <w:rPr>
          <w:rFonts w:ascii="仿宋" w:hAnsi="仿宋" w:eastAsia="仿宋" w:cs="仿宋"/>
          <w:color w:val="auto"/>
          <w:spacing w:val="-18"/>
          <w:sz w:val="20"/>
          <w:szCs w:val="20"/>
        </w:rPr>
        <w:t>7.1.2 按投标人须知前附表的规定的定标原则确定中标人。</w:t>
      </w:r>
    </w:p>
    <w:p w14:paraId="67A4847F">
      <w:pPr>
        <w:spacing w:before="164" w:line="222" w:lineRule="auto"/>
        <w:ind w:left="432"/>
        <w:rPr>
          <w:rFonts w:ascii="仿宋" w:hAnsi="仿宋" w:eastAsia="仿宋" w:cs="仿宋"/>
          <w:color w:val="auto"/>
          <w:sz w:val="24"/>
          <w:szCs w:val="24"/>
        </w:rPr>
      </w:pPr>
      <w:r>
        <w:rPr>
          <w:rFonts w:ascii="仿宋" w:hAnsi="仿宋" w:eastAsia="仿宋" w:cs="仿宋"/>
          <w:b/>
          <w:bCs/>
          <w:color w:val="auto"/>
          <w:spacing w:val="-24"/>
          <w:sz w:val="24"/>
          <w:szCs w:val="24"/>
        </w:rPr>
        <w:t>7.2</w:t>
      </w:r>
      <w:r>
        <w:rPr>
          <w:rFonts w:ascii="仿宋" w:hAnsi="仿宋" w:eastAsia="仿宋" w:cs="仿宋"/>
          <w:color w:val="auto"/>
          <w:spacing w:val="15"/>
          <w:sz w:val="24"/>
          <w:szCs w:val="24"/>
        </w:rPr>
        <w:t xml:space="preserve"> </w:t>
      </w:r>
      <w:r>
        <w:rPr>
          <w:rFonts w:ascii="仿宋" w:hAnsi="仿宋" w:eastAsia="仿宋" w:cs="仿宋"/>
          <w:b/>
          <w:bCs/>
          <w:color w:val="auto"/>
          <w:spacing w:val="-24"/>
          <w:sz w:val="24"/>
          <w:szCs w:val="24"/>
        </w:rPr>
        <w:t>中标结果</w:t>
      </w:r>
    </w:p>
    <w:p w14:paraId="5DBF521A">
      <w:pPr>
        <w:spacing w:before="174" w:line="228" w:lineRule="auto"/>
        <w:ind w:left="372"/>
        <w:rPr>
          <w:rFonts w:ascii="仿宋" w:hAnsi="仿宋" w:eastAsia="仿宋" w:cs="仿宋"/>
          <w:color w:val="auto"/>
          <w:sz w:val="20"/>
          <w:szCs w:val="20"/>
        </w:rPr>
      </w:pPr>
      <w:r>
        <w:rPr>
          <w:rFonts w:ascii="仿宋" w:hAnsi="仿宋" w:eastAsia="仿宋" w:cs="仿宋"/>
          <w:color w:val="auto"/>
          <w:spacing w:val="-20"/>
          <w:sz w:val="20"/>
          <w:szCs w:val="20"/>
        </w:rPr>
        <w:t>评标结束当天在在投标人须知前附表规定的媒体上公告中</w:t>
      </w:r>
      <w:r>
        <w:rPr>
          <w:rFonts w:ascii="仿宋" w:hAnsi="仿宋" w:eastAsia="仿宋" w:cs="仿宋"/>
          <w:color w:val="auto"/>
          <w:spacing w:val="-21"/>
          <w:sz w:val="20"/>
          <w:szCs w:val="20"/>
        </w:rPr>
        <w:t>标结果，招标文件随中标结果同时公告。</w:t>
      </w:r>
    </w:p>
    <w:p w14:paraId="204592FA">
      <w:pPr>
        <w:spacing w:before="166" w:line="222" w:lineRule="auto"/>
        <w:ind w:left="432"/>
        <w:rPr>
          <w:rFonts w:ascii="仿宋" w:hAnsi="仿宋" w:eastAsia="仿宋" w:cs="仿宋"/>
          <w:color w:val="auto"/>
          <w:sz w:val="24"/>
          <w:szCs w:val="24"/>
        </w:rPr>
      </w:pPr>
      <w:r>
        <w:rPr>
          <w:rFonts w:ascii="仿宋" w:hAnsi="仿宋" w:eastAsia="仿宋" w:cs="仿宋"/>
          <w:b/>
          <w:bCs/>
          <w:color w:val="auto"/>
          <w:spacing w:val="-24"/>
          <w:sz w:val="24"/>
          <w:szCs w:val="24"/>
        </w:rPr>
        <w:t>7.3</w:t>
      </w:r>
      <w:r>
        <w:rPr>
          <w:rFonts w:ascii="仿宋" w:hAnsi="仿宋" w:eastAsia="仿宋" w:cs="仿宋"/>
          <w:color w:val="auto"/>
          <w:spacing w:val="15"/>
          <w:sz w:val="24"/>
          <w:szCs w:val="24"/>
        </w:rPr>
        <w:t xml:space="preserve"> </w:t>
      </w:r>
      <w:r>
        <w:rPr>
          <w:rFonts w:ascii="仿宋" w:hAnsi="仿宋" w:eastAsia="仿宋" w:cs="仿宋"/>
          <w:b/>
          <w:bCs/>
          <w:color w:val="auto"/>
          <w:spacing w:val="-24"/>
          <w:sz w:val="24"/>
          <w:szCs w:val="24"/>
        </w:rPr>
        <w:t>中标通知</w:t>
      </w:r>
    </w:p>
    <w:p w14:paraId="157FFAEA">
      <w:pPr>
        <w:spacing w:before="175" w:line="365" w:lineRule="auto"/>
        <w:ind w:left="17" w:firstLine="381"/>
        <w:jc w:val="both"/>
        <w:rPr>
          <w:rFonts w:ascii="仿宋" w:hAnsi="仿宋" w:eastAsia="仿宋" w:cs="仿宋"/>
          <w:color w:val="auto"/>
          <w:sz w:val="20"/>
          <w:szCs w:val="20"/>
        </w:rPr>
      </w:pPr>
      <w:r>
        <w:rPr>
          <w:rFonts w:ascii="仿宋" w:hAnsi="仿宋" w:eastAsia="仿宋" w:cs="仿宋"/>
          <w:color w:val="auto"/>
          <w:spacing w:val="-22"/>
          <w:sz w:val="20"/>
          <w:szCs w:val="20"/>
        </w:rPr>
        <w:t>中标人应在发布中标结果公告后的 1 个工作日内领取《中标通知书》，逾期未领的，视同第1</w:t>
      </w:r>
      <w:r>
        <w:rPr>
          <w:rFonts w:ascii="仿宋" w:hAnsi="仿宋" w:eastAsia="仿宋" w:cs="仿宋"/>
          <w:color w:val="auto"/>
          <w:spacing w:val="-53"/>
          <w:sz w:val="20"/>
          <w:szCs w:val="20"/>
        </w:rPr>
        <w:t xml:space="preserve"> </w:t>
      </w:r>
      <w:r>
        <w:rPr>
          <w:rFonts w:ascii="仿宋" w:hAnsi="仿宋" w:eastAsia="仿宋" w:cs="仿宋"/>
          <w:color w:val="auto"/>
          <w:spacing w:val="-22"/>
          <w:sz w:val="20"/>
          <w:szCs w:val="20"/>
        </w:rPr>
        <w:t>个工作日内</w:t>
      </w:r>
      <w:r>
        <w:rPr>
          <w:rFonts w:ascii="仿宋" w:hAnsi="仿宋" w:eastAsia="仿宋" w:cs="仿宋"/>
          <w:color w:val="auto"/>
          <w:spacing w:val="-23"/>
          <w:sz w:val="20"/>
          <w:szCs w:val="20"/>
        </w:rPr>
        <w:t>已领取。</w:t>
      </w:r>
      <w:r>
        <w:rPr>
          <w:rFonts w:ascii="仿宋" w:hAnsi="仿宋" w:eastAsia="仿宋" w:cs="仿宋"/>
          <w:color w:val="auto"/>
          <w:sz w:val="20"/>
          <w:szCs w:val="20"/>
        </w:rPr>
        <w:t xml:space="preserve"> </w:t>
      </w:r>
      <w:r>
        <w:rPr>
          <w:rFonts w:ascii="仿宋" w:hAnsi="仿宋" w:eastAsia="仿宋" w:cs="仿宋"/>
          <w:color w:val="auto"/>
          <w:spacing w:val="-22"/>
          <w:sz w:val="20"/>
          <w:szCs w:val="20"/>
        </w:rPr>
        <w:t>电子《中标通知书》由采购代理机构通过洛阳市电子招投标交易平台向中标人发出，同时将中标结果通知未中标</w:t>
      </w:r>
      <w:r>
        <w:rPr>
          <w:rFonts w:ascii="仿宋" w:hAnsi="仿宋" w:eastAsia="仿宋" w:cs="仿宋"/>
          <w:color w:val="auto"/>
          <w:spacing w:val="-23"/>
          <w:sz w:val="20"/>
          <w:szCs w:val="20"/>
        </w:rPr>
        <w:t>的投标</w:t>
      </w:r>
      <w:r>
        <w:rPr>
          <w:rFonts w:ascii="仿宋" w:hAnsi="仿宋" w:eastAsia="仿宋" w:cs="仿宋"/>
          <w:color w:val="auto"/>
          <w:sz w:val="20"/>
          <w:szCs w:val="20"/>
        </w:rPr>
        <w:t xml:space="preserve"> </w:t>
      </w:r>
      <w:r>
        <w:rPr>
          <w:rFonts w:ascii="仿宋" w:hAnsi="仿宋" w:eastAsia="仿宋" w:cs="仿宋"/>
          <w:color w:val="auto"/>
          <w:spacing w:val="-23"/>
          <w:sz w:val="20"/>
          <w:szCs w:val="20"/>
        </w:rPr>
        <w:t>人。《中标通知书》由中标人和采购人自行下载、打印，并对中标人和采购人均具有法律效力。</w:t>
      </w:r>
    </w:p>
    <w:p w14:paraId="32C9893D">
      <w:pPr>
        <w:spacing w:before="42" w:line="221" w:lineRule="auto"/>
        <w:ind w:left="432"/>
        <w:rPr>
          <w:rFonts w:ascii="仿宋" w:hAnsi="仿宋" w:eastAsia="仿宋" w:cs="仿宋"/>
          <w:color w:val="auto"/>
          <w:sz w:val="24"/>
          <w:szCs w:val="24"/>
        </w:rPr>
      </w:pPr>
      <w:r>
        <w:rPr>
          <w:rFonts w:ascii="仿宋" w:hAnsi="仿宋" w:eastAsia="仿宋" w:cs="仿宋"/>
          <w:b/>
          <w:bCs/>
          <w:color w:val="auto"/>
          <w:spacing w:val="-21"/>
          <w:sz w:val="24"/>
          <w:szCs w:val="24"/>
        </w:rPr>
        <w:t>7.4</w:t>
      </w:r>
      <w:r>
        <w:rPr>
          <w:rFonts w:ascii="仿宋" w:hAnsi="仿宋" w:eastAsia="仿宋" w:cs="仿宋"/>
          <w:color w:val="auto"/>
          <w:spacing w:val="-21"/>
          <w:sz w:val="24"/>
          <w:szCs w:val="24"/>
        </w:rPr>
        <w:t xml:space="preserve"> </w:t>
      </w:r>
      <w:r>
        <w:rPr>
          <w:rFonts w:ascii="仿宋" w:hAnsi="仿宋" w:eastAsia="仿宋" w:cs="仿宋"/>
          <w:b/>
          <w:bCs/>
          <w:color w:val="auto"/>
          <w:spacing w:val="-21"/>
          <w:sz w:val="24"/>
          <w:szCs w:val="24"/>
        </w:rPr>
        <w:t>履约保证金</w:t>
      </w:r>
    </w:p>
    <w:p w14:paraId="166BAE4A">
      <w:pPr>
        <w:spacing w:before="176" w:line="229" w:lineRule="auto"/>
        <w:ind w:left="372"/>
        <w:rPr>
          <w:rFonts w:ascii="仿宋" w:hAnsi="仿宋" w:eastAsia="仿宋" w:cs="仿宋"/>
          <w:color w:val="auto"/>
          <w:sz w:val="20"/>
          <w:szCs w:val="20"/>
        </w:rPr>
      </w:pPr>
      <w:r>
        <w:rPr>
          <w:rFonts w:ascii="仿宋" w:hAnsi="仿宋" w:eastAsia="仿宋" w:cs="仿宋"/>
          <w:color w:val="auto"/>
          <w:spacing w:val="-18"/>
          <w:sz w:val="20"/>
          <w:szCs w:val="20"/>
        </w:rPr>
        <w:t>本项目免收履约保证金。</w:t>
      </w:r>
    </w:p>
    <w:p w14:paraId="1C79784E">
      <w:pPr>
        <w:spacing w:before="164" w:line="224" w:lineRule="auto"/>
        <w:ind w:left="432"/>
        <w:rPr>
          <w:rFonts w:ascii="仿宋" w:hAnsi="仿宋" w:eastAsia="仿宋" w:cs="仿宋"/>
          <w:color w:val="auto"/>
          <w:sz w:val="24"/>
          <w:szCs w:val="24"/>
        </w:rPr>
      </w:pPr>
      <w:r>
        <w:rPr>
          <w:rFonts w:ascii="仿宋" w:hAnsi="仿宋" w:eastAsia="仿宋" w:cs="仿宋"/>
          <w:b/>
          <w:bCs/>
          <w:color w:val="auto"/>
          <w:spacing w:val="-19"/>
          <w:sz w:val="24"/>
          <w:szCs w:val="24"/>
        </w:rPr>
        <w:t>7.5</w:t>
      </w:r>
      <w:r>
        <w:rPr>
          <w:rFonts w:ascii="仿宋" w:hAnsi="仿宋" w:eastAsia="仿宋" w:cs="仿宋"/>
          <w:color w:val="auto"/>
          <w:spacing w:val="-19"/>
          <w:sz w:val="24"/>
          <w:szCs w:val="24"/>
        </w:rPr>
        <w:t xml:space="preserve"> </w:t>
      </w:r>
      <w:r>
        <w:rPr>
          <w:rFonts w:ascii="仿宋" w:hAnsi="仿宋" w:eastAsia="仿宋" w:cs="仿宋"/>
          <w:b/>
          <w:bCs/>
          <w:color w:val="auto"/>
          <w:spacing w:val="-19"/>
          <w:sz w:val="24"/>
          <w:szCs w:val="24"/>
        </w:rPr>
        <w:t>签订合同</w:t>
      </w:r>
    </w:p>
    <w:p w14:paraId="130F3C6D">
      <w:pPr>
        <w:spacing w:before="172" w:line="366" w:lineRule="auto"/>
        <w:ind w:left="20" w:right="27" w:firstLine="350"/>
        <w:jc w:val="both"/>
        <w:rPr>
          <w:rFonts w:ascii="仿宋" w:hAnsi="仿宋" w:eastAsia="仿宋" w:cs="仿宋"/>
          <w:color w:val="auto"/>
          <w:sz w:val="20"/>
          <w:szCs w:val="20"/>
        </w:rPr>
      </w:pPr>
      <w:r>
        <w:rPr>
          <w:rFonts w:ascii="仿宋" w:hAnsi="仿宋" w:eastAsia="仿宋" w:cs="仿宋"/>
          <w:color w:val="auto"/>
          <w:spacing w:val="-18"/>
          <w:sz w:val="20"/>
          <w:szCs w:val="20"/>
        </w:rPr>
        <w:t>7.5.1 采购人和中标人应当在中标通知书发出之日起</w:t>
      </w:r>
      <w:r>
        <w:rPr>
          <w:rFonts w:hint="eastAsia" w:ascii="仿宋" w:hAnsi="仿宋" w:eastAsia="仿宋" w:cs="仿宋"/>
          <w:color w:val="auto"/>
          <w:spacing w:val="-19"/>
          <w:sz w:val="20"/>
          <w:szCs w:val="20"/>
          <w:lang w:val="en-US" w:eastAsia="zh-CN"/>
        </w:rPr>
        <w:t>30</w:t>
      </w:r>
      <w:r>
        <w:rPr>
          <w:rFonts w:ascii="仿宋" w:hAnsi="仿宋" w:eastAsia="仿宋" w:cs="仿宋"/>
          <w:color w:val="auto"/>
          <w:spacing w:val="-19"/>
          <w:sz w:val="20"/>
          <w:szCs w:val="20"/>
        </w:rPr>
        <w:t>日内，根据招标文件和中标人的投标文件订立书面</w:t>
      </w:r>
      <w:r>
        <w:rPr>
          <w:rFonts w:ascii="仿宋" w:hAnsi="仿宋" w:eastAsia="仿宋" w:cs="仿宋"/>
          <w:color w:val="auto"/>
          <w:sz w:val="20"/>
          <w:szCs w:val="20"/>
        </w:rPr>
        <w:t xml:space="preserve"> </w:t>
      </w:r>
      <w:r>
        <w:rPr>
          <w:rFonts w:ascii="仿宋" w:hAnsi="仿宋" w:eastAsia="仿宋" w:cs="仿宋"/>
          <w:color w:val="auto"/>
          <w:spacing w:val="-22"/>
          <w:sz w:val="20"/>
          <w:szCs w:val="20"/>
        </w:rPr>
        <w:t>合同。中标人无正当理由拒签合同，在签订合同时向采购人提出附加条件，采购人有权取消其中标资</w:t>
      </w:r>
      <w:r>
        <w:rPr>
          <w:rFonts w:ascii="仿宋" w:hAnsi="仿宋" w:eastAsia="仿宋" w:cs="仿宋"/>
          <w:color w:val="auto"/>
          <w:spacing w:val="-23"/>
          <w:sz w:val="20"/>
          <w:szCs w:val="20"/>
        </w:rPr>
        <w:t>格；给采购人造成</w:t>
      </w:r>
      <w:r>
        <w:rPr>
          <w:rFonts w:ascii="仿宋" w:hAnsi="仿宋" w:eastAsia="仿宋" w:cs="仿宋"/>
          <w:color w:val="auto"/>
          <w:sz w:val="20"/>
          <w:szCs w:val="20"/>
        </w:rPr>
        <w:t xml:space="preserve"> </w:t>
      </w:r>
      <w:r>
        <w:rPr>
          <w:rFonts w:ascii="仿宋" w:hAnsi="仿宋" w:eastAsia="仿宋" w:cs="仿宋"/>
          <w:color w:val="auto"/>
          <w:spacing w:val="-20"/>
          <w:sz w:val="20"/>
          <w:szCs w:val="20"/>
        </w:rPr>
        <w:t>的损失的，中标人还应当予以赔偿。</w:t>
      </w:r>
    </w:p>
    <w:p w14:paraId="4EEAE995">
      <w:pPr>
        <w:spacing w:before="65" w:line="304" w:lineRule="auto"/>
        <w:ind w:left="17" w:firstLine="352"/>
        <w:rPr>
          <w:rFonts w:ascii="仿宋" w:hAnsi="仿宋" w:eastAsia="仿宋" w:cs="仿宋"/>
          <w:color w:val="auto"/>
          <w:sz w:val="20"/>
          <w:szCs w:val="20"/>
        </w:rPr>
      </w:pPr>
      <w:r>
        <w:rPr>
          <w:rFonts w:ascii="仿宋" w:hAnsi="仿宋" w:eastAsia="仿宋" w:cs="仿宋"/>
          <w:color w:val="auto"/>
          <w:spacing w:val="-22"/>
          <w:sz w:val="20"/>
          <w:szCs w:val="20"/>
        </w:rPr>
        <w:t xml:space="preserve">7.5.2 </w:t>
      </w:r>
      <w:r>
        <w:rPr>
          <w:rFonts w:ascii="仿宋" w:hAnsi="仿宋" w:eastAsia="仿宋" w:cs="仿宋"/>
          <w:color w:val="auto"/>
          <w:spacing w:val="-21"/>
          <w:sz w:val="20"/>
          <w:szCs w:val="20"/>
        </w:rPr>
        <w:t>发出中标通知书后，采购人无正当理由拒签合同，或者在签订合同时向中标人提出附加条件的，给中标人</w:t>
      </w:r>
      <w:r>
        <w:rPr>
          <w:rFonts w:ascii="仿宋" w:hAnsi="仿宋" w:eastAsia="仿宋" w:cs="仿宋"/>
          <w:color w:val="auto"/>
          <w:spacing w:val="-15"/>
          <w:sz w:val="20"/>
          <w:szCs w:val="20"/>
        </w:rPr>
        <w:t>造</w:t>
      </w:r>
      <w:r>
        <w:rPr>
          <w:rFonts w:ascii="仿宋" w:hAnsi="仿宋" w:eastAsia="仿宋" w:cs="仿宋"/>
          <w:color w:val="auto"/>
          <w:spacing w:val="13"/>
          <w:sz w:val="20"/>
          <w:szCs w:val="20"/>
        </w:rPr>
        <w:t xml:space="preserve"> </w:t>
      </w:r>
      <w:r>
        <w:rPr>
          <w:rFonts w:ascii="仿宋" w:hAnsi="仿宋" w:eastAsia="仿宋" w:cs="仿宋"/>
          <w:color w:val="auto"/>
          <w:spacing w:val="-19"/>
          <w:sz w:val="20"/>
          <w:szCs w:val="20"/>
        </w:rPr>
        <w:t>成损失的，还应当赔偿损失。</w:t>
      </w:r>
    </w:p>
    <w:p w14:paraId="3D5FFB9C">
      <w:pPr>
        <w:spacing w:before="159" w:line="229" w:lineRule="auto"/>
        <w:ind w:left="370"/>
        <w:rPr>
          <w:rFonts w:ascii="仿宋" w:hAnsi="仿宋" w:eastAsia="仿宋" w:cs="仿宋"/>
          <w:color w:val="auto"/>
          <w:sz w:val="20"/>
          <w:szCs w:val="20"/>
        </w:rPr>
      </w:pPr>
      <w:r>
        <w:rPr>
          <w:rFonts w:ascii="仿宋" w:hAnsi="仿宋" w:eastAsia="仿宋" w:cs="仿宋"/>
          <w:color w:val="auto"/>
          <w:spacing w:val="-19"/>
          <w:sz w:val="20"/>
          <w:szCs w:val="20"/>
        </w:rPr>
        <w:t>7.5.3 联合体中标的，联合体各方应当共同与采购人签订合同，就中标项目向采购人承担</w:t>
      </w:r>
      <w:r>
        <w:rPr>
          <w:rFonts w:ascii="仿宋" w:hAnsi="仿宋" w:eastAsia="仿宋" w:cs="仿宋"/>
          <w:color w:val="auto"/>
          <w:spacing w:val="-20"/>
          <w:sz w:val="20"/>
          <w:szCs w:val="20"/>
        </w:rPr>
        <w:t>连带责任。</w:t>
      </w:r>
    </w:p>
    <w:p w14:paraId="1E76849F">
      <w:pPr>
        <w:spacing w:before="170" w:line="223" w:lineRule="auto"/>
        <w:ind w:left="508"/>
        <w:rPr>
          <w:rFonts w:ascii="仿宋" w:hAnsi="仿宋" w:eastAsia="仿宋" w:cs="仿宋"/>
          <w:color w:val="auto"/>
          <w:sz w:val="28"/>
          <w:szCs w:val="28"/>
        </w:rPr>
      </w:pPr>
      <w:r>
        <w:rPr>
          <w:rFonts w:ascii="仿宋" w:hAnsi="仿宋" w:eastAsia="仿宋" w:cs="仿宋"/>
          <w:b/>
          <w:bCs/>
          <w:color w:val="auto"/>
          <w:spacing w:val="-24"/>
          <w:sz w:val="28"/>
          <w:szCs w:val="28"/>
        </w:rPr>
        <w:t>8、纪律和监督</w:t>
      </w:r>
    </w:p>
    <w:p w14:paraId="61C88C2C">
      <w:pPr>
        <w:spacing w:before="201" w:line="222" w:lineRule="auto"/>
        <w:ind w:left="427"/>
        <w:rPr>
          <w:rFonts w:ascii="仿宋" w:hAnsi="仿宋" w:eastAsia="仿宋" w:cs="仿宋"/>
          <w:color w:val="auto"/>
          <w:sz w:val="24"/>
          <w:szCs w:val="24"/>
        </w:rPr>
      </w:pPr>
      <w:r>
        <w:rPr>
          <w:rFonts w:ascii="仿宋" w:hAnsi="仿宋" w:eastAsia="仿宋" w:cs="仿宋"/>
          <w:b/>
          <w:bCs/>
          <w:color w:val="auto"/>
          <w:spacing w:val="-24"/>
          <w:sz w:val="24"/>
          <w:szCs w:val="24"/>
        </w:rPr>
        <w:t>8.1</w:t>
      </w:r>
      <w:r>
        <w:rPr>
          <w:rFonts w:ascii="仿宋" w:hAnsi="仿宋" w:eastAsia="仿宋" w:cs="仿宋"/>
          <w:color w:val="auto"/>
          <w:spacing w:val="-24"/>
          <w:sz w:val="24"/>
          <w:szCs w:val="24"/>
        </w:rPr>
        <w:t xml:space="preserve"> </w:t>
      </w:r>
      <w:r>
        <w:rPr>
          <w:rFonts w:ascii="仿宋" w:hAnsi="仿宋" w:eastAsia="仿宋" w:cs="仿宋"/>
          <w:b/>
          <w:bCs/>
          <w:color w:val="auto"/>
          <w:spacing w:val="-24"/>
          <w:sz w:val="24"/>
          <w:szCs w:val="24"/>
        </w:rPr>
        <w:t>对采购人的纪律要求</w:t>
      </w:r>
    </w:p>
    <w:p w14:paraId="7DA5FE9E">
      <w:pPr>
        <w:spacing w:before="172" w:line="228" w:lineRule="auto"/>
        <w:ind w:left="366"/>
        <w:rPr>
          <w:rFonts w:ascii="仿宋" w:hAnsi="仿宋" w:eastAsia="仿宋" w:cs="仿宋"/>
          <w:color w:val="auto"/>
          <w:sz w:val="20"/>
          <w:szCs w:val="20"/>
        </w:rPr>
      </w:pPr>
      <w:r>
        <w:rPr>
          <w:rFonts w:ascii="仿宋" w:hAnsi="仿宋" w:eastAsia="仿宋" w:cs="仿宋"/>
          <w:color w:val="auto"/>
          <w:spacing w:val="-19"/>
          <w:sz w:val="20"/>
          <w:szCs w:val="20"/>
        </w:rPr>
        <w:t>8.1.1 不得以不合理的条件对投标人实行差别待遇或者歧视待遇，排斥其他投标人公平参与竞争；</w:t>
      </w:r>
    </w:p>
    <w:p w14:paraId="69D48BD4">
      <w:pPr>
        <w:spacing w:before="161" w:line="228" w:lineRule="auto"/>
        <w:ind w:left="366"/>
        <w:rPr>
          <w:rFonts w:ascii="仿宋" w:hAnsi="仿宋" w:eastAsia="仿宋" w:cs="仿宋"/>
          <w:color w:val="auto"/>
          <w:sz w:val="20"/>
          <w:szCs w:val="20"/>
        </w:rPr>
      </w:pPr>
      <w:r>
        <w:rPr>
          <w:rFonts w:ascii="仿宋" w:hAnsi="仿宋" w:eastAsia="仿宋" w:cs="仿宋"/>
          <w:color w:val="auto"/>
          <w:spacing w:val="-19"/>
          <w:sz w:val="20"/>
          <w:szCs w:val="20"/>
        </w:rPr>
        <w:t>8.1.2 不得与投标人或采购代理机构串通损害国家利益、社会公共利益或者他人合法权益；</w:t>
      </w:r>
    </w:p>
    <w:p w14:paraId="0615FA40">
      <w:pPr>
        <w:spacing w:before="163" w:line="231" w:lineRule="auto"/>
        <w:ind w:left="366"/>
        <w:rPr>
          <w:rFonts w:ascii="仿宋" w:hAnsi="仿宋" w:eastAsia="仿宋" w:cs="仿宋"/>
          <w:color w:val="auto"/>
          <w:sz w:val="20"/>
          <w:szCs w:val="20"/>
        </w:rPr>
      </w:pPr>
      <w:r>
        <w:rPr>
          <w:rFonts w:ascii="仿宋" w:hAnsi="仿宋" w:eastAsia="仿宋" w:cs="仿宋"/>
          <w:color w:val="auto"/>
          <w:spacing w:val="-19"/>
          <w:sz w:val="20"/>
          <w:szCs w:val="20"/>
        </w:rPr>
        <w:t>8.1.3 不得诱导、干预或影响评标委员会依法依规评标，不得诱导、干预或影响评标专家</w:t>
      </w:r>
      <w:r>
        <w:rPr>
          <w:rFonts w:ascii="仿宋" w:hAnsi="仿宋" w:eastAsia="仿宋" w:cs="仿宋"/>
          <w:color w:val="auto"/>
          <w:spacing w:val="-20"/>
          <w:sz w:val="20"/>
          <w:szCs w:val="20"/>
        </w:rPr>
        <w:t>依法依规独立评标；</w:t>
      </w:r>
    </w:p>
    <w:p w14:paraId="374B3DE9">
      <w:pPr>
        <w:spacing w:before="158" w:line="229" w:lineRule="auto"/>
        <w:ind w:left="366"/>
        <w:rPr>
          <w:rFonts w:ascii="仿宋" w:hAnsi="仿宋" w:eastAsia="仿宋" w:cs="仿宋"/>
          <w:color w:val="auto"/>
          <w:sz w:val="20"/>
          <w:szCs w:val="20"/>
        </w:rPr>
      </w:pPr>
      <w:r>
        <w:rPr>
          <w:rFonts w:ascii="仿宋" w:hAnsi="仿宋" w:eastAsia="仿宋" w:cs="仿宋"/>
          <w:color w:val="auto"/>
          <w:spacing w:val="-17"/>
          <w:sz w:val="20"/>
          <w:szCs w:val="20"/>
        </w:rPr>
        <w:t>8.1.4 不得泄露采购活动中应当保密的情</w:t>
      </w:r>
      <w:r>
        <w:rPr>
          <w:rFonts w:ascii="仿宋" w:hAnsi="仿宋" w:eastAsia="仿宋" w:cs="仿宋"/>
          <w:color w:val="auto"/>
          <w:spacing w:val="-18"/>
          <w:sz w:val="20"/>
          <w:szCs w:val="20"/>
        </w:rPr>
        <w:t>况和资料；</w:t>
      </w:r>
    </w:p>
    <w:p w14:paraId="7ECA797E">
      <w:pPr>
        <w:spacing w:before="160" w:line="230" w:lineRule="auto"/>
        <w:ind w:left="366"/>
        <w:rPr>
          <w:rFonts w:ascii="仿宋" w:hAnsi="仿宋" w:eastAsia="仿宋" w:cs="仿宋"/>
          <w:color w:val="auto"/>
          <w:sz w:val="20"/>
          <w:szCs w:val="20"/>
        </w:rPr>
      </w:pPr>
      <w:r>
        <w:rPr>
          <w:rFonts w:ascii="仿宋" w:hAnsi="仿宋" w:eastAsia="仿宋" w:cs="仿宋"/>
          <w:color w:val="auto"/>
          <w:spacing w:val="-18"/>
          <w:sz w:val="20"/>
          <w:szCs w:val="20"/>
        </w:rPr>
        <w:t>8.1.5 不得接受投标人或采购代理机构的贿赂，或获</w:t>
      </w:r>
      <w:r>
        <w:rPr>
          <w:rFonts w:ascii="仿宋" w:hAnsi="仿宋" w:eastAsia="仿宋" w:cs="仿宋"/>
          <w:color w:val="auto"/>
          <w:spacing w:val="-19"/>
          <w:sz w:val="20"/>
          <w:szCs w:val="20"/>
        </w:rPr>
        <w:t>取其他不正当利益；</w:t>
      </w:r>
    </w:p>
    <w:p w14:paraId="7AE62364">
      <w:pPr>
        <w:spacing w:before="159" w:line="231" w:lineRule="auto"/>
        <w:ind w:left="366"/>
        <w:rPr>
          <w:rFonts w:ascii="仿宋" w:hAnsi="仿宋" w:eastAsia="仿宋" w:cs="仿宋"/>
          <w:color w:val="auto"/>
          <w:sz w:val="20"/>
          <w:szCs w:val="20"/>
        </w:rPr>
      </w:pPr>
      <w:r>
        <w:rPr>
          <w:rFonts w:ascii="仿宋" w:hAnsi="仿宋" w:eastAsia="仿宋" w:cs="仿宋"/>
          <w:color w:val="auto"/>
          <w:spacing w:val="-17"/>
          <w:sz w:val="20"/>
          <w:szCs w:val="20"/>
        </w:rPr>
        <w:t>8.1.6 不得无正当理由拒绝与中标人签订合同；</w:t>
      </w:r>
    </w:p>
    <w:p w14:paraId="6F8813B8">
      <w:pPr>
        <w:spacing w:before="160" w:line="230" w:lineRule="auto"/>
        <w:ind w:left="366"/>
        <w:rPr>
          <w:rFonts w:ascii="仿宋" w:hAnsi="仿宋" w:eastAsia="仿宋" w:cs="仿宋"/>
          <w:color w:val="auto"/>
          <w:sz w:val="20"/>
          <w:szCs w:val="20"/>
        </w:rPr>
      </w:pPr>
      <w:r>
        <w:rPr>
          <w:rFonts w:ascii="仿宋" w:hAnsi="仿宋" w:eastAsia="仿宋" w:cs="仿宋"/>
          <w:color w:val="auto"/>
          <w:spacing w:val="-18"/>
          <w:sz w:val="20"/>
          <w:szCs w:val="20"/>
        </w:rPr>
        <w:t>8.1.7 参与采购活动的相关人员与投标人有利害关系的应当回避；</w:t>
      </w:r>
    </w:p>
    <w:p w14:paraId="67EB162D">
      <w:pPr>
        <w:spacing w:before="159" w:line="229" w:lineRule="auto"/>
        <w:ind w:left="366"/>
        <w:rPr>
          <w:rFonts w:ascii="仿宋" w:hAnsi="仿宋" w:eastAsia="仿宋" w:cs="仿宋"/>
          <w:color w:val="auto"/>
          <w:sz w:val="20"/>
          <w:szCs w:val="20"/>
        </w:rPr>
      </w:pPr>
      <w:r>
        <w:rPr>
          <w:rFonts w:ascii="仿宋" w:hAnsi="仿宋" w:eastAsia="仿宋" w:cs="仿宋"/>
          <w:color w:val="auto"/>
          <w:spacing w:val="-17"/>
          <w:sz w:val="20"/>
          <w:szCs w:val="20"/>
        </w:rPr>
        <w:t>8.1.8 采购过程中，不得有其他违法违规行为。</w:t>
      </w:r>
    </w:p>
    <w:p w14:paraId="6F0BA6F8">
      <w:pPr>
        <w:spacing w:before="165" w:line="222" w:lineRule="auto"/>
        <w:ind w:left="427"/>
        <w:rPr>
          <w:rFonts w:ascii="仿宋" w:hAnsi="仿宋" w:eastAsia="仿宋" w:cs="仿宋"/>
          <w:color w:val="auto"/>
          <w:sz w:val="24"/>
          <w:szCs w:val="24"/>
        </w:rPr>
      </w:pPr>
      <w:r>
        <w:rPr>
          <w:rFonts w:ascii="仿宋" w:hAnsi="仿宋" w:eastAsia="仿宋" w:cs="仿宋"/>
          <w:b/>
          <w:bCs/>
          <w:color w:val="auto"/>
          <w:spacing w:val="-24"/>
          <w:sz w:val="24"/>
          <w:szCs w:val="24"/>
        </w:rPr>
        <w:t>8.2</w:t>
      </w:r>
      <w:r>
        <w:rPr>
          <w:rFonts w:ascii="仿宋" w:hAnsi="仿宋" w:eastAsia="仿宋" w:cs="仿宋"/>
          <w:color w:val="auto"/>
          <w:spacing w:val="-24"/>
          <w:sz w:val="24"/>
          <w:szCs w:val="24"/>
        </w:rPr>
        <w:t xml:space="preserve"> </w:t>
      </w:r>
      <w:r>
        <w:rPr>
          <w:rFonts w:ascii="仿宋" w:hAnsi="仿宋" w:eastAsia="仿宋" w:cs="仿宋"/>
          <w:b/>
          <w:bCs/>
          <w:color w:val="auto"/>
          <w:spacing w:val="-24"/>
          <w:sz w:val="24"/>
          <w:szCs w:val="24"/>
        </w:rPr>
        <w:t>对投标人的纪律要求</w:t>
      </w:r>
    </w:p>
    <w:p w14:paraId="6E5F489D">
      <w:pPr>
        <w:spacing w:before="174" w:line="230" w:lineRule="auto"/>
        <w:ind w:left="366"/>
        <w:rPr>
          <w:rFonts w:ascii="仿宋" w:hAnsi="仿宋" w:eastAsia="仿宋" w:cs="仿宋"/>
          <w:color w:val="auto"/>
          <w:sz w:val="20"/>
          <w:szCs w:val="20"/>
        </w:rPr>
      </w:pPr>
      <w:r>
        <w:rPr>
          <w:rFonts w:ascii="仿宋" w:hAnsi="仿宋" w:eastAsia="仿宋" w:cs="仿宋"/>
          <w:color w:val="auto"/>
          <w:spacing w:val="-15"/>
          <w:sz w:val="20"/>
          <w:szCs w:val="20"/>
        </w:rPr>
        <w:t>8.2.1 不得以他人名义投标；</w:t>
      </w:r>
    </w:p>
    <w:p w14:paraId="511C26E8">
      <w:pPr>
        <w:spacing w:before="159" w:line="228" w:lineRule="auto"/>
        <w:ind w:left="366"/>
        <w:rPr>
          <w:rFonts w:ascii="仿宋" w:hAnsi="仿宋" w:eastAsia="仿宋" w:cs="仿宋"/>
          <w:color w:val="auto"/>
          <w:sz w:val="20"/>
          <w:szCs w:val="20"/>
        </w:rPr>
      </w:pPr>
      <w:r>
        <w:rPr>
          <w:rFonts w:ascii="仿宋" w:hAnsi="仿宋" w:eastAsia="仿宋" w:cs="仿宋"/>
          <w:color w:val="auto"/>
          <w:spacing w:val="-18"/>
          <w:sz w:val="20"/>
          <w:szCs w:val="20"/>
        </w:rPr>
        <w:t>8.2.2 投标人不得相互串通投标，不得与</w:t>
      </w:r>
      <w:r>
        <w:rPr>
          <w:rFonts w:ascii="仿宋" w:hAnsi="仿宋" w:eastAsia="仿宋" w:cs="仿宋"/>
          <w:color w:val="auto"/>
          <w:spacing w:val="-19"/>
          <w:sz w:val="20"/>
          <w:szCs w:val="20"/>
        </w:rPr>
        <w:t>采购人、与采购代理机构串通投标；</w:t>
      </w:r>
    </w:p>
    <w:p w14:paraId="0D2F7A5F">
      <w:pPr>
        <w:spacing w:before="162" w:line="229" w:lineRule="auto"/>
        <w:ind w:left="366"/>
        <w:rPr>
          <w:rFonts w:ascii="仿宋" w:hAnsi="仿宋" w:eastAsia="仿宋" w:cs="仿宋"/>
          <w:color w:val="auto"/>
          <w:sz w:val="20"/>
          <w:szCs w:val="20"/>
        </w:rPr>
      </w:pPr>
      <w:r>
        <w:rPr>
          <w:rFonts w:ascii="仿宋" w:hAnsi="仿宋" w:eastAsia="仿宋" w:cs="仿宋"/>
          <w:color w:val="auto"/>
          <w:spacing w:val="-19"/>
          <w:sz w:val="20"/>
          <w:szCs w:val="20"/>
        </w:rPr>
        <w:t>8.2.3 不得向采购人或者评标委员会成员行贿，或提供其他不正当利益谋取中标；</w:t>
      </w:r>
    </w:p>
    <w:p w14:paraId="1B886CA4">
      <w:pPr>
        <w:spacing w:before="159" w:line="229" w:lineRule="auto"/>
        <w:ind w:left="366"/>
        <w:rPr>
          <w:rFonts w:ascii="仿宋" w:hAnsi="仿宋" w:eastAsia="仿宋" w:cs="仿宋"/>
          <w:color w:val="auto"/>
          <w:sz w:val="20"/>
          <w:szCs w:val="20"/>
        </w:rPr>
      </w:pPr>
      <w:r>
        <w:rPr>
          <w:rFonts w:ascii="仿宋" w:hAnsi="仿宋" w:eastAsia="仿宋" w:cs="仿宋"/>
          <w:color w:val="auto"/>
          <w:spacing w:val="-18"/>
          <w:sz w:val="20"/>
          <w:szCs w:val="20"/>
        </w:rPr>
        <w:t>8.2.4 不得弄虚作假骗取中标，不得虚假应标，不得恶意低价</w:t>
      </w:r>
      <w:r>
        <w:rPr>
          <w:rFonts w:ascii="仿宋" w:hAnsi="仿宋" w:eastAsia="仿宋" w:cs="仿宋"/>
          <w:color w:val="auto"/>
          <w:spacing w:val="-19"/>
          <w:sz w:val="20"/>
          <w:szCs w:val="20"/>
        </w:rPr>
        <w:t>抢标；</w:t>
      </w:r>
    </w:p>
    <w:p w14:paraId="4BFBC0DF">
      <w:pPr>
        <w:spacing w:before="160" w:line="229" w:lineRule="auto"/>
        <w:ind w:left="366"/>
        <w:rPr>
          <w:rFonts w:ascii="仿宋" w:hAnsi="仿宋" w:eastAsia="仿宋" w:cs="仿宋"/>
          <w:color w:val="auto"/>
          <w:sz w:val="20"/>
          <w:szCs w:val="20"/>
        </w:rPr>
      </w:pPr>
      <w:r>
        <w:rPr>
          <w:rFonts w:ascii="仿宋" w:hAnsi="仿宋" w:eastAsia="仿宋" w:cs="仿宋"/>
          <w:color w:val="auto"/>
          <w:spacing w:val="-17"/>
          <w:sz w:val="20"/>
          <w:szCs w:val="20"/>
        </w:rPr>
        <w:t>8.2.5 投标人不得以任何方式干扰、影响</w:t>
      </w:r>
      <w:r>
        <w:rPr>
          <w:rFonts w:ascii="仿宋" w:hAnsi="仿宋" w:eastAsia="仿宋" w:cs="仿宋"/>
          <w:color w:val="auto"/>
          <w:spacing w:val="-18"/>
          <w:sz w:val="20"/>
          <w:szCs w:val="20"/>
        </w:rPr>
        <w:t>评标工作；</w:t>
      </w:r>
    </w:p>
    <w:p w14:paraId="25CBDE2E">
      <w:pPr>
        <w:spacing w:before="160" w:line="231" w:lineRule="auto"/>
        <w:ind w:left="366"/>
        <w:rPr>
          <w:rFonts w:ascii="仿宋" w:hAnsi="仿宋" w:eastAsia="仿宋" w:cs="仿宋"/>
          <w:color w:val="auto"/>
          <w:sz w:val="20"/>
          <w:szCs w:val="20"/>
        </w:rPr>
      </w:pPr>
      <w:r>
        <w:rPr>
          <w:rFonts w:ascii="仿宋" w:hAnsi="仿宋" w:eastAsia="仿宋" w:cs="仿宋"/>
          <w:color w:val="auto"/>
          <w:spacing w:val="-18"/>
          <w:sz w:val="20"/>
          <w:szCs w:val="20"/>
        </w:rPr>
        <w:t>8.2.6 不得无正当理由弃标或中标后拒绝与采购人签订合同；</w:t>
      </w:r>
    </w:p>
    <w:p w14:paraId="29F665A7">
      <w:pPr>
        <w:spacing w:before="160" w:line="230" w:lineRule="auto"/>
        <w:ind w:left="366"/>
        <w:rPr>
          <w:rFonts w:ascii="仿宋" w:hAnsi="仿宋" w:eastAsia="仿宋" w:cs="仿宋"/>
          <w:color w:val="auto"/>
          <w:sz w:val="20"/>
          <w:szCs w:val="20"/>
        </w:rPr>
      </w:pPr>
      <w:r>
        <w:rPr>
          <w:rFonts w:ascii="仿宋" w:hAnsi="仿宋" w:eastAsia="仿宋" w:cs="仿宋"/>
          <w:color w:val="auto"/>
          <w:spacing w:val="-18"/>
          <w:sz w:val="20"/>
          <w:szCs w:val="20"/>
        </w:rPr>
        <w:t>8.2.7 不得恶意诋毁其他投标人、采购人或采购代理机构；</w:t>
      </w:r>
    </w:p>
    <w:p w14:paraId="741392FD">
      <w:pPr>
        <w:spacing w:before="159" w:line="228" w:lineRule="auto"/>
        <w:ind w:left="366"/>
        <w:rPr>
          <w:rFonts w:ascii="仿宋" w:hAnsi="仿宋" w:eastAsia="仿宋" w:cs="仿宋"/>
          <w:color w:val="auto"/>
          <w:sz w:val="20"/>
          <w:szCs w:val="20"/>
        </w:rPr>
      </w:pPr>
      <w:r>
        <w:rPr>
          <w:rFonts w:ascii="仿宋" w:hAnsi="仿宋" w:eastAsia="仿宋" w:cs="仿宋"/>
          <w:color w:val="auto"/>
          <w:spacing w:val="-18"/>
          <w:sz w:val="20"/>
          <w:szCs w:val="20"/>
        </w:rPr>
        <w:t>8.2.8 在参与政府采购活动中，不得有其他违法违规行为。</w:t>
      </w:r>
    </w:p>
    <w:p w14:paraId="242609F7">
      <w:pPr>
        <w:spacing w:before="166" w:line="222" w:lineRule="auto"/>
        <w:ind w:left="427"/>
        <w:rPr>
          <w:rFonts w:ascii="仿宋" w:hAnsi="仿宋" w:eastAsia="仿宋" w:cs="仿宋"/>
          <w:color w:val="auto"/>
          <w:sz w:val="24"/>
          <w:szCs w:val="24"/>
        </w:rPr>
      </w:pPr>
      <w:r>
        <w:rPr>
          <w:rFonts w:ascii="仿宋" w:hAnsi="仿宋" w:eastAsia="仿宋" w:cs="仿宋"/>
          <w:b/>
          <w:bCs/>
          <w:color w:val="auto"/>
          <w:spacing w:val="-27"/>
          <w:sz w:val="24"/>
          <w:szCs w:val="24"/>
        </w:rPr>
        <w:t>8.3</w:t>
      </w:r>
      <w:r>
        <w:rPr>
          <w:rFonts w:ascii="仿宋" w:hAnsi="仿宋" w:eastAsia="仿宋" w:cs="仿宋"/>
          <w:color w:val="auto"/>
          <w:spacing w:val="-27"/>
          <w:sz w:val="24"/>
          <w:szCs w:val="24"/>
        </w:rPr>
        <w:t xml:space="preserve"> </w:t>
      </w:r>
      <w:r>
        <w:rPr>
          <w:rFonts w:ascii="仿宋" w:hAnsi="仿宋" w:eastAsia="仿宋" w:cs="仿宋"/>
          <w:b/>
          <w:bCs/>
          <w:color w:val="auto"/>
          <w:spacing w:val="-27"/>
          <w:sz w:val="24"/>
          <w:szCs w:val="24"/>
        </w:rPr>
        <w:t>对评标委员会成员的纪律要求</w:t>
      </w:r>
    </w:p>
    <w:p w14:paraId="76BF7E0E">
      <w:pPr>
        <w:spacing w:before="174" w:line="229" w:lineRule="auto"/>
        <w:ind w:left="366"/>
        <w:rPr>
          <w:rFonts w:ascii="仿宋" w:hAnsi="仿宋" w:eastAsia="仿宋" w:cs="仿宋"/>
          <w:color w:val="auto"/>
          <w:sz w:val="20"/>
          <w:szCs w:val="20"/>
        </w:rPr>
      </w:pPr>
      <w:r>
        <w:rPr>
          <w:rFonts w:ascii="仿宋" w:hAnsi="仿宋" w:eastAsia="仿宋" w:cs="仿宋"/>
          <w:color w:val="auto"/>
          <w:spacing w:val="-18"/>
          <w:sz w:val="20"/>
          <w:szCs w:val="20"/>
        </w:rPr>
        <w:t>8.3.1 确定参与评标至评标结束前，不得私自接触投标人；</w:t>
      </w:r>
    </w:p>
    <w:p w14:paraId="1233A13E">
      <w:pPr>
        <w:spacing w:before="160" w:line="228" w:lineRule="auto"/>
        <w:ind w:left="366"/>
        <w:rPr>
          <w:rFonts w:ascii="仿宋" w:hAnsi="仿宋" w:eastAsia="仿宋" w:cs="仿宋"/>
          <w:color w:val="auto"/>
          <w:sz w:val="20"/>
          <w:szCs w:val="20"/>
        </w:rPr>
      </w:pPr>
      <w:r>
        <w:rPr>
          <w:rFonts w:ascii="仿宋" w:hAnsi="仿宋" w:eastAsia="仿宋" w:cs="仿宋"/>
          <w:color w:val="auto"/>
          <w:spacing w:val="-19"/>
          <w:sz w:val="20"/>
          <w:szCs w:val="20"/>
        </w:rPr>
        <w:t>8.3.2 不得与投标人或采购代理机构串通损害国家利益、社会公共利益或者他人合法权益；</w:t>
      </w:r>
    </w:p>
    <w:p w14:paraId="6D9DEF0F">
      <w:pPr>
        <w:spacing w:before="161" w:line="231" w:lineRule="auto"/>
        <w:ind w:left="366"/>
        <w:rPr>
          <w:rFonts w:ascii="仿宋" w:hAnsi="仿宋" w:eastAsia="仿宋" w:cs="仿宋"/>
          <w:color w:val="auto"/>
          <w:sz w:val="20"/>
          <w:szCs w:val="20"/>
        </w:rPr>
      </w:pPr>
      <w:r>
        <w:rPr>
          <w:rFonts w:ascii="仿宋" w:hAnsi="仿宋" w:eastAsia="仿宋" w:cs="仿宋"/>
          <w:color w:val="auto"/>
          <w:spacing w:val="-18"/>
          <w:sz w:val="20"/>
          <w:szCs w:val="20"/>
        </w:rPr>
        <w:t>8.3.3 不得接受投标人主动提出的与投标文件不一致的澄清和</w:t>
      </w:r>
      <w:r>
        <w:rPr>
          <w:rFonts w:ascii="仿宋" w:hAnsi="仿宋" w:eastAsia="仿宋" w:cs="仿宋"/>
          <w:color w:val="auto"/>
          <w:spacing w:val="-19"/>
          <w:sz w:val="20"/>
          <w:szCs w:val="20"/>
        </w:rPr>
        <w:t>说明；</w:t>
      </w:r>
    </w:p>
    <w:p w14:paraId="0BA22D4F">
      <w:pPr>
        <w:spacing w:before="158" w:line="229" w:lineRule="auto"/>
        <w:ind w:left="366"/>
        <w:rPr>
          <w:rFonts w:ascii="仿宋" w:hAnsi="仿宋" w:eastAsia="仿宋" w:cs="仿宋"/>
          <w:color w:val="auto"/>
          <w:sz w:val="20"/>
          <w:szCs w:val="20"/>
        </w:rPr>
      </w:pPr>
      <w:r>
        <w:rPr>
          <w:rFonts w:ascii="仿宋" w:hAnsi="仿宋" w:eastAsia="仿宋" w:cs="仿宋"/>
          <w:color w:val="auto"/>
          <w:spacing w:val="-16"/>
          <w:sz w:val="20"/>
          <w:szCs w:val="20"/>
        </w:rPr>
        <w:t>8.3.4 不得征询采购人的倾向性意见；</w:t>
      </w:r>
    </w:p>
    <w:p w14:paraId="2FDC275C">
      <w:pPr>
        <w:spacing w:before="162" w:line="231" w:lineRule="auto"/>
        <w:ind w:left="366"/>
        <w:rPr>
          <w:rFonts w:ascii="仿宋" w:hAnsi="仿宋" w:eastAsia="仿宋" w:cs="仿宋"/>
          <w:color w:val="auto"/>
          <w:sz w:val="20"/>
          <w:szCs w:val="20"/>
        </w:rPr>
      </w:pPr>
      <w:r>
        <w:rPr>
          <w:rFonts w:ascii="仿宋" w:hAnsi="仿宋" w:eastAsia="仿宋" w:cs="仿宋"/>
          <w:color w:val="auto"/>
          <w:spacing w:val="-16"/>
          <w:sz w:val="20"/>
          <w:szCs w:val="20"/>
        </w:rPr>
        <w:t>8.3.5 不得对主观评审因素协商评分；</w:t>
      </w:r>
    </w:p>
    <w:p w14:paraId="060FE540">
      <w:pPr>
        <w:spacing w:before="158" w:line="231" w:lineRule="auto"/>
        <w:ind w:left="366"/>
        <w:rPr>
          <w:rFonts w:ascii="仿宋" w:hAnsi="仿宋" w:eastAsia="仿宋" w:cs="仿宋"/>
          <w:color w:val="auto"/>
          <w:sz w:val="20"/>
          <w:szCs w:val="20"/>
        </w:rPr>
      </w:pPr>
      <w:r>
        <w:rPr>
          <w:rFonts w:ascii="仿宋" w:hAnsi="仿宋" w:eastAsia="仿宋" w:cs="仿宋"/>
          <w:color w:val="auto"/>
          <w:spacing w:val="-17"/>
          <w:sz w:val="20"/>
          <w:szCs w:val="20"/>
        </w:rPr>
        <w:t>8.3.6 不得对客观评审因素评分不一致；</w:t>
      </w:r>
    </w:p>
    <w:p w14:paraId="454C7F3C">
      <w:pPr>
        <w:spacing w:before="158" w:line="230" w:lineRule="auto"/>
        <w:ind w:left="366"/>
        <w:rPr>
          <w:rFonts w:ascii="仿宋" w:hAnsi="仿宋" w:eastAsia="仿宋" w:cs="仿宋"/>
          <w:color w:val="auto"/>
          <w:sz w:val="20"/>
          <w:szCs w:val="20"/>
        </w:rPr>
      </w:pPr>
      <w:r>
        <w:rPr>
          <w:rFonts w:ascii="仿宋" w:hAnsi="仿宋" w:eastAsia="仿宋" w:cs="仿宋"/>
          <w:color w:val="auto"/>
          <w:spacing w:val="-19"/>
          <w:sz w:val="20"/>
          <w:szCs w:val="20"/>
        </w:rPr>
        <w:t>8.3.7 评标委员会成员不得接受投标人、采购人和采购代理机构等他人的贿赂或者其他不正当利益；</w:t>
      </w:r>
    </w:p>
    <w:p w14:paraId="557B1ECE">
      <w:pPr>
        <w:spacing w:before="159" w:line="228" w:lineRule="auto"/>
        <w:ind w:left="366"/>
        <w:rPr>
          <w:rFonts w:ascii="仿宋" w:hAnsi="仿宋" w:eastAsia="仿宋" w:cs="仿宋"/>
          <w:color w:val="auto"/>
          <w:sz w:val="20"/>
          <w:szCs w:val="20"/>
        </w:rPr>
      </w:pPr>
      <w:r>
        <w:rPr>
          <w:rFonts w:ascii="仿宋" w:hAnsi="仿宋" w:eastAsia="仿宋" w:cs="仿宋"/>
          <w:color w:val="auto"/>
          <w:spacing w:val="-19"/>
          <w:sz w:val="20"/>
          <w:szCs w:val="20"/>
        </w:rPr>
        <w:t>8.3.8 不得以不合理的条件对投标人实行差别待遇或者歧视待遇，排斥其他投标人公平参与竞争；</w:t>
      </w:r>
    </w:p>
    <w:p w14:paraId="6143A4A6">
      <w:pPr>
        <w:spacing w:before="163" w:line="229" w:lineRule="auto"/>
        <w:ind w:left="366"/>
        <w:rPr>
          <w:rFonts w:ascii="仿宋" w:hAnsi="仿宋" w:eastAsia="仿宋" w:cs="仿宋"/>
          <w:color w:val="auto"/>
          <w:sz w:val="20"/>
          <w:szCs w:val="20"/>
        </w:rPr>
      </w:pPr>
      <w:r>
        <w:rPr>
          <w:rFonts w:ascii="仿宋" w:hAnsi="仿宋" w:eastAsia="仿宋" w:cs="仿宋"/>
          <w:color w:val="auto"/>
          <w:spacing w:val="-18"/>
          <w:sz w:val="20"/>
          <w:szCs w:val="20"/>
        </w:rPr>
        <w:t>8.3.9 不得使用招标文件没有规定的评标方法和评标标准进行</w:t>
      </w:r>
      <w:r>
        <w:rPr>
          <w:rFonts w:ascii="仿宋" w:hAnsi="仿宋" w:eastAsia="仿宋" w:cs="仿宋"/>
          <w:color w:val="auto"/>
          <w:spacing w:val="-19"/>
          <w:sz w:val="20"/>
          <w:szCs w:val="20"/>
        </w:rPr>
        <w:t>评标；</w:t>
      </w:r>
    </w:p>
    <w:p w14:paraId="60FA53E6">
      <w:pPr>
        <w:spacing w:before="160" w:line="230" w:lineRule="auto"/>
        <w:ind w:left="366"/>
        <w:rPr>
          <w:rFonts w:ascii="仿宋" w:hAnsi="仿宋" w:eastAsia="仿宋" w:cs="仿宋"/>
          <w:color w:val="auto"/>
          <w:sz w:val="20"/>
          <w:szCs w:val="20"/>
        </w:rPr>
      </w:pPr>
      <w:r>
        <w:rPr>
          <w:rFonts w:ascii="仿宋" w:hAnsi="仿宋" w:eastAsia="仿宋" w:cs="仿宋"/>
          <w:color w:val="auto"/>
          <w:spacing w:val="-18"/>
          <w:sz w:val="20"/>
          <w:szCs w:val="20"/>
        </w:rPr>
        <w:t>8.3.10 不得诱导、干预或影响其他评标专家依法依规独立评标；</w:t>
      </w:r>
    </w:p>
    <w:p w14:paraId="4F4F02B7">
      <w:pPr>
        <w:spacing w:before="65" w:line="228" w:lineRule="auto"/>
        <w:ind w:left="366"/>
        <w:rPr>
          <w:rFonts w:ascii="仿宋" w:hAnsi="仿宋" w:eastAsia="仿宋" w:cs="仿宋"/>
          <w:color w:val="auto"/>
          <w:sz w:val="20"/>
          <w:szCs w:val="20"/>
        </w:rPr>
      </w:pPr>
      <w:r>
        <w:rPr>
          <w:rFonts w:ascii="仿宋" w:hAnsi="仿宋" w:eastAsia="仿宋" w:cs="仿宋"/>
          <w:color w:val="auto"/>
          <w:spacing w:val="-18"/>
          <w:sz w:val="20"/>
          <w:szCs w:val="20"/>
        </w:rPr>
        <w:t>8.3.11 在评标活动中，评标委员会成员不得擅离职守，</w:t>
      </w:r>
      <w:r>
        <w:rPr>
          <w:rFonts w:ascii="仿宋" w:hAnsi="仿宋" w:eastAsia="仿宋" w:cs="仿宋"/>
          <w:color w:val="auto"/>
          <w:spacing w:val="-19"/>
          <w:sz w:val="20"/>
          <w:szCs w:val="20"/>
        </w:rPr>
        <w:t>影响评标工作正常进行；</w:t>
      </w:r>
    </w:p>
    <w:p w14:paraId="37624E30">
      <w:pPr>
        <w:spacing w:before="160" w:line="229" w:lineRule="auto"/>
        <w:ind w:left="366"/>
        <w:rPr>
          <w:rFonts w:ascii="仿宋" w:hAnsi="仿宋" w:eastAsia="仿宋" w:cs="仿宋"/>
          <w:color w:val="auto"/>
          <w:sz w:val="20"/>
          <w:szCs w:val="20"/>
        </w:rPr>
      </w:pPr>
      <w:r>
        <w:rPr>
          <w:rFonts w:ascii="仿宋" w:hAnsi="仿宋" w:eastAsia="仿宋" w:cs="仿宋"/>
          <w:color w:val="auto"/>
          <w:spacing w:val="-17"/>
          <w:sz w:val="20"/>
          <w:szCs w:val="20"/>
        </w:rPr>
        <w:t>8.3.12 不得记录、复制或带走任何评标资料；</w:t>
      </w:r>
    </w:p>
    <w:p w14:paraId="374F1939">
      <w:pPr>
        <w:spacing w:before="161" w:line="303" w:lineRule="auto"/>
        <w:ind w:left="26" w:firstLine="339"/>
        <w:rPr>
          <w:rFonts w:ascii="仿宋" w:hAnsi="仿宋" w:eastAsia="仿宋" w:cs="仿宋"/>
          <w:color w:val="auto"/>
          <w:sz w:val="20"/>
          <w:szCs w:val="20"/>
        </w:rPr>
      </w:pPr>
      <w:r>
        <w:rPr>
          <w:rFonts w:ascii="仿宋" w:hAnsi="仿宋" w:eastAsia="仿宋" w:cs="仿宋"/>
          <w:color w:val="auto"/>
          <w:spacing w:val="-19"/>
          <w:sz w:val="20"/>
          <w:szCs w:val="20"/>
        </w:rPr>
        <w:t>8.3.11 不得泄露评标过程中获悉的对投标文件的评审和比较、中标候选人的推荐情况以及与评标有关的应当保密</w:t>
      </w:r>
      <w:r>
        <w:rPr>
          <w:rFonts w:ascii="仿宋" w:hAnsi="仿宋" w:eastAsia="仿宋" w:cs="仿宋"/>
          <w:color w:val="auto"/>
          <w:spacing w:val="11"/>
          <w:sz w:val="20"/>
          <w:szCs w:val="20"/>
        </w:rPr>
        <w:t xml:space="preserve"> </w:t>
      </w:r>
      <w:r>
        <w:rPr>
          <w:rFonts w:ascii="仿宋" w:hAnsi="仿宋" w:eastAsia="仿宋" w:cs="仿宋"/>
          <w:color w:val="auto"/>
          <w:spacing w:val="-18"/>
          <w:sz w:val="20"/>
          <w:szCs w:val="20"/>
        </w:rPr>
        <w:t>的情况和资料；</w:t>
      </w:r>
    </w:p>
    <w:p w14:paraId="529C6215">
      <w:pPr>
        <w:spacing w:before="160" w:line="228" w:lineRule="auto"/>
        <w:ind w:left="366"/>
        <w:rPr>
          <w:rFonts w:ascii="仿宋" w:hAnsi="仿宋" w:eastAsia="仿宋" w:cs="仿宋"/>
          <w:color w:val="auto"/>
          <w:sz w:val="20"/>
          <w:szCs w:val="20"/>
        </w:rPr>
      </w:pPr>
      <w:r>
        <w:rPr>
          <w:rFonts w:ascii="仿宋" w:hAnsi="仿宋" w:eastAsia="仿宋" w:cs="仿宋"/>
          <w:color w:val="auto"/>
          <w:spacing w:val="-17"/>
          <w:sz w:val="20"/>
          <w:szCs w:val="20"/>
        </w:rPr>
        <w:t>8.3.13 评标委员会成员与投标人存在利</w:t>
      </w:r>
      <w:r>
        <w:rPr>
          <w:rFonts w:ascii="仿宋" w:hAnsi="仿宋" w:eastAsia="仿宋" w:cs="仿宋"/>
          <w:color w:val="auto"/>
          <w:spacing w:val="-18"/>
          <w:sz w:val="20"/>
          <w:szCs w:val="20"/>
        </w:rPr>
        <w:t>害关系应当回避；</w:t>
      </w:r>
    </w:p>
    <w:p w14:paraId="67C4108C">
      <w:pPr>
        <w:spacing w:before="161" w:line="228" w:lineRule="auto"/>
        <w:ind w:left="366"/>
        <w:rPr>
          <w:rFonts w:ascii="仿宋" w:hAnsi="仿宋" w:eastAsia="仿宋" w:cs="仿宋"/>
          <w:color w:val="auto"/>
          <w:sz w:val="20"/>
          <w:szCs w:val="20"/>
        </w:rPr>
      </w:pPr>
      <w:r>
        <w:rPr>
          <w:rFonts w:ascii="仿宋" w:hAnsi="仿宋" w:eastAsia="仿宋" w:cs="仿宋"/>
          <w:color w:val="auto"/>
          <w:spacing w:val="-18"/>
          <w:sz w:val="20"/>
          <w:szCs w:val="20"/>
        </w:rPr>
        <w:t>8.3.14 在参与政府采购评标活动中，不得有其他违法违规行为。</w:t>
      </w:r>
    </w:p>
    <w:p w14:paraId="5B6F14DE">
      <w:pPr>
        <w:spacing w:before="165" w:line="220" w:lineRule="auto"/>
        <w:ind w:left="427"/>
        <w:rPr>
          <w:rFonts w:ascii="仿宋" w:hAnsi="仿宋" w:eastAsia="仿宋" w:cs="仿宋"/>
          <w:color w:val="auto"/>
          <w:sz w:val="24"/>
          <w:szCs w:val="24"/>
        </w:rPr>
      </w:pPr>
      <w:r>
        <w:rPr>
          <w:rFonts w:ascii="仿宋" w:hAnsi="仿宋" w:eastAsia="仿宋" w:cs="仿宋"/>
          <w:b/>
          <w:bCs/>
          <w:color w:val="auto"/>
          <w:spacing w:val="-28"/>
          <w:sz w:val="24"/>
          <w:szCs w:val="24"/>
        </w:rPr>
        <w:t>8.4</w:t>
      </w:r>
      <w:r>
        <w:rPr>
          <w:rFonts w:ascii="仿宋" w:hAnsi="仿宋" w:eastAsia="仿宋" w:cs="仿宋"/>
          <w:color w:val="auto"/>
          <w:spacing w:val="-28"/>
          <w:sz w:val="24"/>
          <w:szCs w:val="24"/>
        </w:rPr>
        <w:t xml:space="preserve"> </w:t>
      </w:r>
      <w:r>
        <w:rPr>
          <w:rFonts w:ascii="仿宋" w:hAnsi="仿宋" w:eastAsia="仿宋" w:cs="仿宋"/>
          <w:b/>
          <w:bCs/>
          <w:color w:val="auto"/>
          <w:spacing w:val="-28"/>
          <w:sz w:val="24"/>
          <w:szCs w:val="24"/>
        </w:rPr>
        <w:t>对与评标活动有关的工作人员的纪律要求</w:t>
      </w:r>
    </w:p>
    <w:p w14:paraId="2070E387">
      <w:pPr>
        <w:spacing w:before="178" w:line="230" w:lineRule="auto"/>
        <w:ind w:left="366"/>
        <w:rPr>
          <w:rFonts w:ascii="仿宋" w:hAnsi="仿宋" w:eastAsia="仿宋" w:cs="仿宋"/>
          <w:color w:val="auto"/>
          <w:sz w:val="20"/>
          <w:szCs w:val="20"/>
        </w:rPr>
      </w:pPr>
      <w:r>
        <w:rPr>
          <w:rFonts w:ascii="仿宋" w:hAnsi="仿宋" w:eastAsia="仿宋" w:cs="仿宋"/>
          <w:color w:val="auto"/>
          <w:spacing w:val="-19"/>
          <w:sz w:val="20"/>
          <w:szCs w:val="20"/>
        </w:rPr>
        <w:t>8.4.1 不得接受投标人、采购人和采购代理机构等他人的贿赂或者其他不正当利益；</w:t>
      </w:r>
    </w:p>
    <w:p w14:paraId="3B487B8D">
      <w:pPr>
        <w:spacing w:before="158" w:line="228" w:lineRule="auto"/>
        <w:ind w:left="366"/>
        <w:rPr>
          <w:rFonts w:ascii="仿宋" w:hAnsi="仿宋" w:eastAsia="仿宋" w:cs="仿宋"/>
          <w:color w:val="auto"/>
          <w:sz w:val="20"/>
          <w:szCs w:val="20"/>
        </w:rPr>
      </w:pPr>
      <w:r>
        <w:rPr>
          <w:rFonts w:ascii="仿宋" w:hAnsi="仿宋" w:eastAsia="仿宋" w:cs="仿宋"/>
          <w:color w:val="auto"/>
          <w:spacing w:val="-19"/>
          <w:sz w:val="20"/>
          <w:szCs w:val="20"/>
        </w:rPr>
        <w:t>8.4.2 不得与投标人、采购代理机构或评标专家串通损害国家利益、社会公共利益或者他人合法权</w:t>
      </w:r>
      <w:r>
        <w:rPr>
          <w:rFonts w:ascii="仿宋" w:hAnsi="仿宋" w:eastAsia="仿宋" w:cs="仿宋"/>
          <w:color w:val="auto"/>
          <w:spacing w:val="-20"/>
          <w:sz w:val="20"/>
          <w:szCs w:val="20"/>
        </w:rPr>
        <w:t>益；</w:t>
      </w:r>
    </w:p>
    <w:p w14:paraId="443254D6">
      <w:pPr>
        <w:spacing w:before="164" w:line="228" w:lineRule="auto"/>
        <w:ind w:left="366"/>
        <w:rPr>
          <w:rFonts w:ascii="仿宋" w:hAnsi="仿宋" w:eastAsia="仿宋" w:cs="仿宋"/>
          <w:color w:val="auto"/>
          <w:sz w:val="20"/>
          <w:szCs w:val="20"/>
        </w:rPr>
      </w:pPr>
      <w:r>
        <w:rPr>
          <w:rFonts w:ascii="仿宋" w:hAnsi="仿宋" w:eastAsia="仿宋" w:cs="仿宋"/>
          <w:color w:val="auto"/>
          <w:spacing w:val="-19"/>
          <w:sz w:val="20"/>
          <w:szCs w:val="20"/>
        </w:rPr>
        <w:t>8.4.3 不得以不合理的条件对投标人实行差别待遇或者歧视待遇，排斥其他投标人公平参与竞争；</w:t>
      </w:r>
    </w:p>
    <w:p w14:paraId="036A2B7B">
      <w:pPr>
        <w:spacing w:before="161" w:line="231" w:lineRule="auto"/>
        <w:ind w:left="366"/>
        <w:rPr>
          <w:rFonts w:ascii="仿宋" w:hAnsi="仿宋" w:eastAsia="仿宋" w:cs="仿宋"/>
          <w:color w:val="auto"/>
          <w:sz w:val="20"/>
          <w:szCs w:val="20"/>
        </w:rPr>
      </w:pPr>
      <w:r>
        <w:rPr>
          <w:rFonts w:ascii="仿宋" w:hAnsi="仿宋" w:eastAsia="仿宋" w:cs="仿宋"/>
          <w:color w:val="auto"/>
          <w:spacing w:val="-18"/>
          <w:sz w:val="20"/>
          <w:szCs w:val="20"/>
        </w:rPr>
        <w:t>8.4.4 不得诱导、干预或影响评标委员会及其成员依法依规</w:t>
      </w:r>
      <w:r>
        <w:rPr>
          <w:rFonts w:ascii="仿宋" w:hAnsi="仿宋" w:eastAsia="仿宋" w:cs="仿宋"/>
          <w:color w:val="auto"/>
          <w:spacing w:val="-19"/>
          <w:sz w:val="20"/>
          <w:szCs w:val="20"/>
        </w:rPr>
        <w:t>独立评标；</w:t>
      </w:r>
    </w:p>
    <w:p w14:paraId="01C6BDE1">
      <w:pPr>
        <w:spacing w:before="157" w:line="229" w:lineRule="auto"/>
        <w:ind w:left="366"/>
        <w:rPr>
          <w:rFonts w:ascii="仿宋" w:hAnsi="仿宋" w:eastAsia="仿宋" w:cs="仿宋"/>
          <w:color w:val="auto"/>
          <w:sz w:val="20"/>
          <w:szCs w:val="20"/>
        </w:rPr>
      </w:pPr>
      <w:r>
        <w:rPr>
          <w:rFonts w:ascii="仿宋" w:hAnsi="仿宋" w:eastAsia="仿宋" w:cs="仿宋"/>
          <w:color w:val="auto"/>
          <w:spacing w:val="-17"/>
          <w:sz w:val="20"/>
          <w:szCs w:val="20"/>
        </w:rPr>
        <w:t>8.4.5 不得擅离职守，影响评标工作正常进行；</w:t>
      </w:r>
    </w:p>
    <w:p w14:paraId="3CC81825">
      <w:pPr>
        <w:spacing w:before="160" w:line="229" w:lineRule="auto"/>
        <w:ind w:left="366"/>
        <w:rPr>
          <w:rFonts w:ascii="仿宋" w:hAnsi="仿宋" w:eastAsia="仿宋" w:cs="仿宋"/>
          <w:color w:val="auto"/>
          <w:sz w:val="20"/>
          <w:szCs w:val="20"/>
        </w:rPr>
      </w:pPr>
      <w:r>
        <w:rPr>
          <w:rFonts w:ascii="仿宋" w:hAnsi="仿宋" w:eastAsia="仿宋" w:cs="仿宋"/>
          <w:color w:val="auto"/>
          <w:spacing w:val="-17"/>
          <w:sz w:val="20"/>
          <w:szCs w:val="20"/>
        </w:rPr>
        <w:t>8.4.6 不得泄露采购活动中应当保密的情</w:t>
      </w:r>
      <w:r>
        <w:rPr>
          <w:rFonts w:ascii="仿宋" w:hAnsi="仿宋" w:eastAsia="仿宋" w:cs="仿宋"/>
          <w:color w:val="auto"/>
          <w:spacing w:val="-18"/>
          <w:sz w:val="20"/>
          <w:szCs w:val="20"/>
        </w:rPr>
        <w:t>况和资料；</w:t>
      </w:r>
    </w:p>
    <w:p w14:paraId="1F44C46F">
      <w:pPr>
        <w:spacing w:before="160" w:line="231" w:lineRule="auto"/>
        <w:ind w:left="366"/>
        <w:rPr>
          <w:rFonts w:ascii="仿宋" w:hAnsi="仿宋" w:eastAsia="仿宋" w:cs="仿宋"/>
          <w:color w:val="auto"/>
          <w:sz w:val="20"/>
          <w:szCs w:val="20"/>
        </w:rPr>
      </w:pPr>
      <w:r>
        <w:rPr>
          <w:rFonts w:ascii="仿宋" w:hAnsi="仿宋" w:eastAsia="仿宋" w:cs="仿宋"/>
          <w:color w:val="auto"/>
          <w:spacing w:val="-17"/>
          <w:sz w:val="20"/>
          <w:szCs w:val="20"/>
        </w:rPr>
        <w:t>8.4.7 与投标人有利害关系的应当回避；</w:t>
      </w:r>
    </w:p>
    <w:p w14:paraId="0735F655">
      <w:pPr>
        <w:spacing w:before="158" w:line="228" w:lineRule="auto"/>
        <w:ind w:left="366"/>
        <w:rPr>
          <w:rFonts w:ascii="仿宋" w:hAnsi="仿宋" w:eastAsia="仿宋" w:cs="仿宋"/>
          <w:color w:val="auto"/>
          <w:sz w:val="20"/>
          <w:szCs w:val="20"/>
        </w:rPr>
      </w:pPr>
      <w:r>
        <w:rPr>
          <w:rFonts w:ascii="仿宋" w:hAnsi="仿宋" w:eastAsia="仿宋" w:cs="仿宋"/>
          <w:color w:val="auto"/>
          <w:spacing w:val="-18"/>
          <w:sz w:val="20"/>
          <w:szCs w:val="20"/>
        </w:rPr>
        <w:t>8.4.8 在参与或服务政府采购活动中，不得有其他违法违规行为。</w:t>
      </w:r>
    </w:p>
    <w:p w14:paraId="575AFB59">
      <w:pPr>
        <w:spacing w:before="169" w:line="222" w:lineRule="auto"/>
        <w:ind w:left="427"/>
        <w:rPr>
          <w:rFonts w:ascii="仿宋" w:hAnsi="仿宋" w:eastAsia="仿宋" w:cs="仿宋"/>
          <w:color w:val="auto"/>
          <w:sz w:val="24"/>
          <w:szCs w:val="24"/>
        </w:rPr>
      </w:pPr>
      <w:r>
        <w:rPr>
          <w:rFonts w:ascii="仿宋" w:hAnsi="仿宋" w:eastAsia="仿宋" w:cs="仿宋"/>
          <w:b/>
          <w:bCs/>
          <w:color w:val="auto"/>
          <w:spacing w:val="-21"/>
          <w:sz w:val="24"/>
          <w:szCs w:val="24"/>
        </w:rPr>
        <w:t>8.5</w:t>
      </w:r>
      <w:r>
        <w:rPr>
          <w:rFonts w:ascii="仿宋" w:hAnsi="仿宋" w:eastAsia="仿宋" w:cs="仿宋"/>
          <w:color w:val="auto"/>
          <w:spacing w:val="-21"/>
          <w:sz w:val="24"/>
          <w:szCs w:val="24"/>
        </w:rPr>
        <w:t xml:space="preserve"> </w:t>
      </w:r>
      <w:r>
        <w:rPr>
          <w:rFonts w:ascii="仿宋" w:hAnsi="仿宋" w:eastAsia="仿宋" w:cs="仿宋"/>
          <w:b/>
          <w:bCs/>
          <w:color w:val="auto"/>
          <w:spacing w:val="-21"/>
          <w:sz w:val="24"/>
          <w:szCs w:val="24"/>
        </w:rPr>
        <w:t>质疑和投诉</w:t>
      </w:r>
    </w:p>
    <w:p w14:paraId="1C76632E">
      <w:pPr>
        <w:spacing w:before="171" w:line="231" w:lineRule="auto"/>
        <w:ind w:left="366"/>
        <w:rPr>
          <w:rFonts w:ascii="仿宋" w:hAnsi="仿宋" w:eastAsia="仿宋" w:cs="仿宋"/>
          <w:color w:val="auto"/>
          <w:sz w:val="20"/>
          <w:szCs w:val="20"/>
        </w:rPr>
      </w:pPr>
      <w:r>
        <w:rPr>
          <w:rFonts w:ascii="仿宋" w:hAnsi="仿宋" w:eastAsia="仿宋" w:cs="仿宋"/>
          <w:color w:val="auto"/>
          <w:spacing w:val="-19"/>
          <w:sz w:val="20"/>
          <w:szCs w:val="20"/>
        </w:rPr>
        <w:t>8.5.1 投标人（供应商）对政府采购活动事项有疑问的，可以向采购人或采购代理机构提出询问。</w:t>
      </w:r>
    </w:p>
    <w:p w14:paraId="14D3B5BB">
      <w:pPr>
        <w:spacing w:before="158" w:line="304" w:lineRule="auto"/>
        <w:ind w:left="15" w:right="2" w:firstLine="350"/>
        <w:rPr>
          <w:rFonts w:ascii="仿宋" w:hAnsi="仿宋" w:eastAsia="仿宋" w:cs="仿宋"/>
          <w:color w:val="auto"/>
          <w:sz w:val="20"/>
          <w:szCs w:val="20"/>
        </w:rPr>
      </w:pPr>
      <w:r>
        <w:rPr>
          <w:rFonts w:ascii="仿宋" w:hAnsi="仿宋" w:eastAsia="仿宋" w:cs="仿宋"/>
          <w:color w:val="auto"/>
          <w:spacing w:val="-22"/>
          <w:sz w:val="20"/>
          <w:szCs w:val="20"/>
        </w:rPr>
        <w:t>8.5</w:t>
      </w:r>
      <w:r>
        <w:rPr>
          <w:rFonts w:ascii="仿宋" w:hAnsi="仿宋" w:eastAsia="仿宋" w:cs="仿宋"/>
          <w:color w:val="auto"/>
          <w:spacing w:val="-21"/>
          <w:sz w:val="20"/>
          <w:szCs w:val="20"/>
        </w:rPr>
        <w:t>.2 投标人（供应商）认为招标（采购）文件、采购过程和中标（成交）结果使自己的权益受到损害时，可以</w:t>
      </w:r>
      <w:r>
        <w:rPr>
          <w:rFonts w:ascii="仿宋" w:hAnsi="仿宋" w:eastAsia="仿宋" w:cs="仿宋"/>
          <w:color w:val="auto"/>
          <w:spacing w:val="-18"/>
          <w:sz w:val="20"/>
          <w:szCs w:val="20"/>
        </w:rPr>
        <w:t>在</w:t>
      </w:r>
      <w:r>
        <w:rPr>
          <w:rFonts w:ascii="仿宋" w:hAnsi="仿宋" w:eastAsia="仿宋" w:cs="仿宋"/>
          <w:color w:val="auto"/>
          <w:spacing w:val="15"/>
          <w:sz w:val="20"/>
          <w:szCs w:val="20"/>
        </w:rPr>
        <w:t xml:space="preserve"> </w:t>
      </w:r>
      <w:r>
        <w:rPr>
          <w:rFonts w:ascii="仿宋" w:hAnsi="仿宋" w:eastAsia="仿宋" w:cs="仿宋"/>
          <w:color w:val="auto"/>
          <w:spacing w:val="-20"/>
          <w:sz w:val="20"/>
          <w:szCs w:val="20"/>
        </w:rPr>
        <w:t>知道或者应知其权益受到损害之日起七个工作日内以书面</w:t>
      </w:r>
      <w:r>
        <w:rPr>
          <w:rFonts w:ascii="仿宋" w:hAnsi="仿宋" w:eastAsia="仿宋" w:cs="仿宋"/>
          <w:color w:val="auto"/>
          <w:spacing w:val="-21"/>
          <w:sz w:val="20"/>
          <w:szCs w:val="20"/>
        </w:rPr>
        <w:t>形式向采购人或采购代理机构提出质疑。</w:t>
      </w:r>
    </w:p>
    <w:p w14:paraId="37D1B75A">
      <w:pPr>
        <w:spacing w:before="160" w:line="230" w:lineRule="auto"/>
        <w:ind w:left="366"/>
        <w:rPr>
          <w:rFonts w:ascii="仿宋" w:hAnsi="仿宋" w:eastAsia="仿宋" w:cs="仿宋"/>
          <w:color w:val="auto"/>
          <w:sz w:val="20"/>
          <w:szCs w:val="20"/>
        </w:rPr>
      </w:pPr>
      <w:r>
        <w:rPr>
          <w:rFonts w:ascii="仿宋" w:hAnsi="仿宋" w:eastAsia="仿宋" w:cs="仿宋"/>
          <w:color w:val="auto"/>
          <w:spacing w:val="-17"/>
          <w:sz w:val="20"/>
          <w:szCs w:val="20"/>
        </w:rPr>
        <w:t>8.5.3 前款“应知其权益受到损害之日”是指：</w:t>
      </w:r>
    </w:p>
    <w:p w14:paraId="56CC9B3B">
      <w:pPr>
        <w:spacing w:before="129" w:line="320" w:lineRule="auto"/>
        <w:ind w:left="58" w:firstLine="307"/>
        <w:rPr>
          <w:rFonts w:ascii="仿宋" w:hAnsi="仿宋" w:eastAsia="仿宋" w:cs="仿宋"/>
          <w:color w:val="auto"/>
          <w:sz w:val="20"/>
          <w:szCs w:val="20"/>
        </w:rPr>
      </w:pPr>
      <w:r>
        <w:rPr>
          <w:color w:val="auto"/>
        </w:rPr>
        <w:fldChar w:fldCharType="begin"/>
      </w:r>
      <w:r>
        <w:rPr>
          <w:color w:val="auto"/>
        </w:rPr>
        <w:instrText xml:space="preserve"> HYPERLINK "8.5.3.1" </w:instrText>
      </w:r>
      <w:r>
        <w:rPr>
          <w:color w:val="auto"/>
        </w:rPr>
        <w:fldChar w:fldCharType="separate"/>
      </w:r>
      <w:r>
        <w:rPr>
          <w:rFonts w:ascii="仿宋" w:hAnsi="仿宋" w:eastAsia="仿宋" w:cs="仿宋"/>
          <w:color w:val="auto"/>
          <w:spacing w:val="-21"/>
          <w:sz w:val="20"/>
          <w:szCs w:val="20"/>
        </w:rPr>
        <w:t>8.5.3.</w:t>
      </w:r>
      <w:r>
        <w:rPr>
          <w:rFonts w:ascii="仿宋" w:hAnsi="仿宋" w:eastAsia="仿宋" w:cs="仿宋"/>
          <w:color w:val="auto"/>
          <w:spacing w:val="-20"/>
          <w:sz w:val="20"/>
          <w:szCs w:val="20"/>
        </w:rPr>
        <w:t>1</w:t>
      </w:r>
      <w:r>
        <w:rPr>
          <w:rFonts w:ascii="仿宋" w:hAnsi="仿宋" w:eastAsia="仿宋" w:cs="仿宋"/>
          <w:color w:val="auto"/>
          <w:spacing w:val="-20"/>
          <w:sz w:val="20"/>
          <w:szCs w:val="20"/>
        </w:rPr>
        <w:fldChar w:fldCharType="end"/>
      </w:r>
      <w:r>
        <w:rPr>
          <w:rFonts w:ascii="仿宋" w:hAnsi="仿宋" w:eastAsia="仿宋" w:cs="仿宋"/>
          <w:color w:val="auto"/>
          <w:spacing w:val="-20"/>
          <w:sz w:val="20"/>
          <w:szCs w:val="20"/>
        </w:rPr>
        <w:t xml:space="preserve"> 对可以质疑的招标（采购）文件提出质疑的，获取招标（采购）文件</w:t>
      </w:r>
      <w:r>
        <w:rPr>
          <w:rFonts w:ascii="仿宋" w:hAnsi="仿宋" w:eastAsia="仿宋" w:cs="仿宋"/>
          <w:color w:val="auto"/>
          <w:spacing w:val="-21"/>
          <w:sz w:val="20"/>
          <w:szCs w:val="20"/>
        </w:rPr>
        <w:t>之日或招标（采购）公告期限届满</w:t>
      </w:r>
      <w:r>
        <w:rPr>
          <w:rFonts w:ascii="仿宋" w:hAnsi="仿宋" w:eastAsia="仿宋" w:cs="仿宋"/>
          <w:color w:val="auto"/>
          <w:spacing w:val="-15"/>
          <w:sz w:val="20"/>
          <w:szCs w:val="20"/>
        </w:rPr>
        <w:t>之</w:t>
      </w:r>
      <w:r>
        <w:rPr>
          <w:rFonts w:ascii="仿宋" w:hAnsi="仿宋" w:eastAsia="仿宋" w:cs="仿宋"/>
          <w:color w:val="auto"/>
          <w:sz w:val="20"/>
          <w:szCs w:val="20"/>
        </w:rPr>
        <w:t xml:space="preserve"> </w:t>
      </w:r>
      <w:r>
        <w:rPr>
          <w:rFonts w:ascii="仿宋" w:hAnsi="仿宋" w:eastAsia="仿宋" w:cs="仿宋"/>
          <w:color w:val="auto"/>
          <w:spacing w:val="-25"/>
          <w:sz w:val="20"/>
          <w:szCs w:val="20"/>
        </w:rPr>
        <w:t>日;</w:t>
      </w:r>
    </w:p>
    <w:p w14:paraId="53C830C5">
      <w:pPr>
        <w:spacing w:before="123" w:line="408" w:lineRule="exact"/>
        <w:ind w:left="366"/>
        <w:rPr>
          <w:rFonts w:ascii="仿宋" w:hAnsi="仿宋" w:eastAsia="仿宋" w:cs="仿宋"/>
          <w:color w:val="auto"/>
          <w:sz w:val="20"/>
          <w:szCs w:val="20"/>
        </w:rPr>
      </w:pPr>
      <w:r>
        <w:rPr>
          <w:color w:val="auto"/>
        </w:rPr>
        <w:fldChar w:fldCharType="begin"/>
      </w:r>
      <w:r>
        <w:rPr>
          <w:color w:val="auto"/>
        </w:rPr>
        <w:instrText xml:space="preserve"> HYPERLINK "8.5.3.2" </w:instrText>
      </w:r>
      <w:r>
        <w:rPr>
          <w:color w:val="auto"/>
        </w:rPr>
        <w:fldChar w:fldCharType="separate"/>
      </w:r>
      <w:r>
        <w:rPr>
          <w:rFonts w:ascii="仿宋" w:hAnsi="仿宋" w:eastAsia="仿宋" w:cs="仿宋"/>
          <w:color w:val="auto"/>
          <w:spacing w:val="-17"/>
          <w:position w:val="5"/>
          <w:sz w:val="20"/>
          <w:szCs w:val="20"/>
        </w:rPr>
        <w:t>8.5.3.2</w:t>
      </w:r>
      <w:r>
        <w:rPr>
          <w:rFonts w:ascii="仿宋" w:hAnsi="仿宋" w:eastAsia="仿宋" w:cs="仿宋"/>
          <w:color w:val="auto"/>
          <w:spacing w:val="-17"/>
          <w:position w:val="5"/>
          <w:sz w:val="20"/>
          <w:szCs w:val="20"/>
        </w:rPr>
        <w:fldChar w:fldCharType="end"/>
      </w:r>
      <w:r>
        <w:rPr>
          <w:rFonts w:ascii="仿宋" w:hAnsi="仿宋" w:eastAsia="仿宋" w:cs="仿宋"/>
          <w:color w:val="auto"/>
          <w:spacing w:val="-17"/>
          <w:position w:val="5"/>
          <w:sz w:val="20"/>
          <w:szCs w:val="20"/>
        </w:rPr>
        <w:t xml:space="preserve"> 对采购程序提出质疑的，为各采购程</w:t>
      </w:r>
      <w:r>
        <w:rPr>
          <w:rFonts w:ascii="仿宋" w:hAnsi="仿宋" w:eastAsia="仿宋" w:cs="仿宋"/>
          <w:color w:val="auto"/>
          <w:spacing w:val="-18"/>
          <w:position w:val="5"/>
          <w:sz w:val="20"/>
          <w:szCs w:val="20"/>
        </w:rPr>
        <w:t>序环节结束之日;</w:t>
      </w:r>
    </w:p>
    <w:p w14:paraId="47A1163B">
      <w:pPr>
        <w:spacing w:line="408" w:lineRule="exact"/>
        <w:ind w:left="366"/>
        <w:rPr>
          <w:rFonts w:ascii="仿宋" w:hAnsi="仿宋" w:eastAsia="仿宋" w:cs="仿宋"/>
          <w:color w:val="auto"/>
          <w:sz w:val="20"/>
          <w:szCs w:val="20"/>
        </w:rPr>
      </w:pPr>
      <w:r>
        <w:rPr>
          <w:color w:val="auto"/>
        </w:rPr>
        <w:fldChar w:fldCharType="begin"/>
      </w:r>
      <w:r>
        <w:rPr>
          <w:color w:val="auto"/>
        </w:rPr>
        <w:instrText xml:space="preserve"> HYPERLINK "8.5.3.3" </w:instrText>
      </w:r>
      <w:r>
        <w:rPr>
          <w:color w:val="auto"/>
        </w:rPr>
        <w:fldChar w:fldCharType="separate"/>
      </w:r>
      <w:r>
        <w:rPr>
          <w:rFonts w:ascii="仿宋" w:hAnsi="仿宋" w:eastAsia="仿宋" w:cs="仿宋"/>
          <w:color w:val="auto"/>
          <w:spacing w:val="-18"/>
          <w:position w:val="5"/>
          <w:sz w:val="20"/>
          <w:szCs w:val="20"/>
        </w:rPr>
        <w:t>8.5.3.3</w:t>
      </w:r>
      <w:r>
        <w:rPr>
          <w:rFonts w:ascii="仿宋" w:hAnsi="仿宋" w:eastAsia="仿宋" w:cs="仿宋"/>
          <w:color w:val="auto"/>
          <w:spacing w:val="-18"/>
          <w:position w:val="5"/>
          <w:sz w:val="20"/>
          <w:szCs w:val="20"/>
        </w:rPr>
        <w:fldChar w:fldCharType="end"/>
      </w:r>
      <w:r>
        <w:rPr>
          <w:rFonts w:ascii="仿宋" w:hAnsi="仿宋" w:eastAsia="仿宋" w:cs="仿宋"/>
          <w:color w:val="auto"/>
          <w:spacing w:val="-18"/>
          <w:position w:val="5"/>
          <w:sz w:val="20"/>
          <w:szCs w:val="20"/>
        </w:rPr>
        <w:t xml:space="preserve"> 对中标（成交）结果提出质疑的，为中标（成交）结果公告期</w:t>
      </w:r>
      <w:r>
        <w:rPr>
          <w:rFonts w:ascii="仿宋" w:hAnsi="仿宋" w:eastAsia="仿宋" w:cs="仿宋"/>
          <w:color w:val="auto"/>
          <w:spacing w:val="-19"/>
          <w:position w:val="5"/>
          <w:sz w:val="20"/>
          <w:szCs w:val="20"/>
        </w:rPr>
        <w:t>限届满之日；</w:t>
      </w:r>
    </w:p>
    <w:p w14:paraId="430FF73B">
      <w:pPr>
        <w:spacing w:before="32" w:line="231" w:lineRule="auto"/>
        <w:ind w:left="366"/>
        <w:rPr>
          <w:rFonts w:ascii="仿宋" w:hAnsi="仿宋" w:eastAsia="仿宋" w:cs="仿宋"/>
          <w:color w:val="auto"/>
          <w:sz w:val="20"/>
          <w:szCs w:val="20"/>
        </w:rPr>
      </w:pPr>
      <w:r>
        <w:rPr>
          <w:rFonts w:ascii="仿宋" w:hAnsi="仿宋" w:eastAsia="仿宋" w:cs="仿宋"/>
          <w:color w:val="auto"/>
          <w:spacing w:val="-21"/>
          <w:sz w:val="20"/>
          <w:szCs w:val="20"/>
        </w:rPr>
        <w:t>8.5.4 提出质疑的投标人（供应商）应当是参与本项目采购活动的投标人（供应商）。</w:t>
      </w:r>
    </w:p>
    <w:p w14:paraId="4A2FD0DC">
      <w:pPr>
        <w:spacing w:before="159" w:line="340" w:lineRule="auto"/>
        <w:ind w:left="14" w:firstLine="351"/>
        <w:rPr>
          <w:rFonts w:ascii="仿宋" w:hAnsi="仿宋" w:eastAsia="仿宋" w:cs="仿宋"/>
          <w:color w:val="auto"/>
          <w:sz w:val="20"/>
          <w:szCs w:val="20"/>
        </w:rPr>
      </w:pPr>
      <w:r>
        <w:rPr>
          <w:rFonts w:ascii="仿宋" w:hAnsi="仿宋" w:eastAsia="仿宋" w:cs="仿宋"/>
          <w:color w:val="auto"/>
          <w:spacing w:val="-22"/>
          <w:sz w:val="20"/>
          <w:szCs w:val="20"/>
        </w:rPr>
        <w:t>8.5.</w:t>
      </w:r>
      <w:r>
        <w:rPr>
          <w:rFonts w:ascii="仿宋" w:hAnsi="仿宋" w:eastAsia="仿宋" w:cs="仿宋"/>
          <w:color w:val="auto"/>
          <w:spacing w:val="-21"/>
          <w:sz w:val="20"/>
          <w:szCs w:val="20"/>
        </w:rPr>
        <w:t>5 投标人（供应商）可以委托代理人进行质疑。由代理人提出质疑的，须提交投标人（供应商）针对当次质</w:t>
      </w:r>
      <w:r>
        <w:rPr>
          <w:rFonts w:ascii="仿宋" w:hAnsi="仿宋" w:eastAsia="仿宋" w:cs="仿宋"/>
          <w:color w:val="auto"/>
          <w:spacing w:val="-17"/>
          <w:sz w:val="20"/>
          <w:szCs w:val="20"/>
        </w:rPr>
        <w:t>疑</w:t>
      </w:r>
      <w:r>
        <w:rPr>
          <w:rFonts w:ascii="仿宋" w:hAnsi="仿宋" w:eastAsia="仿宋" w:cs="仿宋"/>
          <w:color w:val="auto"/>
          <w:spacing w:val="15"/>
          <w:sz w:val="20"/>
          <w:szCs w:val="20"/>
        </w:rPr>
        <w:t xml:space="preserve"> </w:t>
      </w:r>
      <w:r>
        <w:rPr>
          <w:rFonts w:ascii="仿宋" w:hAnsi="仿宋" w:eastAsia="仿宋" w:cs="仿宋"/>
          <w:color w:val="auto"/>
          <w:spacing w:val="-23"/>
          <w:sz w:val="20"/>
          <w:szCs w:val="20"/>
        </w:rPr>
        <w:t>签署的授权委托书。</w:t>
      </w:r>
      <w:r>
        <w:rPr>
          <w:rFonts w:ascii="仿宋" w:hAnsi="仿宋" w:eastAsia="仿宋" w:cs="仿宋"/>
          <w:color w:val="auto"/>
          <w:spacing w:val="-22"/>
          <w:sz w:val="20"/>
          <w:szCs w:val="20"/>
        </w:rPr>
        <w:t>授权委托书应当载明代理人的姓名或者名称、代理事项、具体权限、期限和相关事项。投标人（</w:t>
      </w:r>
      <w:r>
        <w:rPr>
          <w:rFonts w:ascii="仿宋" w:hAnsi="仿宋" w:eastAsia="仿宋" w:cs="仿宋"/>
          <w:color w:val="auto"/>
          <w:spacing w:val="-13"/>
          <w:sz w:val="20"/>
          <w:szCs w:val="20"/>
        </w:rPr>
        <w:t>供</w:t>
      </w:r>
      <w:r>
        <w:rPr>
          <w:rFonts w:ascii="仿宋" w:hAnsi="仿宋" w:eastAsia="仿宋" w:cs="仿宋"/>
          <w:color w:val="auto"/>
          <w:sz w:val="20"/>
          <w:szCs w:val="20"/>
        </w:rPr>
        <w:t xml:space="preserve"> </w:t>
      </w:r>
      <w:r>
        <w:rPr>
          <w:rFonts w:ascii="仿宋" w:hAnsi="仿宋" w:eastAsia="仿宋" w:cs="仿宋"/>
          <w:color w:val="auto"/>
          <w:spacing w:val="-22"/>
          <w:sz w:val="20"/>
          <w:szCs w:val="20"/>
        </w:rPr>
        <w:t>应商）为自然人的，应当由本人签字；投标人（供应商）为法人或者其他组织的，应当由法定代表人、主要负责人签字</w:t>
      </w:r>
      <w:r>
        <w:rPr>
          <w:rFonts w:ascii="仿宋" w:hAnsi="仿宋" w:eastAsia="仿宋" w:cs="仿宋"/>
          <w:color w:val="auto"/>
          <w:sz w:val="20"/>
          <w:szCs w:val="20"/>
        </w:rPr>
        <w:t xml:space="preserve"> </w:t>
      </w:r>
      <w:r>
        <w:rPr>
          <w:rFonts w:ascii="仿宋" w:hAnsi="仿宋" w:eastAsia="仿宋" w:cs="仿宋"/>
          <w:color w:val="auto"/>
          <w:spacing w:val="-19"/>
          <w:sz w:val="20"/>
          <w:szCs w:val="20"/>
        </w:rPr>
        <w:t>或者签章，并加盖供应商公章。</w:t>
      </w:r>
    </w:p>
    <w:p w14:paraId="5ABAA6B2">
      <w:pPr>
        <w:spacing w:before="159" w:line="303" w:lineRule="auto"/>
        <w:ind w:left="33" w:firstLine="333"/>
        <w:rPr>
          <w:rFonts w:ascii="仿宋" w:hAnsi="仿宋" w:eastAsia="仿宋" w:cs="仿宋"/>
          <w:color w:val="auto"/>
          <w:sz w:val="20"/>
          <w:szCs w:val="20"/>
        </w:rPr>
      </w:pPr>
      <w:r>
        <w:rPr>
          <w:rFonts w:ascii="仿宋" w:hAnsi="仿宋" w:eastAsia="仿宋" w:cs="仿宋"/>
          <w:color w:val="auto"/>
          <w:spacing w:val="-22"/>
          <w:sz w:val="20"/>
          <w:szCs w:val="20"/>
        </w:rPr>
        <w:t xml:space="preserve">8.5.6 </w:t>
      </w:r>
      <w:r>
        <w:rPr>
          <w:rFonts w:ascii="仿宋" w:hAnsi="仿宋" w:eastAsia="仿宋" w:cs="仿宋"/>
          <w:color w:val="auto"/>
          <w:spacing w:val="-21"/>
          <w:sz w:val="20"/>
          <w:szCs w:val="20"/>
        </w:rPr>
        <w:t>投标人（供应商）提出质疑的，应当在法定质疑期内一次性提出针对同一采购程序环节的质疑，并提供质</w:t>
      </w:r>
      <w:r>
        <w:rPr>
          <w:rFonts w:ascii="仿宋" w:hAnsi="仿宋" w:eastAsia="仿宋" w:cs="仿宋"/>
          <w:color w:val="auto"/>
          <w:spacing w:val="-15"/>
          <w:sz w:val="20"/>
          <w:szCs w:val="20"/>
        </w:rPr>
        <w:t>疑</w:t>
      </w:r>
      <w:r>
        <w:rPr>
          <w:rFonts w:ascii="仿宋" w:hAnsi="仿宋" w:eastAsia="仿宋" w:cs="仿宋"/>
          <w:color w:val="auto"/>
          <w:spacing w:val="17"/>
          <w:sz w:val="20"/>
          <w:szCs w:val="20"/>
        </w:rPr>
        <w:t xml:space="preserve"> </w:t>
      </w:r>
      <w:r>
        <w:rPr>
          <w:rFonts w:ascii="仿宋" w:hAnsi="仿宋" w:eastAsia="仿宋" w:cs="仿宋"/>
          <w:color w:val="auto"/>
          <w:spacing w:val="-20"/>
          <w:sz w:val="20"/>
          <w:szCs w:val="20"/>
        </w:rPr>
        <w:t>函和必要的证明材料。</w:t>
      </w:r>
    </w:p>
    <w:p w14:paraId="3C66C6BA">
      <w:pPr>
        <w:spacing w:before="160" w:line="304" w:lineRule="auto"/>
        <w:ind w:left="22" w:firstLine="343"/>
        <w:rPr>
          <w:rFonts w:ascii="仿宋" w:hAnsi="仿宋" w:eastAsia="仿宋" w:cs="仿宋"/>
          <w:color w:val="auto"/>
          <w:sz w:val="20"/>
          <w:szCs w:val="20"/>
        </w:rPr>
      </w:pPr>
      <w:r>
        <w:rPr>
          <w:rFonts w:ascii="仿宋" w:hAnsi="仿宋" w:eastAsia="仿宋" w:cs="仿宋"/>
          <w:color w:val="auto"/>
          <w:spacing w:val="-22"/>
          <w:sz w:val="20"/>
          <w:szCs w:val="20"/>
        </w:rPr>
        <w:t>8.5.7 质</w:t>
      </w:r>
      <w:r>
        <w:rPr>
          <w:rFonts w:ascii="仿宋" w:hAnsi="仿宋" w:eastAsia="仿宋" w:cs="仿宋"/>
          <w:color w:val="auto"/>
          <w:spacing w:val="-21"/>
          <w:sz w:val="20"/>
          <w:szCs w:val="20"/>
        </w:rPr>
        <w:t>疑函应采用中华人民共和国财政部制定的范本（见附件：质疑函范本）。质疑函及授权委托书应按规定</w:t>
      </w:r>
      <w:r>
        <w:rPr>
          <w:rFonts w:ascii="仿宋" w:hAnsi="仿宋" w:eastAsia="仿宋" w:cs="仿宋"/>
          <w:color w:val="auto"/>
          <w:spacing w:val="-14"/>
          <w:sz w:val="20"/>
          <w:szCs w:val="20"/>
        </w:rPr>
        <w:t>签</w:t>
      </w:r>
      <w:r>
        <w:rPr>
          <w:rFonts w:ascii="仿宋" w:hAnsi="仿宋" w:eastAsia="仿宋" w:cs="仿宋"/>
          <w:color w:val="auto"/>
          <w:spacing w:val="17"/>
          <w:sz w:val="20"/>
          <w:szCs w:val="20"/>
        </w:rPr>
        <w:t xml:space="preserve"> </w:t>
      </w:r>
      <w:r>
        <w:rPr>
          <w:rFonts w:ascii="仿宋" w:hAnsi="仿宋" w:eastAsia="仿宋" w:cs="仿宋"/>
          <w:color w:val="auto"/>
          <w:spacing w:val="-18"/>
          <w:sz w:val="20"/>
          <w:szCs w:val="20"/>
        </w:rPr>
        <w:t>字并加盖公章。</w:t>
      </w:r>
    </w:p>
    <w:p w14:paraId="683BD6DE">
      <w:pPr>
        <w:spacing w:before="160" w:line="230" w:lineRule="auto"/>
        <w:ind w:left="366"/>
        <w:rPr>
          <w:rFonts w:ascii="仿宋" w:hAnsi="仿宋" w:eastAsia="仿宋" w:cs="仿宋"/>
          <w:color w:val="auto"/>
          <w:sz w:val="20"/>
          <w:szCs w:val="20"/>
        </w:rPr>
      </w:pPr>
      <w:r>
        <w:rPr>
          <w:rFonts w:ascii="仿宋" w:hAnsi="仿宋" w:eastAsia="仿宋" w:cs="仿宋"/>
          <w:color w:val="auto"/>
          <w:spacing w:val="-17"/>
          <w:sz w:val="20"/>
          <w:szCs w:val="20"/>
        </w:rPr>
        <w:t>8.5.8 质疑函的递交方式：见供应商须知前附</w:t>
      </w:r>
      <w:r>
        <w:rPr>
          <w:rFonts w:ascii="仿宋" w:hAnsi="仿宋" w:eastAsia="仿宋" w:cs="仿宋"/>
          <w:color w:val="auto"/>
          <w:spacing w:val="-18"/>
          <w:sz w:val="20"/>
          <w:szCs w:val="20"/>
        </w:rPr>
        <w:t>表。</w:t>
      </w:r>
    </w:p>
    <w:p w14:paraId="1387616B">
      <w:pPr>
        <w:spacing w:line="230" w:lineRule="auto"/>
        <w:rPr>
          <w:rFonts w:ascii="仿宋" w:hAnsi="仿宋" w:eastAsia="仿宋" w:cs="仿宋"/>
          <w:color w:val="auto"/>
          <w:sz w:val="20"/>
          <w:szCs w:val="20"/>
        </w:rPr>
        <w:sectPr>
          <w:headerReference r:id="rId22" w:type="default"/>
          <w:footerReference r:id="rId23" w:type="default"/>
          <w:pgSz w:w="11906" w:h="16839"/>
          <w:pgMar w:top="999" w:right="1216" w:bottom="844" w:left="1418" w:header="698" w:footer="682" w:gutter="0"/>
          <w:pgNumType w:fmt="decimal"/>
          <w:cols w:space="720" w:num="1"/>
        </w:sectPr>
      </w:pPr>
    </w:p>
    <w:p w14:paraId="25F40978">
      <w:pPr>
        <w:pStyle w:val="3"/>
        <w:spacing w:line="382" w:lineRule="auto"/>
        <w:rPr>
          <w:color w:val="auto"/>
        </w:rPr>
      </w:pPr>
    </w:p>
    <w:p w14:paraId="1B5C611E">
      <w:pPr>
        <w:spacing w:before="65" w:line="303" w:lineRule="auto"/>
        <w:ind w:left="15" w:right="2" w:firstLine="351"/>
        <w:rPr>
          <w:rFonts w:ascii="仿宋" w:hAnsi="仿宋" w:eastAsia="仿宋" w:cs="仿宋"/>
          <w:color w:val="auto"/>
          <w:sz w:val="20"/>
          <w:szCs w:val="20"/>
        </w:rPr>
      </w:pPr>
      <w:r>
        <w:rPr>
          <w:rFonts w:ascii="仿宋" w:hAnsi="仿宋" w:eastAsia="仿宋" w:cs="仿宋"/>
          <w:color w:val="auto"/>
          <w:spacing w:val="-19"/>
          <w:sz w:val="20"/>
          <w:szCs w:val="20"/>
        </w:rPr>
        <w:t>8.</w:t>
      </w:r>
      <w:r>
        <w:rPr>
          <w:rFonts w:ascii="仿宋" w:hAnsi="仿宋" w:eastAsia="仿宋" w:cs="仿宋"/>
          <w:color w:val="auto"/>
          <w:spacing w:val="-18"/>
          <w:sz w:val="20"/>
          <w:szCs w:val="20"/>
        </w:rPr>
        <w:t>5.9 采购人或采购代理机构将在收到质疑函后</w:t>
      </w:r>
      <w:r>
        <w:rPr>
          <w:rFonts w:ascii="仿宋" w:hAnsi="仿宋" w:eastAsia="仿宋" w:cs="仿宋"/>
          <w:color w:val="auto"/>
          <w:spacing w:val="-28"/>
          <w:sz w:val="20"/>
          <w:szCs w:val="20"/>
        </w:rPr>
        <w:t xml:space="preserve"> </w:t>
      </w:r>
      <w:r>
        <w:rPr>
          <w:rFonts w:ascii="仿宋" w:hAnsi="仿宋" w:eastAsia="仿宋" w:cs="仿宋"/>
          <w:color w:val="auto"/>
          <w:spacing w:val="-18"/>
          <w:sz w:val="20"/>
          <w:szCs w:val="20"/>
        </w:rPr>
        <w:t>7 个工作日内作出答复，并</w:t>
      </w:r>
      <w:r>
        <w:rPr>
          <w:rFonts w:ascii="仿宋" w:hAnsi="仿宋" w:eastAsia="仿宋" w:cs="仿宋"/>
          <w:color w:val="auto"/>
          <w:spacing w:val="-19"/>
          <w:sz w:val="20"/>
          <w:szCs w:val="20"/>
        </w:rPr>
        <w:t>以书面形式（含电子形式）通知质</w:t>
      </w:r>
      <w:r>
        <w:rPr>
          <w:rFonts w:ascii="仿宋" w:hAnsi="仿宋" w:eastAsia="仿宋" w:cs="仿宋"/>
          <w:color w:val="auto"/>
          <w:spacing w:val="-17"/>
          <w:sz w:val="20"/>
          <w:szCs w:val="20"/>
        </w:rPr>
        <w:t>疑</w:t>
      </w:r>
      <w:r>
        <w:rPr>
          <w:rFonts w:ascii="仿宋" w:hAnsi="仿宋" w:eastAsia="仿宋" w:cs="仿宋"/>
          <w:color w:val="auto"/>
          <w:sz w:val="20"/>
          <w:szCs w:val="20"/>
        </w:rPr>
        <w:t xml:space="preserve"> </w:t>
      </w:r>
      <w:r>
        <w:rPr>
          <w:rFonts w:ascii="仿宋" w:hAnsi="仿宋" w:eastAsia="仿宋" w:cs="仿宋"/>
          <w:color w:val="auto"/>
          <w:spacing w:val="-25"/>
          <w:sz w:val="20"/>
          <w:szCs w:val="20"/>
        </w:rPr>
        <w:t>供应商和其他有关的投标人（供应商）。</w:t>
      </w:r>
    </w:p>
    <w:p w14:paraId="645E6B0E">
      <w:pPr>
        <w:spacing w:before="161" w:line="302" w:lineRule="auto"/>
        <w:ind w:left="39" w:firstLine="326"/>
        <w:rPr>
          <w:rFonts w:ascii="仿宋" w:hAnsi="仿宋" w:eastAsia="仿宋" w:cs="仿宋"/>
          <w:color w:val="auto"/>
          <w:sz w:val="20"/>
          <w:szCs w:val="20"/>
        </w:rPr>
      </w:pPr>
      <w:r>
        <w:rPr>
          <w:rFonts w:ascii="仿宋" w:hAnsi="仿宋" w:eastAsia="仿宋" w:cs="仿宋"/>
          <w:color w:val="auto"/>
          <w:spacing w:val="-19"/>
          <w:sz w:val="20"/>
          <w:szCs w:val="20"/>
        </w:rPr>
        <w:t>8.5.10 质疑投标人（供应商）对采购人或采购代理机构的答复不满意以及采购人或采购代理机构未在规定的时间</w:t>
      </w:r>
      <w:r>
        <w:rPr>
          <w:rFonts w:ascii="仿宋" w:hAnsi="仿宋" w:eastAsia="仿宋" w:cs="仿宋"/>
          <w:color w:val="auto"/>
          <w:spacing w:val="11"/>
          <w:sz w:val="20"/>
          <w:szCs w:val="20"/>
        </w:rPr>
        <w:t xml:space="preserve"> </w:t>
      </w:r>
      <w:r>
        <w:rPr>
          <w:rFonts w:ascii="仿宋" w:hAnsi="仿宋" w:eastAsia="仿宋" w:cs="仿宋"/>
          <w:color w:val="auto"/>
          <w:spacing w:val="-20"/>
          <w:sz w:val="20"/>
          <w:szCs w:val="20"/>
        </w:rPr>
        <w:t>内作出答复的，可以在答复期满后 15 个工作日内向（项目所属）同级政府采购监督管理</w:t>
      </w:r>
      <w:r>
        <w:rPr>
          <w:rFonts w:ascii="仿宋" w:hAnsi="仿宋" w:eastAsia="仿宋" w:cs="仿宋"/>
          <w:color w:val="auto"/>
          <w:spacing w:val="-21"/>
          <w:sz w:val="20"/>
          <w:szCs w:val="20"/>
        </w:rPr>
        <w:t>部门提起投诉。</w:t>
      </w:r>
    </w:p>
    <w:p w14:paraId="08E60766">
      <w:pPr>
        <w:spacing w:before="160" w:line="303" w:lineRule="auto"/>
        <w:ind w:left="14" w:firstLine="351"/>
        <w:rPr>
          <w:rFonts w:ascii="仿宋" w:hAnsi="仿宋" w:eastAsia="仿宋" w:cs="仿宋"/>
          <w:color w:val="auto"/>
          <w:sz w:val="20"/>
          <w:szCs w:val="20"/>
        </w:rPr>
      </w:pPr>
      <w:r>
        <w:rPr>
          <w:rFonts w:ascii="仿宋" w:hAnsi="仿宋" w:eastAsia="仿宋" w:cs="仿宋"/>
          <w:color w:val="auto"/>
          <w:spacing w:val="-20"/>
          <w:sz w:val="20"/>
          <w:szCs w:val="20"/>
        </w:rPr>
        <w:t>8.5.</w:t>
      </w:r>
      <w:r>
        <w:rPr>
          <w:rFonts w:ascii="仿宋" w:hAnsi="仿宋" w:eastAsia="仿宋" w:cs="仿宋"/>
          <w:color w:val="auto"/>
          <w:spacing w:val="-19"/>
          <w:sz w:val="20"/>
          <w:szCs w:val="20"/>
        </w:rPr>
        <w:t>11 质疑和投诉应有具体的质疑（投诉）事项和必要的证明材料或事实根据，投标人（供应商）对其质疑和</w:t>
      </w:r>
      <w:r>
        <w:rPr>
          <w:rFonts w:ascii="仿宋" w:hAnsi="仿宋" w:eastAsia="仿宋" w:cs="仿宋"/>
          <w:color w:val="auto"/>
          <w:spacing w:val="-15"/>
          <w:sz w:val="20"/>
          <w:szCs w:val="20"/>
        </w:rPr>
        <w:t>投</w:t>
      </w:r>
      <w:r>
        <w:rPr>
          <w:rFonts w:ascii="仿宋" w:hAnsi="仿宋" w:eastAsia="仿宋" w:cs="仿宋"/>
          <w:color w:val="auto"/>
          <w:spacing w:val="11"/>
          <w:sz w:val="20"/>
          <w:szCs w:val="20"/>
        </w:rPr>
        <w:t xml:space="preserve"> </w:t>
      </w:r>
      <w:r>
        <w:rPr>
          <w:rFonts w:ascii="仿宋" w:hAnsi="仿宋" w:eastAsia="仿宋" w:cs="仿宋"/>
          <w:color w:val="auto"/>
          <w:spacing w:val="-20"/>
          <w:sz w:val="20"/>
          <w:szCs w:val="20"/>
        </w:rPr>
        <w:t>诉内容的真实性及其来源的合法性承担法律责任。</w:t>
      </w:r>
    </w:p>
    <w:p w14:paraId="2578DF29">
      <w:pPr>
        <w:spacing w:before="173" w:line="222" w:lineRule="auto"/>
        <w:ind w:left="508"/>
        <w:rPr>
          <w:rFonts w:ascii="仿宋" w:hAnsi="仿宋" w:eastAsia="仿宋" w:cs="仿宋"/>
          <w:color w:val="auto"/>
          <w:sz w:val="28"/>
          <w:szCs w:val="28"/>
        </w:rPr>
      </w:pPr>
      <w:r>
        <w:rPr>
          <w:rFonts w:ascii="仿宋" w:hAnsi="仿宋" w:eastAsia="仿宋" w:cs="仿宋"/>
          <w:b/>
          <w:bCs/>
          <w:color w:val="auto"/>
          <w:spacing w:val="-28"/>
          <w:sz w:val="28"/>
          <w:szCs w:val="28"/>
        </w:rPr>
        <w:t>9、需要补充的其他内容</w:t>
      </w:r>
    </w:p>
    <w:p w14:paraId="25287ECF">
      <w:pPr>
        <w:spacing w:before="195" w:line="230" w:lineRule="auto"/>
        <w:ind w:left="379"/>
        <w:rPr>
          <w:rFonts w:ascii="仿宋" w:hAnsi="仿宋" w:eastAsia="仿宋" w:cs="仿宋"/>
          <w:color w:val="auto"/>
          <w:sz w:val="20"/>
          <w:szCs w:val="20"/>
        </w:rPr>
      </w:pPr>
      <w:r>
        <w:rPr>
          <w:rFonts w:ascii="仿宋" w:hAnsi="仿宋" w:eastAsia="仿宋" w:cs="仿宋"/>
          <w:color w:val="auto"/>
          <w:spacing w:val="-20"/>
          <w:sz w:val="20"/>
          <w:szCs w:val="20"/>
        </w:rPr>
        <w:t>需要补充的其他内容：见投标人须知前附表。</w:t>
      </w:r>
    </w:p>
    <w:p w14:paraId="3698D19B">
      <w:pPr>
        <w:pStyle w:val="3"/>
        <w:spacing w:line="260" w:lineRule="auto"/>
        <w:rPr>
          <w:color w:val="auto"/>
        </w:rPr>
      </w:pPr>
    </w:p>
    <w:p w14:paraId="4838B894">
      <w:pPr>
        <w:pStyle w:val="3"/>
        <w:spacing w:line="260" w:lineRule="auto"/>
        <w:rPr>
          <w:color w:val="auto"/>
        </w:rPr>
      </w:pPr>
    </w:p>
    <w:p w14:paraId="446AAD71">
      <w:pPr>
        <w:pStyle w:val="3"/>
        <w:spacing w:line="260" w:lineRule="auto"/>
        <w:rPr>
          <w:color w:val="auto"/>
        </w:rPr>
      </w:pPr>
    </w:p>
    <w:p w14:paraId="33E150D6">
      <w:pPr>
        <w:pStyle w:val="3"/>
        <w:spacing w:line="260" w:lineRule="auto"/>
        <w:rPr>
          <w:color w:val="auto"/>
        </w:rPr>
      </w:pPr>
    </w:p>
    <w:p w14:paraId="22A357A2">
      <w:pPr>
        <w:pStyle w:val="3"/>
        <w:spacing w:line="261" w:lineRule="auto"/>
        <w:rPr>
          <w:color w:val="auto"/>
        </w:rPr>
      </w:pPr>
    </w:p>
    <w:p w14:paraId="7B76C223">
      <w:pPr>
        <w:pStyle w:val="3"/>
        <w:spacing w:line="261" w:lineRule="auto"/>
        <w:rPr>
          <w:color w:val="auto"/>
        </w:rPr>
      </w:pPr>
    </w:p>
    <w:p w14:paraId="7ED6A6AD">
      <w:pPr>
        <w:pStyle w:val="3"/>
        <w:spacing w:line="261" w:lineRule="auto"/>
        <w:rPr>
          <w:color w:val="auto"/>
        </w:rPr>
      </w:pPr>
    </w:p>
    <w:p w14:paraId="6DCFD10B">
      <w:pPr>
        <w:pStyle w:val="3"/>
        <w:spacing w:line="261" w:lineRule="auto"/>
        <w:rPr>
          <w:color w:val="auto"/>
        </w:rPr>
      </w:pPr>
    </w:p>
    <w:p w14:paraId="1A90098A">
      <w:pPr>
        <w:pStyle w:val="3"/>
        <w:spacing w:line="261" w:lineRule="auto"/>
        <w:rPr>
          <w:color w:val="auto"/>
        </w:rPr>
      </w:pPr>
    </w:p>
    <w:p w14:paraId="7BB7AE7D">
      <w:pPr>
        <w:rPr>
          <w:rFonts w:ascii="宋体" w:hAnsi="宋体" w:eastAsia="宋体" w:cs="宋体"/>
          <w:b/>
          <w:bCs/>
          <w:color w:val="auto"/>
          <w:spacing w:val="-28"/>
          <w:w w:val="96"/>
          <w:sz w:val="24"/>
          <w:szCs w:val="24"/>
        </w:rPr>
      </w:pPr>
      <w:r>
        <w:rPr>
          <w:rFonts w:ascii="宋体" w:hAnsi="宋体" w:eastAsia="宋体" w:cs="宋体"/>
          <w:b/>
          <w:bCs/>
          <w:color w:val="auto"/>
          <w:spacing w:val="-28"/>
          <w:w w:val="96"/>
          <w:sz w:val="24"/>
          <w:szCs w:val="24"/>
        </w:rPr>
        <w:br w:type="page"/>
      </w:r>
    </w:p>
    <w:p w14:paraId="3AEA7C7F">
      <w:pPr>
        <w:spacing w:before="78" w:line="219" w:lineRule="auto"/>
        <w:ind w:left="52"/>
        <w:rPr>
          <w:rFonts w:ascii="宋体" w:hAnsi="宋体" w:eastAsia="宋体" w:cs="宋体"/>
          <w:color w:val="auto"/>
          <w:sz w:val="24"/>
          <w:szCs w:val="24"/>
        </w:rPr>
      </w:pPr>
      <w:r>
        <w:rPr>
          <w:rFonts w:ascii="宋体" w:hAnsi="宋体" w:eastAsia="宋体" w:cs="宋体"/>
          <w:b/>
          <w:bCs/>
          <w:color w:val="auto"/>
          <w:spacing w:val="-28"/>
          <w:w w:val="96"/>
          <w:sz w:val="24"/>
          <w:szCs w:val="24"/>
        </w:rPr>
        <w:t>附件：质疑函范本</w:t>
      </w:r>
    </w:p>
    <w:p w14:paraId="7F167057">
      <w:pPr>
        <w:spacing w:before="300" w:line="220" w:lineRule="auto"/>
        <w:ind w:left="4119"/>
        <w:rPr>
          <w:rFonts w:ascii="宋体" w:hAnsi="宋体" w:eastAsia="宋体" w:cs="宋体"/>
          <w:color w:val="auto"/>
          <w:sz w:val="30"/>
          <w:szCs w:val="30"/>
        </w:rPr>
      </w:pPr>
      <w:r>
        <w:rPr>
          <w:rFonts w:ascii="宋体" w:hAnsi="宋体" w:eastAsia="宋体" w:cs="宋体"/>
          <w:b/>
          <w:bCs/>
          <w:color w:val="auto"/>
          <w:spacing w:val="-20"/>
          <w:sz w:val="30"/>
          <w:szCs w:val="30"/>
        </w:rPr>
        <w:t>质疑函</w:t>
      </w:r>
    </w:p>
    <w:p w14:paraId="6ABBD76D">
      <w:pPr>
        <w:spacing w:before="261" w:line="230" w:lineRule="auto"/>
        <w:ind w:left="34"/>
        <w:rPr>
          <w:rFonts w:ascii="仿宋" w:hAnsi="仿宋" w:eastAsia="仿宋" w:cs="仿宋"/>
          <w:color w:val="auto"/>
          <w:sz w:val="20"/>
          <w:szCs w:val="20"/>
        </w:rPr>
      </w:pPr>
      <w:r>
        <w:rPr>
          <w:rFonts w:ascii="仿宋" w:hAnsi="仿宋" w:eastAsia="仿宋" w:cs="仿宋"/>
          <w:color w:val="auto"/>
          <w:spacing w:val="-22"/>
          <w:sz w:val="20"/>
          <w:szCs w:val="20"/>
        </w:rPr>
        <w:t>一、质疑投标人基本信息</w:t>
      </w:r>
    </w:p>
    <w:p w14:paraId="113A06E2">
      <w:pPr>
        <w:pStyle w:val="3"/>
        <w:spacing w:line="246" w:lineRule="auto"/>
        <w:rPr>
          <w:color w:val="auto"/>
        </w:rPr>
      </w:pPr>
    </w:p>
    <w:p w14:paraId="7611DC5F">
      <w:pPr>
        <w:spacing w:before="65" w:line="223" w:lineRule="auto"/>
        <w:ind w:left="520"/>
        <w:rPr>
          <w:color w:val="auto"/>
          <w:sz w:val="20"/>
          <w:szCs w:val="20"/>
        </w:rPr>
      </w:pPr>
      <w:r>
        <w:rPr>
          <w:rFonts w:ascii="仿宋" w:hAnsi="仿宋" w:eastAsia="仿宋" w:cs="仿宋"/>
          <w:color w:val="auto"/>
          <w:spacing w:val="-33"/>
          <w:sz w:val="20"/>
          <w:szCs w:val="20"/>
        </w:rPr>
        <w:t>质疑投标人：</w:t>
      </w:r>
      <w:r>
        <w:rPr>
          <w:color w:val="auto"/>
          <w:position w:val="-3"/>
          <w:sz w:val="20"/>
          <w:szCs w:val="20"/>
        </w:rPr>
        <w:drawing>
          <wp:inline distT="0" distB="0" distL="0" distR="0">
            <wp:extent cx="2793365" cy="571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0"/>
                    <a:stretch>
                      <a:fillRect/>
                    </a:stretch>
                  </pic:blipFill>
                  <pic:spPr>
                    <a:xfrm>
                      <a:off x="0" y="0"/>
                      <a:ext cx="2793491" cy="6096"/>
                    </a:xfrm>
                    <a:prstGeom prst="rect">
                      <a:avLst/>
                    </a:prstGeom>
                  </pic:spPr>
                </pic:pic>
              </a:graphicData>
            </a:graphic>
          </wp:inline>
        </w:drawing>
      </w:r>
    </w:p>
    <w:p w14:paraId="05DBCDA4">
      <w:pPr>
        <w:pStyle w:val="3"/>
        <w:spacing w:line="258" w:lineRule="auto"/>
        <w:rPr>
          <w:color w:val="auto"/>
        </w:rPr>
      </w:pPr>
    </w:p>
    <w:p w14:paraId="6CE195AC">
      <w:pPr>
        <w:spacing w:before="65" w:line="223" w:lineRule="auto"/>
        <w:ind w:left="511"/>
        <w:rPr>
          <w:color w:val="auto"/>
          <w:sz w:val="20"/>
          <w:szCs w:val="20"/>
        </w:rPr>
      </w:pPr>
      <w:r>
        <w:rPr>
          <w:rFonts w:ascii="仿宋" w:hAnsi="仿宋" w:eastAsia="仿宋" w:cs="仿宋"/>
          <w:color w:val="auto"/>
          <w:spacing w:val="-34"/>
          <w:w w:val="94"/>
          <w:sz w:val="20"/>
          <w:szCs w:val="20"/>
        </w:rPr>
        <w:t>地址：</w:t>
      </w:r>
      <w:r>
        <w:rPr>
          <w:color w:val="auto"/>
          <w:position w:val="-3"/>
          <w:sz w:val="20"/>
          <w:szCs w:val="20"/>
        </w:rPr>
        <w:drawing>
          <wp:inline distT="0" distB="0" distL="0" distR="0">
            <wp:extent cx="1814830" cy="571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1"/>
                    <a:stretch>
                      <a:fillRect/>
                    </a:stretch>
                  </pic:blipFill>
                  <pic:spPr>
                    <a:xfrm>
                      <a:off x="0" y="0"/>
                      <a:ext cx="1815084" cy="6096"/>
                    </a:xfrm>
                    <a:prstGeom prst="rect">
                      <a:avLst/>
                    </a:prstGeom>
                  </pic:spPr>
                </pic:pic>
              </a:graphicData>
            </a:graphic>
          </wp:inline>
        </w:drawing>
      </w:r>
      <w:r>
        <w:rPr>
          <w:rFonts w:ascii="仿宋" w:hAnsi="仿宋" w:eastAsia="仿宋" w:cs="仿宋"/>
          <w:color w:val="auto"/>
          <w:spacing w:val="-63"/>
          <w:sz w:val="20"/>
          <w:szCs w:val="20"/>
        </w:rPr>
        <w:t xml:space="preserve"> </w:t>
      </w:r>
      <w:r>
        <w:rPr>
          <w:rFonts w:ascii="仿宋" w:hAnsi="仿宋" w:eastAsia="仿宋" w:cs="仿宋"/>
          <w:color w:val="auto"/>
          <w:spacing w:val="-34"/>
          <w:w w:val="94"/>
          <w:sz w:val="20"/>
          <w:szCs w:val="20"/>
        </w:rPr>
        <w:t>邮编：</w:t>
      </w:r>
      <w:r>
        <w:rPr>
          <w:color w:val="auto"/>
          <w:position w:val="-3"/>
          <w:sz w:val="20"/>
          <w:szCs w:val="20"/>
        </w:rPr>
        <w:drawing>
          <wp:inline distT="0" distB="0" distL="0" distR="0">
            <wp:extent cx="1537335" cy="571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2"/>
                    <a:stretch>
                      <a:fillRect/>
                    </a:stretch>
                  </pic:blipFill>
                  <pic:spPr>
                    <a:xfrm>
                      <a:off x="0" y="0"/>
                      <a:ext cx="1537715" cy="6096"/>
                    </a:xfrm>
                    <a:prstGeom prst="rect">
                      <a:avLst/>
                    </a:prstGeom>
                  </pic:spPr>
                </pic:pic>
              </a:graphicData>
            </a:graphic>
          </wp:inline>
        </w:drawing>
      </w:r>
    </w:p>
    <w:p w14:paraId="27873C46">
      <w:pPr>
        <w:pStyle w:val="3"/>
        <w:spacing w:line="255" w:lineRule="auto"/>
        <w:rPr>
          <w:color w:val="auto"/>
        </w:rPr>
      </w:pPr>
    </w:p>
    <w:p w14:paraId="5180F7D1">
      <w:pPr>
        <w:spacing w:before="66" w:line="505" w:lineRule="auto"/>
        <w:ind w:left="510" w:right="1502" w:hanging="4"/>
        <w:rPr>
          <w:color w:val="auto"/>
          <w:sz w:val="20"/>
          <w:szCs w:val="20"/>
        </w:rPr>
      </w:pPr>
      <w:r>
        <w:rPr>
          <w:rFonts w:ascii="仿宋" w:hAnsi="仿宋" w:eastAsia="仿宋" w:cs="仿宋"/>
          <w:color w:val="auto"/>
          <w:spacing w:val="-30"/>
          <w:sz w:val="20"/>
          <w:szCs w:val="20"/>
        </w:rPr>
        <w:t>联系人：</w:t>
      </w:r>
      <w:r>
        <w:rPr>
          <w:color w:val="auto"/>
          <w:position w:val="-3"/>
          <w:sz w:val="20"/>
          <w:szCs w:val="20"/>
        </w:rPr>
        <w:drawing>
          <wp:inline distT="0" distB="0" distL="0" distR="0">
            <wp:extent cx="1537335" cy="571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3"/>
                    <a:stretch>
                      <a:fillRect/>
                    </a:stretch>
                  </pic:blipFill>
                  <pic:spPr>
                    <a:xfrm>
                      <a:off x="0" y="0"/>
                      <a:ext cx="1537716" cy="6096"/>
                    </a:xfrm>
                    <a:prstGeom prst="rect">
                      <a:avLst/>
                    </a:prstGeom>
                  </pic:spPr>
                </pic:pic>
              </a:graphicData>
            </a:graphic>
          </wp:inline>
        </w:drawing>
      </w:r>
      <w:r>
        <w:rPr>
          <w:rFonts w:ascii="仿宋" w:hAnsi="仿宋" w:eastAsia="仿宋" w:cs="仿宋"/>
          <w:color w:val="auto"/>
          <w:spacing w:val="-90"/>
          <w:sz w:val="20"/>
          <w:szCs w:val="20"/>
        </w:rPr>
        <w:t xml:space="preserve"> </w:t>
      </w:r>
      <w:r>
        <w:rPr>
          <w:rFonts w:ascii="仿宋" w:hAnsi="仿宋" w:eastAsia="仿宋" w:cs="仿宋"/>
          <w:color w:val="auto"/>
          <w:spacing w:val="-30"/>
          <w:sz w:val="20"/>
          <w:szCs w:val="20"/>
        </w:rPr>
        <w:t>联系电话：</w:t>
      </w:r>
      <w:r>
        <w:rPr>
          <w:color w:val="auto"/>
          <w:position w:val="-3"/>
          <w:sz w:val="20"/>
          <w:szCs w:val="20"/>
        </w:rPr>
        <w:drawing>
          <wp:inline distT="0" distB="0" distL="0" distR="0">
            <wp:extent cx="2095500" cy="571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4"/>
                    <a:stretch>
                      <a:fillRect/>
                    </a:stretch>
                  </pic:blipFill>
                  <pic:spPr>
                    <a:xfrm>
                      <a:off x="0" y="0"/>
                      <a:ext cx="2095500" cy="6096"/>
                    </a:xfrm>
                    <a:prstGeom prst="rect">
                      <a:avLst/>
                    </a:prstGeom>
                  </pic:spPr>
                </pic:pic>
              </a:graphicData>
            </a:graphic>
          </wp:inline>
        </w:drawing>
      </w:r>
      <w:r>
        <w:rPr>
          <w:rFonts w:ascii="仿宋" w:hAnsi="仿宋" w:eastAsia="仿宋" w:cs="仿宋"/>
          <w:color w:val="auto"/>
          <w:sz w:val="20"/>
          <w:szCs w:val="20"/>
        </w:rPr>
        <w:t xml:space="preserve"> </w:t>
      </w:r>
      <w:r>
        <w:rPr>
          <w:rFonts w:ascii="仿宋" w:hAnsi="仿宋" w:eastAsia="仿宋" w:cs="仿宋"/>
          <w:color w:val="auto"/>
          <w:spacing w:val="-33"/>
          <w:sz w:val="20"/>
          <w:szCs w:val="20"/>
        </w:rPr>
        <w:t>授权代表：</w:t>
      </w:r>
      <w:r>
        <w:rPr>
          <w:color w:val="auto"/>
          <w:position w:val="-3"/>
          <w:sz w:val="20"/>
          <w:szCs w:val="20"/>
        </w:rPr>
        <w:drawing>
          <wp:inline distT="0" distB="0" distL="0" distR="0">
            <wp:extent cx="2933065" cy="571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5"/>
                    <a:stretch>
                      <a:fillRect/>
                    </a:stretch>
                  </pic:blipFill>
                  <pic:spPr>
                    <a:xfrm>
                      <a:off x="0" y="0"/>
                      <a:ext cx="2933699" cy="6096"/>
                    </a:xfrm>
                    <a:prstGeom prst="rect">
                      <a:avLst/>
                    </a:prstGeom>
                  </pic:spPr>
                </pic:pic>
              </a:graphicData>
            </a:graphic>
          </wp:inline>
        </w:drawing>
      </w:r>
    </w:p>
    <w:p w14:paraId="62E28E27">
      <w:pPr>
        <w:spacing w:before="41" w:line="223" w:lineRule="auto"/>
        <w:ind w:left="506"/>
        <w:rPr>
          <w:color w:val="auto"/>
          <w:sz w:val="20"/>
          <w:szCs w:val="20"/>
        </w:rPr>
      </w:pPr>
      <w:r>
        <w:rPr>
          <w:rFonts w:ascii="仿宋" w:hAnsi="仿宋" w:eastAsia="仿宋" w:cs="仿宋"/>
          <w:color w:val="auto"/>
          <w:spacing w:val="-30"/>
          <w:sz w:val="20"/>
          <w:szCs w:val="20"/>
        </w:rPr>
        <w:t>联系电话：</w:t>
      </w:r>
      <w:r>
        <w:rPr>
          <w:color w:val="auto"/>
          <w:position w:val="-3"/>
          <w:sz w:val="20"/>
          <w:szCs w:val="20"/>
        </w:rPr>
        <w:drawing>
          <wp:inline distT="0" distB="0" distL="0" distR="0">
            <wp:extent cx="3003550" cy="57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6"/>
                    <a:stretch>
                      <a:fillRect/>
                    </a:stretch>
                  </pic:blipFill>
                  <pic:spPr>
                    <a:xfrm>
                      <a:off x="0" y="0"/>
                      <a:ext cx="3003803" cy="6096"/>
                    </a:xfrm>
                    <a:prstGeom prst="rect">
                      <a:avLst/>
                    </a:prstGeom>
                  </pic:spPr>
                </pic:pic>
              </a:graphicData>
            </a:graphic>
          </wp:inline>
        </w:drawing>
      </w:r>
    </w:p>
    <w:p w14:paraId="20DB859C">
      <w:pPr>
        <w:pStyle w:val="3"/>
        <w:spacing w:line="254" w:lineRule="auto"/>
        <w:rPr>
          <w:color w:val="auto"/>
        </w:rPr>
      </w:pPr>
    </w:p>
    <w:p w14:paraId="348BE9F3">
      <w:pPr>
        <w:spacing w:before="66" w:line="507" w:lineRule="auto"/>
        <w:ind w:left="42" w:right="516" w:firstLine="469"/>
        <w:rPr>
          <w:rFonts w:ascii="仿宋" w:hAnsi="仿宋" w:eastAsia="仿宋" w:cs="仿宋"/>
          <w:color w:val="auto"/>
          <w:sz w:val="20"/>
          <w:szCs w:val="20"/>
        </w:rPr>
      </w:pPr>
      <w:r>
        <w:rPr>
          <w:rFonts w:ascii="仿宋" w:hAnsi="仿宋" w:eastAsia="仿宋" w:cs="仿宋"/>
          <w:color w:val="auto"/>
          <w:spacing w:val="-35"/>
          <w:w w:val="98"/>
          <w:sz w:val="20"/>
          <w:szCs w:val="20"/>
        </w:rPr>
        <w:t>地址：</w:t>
      </w:r>
      <w:r>
        <w:rPr>
          <w:rFonts w:ascii="仿宋" w:hAnsi="仿宋" w:eastAsia="仿宋" w:cs="仿宋"/>
          <w:color w:val="auto"/>
          <w:spacing w:val="-60"/>
          <w:sz w:val="20"/>
          <w:szCs w:val="20"/>
        </w:rPr>
        <w:t xml:space="preserve"> </w:t>
      </w:r>
      <w:r>
        <w:rPr>
          <w:color w:val="auto"/>
          <w:position w:val="-3"/>
          <w:sz w:val="20"/>
          <w:szCs w:val="20"/>
        </w:rPr>
        <w:drawing>
          <wp:inline distT="0" distB="0" distL="0" distR="0">
            <wp:extent cx="1676400" cy="571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97"/>
                    <a:stretch>
                      <a:fillRect/>
                    </a:stretch>
                  </pic:blipFill>
                  <pic:spPr>
                    <a:xfrm>
                      <a:off x="0" y="0"/>
                      <a:ext cx="1676400" cy="6095"/>
                    </a:xfrm>
                    <a:prstGeom prst="rect">
                      <a:avLst/>
                    </a:prstGeom>
                  </pic:spPr>
                </pic:pic>
              </a:graphicData>
            </a:graphic>
          </wp:inline>
        </w:drawing>
      </w:r>
      <w:r>
        <w:rPr>
          <w:rFonts w:ascii="仿宋" w:hAnsi="仿宋" w:eastAsia="仿宋" w:cs="仿宋"/>
          <w:color w:val="auto"/>
          <w:spacing w:val="-71"/>
          <w:sz w:val="20"/>
          <w:szCs w:val="20"/>
        </w:rPr>
        <w:t xml:space="preserve"> </w:t>
      </w:r>
      <w:r>
        <w:rPr>
          <w:rFonts w:ascii="仿宋" w:hAnsi="仿宋" w:eastAsia="仿宋" w:cs="仿宋"/>
          <w:color w:val="auto"/>
          <w:spacing w:val="-35"/>
          <w:w w:val="98"/>
          <w:sz w:val="20"/>
          <w:szCs w:val="20"/>
        </w:rPr>
        <w:t>邮编：</w:t>
      </w:r>
      <w:r>
        <w:rPr>
          <w:color w:val="auto"/>
          <w:position w:val="-3"/>
          <w:sz w:val="20"/>
          <w:szCs w:val="20"/>
        </w:rPr>
        <w:drawing>
          <wp:inline distT="0" distB="0" distL="0" distR="0">
            <wp:extent cx="2900045" cy="571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98"/>
                    <a:stretch>
                      <a:fillRect/>
                    </a:stretch>
                  </pic:blipFill>
                  <pic:spPr>
                    <a:xfrm>
                      <a:off x="0" y="0"/>
                      <a:ext cx="2900172" cy="6095"/>
                    </a:xfrm>
                    <a:prstGeom prst="rect">
                      <a:avLst/>
                    </a:prstGeom>
                  </pic:spPr>
                </pic:pic>
              </a:graphicData>
            </a:graphic>
          </wp:inline>
        </w:drawing>
      </w:r>
      <w:r>
        <w:rPr>
          <w:rFonts w:ascii="仿宋" w:hAnsi="仿宋" w:eastAsia="仿宋" w:cs="仿宋"/>
          <w:color w:val="auto"/>
          <w:sz w:val="20"/>
          <w:szCs w:val="20"/>
        </w:rPr>
        <w:t xml:space="preserve"> </w:t>
      </w:r>
      <w:r>
        <w:rPr>
          <w:rFonts w:ascii="仿宋" w:hAnsi="仿宋" w:eastAsia="仿宋" w:cs="仿宋"/>
          <w:color w:val="auto"/>
          <w:spacing w:val="-23"/>
          <w:sz w:val="20"/>
          <w:szCs w:val="20"/>
        </w:rPr>
        <w:t>二、质疑项目基本情况</w:t>
      </w:r>
    </w:p>
    <w:p w14:paraId="05B32E9F">
      <w:pPr>
        <w:spacing w:before="30" w:line="503" w:lineRule="auto"/>
        <w:ind w:left="520" w:right="2733"/>
        <w:rPr>
          <w:color w:val="auto"/>
          <w:sz w:val="20"/>
          <w:szCs w:val="20"/>
        </w:rPr>
      </w:pPr>
      <w:r>
        <w:rPr>
          <w:rFonts w:ascii="仿宋" w:hAnsi="仿宋" w:eastAsia="仿宋" w:cs="仿宋"/>
          <w:color w:val="auto"/>
          <w:spacing w:val="-30"/>
          <w:sz w:val="20"/>
          <w:szCs w:val="20"/>
        </w:rPr>
        <w:t>质疑项目的名称：</w:t>
      </w:r>
      <w:r>
        <w:rPr>
          <w:color w:val="auto"/>
          <w:position w:val="-3"/>
          <w:sz w:val="20"/>
          <w:szCs w:val="20"/>
        </w:rPr>
        <w:drawing>
          <wp:inline distT="0" distB="0" distL="0" distR="0">
            <wp:extent cx="2933065" cy="571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99"/>
                    <a:stretch>
                      <a:fillRect/>
                    </a:stretch>
                  </pic:blipFill>
                  <pic:spPr>
                    <a:xfrm>
                      <a:off x="0" y="0"/>
                      <a:ext cx="2933699" cy="6095"/>
                    </a:xfrm>
                    <a:prstGeom prst="rect">
                      <a:avLst/>
                    </a:prstGeom>
                  </pic:spPr>
                </pic:pic>
              </a:graphicData>
            </a:graphic>
          </wp:inline>
        </w:drawing>
      </w:r>
      <w:r>
        <w:rPr>
          <w:rFonts w:ascii="仿宋" w:hAnsi="仿宋" w:eastAsia="仿宋" w:cs="仿宋"/>
          <w:color w:val="auto"/>
          <w:spacing w:val="2"/>
          <w:sz w:val="20"/>
          <w:szCs w:val="20"/>
        </w:rPr>
        <w:t xml:space="preserve"> </w:t>
      </w:r>
      <w:r>
        <w:rPr>
          <w:rFonts w:ascii="仿宋" w:hAnsi="仿宋" w:eastAsia="仿宋" w:cs="仿宋"/>
          <w:color w:val="auto"/>
          <w:spacing w:val="-35"/>
          <w:sz w:val="20"/>
          <w:szCs w:val="20"/>
        </w:rPr>
        <w:t>质疑项目的编号：</w:t>
      </w:r>
      <w:r>
        <w:rPr>
          <w:color w:val="auto"/>
          <w:position w:val="-3"/>
          <w:sz w:val="20"/>
          <w:szCs w:val="20"/>
        </w:rPr>
        <w:drawing>
          <wp:inline distT="0" distB="0" distL="0" distR="0">
            <wp:extent cx="1045210" cy="571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00"/>
                    <a:stretch>
                      <a:fillRect/>
                    </a:stretch>
                  </pic:blipFill>
                  <pic:spPr>
                    <a:xfrm>
                      <a:off x="0" y="0"/>
                      <a:ext cx="1045464" cy="6095"/>
                    </a:xfrm>
                    <a:prstGeom prst="rect">
                      <a:avLst/>
                    </a:prstGeom>
                  </pic:spPr>
                </pic:pic>
              </a:graphicData>
            </a:graphic>
          </wp:inline>
        </w:drawing>
      </w:r>
      <w:r>
        <w:rPr>
          <w:rFonts w:ascii="仿宋" w:hAnsi="仿宋" w:eastAsia="仿宋" w:cs="仿宋"/>
          <w:color w:val="auto"/>
          <w:spacing w:val="-78"/>
          <w:sz w:val="20"/>
          <w:szCs w:val="20"/>
        </w:rPr>
        <w:t xml:space="preserve"> </w:t>
      </w:r>
      <w:r>
        <w:rPr>
          <w:rFonts w:ascii="仿宋" w:hAnsi="仿宋" w:eastAsia="仿宋" w:cs="仿宋"/>
          <w:color w:val="auto"/>
          <w:spacing w:val="-35"/>
          <w:sz w:val="20"/>
          <w:szCs w:val="20"/>
        </w:rPr>
        <w:t>包号：</w:t>
      </w:r>
      <w:r>
        <w:rPr>
          <w:color w:val="auto"/>
          <w:position w:val="-3"/>
          <w:sz w:val="20"/>
          <w:szCs w:val="20"/>
        </w:rPr>
        <w:drawing>
          <wp:inline distT="0" distB="0" distL="0" distR="0">
            <wp:extent cx="1607820" cy="571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01"/>
                    <a:stretch>
                      <a:fillRect/>
                    </a:stretch>
                  </pic:blipFill>
                  <pic:spPr>
                    <a:xfrm>
                      <a:off x="0" y="0"/>
                      <a:ext cx="1607820" cy="6095"/>
                    </a:xfrm>
                    <a:prstGeom prst="rect">
                      <a:avLst/>
                    </a:prstGeom>
                  </pic:spPr>
                </pic:pic>
              </a:graphicData>
            </a:graphic>
          </wp:inline>
        </w:drawing>
      </w:r>
    </w:p>
    <w:p w14:paraId="1C8B4855">
      <w:pPr>
        <w:spacing w:before="43" w:line="223" w:lineRule="auto"/>
        <w:ind w:left="515"/>
        <w:rPr>
          <w:color w:val="auto"/>
          <w:sz w:val="20"/>
          <w:szCs w:val="20"/>
        </w:rPr>
      </w:pPr>
      <w:r>
        <w:rPr>
          <w:rFonts w:ascii="仿宋" w:hAnsi="仿宋" w:eastAsia="仿宋" w:cs="仿宋"/>
          <w:color w:val="auto"/>
          <w:spacing w:val="-31"/>
          <w:sz w:val="20"/>
          <w:szCs w:val="20"/>
        </w:rPr>
        <w:t>采购人名称：</w:t>
      </w:r>
      <w:r>
        <w:rPr>
          <w:color w:val="auto"/>
          <w:position w:val="-3"/>
          <w:sz w:val="20"/>
          <w:szCs w:val="20"/>
        </w:rPr>
        <w:drawing>
          <wp:inline distT="0" distB="0" distL="0" distR="0">
            <wp:extent cx="3282315" cy="571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02"/>
                    <a:stretch>
                      <a:fillRect/>
                    </a:stretch>
                  </pic:blipFill>
                  <pic:spPr>
                    <a:xfrm>
                      <a:off x="0" y="0"/>
                      <a:ext cx="3282695" cy="6095"/>
                    </a:xfrm>
                    <a:prstGeom prst="rect">
                      <a:avLst/>
                    </a:prstGeom>
                  </pic:spPr>
                </pic:pic>
              </a:graphicData>
            </a:graphic>
          </wp:inline>
        </w:drawing>
      </w:r>
    </w:p>
    <w:p w14:paraId="1B8C2264">
      <w:pPr>
        <w:pStyle w:val="3"/>
        <w:spacing w:line="254" w:lineRule="auto"/>
        <w:rPr>
          <w:color w:val="auto"/>
        </w:rPr>
      </w:pPr>
    </w:p>
    <w:p w14:paraId="7ACFDBF0">
      <w:pPr>
        <w:spacing w:before="66" w:line="507" w:lineRule="auto"/>
        <w:ind w:left="41" w:right="2253" w:firstLine="466"/>
        <w:rPr>
          <w:rFonts w:ascii="仿宋" w:hAnsi="仿宋" w:eastAsia="仿宋" w:cs="仿宋"/>
          <w:color w:val="auto"/>
          <w:sz w:val="20"/>
          <w:szCs w:val="20"/>
        </w:rPr>
        <w:sectPr>
          <w:headerReference r:id="rId24" w:type="default"/>
          <w:footerReference r:id="rId25" w:type="default"/>
          <w:pgSz w:w="11906" w:h="16839"/>
          <w:pgMar w:top="999" w:right="1216" w:bottom="844" w:left="1418" w:header="698" w:footer="682" w:gutter="0"/>
          <w:pgNumType w:fmt="decimal"/>
          <w:cols w:space="720" w:num="1"/>
        </w:sectPr>
      </w:pPr>
      <w:r>
        <w:rPr>
          <w:rFonts w:ascii="仿宋" w:hAnsi="仿宋" w:eastAsia="仿宋" w:cs="仿宋"/>
          <w:color w:val="auto"/>
          <w:spacing w:val="-27"/>
          <w:sz w:val="20"/>
          <w:szCs w:val="20"/>
        </w:rPr>
        <w:t>招标文件获取日期：</w:t>
      </w:r>
      <w:r>
        <w:rPr>
          <w:color w:val="auto"/>
          <w:position w:val="-3"/>
          <w:sz w:val="20"/>
          <w:szCs w:val="20"/>
        </w:rPr>
        <w:drawing>
          <wp:inline distT="0" distB="0" distL="0" distR="0">
            <wp:extent cx="3141980" cy="571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03"/>
                    <a:stretch>
                      <a:fillRect/>
                    </a:stretch>
                  </pic:blipFill>
                  <pic:spPr>
                    <a:xfrm>
                      <a:off x="0" y="0"/>
                      <a:ext cx="3142487" cy="6096"/>
                    </a:xfrm>
                    <a:prstGeom prst="rect">
                      <a:avLst/>
                    </a:prstGeom>
                  </pic:spPr>
                </pic:pic>
              </a:graphicData>
            </a:graphic>
          </wp:inline>
        </w:drawing>
      </w:r>
      <w:r>
        <w:rPr>
          <w:rFonts w:ascii="仿宋" w:hAnsi="仿宋" w:eastAsia="仿宋" w:cs="仿宋"/>
          <w:color w:val="auto"/>
          <w:spacing w:val="3"/>
          <w:sz w:val="20"/>
          <w:szCs w:val="20"/>
        </w:rPr>
        <w:t xml:space="preserve"> </w:t>
      </w:r>
      <w:r>
        <w:rPr>
          <w:rFonts w:ascii="仿宋" w:hAnsi="仿宋" w:eastAsia="仿宋" w:cs="仿宋"/>
          <w:color w:val="auto"/>
          <w:spacing w:val="-22"/>
          <w:sz w:val="20"/>
          <w:szCs w:val="20"/>
        </w:rPr>
        <w:t>三、质疑事项具体内容</w:t>
      </w:r>
      <w:r>
        <w:rPr>
          <w:rFonts w:ascii="仿宋" w:hAnsi="仿宋" w:eastAsia="仿宋" w:cs="仿宋"/>
          <w:color w:val="auto"/>
          <w:spacing w:val="-22"/>
          <w:sz w:val="20"/>
          <w:szCs w:val="20"/>
        </w:rPr>
        <w:br w:type="textWrapping"/>
      </w:r>
    </w:p>
    <w:p w14:paraId="71AB31F4">
      <w:pPr>
        <w:pStyle w:val="3"/>
        <w:spacing w:line="478" w:lineRule="auto"/>
        <w:rPr>
          <w:color w:val="auto"/>
        </w:rPr>
      </w:pPr>
    </w:p>
    <w:p w14:paraId="3A002CA4">
      <w:pPr>
        <w:spacing w:before="65" w:line="232" w:lineRule="auto"/>
        <w:ind w:left="520"/>
        <w:rPr>
          <w:rFonts w:ascii="Times New Roman" w:hAnsi="Times New Roman" w:eastAsia="Times New Roman" w:cs="Times New Roman"/>
          <w:color w:val="auto"/>
          <w:sz w:val="20"/>
          <w:szCs w:val="20"/>
        </w:rPr>
      </w:pPr>
      <w:r>
        <w:rPr>
          <w:rFonts w:ascii="仿宋" w:hAnsi="仿宋" w:eastAsia="仿宋" w:cs="仿宋"/>
          <w:color w:val="auto"/>
          <w:spacing w:val="1"/>
          <w:sz w:val="20"/>
          <w:szCs w:val="20"/>
        </w:rPr>
        <w:t>质疑事项1：</w:t>
      </w:r>
      <w:r>
        <w:rPr>
          <w:rFonts w:ascii="Times New Roman" w:hAnsi="Times New Roman" w:eastAsia="Times New Roman" w:cs="Times New Roman"/>
          <w:color w:val="auto"/>
          <w:spacing w:val="1"/>
          <w:position w:val="1"/>
          <w:sz w:val="20"/>
          <w:szCs w:val="20"/>
        </w:rPr>
        <w:t>.......................</w:t>
      </w:r>
      <w:r>
        <w:rPr>
          <w:rFonts w:ascii="Times New Roman" w:hAnsi="Times New Roman" w:eastAsia="Times New Roman" w:cs="Times New Roman"/>
          <w:color w:val="auto"/>
          <w:position w:val="1"/>
          <w:sz w:val="20"/>
          <w:szCs w:val="20"/>
        </w:rPr>
        <w:t>..................................................................................</w:t>
      </w:r>
    </w:p>
    <w:p w14:paraId="7C5B4D76">
      <w:pPr>
        <w:pStyle w:val="3"/>
        <w:spacing w:line="241" w:lineRule="auto"/>
        <w:rPr>
          <w:color w:val="auto"/>
        </w:rPr>
      </w:pPr>
    </w:p>
    <w:p w14:paraId="167A4642">
      <w:pPr>
        <w:spacing w:before="65" w:line="231" w:lineRule="auto"/>
        <w:ind w:left="510"/>
        <w:rPr>
          <w:rFonts w:ascii="Times New Roman" w:hAnsi="Times New Roman" w:eastAsia="Times New Roman" w:cs="Times New Roman"/>
          <w:color w:val="auto"/>
          <w:sz w:val="20"/>
          <w:szCs w:val="20"/>
        </w:rPr>
      </w:pPr>
      <w:r>
        <w:rPr>
          <w:rFonts w:ascii="仿宋" w:hAnsi="仿宋" w:eastAsia="仿宋" w:cs="仿宋"/>
          <w:color w:val="auto"/>
          <w:spacing w:val="1"/>
          <w:sz w:val="20"/>
          <w:szCs w:val="20"/>
        </w:rPr>
        <w:t>事实依据：</w:t>
      </w:r>
      <w:r>
        <w:rPr>
          <w:rFonts w:ascii="Times New Roman" w:hAnsi="Times New Roman" w:eastAsia="Times New Roman" w:cs="Times New Roman"/>
          <w:color w:val="auto"/>
          <w:spacing w:val="1"/>
          <w:position w:val="1"/>
          <w:sz w:val="20"/>
          <w:szCs w:val="20"/>
        </w:rPr>
        <w:t>.......................................................</w:t>
      </w:r>
      <w:r>
        <w:rPr>
          <w:rFonts w:ascii="Times New Roman" w:hAnsi="Times New Roman" w:eastAsia="Times New Roman" w:cs="Times New Roman"/>
          <w:color w:val="auto"/>
          <w:position w:val="1"/>
          <w:sz w:val="20"/>
          <w:szCs w:val="20"/>
        </w:rPr>
        <w:t>..................................................</w:t>
      </w:r>
    </w:p>
    <w:p w14:paraId="1617BA89">
      <w:pPr>
        <w:pStyle w:val="3"/>
        <w:spacing w:line="242" w:lineRule="auto"/>
        <w:rPr>
          <w:color w:val="auto"/>
        </w:rPr>
      </w:pPr>
    </w:p>
    <w:p w14:paraId="4DFAD1A4">
      <w:pPr>
        <w:spacing w:before="65" w:line="231" w:lineRule="auto"/>
        <w:ind w:left="524"/>
        <w:rPr>
          <w:rFonts w:ascii="Times New Roman" w:hAnsi="Times New Roman" w:eastAsia="Times New Roman" w:cs="Times New Roman"/>
          <w:color w:val="auto"/>
          <w:sz w:val="20"/>
          <w:szCs w:val="20"/>
        </w:rPr>
      </w:pPr>
      <w:r>
        <w:rPr>
          <w:rFonts w:ascii="仿宋" w:hAnsi="仿宋" w:eastAsia="仿宋" w:cs="仿宋"/>
          <w:color w:val="auto"/>
          <w:spacing w:val="1"/>
          <w:sz w:val="20"/>
          <w:szCs w:val="20"/>
        </w:rPr>
        <w:t>法律依据：</w:t>
      </w:r>
      <w:r>
        <w:rPr>
          <w:rFonts w:ascii="Times New Roman" w:hAnsi="Times New Roman" w:eastAsia="Times New Roman" w:cs="Times New Roman"/>
          <w:color w:val="auto"/>
          <w:spacing w:val="1"/>
          <w:position w:val="1"/>
          <w:sz w:val="20"/>
          <w:szCs w:val="20"/>
        </w:rPr>
        <w:t>........................................</w:t>
      </w:r>
      <w:r>
        <w:rPr>
          <w:rFonts w:ascii="Times New Roman" w:hAnsi="Times New Roman" w:eastAsia="Times New Roman" w:cs="Times New Roman"/>
          <w:color w:val="auto"/>
          <w:position w:val="1"/>
          <w:sz w:val="20"/>
          <w:szCs w:val="20"/>
        </w:rPr>
        <w:t>..................................................................</w:t>
      </w:r>
    </w:p>
    <w:p w14:paraId="087A2AF4">
      <w:pPr>
        <w:pStyle w:val="3"/>
        <w:spacing w:line="304" w:lineRule="auto"/>
        <w:rPr>
          <w:color w:val="auto"/>
        </w:rPr>
      </w:pPr>
    </w:p>
    <w:p w14:paraId="25634BA5">
      <w:pPr>
        <w:spacing w:before="65" w:line="513" w:lineRule="auto"/>
        <w:ind w:left="514" w:right="7793" w:firstLine="6"/>
        <w:rPr>
          <w:rFonts w:ascii="仿宋" w:hAnsi="仿宋" w:eastAsia="仿宋" w:cs="仿宋"/>
          <w:color w:val="auto"/>
          <w:sz w:val="20"/>
          <w:szCs w:val="20"/>
        </w:rPr>
      </w:pPr>
      <w:r>
        <w:rPr>
          <w:rFonts w:ascii="仿宋" w:hAnsi="仿宋" w:eastAsia="仿宋" w:cs="仿宋"/>
          <w:color w:val="auto"/>
          <w:spacing w:val="31"/>
          <w:sz w:val="20"/>
          <w:szCs w:val="20"/>
        </w:rPr>
        <w:t>质疑事项</w:t>
      </w:r>
      <w:r>
        <w:rPr>
          <w:rFonts w:ascii="仿宋" w:hAnsi="仿宋" w:eastAsia="仿宋" w:cs="仿宋"/>
          <w:color w:val="auto"/>
          <w:spacing w:val="1"/>
          <w:sz w:val="20"/>
          <w:szCs w:val="20"/>
        </w:rPr>
        <w:t xml:space="preserve"> </w:t>
      </w:r>
      <w:r>
        <w:rPr>
          <w:rFonts w:ascii="仿宋" w:hAnsi="仿宋" w:eastAsia="仿宋" w:cs="仿宋"/>
          <w:color w:val="auto"/>
          <w:spacing w:val="-7"/>
          <w:sz w:val="20"/>
          <w:szCs w:val="20"/>
        </w:rPr>
        <w:t>2</w:t>
      </w:r>
      <w:r>
        <w:rPr>
          <w:rFonts w:ascii="仿宋" w:hAnsi="仿宋" w:eastAsia="仿宋" w:cs="仿宋"/>
          <w:color w:val="auto"/>
          <w:spacing w:val="-9"/>
          <w:sz w:val="20"/>
          <w:szCs w:val="20"/>
        </w:rPr>
        <w:t xml:space="preserve"> </w:t>
      </w:r>
      <w:r>
        <w:rPr>
          <w:rFonts w:ascii="仿宋" w:hAnsi="仿宋" w:eastAsia="仿宋" w:cs="仿宋"/>
          <w:color w:val="auto"/>
          <w:spacing w:val="-7"/>
          <w:sz w:val="20"/>
          <w:szCs w:val="20"/>
        </w:rPr>
        <w:t>……</w:t>
      </w:r>
    </w:p>
    <w:p w14:paraId="75183976">
      <w:pPr>
        <w:spacing w:line="228" w:lineRule="auto"/>
        <w:ind w:left="79"/>
        <w:rPr>
          <w:rFonts w:ascii="仿宋" w:hAnsi="仿宋" w:eastAsia="仿宋" w:cs="仿宋"/>
          <w:color w:val="auto"/>
          <w:sz w:val="20"/>
          <w:szCs w:val="20"/>
        </w:rPr>
      </w:pPr>
      <w:r>
        <w:rPr>
          <w:rFonts w:ascii="仿宋" w:hAnsi="仿宋" w:eastAsia="仿宋" w:cs="仿宋"/>
          <w:color w:val="auto"/>
          <w:spacing w:val="-26"/>
          <w:sz w:val="20"/>
          <w:szCs w:val="20"/>
        </w:rPr>
        <w:t>四、与质疑事项相关的质疑请求</w:t>
      </w:r>
    </w:p>
    <w:p w14:paraId="1EBD8066">
      <w:pPr>
        <w:pStyle w:val="3"/>
        <w:spacing w:line="250" w:lineRule="auto"/>
        <w:rPr>
          <w:color w:val="auto"/>
        </w:rPr>
      </w:pPr>
    </w:p>
    <w:p w14:paraId="30836423">
      <w:pPr>
        <w:spacing w:before="66" w:line="223" w:lineRule="auto"/>
        <w:ind w:left="510"/>
        <w:rPr>
          <w:color w:val="auto"/>
          <w:sz w:val="20"/>
          <w:szCs w:val="20"/>
        </w:rPr>
      </w:pPr>
      <w:r>
        <w:rPr>
          <w:rFonts w:ascii="仿宋" w:hAnsi="仿宋" w:eastAsia="仿宋" w:cs="仿宋"/>
          <w:color w:val="auto"/>
          <w:spacing w:val="-38"/>
          <w:w w:val="99"/>
          <w:sz w:val="20"/>
          <w:szCs w:val="20"/>
        </w:rPr>
        <w:t>请求：</w:t>
      </w:r>
      <w:r>
        <w:rPr>
          <w:color w:val="auto"/>
          <w:position w:val="-3"/>
          <w:sz w:val="20"/>
          <w:szCs w:val="20"/>
        </w:rPr>
        <w:drawing>
          <wp:inline distT="0" distB="0" distL="0" distR="0">
            <wp:extent cx="3282315" cy="571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04"/>
                    <a:stretch>
                      <a:fillRect/>
                    </a:stretch>
                  </pic:blipFill>
                  <pic:spPr>
                    <a:xfrm>
                      <a:off x="0" y="0"/>
                      <a:ext cx="3282695" cy="6095"/>
                    </a:xfrm>
                    <a:prstGeom prst="rect">
                      <a:avLst/>
                    </a:prstGeom>
                  </pic:spPr>
                </pic:pic>
              </a:graphicData>
            </a:graphic>
          </wp:inline>
        </w:drawing>
      </w:r>
    </w:p>
    <w:p w14:paraId="4C119FA7">
      <w:pPr>
        <w:pStyle w:val="3"/>
        <w:spacing w:line="243" w:lineRule="auto"/>
        <w:rPr>
          <w:color w:val="auto"/>
        </w:rPr>
      </w:pPr>
    </w:p>
    <w:p w14:paraId="4C6CB9B0">
      <w:pPr>
        <w:pStyle w:val="3"/>
        <w:spacing w:line="243" w:lineRule="auto"/>
        <w:rPr>
          <w:color w:val="auto"/>
        </w:rPr>
      </w:pPr>
    </w:p>
    <w:p w14:paraId="2D066CEF">
      <w:pPr>
        <w:pStyle w:val="3"/>
        <w:spacing w:line="243" w:lineRule="auto"/>
        <w:rPr>
          <w:color w:val="auto"/>
        </w:rPr>
      </w:pPr>
    </w:p>
    <w:p w14:paraId="26D4859A">
      <w:pPr>
        <w:pStyle w:val="3"/>
        <w:spacing w:line="244" w:lineRule="auto"/>
        <w:rPr>
          <w:color w:val="auto"/>
        </w:rPr>
      </w:pPr>
    </w:p>
    <w:p w14:paraId="4CDAFB95">
      <w:pPr>
        <w:spacing w:before="65" w:line="231" w:lineRule="auto"/>
        <w:ind w:left="520"/>
        <w:rPr>
          <w:rFonts w:ascii="仿宋" w:hAnsi="仿宋" w:eastAsia="仿宋" w:cs="仿宋"/>
          <w:color w:val="auto"/>
          <w:sz w:val="20"/>
          <w:szCs w:val="20"/>
        </w:rPr>
      </w:pPr>
      <w:r>
        <w:rPr>
          <w:rFonts w:ascii="仿宋" w:hAnsi="仿宋" w:eastAsia="仿宋" w:cs="仿宋"/>
          <w:color w:val="auto"/>
          <w:spacing w:val="-20"/>
          <w:sz w:val="20"/>
          <w:szCs w:val="20"/>
        </w:rPr>
        <w:t>签字(签章</w:t>
      </w:r>
      <w:r>
        <w:rPr>
          <w:rFonts w:ascii="仿宋" w:hAnsi="仿宋" w:eastAsia="仿宋" w:cs="仿宋"/>
          <w:color w:val="auto"/>
          <w:spacing w:val="-50"/>
          <w:w w:val="88"/>
          <w:sz w:val="20"/>
          <w:szCs w:val="20"/>
        </w:rPr>
        <w:t>）：</w:t>
      </w:r>
      <w:r>
        <w:rPr>
          <w:rFonts w:ascii="仿宋" w:hAnsi="仿宋" w:eastAsia="仿宋" w:cs="仿宋"/>
          <w:color w:val="auto"/>
          <w:spacing w:val="2"/>
          <w:sz w:val="20"/>
          <w:szCs w:val="20"/>
        </w:rPr>
        <w:t xml:space="preserve">                 </w:t>
      </w:r>
      <w:r>
        <w:rPr>
          <w:rFonts w:ascii="仿宋" w:hAnsi="仿宋" w:eastAsia="仿宋" w:cs="仿宋"/>
          <w:color w:val="auto"/>
          <w:spacing w:val="-20"/>
          <w:sz w:val="20"/>
          <w:szCs w:val="20"/>
        </w:rPr>
        <w:t>公章：                 日期：</w:t>
      </w:r>
    </w:p>
    <w:p w14:paraId="3BF9E89F">
      <w:pPr>
        <w:spacing w:before="303" w:line="221" w:lineRule="auto"/>
        <w:ind w:left="521"/>
        <w:rPr>
          <w:rFonts w:ascii="仿宋" w:hAnsi="仿宋" w:eastAsia="仿宋" w:cs="仿宋"/>
          <w:color w:val="auto"/>
          <w:sz w:val="22"/>
          <w:szCs w:val="22"/>
        </w:rPr>
      </w:pPr>
      <w:r>
        <w:rPr>
          <w:rFonts w:ascii="仿宋" w:hAnsi="仿宋" w:eastAsia="仿宋" w:cs="仿宋"/>
          <w:color w:val="auto"/>
          <w:spacing w:val="-31"/>
          <w:sz w:val="22"/>
          <w:szCs w:val="22"/>
        </w:rPr>
        <w:t>质疑函制作说明：</w:t>
      </w:r>
    </w:p>
    <w:p w14:paraId="500AEC40">
      <w:pPr>
        <w:spacing w:before="301" w:line="221" w:lineRule="auto"/>
        <w:ind w:left="530"/>
        <w:rPr>
          <w:rFonts w:ascii="仿宋" w:hAnsi="仿宋" w:eastAsia="仿宋" w:cs="仿宋"/>
          <w:color w:val="auto"/>
          <w:sz w:val="22"/>
          <w:szCs w:val="22"/>
        </w:rPr>
      </w:pPr>
      <w:r>
        <w:rPr>
          <w:rFonts w:ascii="仿宋" w:hAnsi="仿宋" w:eastAsia="仿宋" w:cs="仿宋"/>
          <w:color w:val="auto"/>
          <w:spacing w:val="-30"/>
          <w:sz w:val="22"/>
          <w:szCs w:val="22"/>
        </w:rPr>
        <w:t>1.投标人质疑时，应提交质疑函和必要的</w:t>
      </w:r>
      <w:r>
        <w:rPr>
          <w:rFonts w:ascii="仿宋" w:hAnsi="仿宋" w:eastAsia="仿宋" w:cs="仿宋"/>
          <w:color w:val="auto"/>
          <w:spacing w:val="-31"/>
          <w:sz w:val="22"/>
          <w:szCs w:val="22"/>
        </w:rPr>
        <w:t>证明材料。</w:t>
      </w:r>
    </w:p>
    <w:p w14:paraId="1423B0FF">
      <w:pPr>
        <w:pStyle w:val="3"/>
        <w:spacing w:line="275" w:lineRule="auto"/>
        <w:rPr>
          <w:color w:val="auto"/>
        </w:rPr>
      </w:pPr>
    </w:p>
    <w:p w14:paraId="6FCCB69E">
      <w:pPr>
        <w:spacing w:before="72" w:line="465" w:lineRule="auto"/>
        <w:ind w:left="31" w:right="242" w:firstLine="471"/>
        <w:rPr>
          <w:rFonts w:ascii="仿宋" w:hAnsi="仿宋" w:eastAsia="仿宋" w:cs="仿宋"/>
          <w:color w:val="auto"/>
          <w:sz w:val="22"/>
          <w:szCs w:val="22"/>
        </w:rPr>
      </w:pPr>
      <w:r>
        <w:rPr>
          <w:rFonts w:ascii="仿宋" w:hAnsi="仿宋" w:eastAsia="仿宋" w:cs="仿宋"/>
          <w:color w:val="auto"/>
          <w:spacing w:val="-32"/>
          <w:sz w:val="22"/>
          <w:szCs w:val="22"/>
        </w:rPr>
        <w:t>2.质疑投标人若委托代理人进行质疑的，质疑函应按要求列明“授权代表”的有关内容，</w:t>
      </w:r>
      <w:r>
        <w:rPr>
          <w:rFonts w:ascii="仿宋" w:hAnsi="仿宋" w:eastAsia="仿宋" w:cs="仿宋"/>
          <w:color w:val="auto"/>
          <w:spacing w:val="-51"/>
          <w:sz w:val="22"/>
          <w:szCs w:val="22"/>
        </w:rPr>
        <w:t xml:space="preserve"> </w:t>
      </w:r>
      <w:r>
        <w:rPr>
          <w:rFonts w:ascii="仿宋" w:hAnsi="仿宋" w:eastAsia="仿宋" w:cs="仿宋"/>
          <w:color w:val="auto"/>
          <w:spacing w:val="-32"/>
          <w:sz w:val="22"/>
          <w:szCs w:val="22"/>
        </w:rPr>
        <w:t>并在附件中提</w:t>
      </w:r>
      <w:r>
        <w:rPr>
          <w:rFonts w:ascii="仿宋" w:hAnsi="仿宋" w:eastAsia="仿宋" w:cs="仿宋"/>
          <w:color w:val="auto"/>
          <w:sz w:val="22"/>
          <w:szCs w:val="22"/>
        </w:rPr>
        <w:t xml:space="preserve"> </w:t>
      </w:r>
      <w:r>
        <w:rPr>
          <w:rFonts w:ascii="仿宋" w:hAnsi="仿宋" w:eastAsia="仿宋" w:cs="仿宋"/>
          <w:color w:val="auto"/>
          <w:spacing w:val="-31"/>
          <w:sz w:val="22"/>
          <w:szCs w:val="22"/>
        </w:rPr>
        <w:t>交由质疑投标人签署的授权委托书。授权委托书应载明代理人的姓名或者名称、</w:t>
      </w:r>
      <w:r>
        <w:rPr>
          <w:rFonts w:ascii="仿宋" w:hAnsi="仿宋" w:eastAsia="仿宋" w:cs="仿宋"/>
          <w:color w:val="auto"/>
          <w:spacing w:val="-28"/>
          <w:sz w:val="22"/>
          <w:szCs w:val="22"/>
        </w:rPr>
        <w:t xml:space="preserve"> </w:t>
      </w:r>
      <w:r>
        <w:rPr>
          <w:rFonts w:ascii="仿宋" w:hAnsi="仿宋" w:eastAsia="仿宋" w:cs="仿宋"/>
          <w:color w:val="auto"/>
          <w:spacing w:val="-31"/>
          <w:sz w:val="22"/>
          <w:szCs w:val="22"/>
        </w:rPr>
        <w:t>代理事项、具体权限、期限</w:t>
      </w:r>
      <w:r>
        <w:rPr>
          <w:rFonts w:ascii="仿宋" w:hAnsi="仿宋" w:eastAsia="仿宋" w:cs="仿宋"/>
          <w:color w:val="auto"/>
          <w:sz w:val="22"/>
          <w:szCs w:val="22"/>
        </w:rPr>
        <w:t xml:space="preserve"> </w:t>
      </w:r>
      <w:r>
        <w:rPr>
          <w:rFonts w:ascii="仿宋" w:hAnsi="仿宋" w:eastAsia="仿宋" w:cs="仿宋"/>
          <w:color w:val="auto"/>
          <w:spacing w:val="-25"/>
          <w:sz w:val="22"/>
          <w:szCs w:val="22"/>
        </w:rPr>
        <w:t>和相关事项。</w:t>
      </w:r>
    </w:p>
    <w:p w14:paraId="44FB3BEA">
      <w:pPr>
        <w:spacing w:before="24" w:line="492" w:lineRule="auto"/>
        <w:ind w:left="496" w:right="2540" w:firstLine="10"/>
        <w:rPr>
          <w:rFonts w:ascii="仿宋" w:hAnsi="仿宋" w:eastAsia="仿宋" w:cs="仿宋"/>
          <w:color w:val="auto"/>
          <w:sz w:val="22"/>
          <w:szCs w:val="22"/>
        </w:rPr>
      </w:pPr>
      <w:r>
        <w:rPr>
          <w:rFonts w:ascii="仿宋" w:hAnsi="仿宋" w:eastAsia="仿宋" w:cs="仿宋"/>
          <w:color w:val="auto"/>
          <w:spacing w:val="-31"/>
          <w:sz w:val="22"/>
          <w:szCs w:val="22"/>
        </w:rPr>
        <w:t>3.质疑投标人若对项目的某一分包进行质疑</w:t>
      </w:r>
      <w:r>
        <w:rPr>
          <w:rFonts w:ascii="仿宋" w:hAnsi="仿宋" w:eastAsia="仿宋" w:cs="仿宋"/>
          <w:color w:val="auto"/>
          <w:spacing w:val="-32"/>
          <w:sz w:val="22"/>
          <w:szCs w:val="22"/>
        </w:rPr>
        <w:t>，质疑函中应列明具体分包号。</w:t>
      </w:r>
      <w:r>
        <w:rPr>
          <w:rFonts w:ascii="仿宋" w:hAnsi="仿宋" w:eastAsia="仿宋" w:cs="仿宋"/>
          <w:color w:val="auto"/>
          <w:sz w:val="22"/>
          <w:szCs w:val="22"/>
        </w:rPr>
        <w:t xml:space="preserve"> </w:t>
      </w:r>
      <w:r>
        <w:rPr>
          <w:rFonts w:ascii="仿宋" w:hAnsi="仿宋" w:eastAsia="仿宋" w:cs="仿宋"/>
          <w:color w:val="auto"/>
          <w:spacing w:val="-31"/>
          <w:sz w:val="22"/>
          <w:szCs w:val="22"/>
        </w:rPr>
        <w:t>4.质疑函的质疑事项应具体、明确，并有必要的事实依据和法律依据。</w:t>
      </w:r>
    </w:p>
    <w:p w14:paraId="4D14BFF7">
      <w:pPr>
        <w:spacing w:before="86" w:line="221" w:lineRule="auto"/>
        <w:ind w:left="502"/>
        <w:rPr>
          <w:rFonts w:ascii="仿宋" w:hAnsi="仿宋" w:eastAsia="仿宋" w:cs="仿宋"/>
          <w:color w:val="auto"/>
          <w:sz w:val="22"/>
          <w:szCs w:val="22"/>
        </w:rPr>
      </w:pPr>
      <w:r>
        <w:rPr>
          <w:rFonts w:ascii="仿宋" w:hAnsi="仿宋" w:eastAsia="仿宋" w:cs="仿宋"/>
          <w:color w:val="auto"/>
          <w:spacing w:val="-29"/>
          <w:sz w:val="22"/>
          <w:szCs w:val="22"/>
        </w:rPr>
        <w:t>5.质疑函的质疑请求应与质疑事项相关。</w:t>
      </w:r>
    </w:p>
    <w:p w14:paraId="3E43EDDF">
      <w:pPr>
        <w:pStyle w:val="3"/>
        <w:spacing w:line="256" w:lineRule="auto"/>
        <w:rPr>
          <w:color w:val="auto"/>
        </w:rPr>
      </w:pPr>
    </w:p>
    <w:p w14:paraId="664748B9">
      <w:pPr>
        <w:spacing w:before="72" w:line="449" w:lineRule="auto"/>
        <w:ind w:left="33" w:right="211" w:firstLine="465"/>
        <w:rPr>
          <w:rFonts w:ascii="仿宋" w:hAnsi="仿宋" w:eastAsia="仿宋" w:cs="仿宋"/>
          <w:color w:val="auto"/>
          <w:sz w:val="22"/>
          <w:szCs w:val="22"/>
        </w:rPr>
      </w:pPr>
      <w:r>
        <w:rPr>
          <w:rFonts w:ascii="仿宋" w:hAnsi="仿宋" w:eastAsia="仿宋" w:cs="仿宋"/>
          <w:color w:val="auto"/>
          <w:spacing w:val="-30"/>
          <w:sz w:val="22"/>
          <w:szCs w:val="22"/>
        </w:rPr>
        <w:t>6.质疑投标人为自然人的，质疑函应由本人签字；质疑投标人为法人或者其他组织的，质疑函应由法定</w:t>
      </w:r>
      <w:r>
        <w:rPr>
          <w:rFonts w:ascii="仿宋" w:hAnsi="仿宋" w:eastAsia="仿宋" w:cs="仿宋"/>
          <w:color w:val="auto"/>
          <w:spacing w:val="8"/>
          <w:sz w:val="22"/>
          <w:szCs w:val="22"/>
        </w:rPr>
        <w:t xml:space="preserve"> </w:t>
      </w:r>
      <w:r>
        <w:rPr>
          <w:rFonts w:ascii="仿宋" w:hAnsi="仿宋" w:eastAsia="仿宋" w:cs="仿宋"/>
          <w:color w:val="auto"/>
          <w:spacing w:val="-31"/>
          <w:sz w:val="22"/>
          <w:szCs w:val="22"/>
        </w:rPr>
        <w:t>代表人、主要负责人，或者其授权代表签字或者盖章，并加盖公章。</w:t>
      </w:r>
    </w:p>
    <w:p w14:paraId="15E2784D">
      <w:pPr>
        <w:rPr>
          <w:rFonts w:ascii="仿宋" w:hAnsi="仿宋" w:eastAsia="仿宋" w:cs="仿宋"/>
          <w:b/>
          <w:bCs/>
          <w:color w:val="auto"/>
          <w:spacing w:val="-22"/>
          <w:sz w:val="35"/>
          <w:szCs w:val="35"/>
        </w:rPr>
      </w:pPr>
      <w:bookmarkStart w:id="8" w:name="bookmark7"/>
      <w:bookmarkEnd w:id="8"/>
      <w:r>
        <w:rPr>
          <w:rFonts w:ascii="仿宋" w:hAnsi="仿宋" w:eastAsia="仿宋" w:cs="仿宋"/>
          <w:b/>
          <w:bCs/>
          <w:color w:val="auto"/>
          <w:spacing w:val="-22"/>
          <w:sz w:val="35"/>
          <w:szCs w:val="35"/>
        </w:rPr>
        <w:br w:type="page"/>
      </w:r>
    </w:p>
    <w:p w14:paraId="2B4A172F">
      <w:pPr>
        <w:spacing w:before="259" w:line="228" w:lineRule="auto"/>
        <w:ind w:left="3195"/>
        <w:outlineLvl w:val="0"/>
        <w:rPr>
          <w:rFonts w:ascii="仿宋" w:hAnsi="仿宋" w:eastAsia="仿宋" w:cs="仿宋"/>
          <w:color w:val="auto"/>
          <w:sz w:val="35"/>
          <w:szCs w:val="35"/>
        </w:rPr>
      </w:pPr>
      <w:bookmarkStart w:id="9" w:name="_Toc6315"/>
      <w:r>
        <w:rPr>
          <w:rFonts w:ascii="仿宋" w:hAnsi="仿宋" w:eastAsia="仿宋" w:cs="仿宋"/>
          <w:b/>
          <w:bCs/>
          <w:color w:val="auto"/>
          <w:spacing w:val="-22"/>
          <w:sz w:val="35"/>
          <w:szCs w:val="35"/>
        </w:rPr>
        <w:t>第三章</w:t>
      </w:r>
      <w:r>
        <w:rPr>
          <w:rFonts w:ascii="仿宋" w:hAnsi="仿宋" w:eastAsia="仿宋" w:cs="仿宋"/>
          <w:color w:val="auto"/>
          <w:spacing w:val="71"/>
          <w:sz w:val="35"/>
          <w:szCs w:val="35"/>
        </w:rPr>
        <w:t xml:space="preserve">  </w:t>
      </w:r>
      <w:r>
        <w:rPr>
          <w:rFonts w:ascii="仿宋" w:hAnsi="仿宋" w:eastAsia="仿宋" w:cs="仿宋"/>
          <w:b/>
          <w:bCs/>
          <w:color w:val="auto"/>
          <w:spacing w:val="-22"/>
          <w:sz w:val="35"/>
          <w:szCs w:val="35"/>
        </w:rPr>
        <w:t>采购需求</w:t>
      </w:r>
      <w:bookmarkEnd w:id="9"/>
    </w:p>
    <w:p w14:paraId="5CDBCA31">
      <w:pPr>
        <w:pStyle w:val="3"/>
        <w:spacing w:line="309" w:lineRule="auto"/>
        <w:rPr>
          <w:color w:val="auto"/>
        </w:rPr>
      </w:pPr>
    </w:p>
    <w:p w14:paraId="7E4437EE">
      <w:pPr>
        <w:spacing w:before="79" w:line="222" w:lineRule="auto"/>
        <w:ind w:left="108"/>
        <w:rPr>
          <w:rFonts w:ascii="仿宋" w:hAnsi="仿宋" w:eastAsia="仿宋" w:cs="仿宋"/>
          <w:color w:val="auto"/>
          <w:sz w:val="24"/>
          <w:szCs w:val="24"/>
        </w:rPr>
      </w:pPr>
      <w:r>
        <w:rPr>
          <w:rFonts w:ascii="仿宋" w:hAnsi="仿宋" w:eastAsia="仿宋" w:cs="仿宋"/>
          <w:b/>
          <w:bCs/>
          <w:color w:val="auto"/>
          <w:spacing w:val="-22"/>
          <w:sz w:val="24"/>
          <w:szCs w:val="24"/>
        </w:rPr>
        <w:t>一、项目概况</w:t>
      </w:r>
    </w:p>
    <w:p w14:paraId="633D9718">
      <w:pPr>
        <w:pStyle w:val="3"/>
        <w:spacing w:line="247" w:lineRule="auto"/>
        <w:rPr>
          <w:color w:val="auto"/>
        </w:rPr>
      </w:pPr>
    </w:p>
    <w:p w14:paraId="2D53D278">
      <w:pPr>
        <w:spacing w:before="179" w:line="323" w:lineRule="auto"/>
        <w:ind w:left="46" w:right="35" w:firstLine="429"/>
        <w:rPr>
          <w:rFonts w:ascii="仿宋" w:hAnsi="仿宋" w:eastAsia="仿宋" w:cs="仿宋"/>
          <w:color w:val="auto"/>
          <w:sz w:val="24"/>
          <w:szCs w:val="24"/>
        </w:rPr>
      </w:pPr>
      <w:r>
        <w:rPr>
          <w:rFonts w:ascii="仿宋" w:hAnsi="仿宋" w:eastAsia="仿宋" w:cs="仿宋"/>
          <w:color w:val="auto"/>
          <w:spacing w:val="-29"/>
          <w:sz w:val="24"/>
          <w:szCs w:val="24"/>
        </w:rPr>
        <w:t>1、采购内容：本项目为洛阳市孟津区机关事务服务中心文博艺术中心物</w:t>
      </w:r>
      <w:r>
        <w:rPr>
          <w:rFonts w:ascii="仿宋" w:hAnsi="仿宋" w:eastAsia="仿宋" w:cs="仿宋"/>
          <w:color w:val="auto"/>
          <w:spacing w:val="-30"/>
          <w:sz w:val="24"/>
          <w:szCs w:val="24"/>
        </w:rPr>
        <w:t>业费项目，物业服务面</w:t>
      </w:r>
      <w:r>
        <w:rPr>
          <w:rFonts w:ascii="仿宋" w:hAnsi="仿宋" w:eastAsia="仿宋" w:cs="仿宋"/>
          <w:color w:val="auto"/>
          <w:sz w:val="24"/>
          <w:szCs w:val="24"/>
        </w:rPr>
        <w:t xml:space="preserve"> </w:t>
      </w:r>
      <w:r>
        <w:rPr>
          <w:rFonts w:ascii="仿宋" w:hAnsi="仿宋" w:eastAsia="仿宋" w:cs="仿宋"/>
          <w:color w:val="auto"/>
          <w:spacing w:val="-28"/>
          <w:sz w:val="24"/>
          <w:szCs w:val="24"/>
        </w:rPr>
        <w:t>积</w:t>
      </w:r>
      <w:r>
        <w:rPr>
          <w:rFonts w:hint="eastAsia" w:ascii="仿宋" w:hAnsi="仿宋" w:eastAsia="仿宋" w:cs="仿宋"/>
          <w:color w:val="auto"/>
          <w:spacing w:val="-28"/>
          <w:sz w:val="24"/>
          <w:szCs w:val="24"/>
          <w:lang w:eastAsia="zh-CN"/>
        </w:rPr>
        <w:t>54497.88</w:t>
      </w:r>
      <w:r>
        <w:rPr>
          <w:rFonts w:ascii="仿宋" w:hAnsi="仿宋" w:eastAsia="仿宋" w:cs="仿宋"/>
          <w:color w:val="auto"/>
          <w:spacing w:val="-28"/>
          <w:sz w:val="24"/>
          <w:szCs w:val="24"/>
        </w:rPr>
        <w:t>平方米，主要内容：负责场馆内及外围的站岗、巡逻、消防、监控值班的工作；场馆内的地</w:t>
      </w:r>
      <w:r>
        <w:rPr>
          <w:rFonts w:ascii="仿宋" w:hAnsi="仿宋" w:eastAsia="仿宋" w:cs="仿宋"/>
          <w:color w:val="auto"/>
          <w:spacing w:val="11"/>
          <w:sz w:val="24"/>
          <w:szCs w:val="24"/>
        </w:rPr>
        <w:t xml:space="preserve"> </w:t>
      </w:r>
      <w:r>
        <w:rPr>
          <w:rFonts w:ascii="仿宋" w:hAnsi="仿宋" w:eastAsia="仿宋" w:cs="仿宋"/>
          <w:color w:val="auto"/>
          <w:spacing w:val="-33"/>
          <w:sz w:val="24"/>
          <w:szCs w:val="24"/>
        </w:rPr>
        <w:t>面、玻璃、电梯轿厢、3</w:t>
      </w:r>
      <w:r>
        <w:rPr>
          <w:rFonts w:ascii="仿宋" w:hAnsi="仿宋" w:eastAsia="仿宋" w:cs="仿宋"/>
          <w:color w:val="auto"/>
          <w:spacing w:val="-71"/>
          <w:sz w:val="24"/>
          <w:szCs w:val="24"/>
        </w:rPr>
        <w:t xml:space="preserve"> </w:t>
      </w:r>
      <w:r>
        <w:rPr>
          <w:rFonts w:ascii="仿宋" w:hAnsi="仿宋" w:eastAsia="仿宋" w:cs="仿宋"/>
          <w:color w:val="auto"/>
          <w:spacing w:val="-33"/>
          <w:sz w:val="24"/>
          <w:szCs w:val="24"/>
        </w:rPr>
        <w:t>米以下墙面、外围道路、水系的清洁工作</w:t>
      </w:r>
      <w:r>
        <w:rPr>
          <w:rFonts w:ascii="仿宋" w:hAnsi="仿宋" w:eastAsia="仿宋" w:cs="仿宋"/>
          <w:color w:val="auto"/>
          <w:spacing w:val="-34"/>
          <w:sz w:val="24"/>
          <w:szCs w:val="24"/>
        </w:rPr>
        <w:t>；电梯、绿化、清洁、秩序、消防、</w:t>
      </w:r>
      <w:r>
        <w:rPr>
          <w:rFonts w:ascii="仿宋" w:hAnsi="仿宋" w:eastAsia="仿宋" w:cs="仿宋"/>
          <w:color w:val="auto"/>
          <w:sz w:val="24"/>
          <w:szCs w:val="24"/>
        </w:rPr>
        <w:t xml:space="preserve"> </w:t>
      </w:r>
      <w:r>
        <w:rPr>
          <w:rFonts w:ascii="仿宋" w:hAnsi="仿宋" w:eastAsia="仿宋" w:cs="仿宋"/>
          <w:color w:val="auto"/>
          <w:spacing w:val="-33"/>
          <w:sz w:val="24"/>
          <w:szCs w:val="24"/>
        </w:rPr>
        <w:t>道路广场、</w:t>
      </w:r>
      <w:r>
        <w:rPr>
          <w:rFonts w:hint="eastAsia" w:ascii="仿宋" w:hAnsi="仿宋" w:eastAsia="仿宋" w:cs="仿宋"/>
          <w:color w:val="auto"/>
          <w:spacing w:val="-33"/>
          <w:sz w:val="24"/>
          <w:szCs w:val="24"/>
          <w:lang w:eastAsia="zh-CN"/>
        </w:rPr>
        <w:t>水系设施、</w:t>
      </w:r>
      <w:r>
        <w:rPr>
          <w:rFonts w:ascii="仿宋" w:hAnsi="仿宋" w:eastAsia="仿宋" w:cs="仿宋"/>
          <w:color w:val="auto"/>
          <w:spacing w:val="-33"/>
          <w:sz w:val="24"/>
          <w:szCs w:val="24"/>
        </w:rPr>
        <w:t>建筑物、智能化维护等</w:t>
      </w:r>
      <w:r>
        <w:rPr>
          <w:rFonts w:hint="eastAsia" w:ascii="仿宋" w:hAnsi="仿宋" w:eastAsia="仿宋" w:cs="仿宋"/>
          <w:color w:val="auto"/>
          <w:spacing w:val="-33"/>
          <w:sz w:val="24"/>
          <w:szCs w:val="24"/>
          <w:lang w:eastAsia="zh-CN"/>
        </w:rPr>
        <w:t>；</w:t>
      </w:r>
      <w:r>
        <w:rPr>
          <w:rFonts w:hint="eastAsia" w:ascii="仿宋" w:hAnsi="仿宋" w:eastAsia="仿宋" w:cs="仿宋"/>
          <w:color w:val="auto"/>
          <w:spacing w:val="-33"/>
          <w:sz w:val="24"/>
          <w:szCs w:val="24"/>
          <w:lang w:val="en-US" w:eastAsia="zh-CN"/>
        </w:rPr>
        <w:t>博物馆安保，中央水系维修保养，电梯维修保养，绿化修剪洒水养护，监控设备维修维护，电力设备维修维护，消防设备维修维护，化粪池清掏，低值易耗品等。</w:t>
      </w:r>
      <w:r>
        <w:rPr>
          <w:rFonts w:ascii="仿宋" w:hAnsi="仿宋" w:eastAsia="仿宋" w:cs="仿宋"/>
          <w:color w:val="auto"/>
          <w:spacing w:val="-33"/>
          <w:sz w:val="24"/>
          <w:szCs w:val="24"/>
        </w:rPr>
        <w:t>（详见招标</w:t>
      </w:r>
      <w:r>
        <w:rPr>
          <w:rFonts w:ascii="仿宋" w:hAnsi="仿宋" w:eastAsia="仿宋" w:cs="仿宋"/>
          <w:color w:val="auto"/>
          <w:spacing w:val="-34"/>
          <w:sz w:val="24"/>
          <w:szCs w:val="24"/>
        </w:rPr>
        <w:t>文件）</w:t>
      </w:r>
    </w:p>
    <w:p w14:paraId="4BCBF60F">
      <w:pPr>
        <w:spacing w:before="184" w:line="218" w:lineRule="auto"/>
        <w:ind w:left="461"/>
        <w:rPr>
          <w:rFonts w:ascii="仿宋" w:hAnsi="仿宋" w:eastAsia="仿宋" w:cs="仿宋"/>
          <w:color w:val="auto"/>
          <w:sz w:val="24"/>
          <w:szCs w:val="24"/>
        </w:rPr>
      </w:pPr>
      <w:r>
        <w:rPr>
          <w:rFonts w:ascii="仿宋" w:hAnsi="仿宋" w:eastAsia="仿宋" w:cs="仿宋"/>
          <w:color w:val="auto"/>
          <w:spacing w:val="-20"/>
          <w:sz w:val="24"/>
          <w:szCs w:val="24"/>
        </w:rPr>
        <w:t>2、采购包划分：本次采购共1个包。</w:t>
      </w:r>
    </w:p>
    <w:p w14:paraId="09C9CE1F">
      <w:pPr>
        <w:spacing w:before="182" w:line="215" w:lineRule="auto"/>
        <w:ind w:left="463"/>
        <w:rPr>
          <w:rFonts w:ascii="仿宋" w:hAnsi="仿宋" w:eastAsia="仿宋" w:cs="仿宋"/>
          <w:color w:val="auto"/>
          <w:sz w:val="24"/>
          <w:szCs w:val="24"/>
        </w:rPr>
      </w:pPr>
      <w:r>
        <w:rPr>
          <w:rFonts w:ascii="仿宋" w:hAnsi="仿宋" w:eastAsia="仿宋" w:cs="仿宋"/>
          <w:color w:val="auto"/>
          <w:spacing w:val="-29"/>
          <w:sz w:val="24"/>
          <w:szCs w:val="24"/>
        </w:rPr>
        <w:t>3、服务地点：采购人所在地，具体地点为采购人指定地点。</w:t>
      </w:r>
    </w:p>
    <w:p w14:paraId="0F70E098">
      <w:pPr>
        <w:spacing w:before="179" w:line="323" w:lineRule="auto"/>
        <w:ind w:left="46" w:right="35" w:firstLine="429"/>
        <w:rPr>
          <w:rFonts w:hint="eastAsia" w:ascii="仿宋" w:hAnsi="仿宋" w:eastAsia="仿宋" w:cs="仿宋"/>
          <w:color w:val="auto"/>
          <w:spacing w:val="-28"/>
          <w:sz w:val="24"/>
          <w:szCs w:val="24"/>
          <w:lang w:eastAsia="zh-CN"/>
        </w:rPr>
      </w:pPr>
      <w:r>
        <w:rPr>
          <w:rFonts w:ascii="仿宋" w:hAnsi="仿宋" w:eastAsia="仿宋" w:cs="仿宋"/>
          <w:color w:val="auto"/>
          <w:spacing w:val="-28"/>
          <w:sz w:val="24"/>
          <w:szCs w:val="24"/>
        </w:rPr>
        <w:t>4、服务期：</w:t>
      </w:r>
      <w:r>
        <w:rPr>
          <w:rFonts w:hint="eastAsia" w:ascii="仿宋" w:hAnsi="仿宋" w:eastAsia="仿宋" w:cs="仿宋"/>
          <w:color w:val="auto"/>
          <w:spacing w:val="-28"/>
          <w:sz w:val="24"/>
          <w:szCs w:val="24"/>
        </w:rPr>
        <w:t>本项目服务期为三年</w:t>
      </w:r>
      <w:r>
        <w:rPr>
          <w:rFonts w:hint="eastAsia" w:ascii="仿宋" w:hAnsi="仿宋" w:eastAsia="仿宋" w:cs="仿宋"/>
          <w:color w:val="auto"/>
          <w:spacing w:val="-28"/>
          <w:sz w:val="24"/>
          <w:szCs w:val="24"/>
          <w:lang w:val="en-US" w:eastAsia="zh-CN"/>
        </w:rPr>
        <w:t>（2026年9月至2029年8月）</w:t>
      </w:r>
      <w:r>
        <w:rPr>
          <w:rFonts w:hint="eastAsia" w:ascii="仿宋" w:hAnsi="仿宋" w:eastAsia="仿宋" w:cs="仿宋"/>
          <w:color w:val="auto"/>
          <w:spacing w:val="-28"/>
          <w:sz w:val="24"/>
          <w:szCs w:val="24"/>
        </w:rPr>
        <w:t>，合同采取一年一签的方式。首年合同期满后，可续签下一年度合同，每次续签一年，累计续签不超过两次。</w:t>
      </w:r>
    </w:p>
    <w:p w14:paraId="0D4143D8">
      <w:pPr>
        <w:spacing w:before="183" w:line="218" w:lineRule="auto"/>
        <w:ind w:left="474"/>
        <w:rPr>
          <w:rFonts w:ascii="仿宋" w:hAnsi="仿宋" w:eastAsia="仿宋" w:cs="仿宋"/>
          <w:color w:val="auto"/>
          <w:sz w:val="24"/>
          <w:szCs w:val="24"/>
        </w:rPr>
      </w:pPr>
      <w:r>
        <w:rPr>
          <w:rFonts w:ascii="仿宋" w:hAnsi="仿宋" w:eastAsia="仿宋" w:cs="仿宋"/>
          <w:b/>
          <w:bCs/>
          <w:color w:val="auto"/>
          <w:spacing w:val="-25"/>
          <w:sz w:val="24"/>
          <w:szCs w:val="24"/>
        </w:rPr>
        <w:t>二、服务内容及服务标准</w:t>
      </w:r>
    </w:p>
    <w:p w14:paraId="2BF7B204">
      <w:pPr>
        <w:spacing w:before="181" w:line="218" w:lineRule="auto"/>
        <w:ind w:left="466"/>
        <w:rPr>
          <w:rFonts w:ascii="仿宋" w:hAnsi="仿宋" w:eastAsia="仿宋" w:cs="仿宋"/>
          <w:color w:val="auto"/>
          <w:sz w:val="24"/>
          <w:szCs w:val="24"/>
        </w:rPr>
      </w:pPr>
      <w:r>
        <w:rPr>
          <w:rFonts w:ascii="仿宋" w:hAnsi="仿宋" w:eastAsia="仿宋" w:cs="仿宋"/>
          <w:b/>
          <w:bCs/>
          <w:color w:val="auto"/>
          <w:spacing w:val="-20"/>
          <w:sz w:val="24"/>
          <w:szCs w:val="24"/>
        </w:rPr>
        <w:t>（一）服务内容</w:t>
      </w:r>
    </w:p>
    <w:p w14:paraId="3302A47B">
      <w:pPr>
        <w:spacing w:before="197" w:line="217" w:lineRule="auto"/>
        <w:ind w:right="23"/>
        <w:jc w:val="right"/>
        <w:rPr>
          <w:rFonts w:ascii="仿宋" w:hAnsi="仿宋" w:eastAsia="仿宋" w:cs="仿宋"/>
          <w:color w:val="auto"/>
          <w:sz w:val="24"/>
          <w:szCs w:val="24"/>
        </w:rPr>
      </w:pPr>
      <w:r>
        <w:rPr>
          <w:rFonts w:ascii="仿宋" w:hAnsi="仿宋" w:eastAsia="仿宋" w:cs="仿宋"/>
          <w:color w:val="auto"/>
          <w:spacing w:val="-26"/>
          <w:sz w:val="24"/>
          <w:szCs w:val="24"/>
        </w:rPr>
        <w:t>物业服务面积</w:t>
      </w:r>
      <w:r>
        <w:rPr>
          <w:rFonts w:hint="eastAsia" w:ascii="仿宋" w:hAnsi="仿宋" w:eastAsia="仿宋" w:cs="仿宋"/>
          <w:color w:val="auto"/>
          <w:spacing w:val="-26"/>
          <w:sz w:val="24"/>
          <w:szCs w:val="24"/>
          <w:lang w:eastAsia="zh-CN"/>
        </w:rPr>
        <w:t>54497.88</w:t>
      </w:r>
      <w:r>
        <w:rPr>
          <w:rFonts w:ascii="仿宋" w:hAnsi="仿宋" w:eastAsia="仿宋" w:cs="仿宋"/>
          <w:color w:val="auto"/>
          <w:spacing w:val="-26"/>
          <w:sz w:val="24"/>
          <w:szCs w:val="24"/>
        </w:rPr>
        <w:t>平方米，其服务内容包括且不限于环境卫生、绿化养护、市政设施养护等。</w:t>
      </w:r>
    </w:p>
    <w:p w14:paraId="6836F1C5">
      <w:pPr>
        <w:spacing w:before="184" w:line="358" w:lineRule="auto"/>
        <w:ind w:left="75" w:right="100" w:firstLine="401"/>
        <w:rPr>
          <w:rFonts w:ascii="仿宋" w:hAnsi="仿宋" w:eastAsia="仿宋" w:cs="仿宋"/>
          <w:color w:val="auto"/>
          <w:sz w:val="24"/>
          <w:szCs w:val="24"/>
        </w:rPr>
      </w:pPr>
      <w:r>
        <w:rPr>
          <w:rFonts w:ascii="仿宋" w:hAnsi="仿宋" w:eastAsia="仿宋" w:cs="仿宋"/>
          <w:b/>
          <w:bCs/>
          <w:color w:val="auto"/>
          <w:spacing w:val="-32"/>
          <w:sz w:val="24"/>
          <w:szCs w:val="24"/>
        </w:rPr>
        <w:t>第一部分</w:t>
      </w:r>
      <w:r>
        <w:rPr>
          <w:rFonts w:ascii="仿宋" w:hAnsi="仿宋" w:eastAsia="仿宋" w:cs="仿宋"/>
          <w:color w:val="auto"/>
          <w:spacing w:val="-32"/>
          <w:sz w:val="24"/>
          <w:szCs w:val="24"/>
        </w:rPr>
        <w:t xml:space="preserve"> </w:t>
      </w:r>
      <w:r>
        <w:rPr>
          <w:rFonts w:ascii="仿宋" w:hAnsi="仿宋" w:eastAsia="仿宋" w:cs="仿宋"/>
          <w:b/>
          <w:bCs/>
          <w:color w:val="auto"/>
          <w:spacing w:val="-32"/>
          <w:sz w:val="24"/>
          <w:szCs w:val="24"/>
        </w:rPr>
        <w:t>环境卫生工作（文博艺术中心服务范围内室外场地、室内公共区域、道路等区域服务</w:t>
      </w:r>
      <w:r>
        <w:rPr>
          <w:rFonts w:ascii="仿宋" w:hAnsi="仿宋" w:eastAsia="仿宋" w:cs="仿宋"/>
          <w:color w:val="auto"/>
          <w:spacing w:val="14"/>
          <w:sz w:val="24"/>
          <w:szCs w:val="24"/>
        </w:rPr>
        <w:t xml:space="preserve"> </w:t>
      </w:r>
      <w:r>
        <w:rPr>
          <w:rFonts w:ascii="仿宋" w:hAnsi="仿宋" w:eastAsia="仿宋" w:cs="仿宋"/>
          <w:b/>
          <w:bCs/>
          <w:color w:val="auto"/>
          <w:spacing w:val="-25"/>
          <w:sz w:val="24"/>
          <w:szCs w:val="24"/>
        </w:rPr>
        <w:t>内容及服务标准）</w:t>
      </w:r>
    </w:p>
    <w:p w14:paraId="623936E4">
      <w:pPr>
        <w:spacing w:line="218" w:lineRule="auto"/>
        <w:ind w:left="476"/>
        <w:rPr>
          <w:rFonts w:ascii="仿宋" w:hAnsi="仿宋" w:eastAsia="仿宋" w:cs="仿宋"/>
          <w:color w:val="auto"/>
          <w:sz w:val="24"/>
          <w:szCs w:val="24"/>
        </w:rPr>
      </w:pPr>
      <w:r>
        <w:rPr>
          <w:rFonts w:ascii="仿宋" w:hAnsi="仿宋" w:eastAsia="仿宋" w:cs="仿宋"/>
          <w:color w:val="auto"/>
          <w:spacing w:val="-27"/>
          <w:sz w:val="24"/>
          <w:szCs w:val="24"/>
        </w:rPr>
        <w:t>1、服务范围</w:t>
      </w:r>
    </w:p>
    <w:p w14:paraId="18DAB58B">
      <w:pPr>
        <w:spacing w:before="182" w:line="215" w:lineRule="auto"/>
        <w:jc w:val="right"/>
        <w:rPr>
          <w:rFonts w:ascii="仿宋" w:hAnsi="仿宋" w:eastAsia="仿宋" w:cs="仿宋"/>
          <w:color w:val="auto"/>
          <w:sz w:val="24"/>
          <w:szCs w:val="24"/>
        </w:rPr>
      </w:pPr>
      <w:r>
        <w:rPr>
          <w:rFonts w:ascii="仿宋" w:hAnsi="仿宋" w:eastAsia="仿宋" w:cs="仿宋"/>
          <w:color w:val="auto"/>
          <w:spacing w:val="-35"/>
          <w:sz w:val="24"/>
          <w:szCs w:val="24"/>
        </w:rPr>
        <w:t>文博艺术中心服务范围内的室外场地、室内公共区域、道路、停车场地面和车位等物业管理区域。</w:t>
      </w:r>
    </w:p>
    <w:p w14:paraId="6F088DDC">
      <w:pPr>
        <w:spacing w:before="185" w:line="218" w:lineRule="auto"/>
        <w:ind w:left="461"/>
        <w:rPr>
          <w:rFonts w:ascii="仿宋" w:hAnsi="仿宋" w:eastAsia="仿宋" w:cs="仿宋"/>
          <w:color w:val="auto"/>
          <w:sz w:val="24"/>
          <w:szCs w:val="24"/>
        </w:rPr>
      </w:pPr>
      <w:r>
        <w:rPr>
          <w:rFonts w:ascii="仿宋" w:hAnsi="仿宋" w:eastAsia="仿宋" w:cs="仿宋"/>
          <w:color w:val="auto"/>
          <w:spacing w:val="-22"/>
          <w:sz w:val="24"/>
          <w:szCs w:val="24"/>
        </w:rPr>
        <w:t>2、服务标准</w:t>
      </w:r>
    </w:p>
    <w:p w14:paraId="262F2034">
      <w:pPr>
        <w:spacing w:before="182" w:line="216" w:lineRule="auto"/>
        <w:ind w:left="466"/>
        <w:rPr>
          <w:rFonts w:ascii="仿宋" w:hAnsi="仿宋" w:eastAsia="仿宋" w:cs="仿宋"/>
          <w:color w:val="auto"/>
          <w:sz w:val="24"/>
          <w:szCs w:val="24"/>
        </w:rPr>
      </w:pPr>
      <w:r>
        <w:rPr>
          <w:rFonts w:ascii="仿宋" w:hAnsi="仿宋" w:eastAsia="仿宋" w:cs="仿宋"/>
          <w:color w:val="auto"/>
          <w:spacing w:val="-29"/>
          <w:sz w:val="24"/>
          <w:szCs w:val="24"/>
        </w:rPr>
        <w:t>（1）建立环境卫生管理制度并认真落实，垃圾日产日清。</w:t>
      </w:r>
    </w:p>
    <w:p w14:paraId="0B102001">
      <w:pPr>
        <w:spacing w:before="185" w:line="217" w:lineRule="auto"/>
        <w:ind w:left="466"/>
        <w:rPr>
          <w:rFonts w:ascii="仿宋" w:hAnsi="仿宋" w:eastAsia="仿宋" w:cs="仿宋"/>
          <w:color w:val="auto"/>
          <w:sz w:val="24"/>
          <w:szCs w:val="24"/>
        </w:rPr>
      </w:pPr>
      <w:r>
        <w:rPr>
          <w:rFonts w:ascii="仿宋" w:hAnsi="仿宋" w:eastAsia="仿宋" w:cs="仿宋"/>
          <w:color w:val="auto"/>
          <w:spacing w:val="-29"/>
          <w:sz w:val="24"/>
          <w:szCs w:val="24"/>
        </w:rPr>
        <w:t>（2）室外场地、道路等保持清洁无积尘、积水，无纸屑、树叶、烟头等杂物。</w:t>
      </w:r>
    </w:p>
    <w:p w14:paraId="4ADCC793">
      <w:pPr>
        <w:spacing w:before="182" w:line="311" w:lineRule="auto"/>
        <w:ind w:left="50" w:right="99" w:firstLine="415"/>
        <w:rPr>
          <w:rFonts w:ascii="仿宋" w:hAnsi="仿宋" w:eastAsia="仿宋" w:cs="仿宋"/>
          <w:color w:val="auto"/>
          <w:sz w:val="24"/>
          <w:szCs w:val="24"/>
        </w:rPr>
      </w:pPr>
      <w:r>
        <w:rPr>
          <w:rFonts w:ascii="仿宋" w:hAnsi="仿宋" w:eastAsia="仿宋" w:cs="仿宋"/>
          <w:color w:val="auto"/>
          <w:spacing w:val="-29"/>
          <w:sz w:val="24"/>
          <w:szCs w:val="24"/>
        </w:rPr>
        <w:t>（3）楼梯、走道、大厅、卫生间等公共区域，保持地面</w:t>
      </w:r>
      <w:r>
        <w:rPr>
          <w:rFonts w:ascii="仿宋" w:hAnsi="仿宋" w:eastAsia="仿宋" w:cs="仿宋"/>
          <w:color w:val="auto"/>
          <w:spacing w:val="-30"/>
          <w:sz w:val="24"/>
          <w:szCs w:val="24"/>
        </w:rPr>
        <w:t>清洁无尘印、无积水，垃圾箱、纸篓及</w:t>
      </w:r>
      <w:r>
        <w:rPr>
          <w:rFonts w:ascii="仿宋" w:hAnsi="仿宋" w:eastAsia="仿宋" w:cs="仿宋"/>
          <w:color w:val="auto"/>
          <w:sz w:val="24"/>
          <w:szCs w:val="24"/>
        </w:rPr>
        <w:t xml:space="preserve"> </w:t>
      </w:r>
      <w:r>
        <w:rPr>
          <w:rFonts w:ascii="仿宋" w:hAnsi="仿宋" w:eastAsia="仿宋" w:cs="仿宋"/>
          <w:color w:val="auto"/>
          <w:spacing w:val="-32"/>
          <w:sz w:val="24"/>
          <w:szCs w:val="24"/>
        </w:rPr>
        <w:t>时清理，卫生间洗手台、大小便池保持清洁，公共区域门窗、设施表面无灰尘，室内公共区域墙、顶</w:t>
      </w:r>
      <w:r>
        <w:rPr>
          <w:rFonts w:ascii="仿宋" w:hAnsi="仿宋" w:eastAsia="仿宋" w:cs="仿宋"/>
          <w:color w:val="auto"/>
          <w:spacing w:val="7"/>
          <w:sz w:val="24"/>
          <w:szCs w:val="24"/>
        </w:rPr>
        <w:t xml:space="preserve"> </w:t>
      </w:r>
      <w:r>
        <w:rPr>
          <w:rFonts w:ascii="仿宋" w:hAnsi="仿宋" w:eastAsia="仿宋" w:cs="仿宋"/>
          <w:color w:val="auto"/>
          <w:spacing w:val="-29"/>
          <w:sz w:val="24"/>
          <w:szCs w:val="24"/>
        </w:rPr>
        <w:t>面无蜘蛛网、污渍等。</w:t>
      </w:r>
    </w:p>
    <w:p w14:paraId="5279985F">
      <w:pPr>
        <w:spacing w:before="186" w:line="287" w:lineRule="auto"/>
        <w:ind w:left="45" w:right="118" w:firstLine="421"/>
        <w:rPr>
          <w:rFonts w:ascii="仿宋" w:hAnsi="仿宋" w:eastAsia="仿宋" w:cs="仿宋"/>
          <w:color w:val="auto"/>
          <w:sz w:val="24"/>
          <w:szCs w:val="24"/>
        </w:rPr>
      </w:pPr>
      <w:r>
        <w:rPr>
          <w:rFonts w:ascii="仿宋" w:hAnsi="仿宋" w:eastAsia="仿宋" w:cs="仿宋"/>
          <w:color w:val="auto"/>
          <w:spacing w:val="-29"/>
          <w:sz w:val="24"/>
          <w:szCs w:val="24"/>
        </w:rPr>
        <w:t>（4）室内外金属护栏、把手、电梯轿厢等擦拭保养，确</w:t>
      </w:r>
      <w:r>
        <w:rPr>
          <w:rFonts w:ascii="仿宋" w:hAnsi="仿宋" w:eastAsia="仿宋" w:cs="仿宋"/>
          <w:color w:val="auto"/>
          <w:spacing w:val="-30"/>
          <w:sz w:val="24"/>
          <w:szCs w:val="24"/>
        </w:rPr>
        <w:t>保无锈迹、污渍、汗渍。电梯内外及电</w:t>
      </w:r>
      <w:r>
        <w:rPr>
          <w:rFonts w:ascii="仿宋" w:hAnsi="仿宋" w:eastAsia="仿宋" w:cs="仿宋"/>
          <w:color w:val="auto"/>
          <w:sz w:val="24"/>
          <w:szCs w:val="24"/>
        </w:rPr>
        <w:t xml:space="preserve"> </w:t>
      </w:r>
      <w:r>
        <w:rPr>
          <w:rFonts w:ascii="仿宋" w:hAnsi="仿宋" w:eastAsia="仿宋" w:cs="仿宋"/>
          <w:color w:val="auto"/>
          <w:spacing w:val="-29"/>
          <w:sz w:val="24"/>
          <w:szCs w:val="24"/>
        </w:rPr>
        <w:t>梯轿箱表面定期养护。</w:t>
      </w:r>
    </w:p>
    <w:p w14:paraId="2087DC9F">
      <w:pPr>
        <w:spacing w:before="184" w:line="218" w:lineRule="auto"/>
        <w:ind w:left="466"/>
        <w:rPr>
          <w:rFonts w:ascii="仿宋" w:hAnsi="仿宋" w:eastAsia="仿宋" w:cs="仿宋"/>
          <w:color w:val="auto"/>
          <w:sz w:val="24"/>
          <w:szCs w:val="24"/>
        </w:rPr>
      </w:pPr>
      <w:r>
        <w:rPr>
          <w:rFonts w:ascii="仿宋" w:hAnsi="仿宋" w:eastAsia="仿宋" w:cs="仿宋"/>
          <w:color w:val="auto"/>
          <w:spacing w:val="-29"/>
          <w:sz w:val="24"/>
          <w:szCs w:val="24"/>
        </w:rPr>
        <w:t>（5）室内外路灯、牌匾、宣传栏牢固、安全、美观、整洁，无乱贴乱画现象。</w:t>
      </w:r>
    </w:p>
    <w:p w14:paraId="3030D346">
      <w:pPr>
        <w:spacing w:before="181" w:line="217" w:lineRule="auto"/>
        <w:ind w:left="466"/>
        <w:rPr>
          <w:rFonts w:ascii="仿宋" w:hAnsi="仿宋" w:eastAsia="仿宋" w:cs="仿宋"/>
          <w:color w:val="auto"/>
          <w:sz w:val="24"/>
          <w:szCs w:val="24"/>
        </w:rPr>
      </w:pPr>
      <w:r>
        <w:rPr>
          <w:rFonts w:ascii="仿宋" w:hAnsi="仿宋" w:eastAsia="仿宋" w:cs="仿宋"/>
          <w:color w:val="auto"/>
          <w:spacing w:val="-29"/>
          <w:sz w:val="24"/>
          <w:szCs w:val="24"/>
        </w:rPr>
        <w:t>（6）公共区域玻璃门、窗、玻璃隔断应定期保洁，保持无污迹、灰尘。</w:t>
      </w:r>
    </w:p>
    <w:p w14:paraId="0A3DAC3C">
      <w:pPr>
        <w:spacing w:before="199" w:line="216" w:lineRule="auto"/>
        <w:ind w:left="466"/>
        <w:rPr>
          <w:rFonts w:ascii="仿宋" w:hAnsi="仿宋" w:eastAsia="仿宋" w:cs="仿宋"/>
          <w:color w:val="auto"/>
          <w:sz w:val="24"/>
          <w:szCs w:val="24"/>
        </w:rPr>
      </w:pPr>
      <w:r>
        <w:rPr>
          <w:rFonts w:ascii="仿宋" w:hAnsi="仿宋" w:eastAsia="仿宋" w:cs="仿宋"/>
          <w:color w:val="auto"/>
          <w:spacing w:val="-29"/>
          <w:sz w:val="24"/>
          <w:szCs w:val="24"/>
        </w:rPr>
        <w:t>（7）管道、设施表面清洁无积水、积尘、蜘蛛网。</w:t>
      </w:r>
    </w:p>
    <w:p w14:paraId="1EA9D2B6">
      <w:pPr>
        <w:spacing w:before="184" w:line="217" w:lineRule="auto"/>
        <w:ind w:left="476"/>
        <w:rPr>
          <w:rFonts w:ascii="仿宋" w:hAnsi="仿宋" w:eastAsia="仿宋" w:cs="仿宋"/>
          <w:color w:val="auto"/>
          <w:sz w:val="24"/>
          <w:szCs w:val="24"/>
        </w:rPr>
      </w:pPr>
      <w:r>
        <w:rPr>
          <w:rFonts w:ascii="仿宋" w:hAnsi="仿宋" w:eastAsia="仿宋" w:cs="仿宋"/>
          <w:b/>
          <w:bCs/>
          <w:color w:val="auto"/>
          <w:spacing w:val="-29"/>
          <w:sz w:val="24"/>
          <w:szCs w:val="24"/>
        </w:rPr>
        <w:t>第二部分</w:t>
      </w:r>
      <w:r>
        <w:rPr>
          <w:rFonts w:ascii="仿宋" w:hAnsi="仿宋" w:eastAsia="仿宋" w:cs="仿宋"/>
          <w:color w:val="auto"/>
          <w:spacing w:val="90"/>
          <w:sz w:val="24"/>
          <w:szCs w:val="24"/>
        </w:rPr>
        <w:t xml:space="preserve"> </w:t>
      </w:r>
      <w:r>
        <w:rPr>
          <w:rFonts w:ascii="仿宋" w:hAnsi="仿宋" w:eastAsia="仿宋" w:cs="仿宋"/>
          <w:b/>
          <w:bCs/>
          <w:color w:val="auto"/>
          <w:spacing w:val="-29"/>
          <w:sz w:val="24"/>
          <w:szCs w:val="24"/>
        </w:rPr>
        <w:t>绿化养护服务（文博艺术中心范围内绿化浇水、施肥、除草、病虫害防治等服务内</w:t>
      </w:r>
    </w:p>
    <w:p w14:paraId="21F52355">
      <w:pPr>
        <w:spacing w:line="217" w:lineRule="auto"/>
        <w:rPr>
          <w:rFonts w:ascii="仿宋" w:hAnsi="仿宋" w:eastAsia="仿宋" w:cs="仿宋"/>
          <w:color w:val="auto"/>
          <w:sz w:val="24"/>
          <w:szCs w:val="24"/>
        </w:rPr>
        <w:sectPr>
          <w:footerReference r:id="rId26" w:type="default"/>
          <w:pgSz w:w="11910" w:h="16845"/>
          <w:pgMar w:top="1047" w:right="1201" w:bottom="890" w:left="1397" w:header="649" w:footer="659" w:gutter="0"/>
          <w:pgNumType w:fmt="decimal"/>
          <w:cols w:space="720" w:num="1"/>
        </w:sectPr>
      </w:pPr>
    </w:p>
    <w:p w14:paraId="3F2AE975">
      <w:pPr>
        <w:pStyle w:val="3"/>
        <w:spacing w:line="422" w:lineRule="auto"/>
        <w:rPr>
          <w:color w:val="auto"/>
        </w:rPr>
      </w:pPr>
    </w:p>
    <w:p w14:paraId="07791215">
      <w:pPr>
        <w:spacing w:before="78" w:line="218" w:lineRule="auto"/>
        <w:ind w:left="48"/>
        <w:rPr>
          <w:rFonts w:ascii="仿宋" w:hAnsi="仿宋" w:eastAsia="仿宋" w:cs="仿宋"/>
          <w:color w:val="auto"/>
          <w:sz w:val="24"/>
          <w:szCs w:val="24"/>
        </w:rPr>
      </w:pPr>
      <w:r>
        <w:rPr>
          <w:rFonts w:ascii="仿宋" w:hAnsi="仿宋" w:eastAsia="仿宋" w:cs="仿宋"/>
          <w:b/>
          <w:bCs/>
          <w:color w:val="auto"/>
          <w:spacing w:val="-15"/>
          <w:sz w:val="24"/>
          <w:szCs w:val="24"/>
        </w:rPr>
        <w:t>容及标准）</w:t>
      </w:r>
    </w:p>
    <w:p w14:paraId="619D2957">
      <w:pPr>
        <w:spacing w:before="182" w:line="218" w:lineRule="auto"/>
        <w:ind w:left="476"/>
        <w:rPr>
          <w:rFonts w:ascii="仿宋" w:hAnsi="仿宋" w:eastAsia="仿宋" w:cs="仿宋"/>
          <w:color w:val="auto"/>
          <w:sz w:val="24"/>
          <w:szCs w:val="24"/>
        </w:rPr>
      </w:pPr>
      <w:r>
        <w:rPr>
          <w:rFonts w:ascii="仿宋" w:hAnsi="仿宋" w:eastAsia="仿宋" w:cs="仿宋"/>
          <w:color w:val="auto"/>
          <w:spacing w:val="-27"/>
          <w:sz w:val="24"/>
          <w:szCs w:val="24"/>
        </w:rPr>
        <w:t>1、服务范围</w:t>
      </w:r>
    </w:p>
    <w:p w14:paraId="21E0CC68">
      <w:pPr>
        <w:spacing w:before="181" w:line="358" w:lineRule="auto"/>
        <w:ind w:left="46" w:right="103" w:firstLine="426"/>
        <w:rPr>
          <w:rFonts w:ascii="仿宋" w:hAnsi="仿宋" w:eastAsia="仿宋" w:cs="仿宋"/>
          <w:color w:val="auto"/>
          <w:sz w:val="24"/>
          <w:szCs w:val="24"/>
        </w:rPr>
      </w:pPr>
      <w:r>
        <w:rPr>
          <w:rFonts w:ascii="仿宋" w:hAnsi="仿宋" w:eastAsia="仿宋" w:cs="仿宋"/>
          <w:color w:val="auto"/>
          <w:spacing w:val="-32"/>
          <w:sz w:val="24"/>
          <w:szCs w:val="24"/>
        </w:rPr>
        <w:t>负责做好楼内外绿植的浇水、施肥、除草、防虫害、补栽补种等养护日常工作。范围包括</w:t>
      </w:r>
      <w:r>
        <w:rPr>
          <w:rFonts w:ascii="仿宋" w:hAnsi="仿宋" w:eastAsia="仿宋" w:cs="仿宋"/>
          <w:color w:val="auto"/>
          <w:spacing w:val="-33"/>
          <w:sz w:val="24"/>
          <w:szCs w:val="24"/>
        </w:rPr>
        <w:t>楼内外</w:t>
      </w:r>
      <w:r>
        <w:rPr>
          <w:rFonts w:ascii="仿宋" w:hAnsi="仿宋" w:eastAsia="仿宋" w:cs="仿宋"/>
          <w:color w:val="auto"/>
          <w:sz w:val="24"/>
          <w:szCs w:val="24"/>
        </w:rPr>
        <w:t xml:space="preserve"> </w:t>
      </w:r>
      <w:r>
        <w:rPr>
          <w:rFonts w:ascii="仿宋" w:hAnsi="仿宋" w:eastAsia="仿宋" w:cs="仿宋"/>
          <w:color w:val="auto"/>
          <w:spacing w:val="-34"/>
          <w:sz w:val="24"/>
          <w:szCs w:val="24"/>
        </w:rPr>
        <w:t>所有绿植（除各单位办公室和餐厅内绿植以外）。</w:t>
      </w:r>
    </w:p>
    <w:p w14:paraId="1B3BCAAA">
      <w:pPr>
        <w:spacing w:line="218" w:lineRule="auto"/>
        <w:ind w:left="461"/>
        <w:rPr>
          <w:rFonts w:ascii="仿宋" w:hAnsi="仿宋" w:eastAsia="仿宋" w:cs="仿宋"/>
          <w:color w:val="auto"/>
          <w:sz w:val="24"/>
          <w:szCs w:val="24"/>
        </w:rPr>
      </w:pPr>
      <w:r>
        <w:rPr>
          <w:rFonts w:ascii="仿宋" w:hAnsi="仿宋" w:eastAsia="仿宋" w:cs="仿宋"/>
          <w:color w:val="auto"/>
          <w:spacing w:val="-22"/>
          <w:sz w:val="24"/>
          <w:szCs w:val="24"/>
        </w:rPr>
        <w:t>2、服务标准</w:t>
      </w:r>
    </w:p>
    <w:p w14:paraId="27F3740C">
      <w:pPr>
        <w:spacing w:before="182" w:line="215" w:lineRule="auto"/>
        <w:ind w:left="466"/>
        <w:rPr>
          <w:rFonts w:ascii="仿宋" w:hAnsi="仿宋" w:eastAsia="仿宋" w:cs="仿宋"/>
          <w:color w:val="auto"/>
          <w:sz w:val="24"/>
          <w:szCs w:val="24"/>
        </w:rPr>
      </w:pPr>
      <w:r>
        <w:rPr>
          <w:rFonts w:ascii="仿宋" w:hAnsi="仿宋" w:eastAsia="仿宋" w:cs="仿宋"/>
          <w:color w:val="auto"/>
          <w:spacing w:val="-27"/>
          <w:sz w:val="24"/>
          <w:szCs w:val="24"/>
        </w:rPr>
        <w:t>（1）室外绿地或花坛内各类乔、灌、草等绿化存活率达到90%,草坪常年保持平整</w:t>
      </w:r>
      <w:r>
        <w:rPr>
          <w:rFonts w:ascii="仿宋" w:hAnsi="仿宋" w:eastAsia="仿宋" w:cs="仿宋"/>
          <w:color w:val="auto"/>
          <w:spacing w:val="-28"/>
          <w:sz w:val="24"/>
          <w:szCs w:val="24"/>
        </w:rPr>
        <w:t>，边清晰；</w:t>
      </w:r>
    </w:p>
    <w:p w14:paraId="321D9F1E">
      <w:pPr>
        <w:spacing w:before="184" w:line="287" w:lineRule="auto"/>
        <w:ind w:left="46" w:right="117" w:firstLine="419"/>
        <w:rPr>
          <w:rFonts w:ascii="仿宋" w:hAnsi="仿宋" w:eastAsia="仿宋" w:cs="仿宋"/>
          <w:color w:val="auto"/>
          <w:sz w:val="24"/>
          <w:szCs w:val="24"/>
        </w:rPr>
      </w:pPr>
      <w:r>
        <w:rPr>
          <w:rFonts w:ascii="仿宋" w:hAnsi="仿宋" w:eastAsia="仿宋" w:cs="仿宋"/>
          <w:color w:val="auto"/>
          <w:spacing w:val="-29"/>
          <w:sz w:val="24"/>
          <w:szCs w:val="24"/>
        </w:rPr>
        <w:t>（2）乔、灌木以及攀援植物每年普修七次以上、切边整理</w:t>
      </w:r>
      <w:r>
        <w:rPr>
          <w:rFonts w:ascii="仿宋" w:hAnsi="仿宋" w:eastAsia="仿宋" w:cs="仿宋"/>
          <w:color w:val="auto"/>
          <w:spacing w:val="-30"/>
          <w:sz w:val="24"/>
          <w:szCs w:val="24"/>
        </w:rPr>
        <w:t>三次以上，各种植物生长茂盛，无枯</w:t>
      </w:r>
      <w:r>
        <w:rPr>
          <w:rFonts w:ascii="仿宋" w:hAnsi="仿宋" w:eastAsia="仿宋" w:cs="仿宋"/>
          <w:color w:val="auto"/>
          <w:sz w:val="24"/>
          <w:szCs w:val="24"/>
        </w:rPr>
        <w:t xml:space="preserve"> </w:t>
      </w:r>
      <w:r>
        <w:rPr>
          <w:rFonts w:ascii="仿宋" w:hAnsi="仿宋" w:eastAsia="仿宋" w:cs="仿宋"/>
          <w:color w:val="auto"/>
          <w:spacing w:val="-30"/>
          <w:sz w:val="24"/>
          <w:szCs w:val="24"/>
        </w:rPr>
        <w:t>枝、缺枝；</w:t>
      </w:r>
    </w:p>
    <w:p w14:paraId="4A361666">
      <w:pPr>
        <w:spacing w:before="186" w:line="287" w:lineRule="auto"/>
        <w:ind w:left="52" w:right="134" w:firstLine="413"/>
        <w:rPr>
          <w:rFonts w:ascii="仿宋" w:hAnsi="仿宋" w:eastAsia="仿宋" w:cs="仿宋"/>
          <w:color w:val="auto"/>
          <w:sz w:val="24"/>
          <w:szCs w:val="24"/>
        </w:rPr>
      </w:pPr>
      <w:r>
        <w:rPr>
          <w:rFonts w:ascii="仿宋" w:hAnsi="仿宋" w:eastAsia="仿宋" w:cs="仿宋"/>
          <w:color w:val="auto"/>
          <w:spacing w:val="-32"/>
          <w:sz w:val="24"/>
          <w:szCs w:val="24"/>
        </w:rPr>
        <w:t>（3）绿地无绿化生产垃圾（如树枝，树叶等</w:t>
      </w:r>
      <w:r>
        <w:rPr>
          <w:rFonts w:ascii="仿宋" w:hAnsi="仿宋" w:eastAsia="仿宋" w:cs="仿宋"/>
          <w:color w:val="auto"/>
          <w:spacing w:val="-58"/>
          <w:w w:val="87"/>
          <w:sz w:val="24"/>
          <w:szCs w:val="24"/>
        </w:rPr>
        <w:t>），</w:t>
      </w:r>
      <w:r>
        <w:rPr>
          <w:rFonts w:ascii="仿宋" w:hAnsi="仿宋" w:eastAsia="仿宋" w:cs="仿宋"/>
          <w:color w:val="auto"/>
          <w:spacing w:val="-32"/>
          <w:sz w:val="24"/>
          <w:szCs w:val="24"/>
        </w:rPr>
        <w:t>无积水，无干旱、无病虫、绿化充分，植物配置</w:t>
      </w:r>
      <w:r>
        <w:rPr>
          <w:rFonts w:ascii="仿宋" w:hAnsi="仿宋" w:eastAsia="仿宋" w:cs="仿宋"/>
          <w:color w:val="auto"/>
          <w:sz w:val="24"/>
          <w:szCs w:val="24"/>
        </w:rPr>
        <w:t xml:space="preserve"> </w:t>
      </w:r>
      <w:r>
        <w:rPr>
          <w:rFonts w:ascii="仿宋" w:hAnsi="仿宋" w:eastAsia="仿宋" w:cs="仿宋"/>
          <w:color w:val="auto"/>
          <w:spacing w:val="-29"/>
          <w:sz w:val="24"/>
          <w:szCs w:val="24"/>
        </w:rPr>
        <w:t>合理，无黄土裸露。</w:t>
      </w:r>
    </w:p>
    <w:p w14:paraId="69F6A912">
      <w:pPr>
        <w:spacing w:before="183" w:line="217" w:lineRule="auto"/>
        <w:ind w:left="463"/>
        <w:rPr>
          <w:rFonts w:ascii="仿宋" w:hAnsi="仿宋" w:eastAsia="仿宋" w:cs="仿宋"/>
          <w:color w:val="auto"/>
          <w:sz w:val="24"/>
          <w:szCs w:val="24"/>
        </w:rPr>
      </w:pPr>
      <w:r>
        <w:rPr>
          <w:rFonts w:ascii="仿宋" w:hAnsi="仿宋" w:eastAsia="仿宋" w:cs="仿宋"/>
          <w:color w:val="auto"/>
          <w:spacing w:val="-25"/>
          <w:sz w:val="24"/>
          <w:szCs w:val="24"/>
        </w:rPr>
        <w:t>3、物资配备要求</w:t>
      </w:r>
    </w:p>
    <w:p w14:paraId="2FF2C88F">
      <w:pPr>
        <w:spacing w:before="184" w:line="217" w:lineRule="auto"/>
        <w:ind w:left="466"/>
        <w:rPr>
          <w:rFonts w:ascii="仿宋" w:hAnsi="仿宋" w:eastAsia="仿宋" w:cs="仿宋"/>
          <w:color w:val="auto"/>
          <w:sz w:val="24"/>
          <w:szCs w:val="24"/>
        </w:rPr>
      </w:pPr>
      <w:r>
        <w:rPr>
          <w:rFonts w:ascii="仿宋" w:hAnsi="仿宋" w:eastAsia="仿宋" w:cs="仿宋"/>
          <w:color w:val="auto"/>
          <w:spacing w:val="-29"/>
          <w:sz w:val="24"/>
          <w:szCs w:val="24"/>
        </w:rPr>
        <w:t>（1）需提供绿化养护工人所需的劳动防护用品。</w:t>
      </w:r>
    </w:p>
    <w:p w14:paraId="212DC8F5">
      <w:pPr>
        <w:spacing w:before="185" w:line="287" w:lineRule="auto"/>
        <w:ind w:left="45" w:right="104" w:firstLine="420"/>
        <w:rPr>
          <w:rFonts w:ascii="仿宋" w:hAnsi="仿宋" w:eastAsia="仿宋" w:cs="仿宋"/>
          <w:color w:val="auto"/>
          <w:sz w:val="24"/>
          <w:szCs w:val="24"/>
        </w:rPr>
      </w:pPr>
      <w:r>
        <w:rPr>
          <w:rFonts w:ascii="仿宋" w:hAnsi="仿宋" w:eastAsia="仿宋" w:cs="仿宋"/>
          <w:color w:val="auto"/>
          <w:spacing w:val="-28"/>
          <w:sz w:val="24"/>
          <w:szCs w:val="24"/>
        </w:rPr>
        <w:t>（2）需提供满足绿化养护工作所用机械设备(如草坪机、</w:t>
      </w:r>
      <w:r>
        <w:rPr>
          <w:rFonts w:ascii="仿宋" w:hAnsi="仿宋" w:eastAsia="仿宋" w:cs="仿宋"/>
          <w:color w:val="auto"/>
          <w:spacing w:val="-29"/>
          <w:sz w:val="24"/>
          <w:szCs w:val="24"/>
        </w:rPr>
        <w:t>绿篱机、打药车等)及机械设备的日常</w:t>
      </w:r>
      <w:r>
        <w:rPr>
          <w:rFonts w:ascii="仿宋" w:hAnsi="仿宋" w:eastAsia="仿宋" w:cs="仿宋"/>
          <w:color w:val="auto"/>
          <w:sz w:val="24"/>
          <w:szCs w:val="24"/>
        </w:rPr>
        <w:t xml:space="preserve"> </w:t>
      </w:r>
      <w:r>
        <w:rPr>
          <w:rFonts w:ascii="仿宋" w:hAnsi="仿宋" w:eastAsia="仿宋" w:cs="仿宋"/>
          <w:color w:val="auto"/>
          <w:spacing w:val="-29"/>
          <w:sz w:val="24"/>
          <w:szCs w:val="24"/>
        </w:rPr>
        <w:t>养护、维修；其他绿化用具也由中标人自备。</w:t>
      </w:r>
    </w:p>
    <w:p w14:paraId="35282940">
      <w:pPr>
        <w:spacing w:before="183" w:line="364" w:lineRule="auto"/>
        <w:ind w:left="45" w:right="100" w:firstLine="430"/>
        <w:rPr>
          <w:rFonts w:ascii="仿宋" w:hAnsi="仿宋" w:eastAsia="仿宋" w:cs="仿宋"/>
          <w:color w:val="auto"/>
          <w:sz w:val="24"/>
          <w:szCs w:val="24"/>
        </w:rPr>
      </w:pPr>
      <w:r>
        <w:rPr>
          <w:rFonts w:ascii="仿宋" w:hAnsi="仿宋" w:eastAsia="仿宋" w:cs="仿宋"/>
          <w:b/>
          <w:bCs/>
          <w:color w:val="auto"/>
          <w:spacing w:val="-32"/>
          <w:sz w:val="24"/>
          <w:szCs w:val="24"/>
        </w:rPr>
        <w:t>第三部分</w:t>
      </w:r>
      <w:r>
        <w:rPr>
          <w:rFonts w:ascii="仿宋" w:hAnsi="仿宋" w:eastAsia="仿宋" w:cs="仿宋"/>
          <w:color w:val="auto"/>
          <w:spacing w:val="-32"/>
          <w:sz w:val="24"/>
          <w:szCs w:val="24"/>
        </w:rPr>
        <w:t xml:space="preserve"> </w:t>
      </w:r>
      <w:r>
        <w:rPr>
          <w:rFonts w:ascii="仿宋" w:hAnsi="仿宋" w:eastAsia="仿宋" w:cs="仿宋"/>
          <w:b/>
          <w:bCs/>
          <w:color w:val="auto"/>
          <w:spacing w:val="-32"/>
          <w:sz w:val="24"/>
          <w:szCs w:val="24"/>
        </w:rPr>
        <w:t>文博艺术中心范围内所有设备设施的正常运行、日常维修、房屋及路面石材的维修保</w:t>
      </w:r>
      <w:r>
        <w:rPr>
          <w:rFonts w:ascii="仿宋" w:hAnsi="仿宋" w:eastAsia="仿宋" w:cs="仿宋"/>
          <w:color w:val="auto"/>
          <w:spacing w:val="14"/>
          <w:sz w:val="24"/>
          <w:szCs w:val="24"/>
        </w:rPr>
        <w:t xml:space="preserve"> </w:t>
      </w:r>
      <w:r>
        <w:rPr>
          <w:rFonts w:ascii="仿宋" w:hAnsi="仿宋" w:eastAsia="仿宋" w:cs="仿宋"/>
          <w:b/>
          <w:bCs/>
          <w:color w:val="auto"/>
          <w:spacing w:val="-18"/>
          <w:sz w:val="24"/>
          <w:szCs w:val="24"/>
        </w:rPr>
        <w:t>养内容及要求</w:t>
      </w:r>
    </w:p>
    <w:p w14:paraId="02602069">
      <w:pPr>
        <w:spacing w:line="215" w:lineRule="auto"/>
        <w:ind w:left="476"/>
        <w:rPr>
          <w:rFonts w:ascii="仿宋" w:hAnsi="仿宋" w:eastAsia="仿宋" w:cs="仿宋"/>
          <w:color w:val="auto"/>
          <w:sz w:val="24"/>
          <w:szCs w:val="24"/>
        </w:rPr>
      </w:pPr>
      <w:r>
        <w:rPr>
          <w:rFonts w:ascii="仿宋" w:hAnsi="仿宋" w:eastAsia="仿宋" w:cs="仿宋"/>
          <w:color w:val="auto"/>
          <w:spacing w:val="-21"/>
          <w:sz w:val="24"/>
          <w:szCs w:val="24"/>
        </w:rPr>
        <w:t>1、设施设备完好率在90%以上，维修率100%。</w:t>
      </w:r>
    </w:p>
    <w:p w14:paraId="065749EA">
      <w:pPr>
        <w:spacing w:before="186" w:line="217" w:lineRule="auto"/>
        <w:ind w:left="461"/>
        <w:rPr>
          <w:rFonts w:ascii="仿宋" w:hAnsi="仿宋" w:eastAsia="仿宋" w:cs="仿宋"/>
          <w:color w:val="auto"/>
          <w:sz w:val="24"/>
          <w:szCs w:val="24"/>
        </w:rPr>
      </w:pPr>
      <w:r>
        <w:rPr>
          <w:rFonts w:ascii="仿宋" w:hAnsi="仿宋" w:eastAsia="仿宋" w:cs="仿宋"/>
          <w:color w:val="auto"/>
          <w:spacing w:val="-19"/>
          <w:sz w:val="24"/>
          <w:szCs w:val="24"/>
        </w:rPr>
        <w:t>2、路面完好率90%以上，维修率100%。</w:t>
      </w:r>
    </w:p>
    <w:p w14:paraId="2DE978F2">
      <w:pPr>
        <w:spacing w:before="183" w:line="288" w:lineRule="auto"/>
        <w:ind w:left="48" w:right="100" w:firstLine="414"/>
        <w:rPr>
          <w:rFonts w:ascii="仿宋" w:hAnsi="仿宋" w:eastAsia="仿宋" w:cs="仿宋"/>
          <w:color w:val="auto"/>
          <w:sz w:val="24"/>
          <w:szCs w:val="24"/>
        </w:rPr>
      </w:pPr>
      <w:r>
        <w:rPr>
          <w:rFonts w:ascii="仿宋" w:hAnsi="仿宋" w:eastAsia="仿宋" w:cs="仿宋"/>
          <w:color w:val="auto"/>
          <w:spacing w:val="-29"/>
          <w:sz w:val="24"/>
          <w:szCs w:val="24"/>
        </w:rPr>
        <w:t>3、定期检测亮化设施，有线路、灯泡老化及外观破损等现象及时更换。亮化照明根据情况保证</w:t>
      </w:r>
      <w:r>
        <w:rPr>
          <w:rFonts w:ascii="仿宋" w:hAnsi="仿宋" w:eastAsia="仿宋" w:cs="仿宋"/>
          <w:color w:val="auto"/>
          <w:spacing w:val="4"/>
          <w:sz w:val="24"/>
          <w:szCs w:val="24"/>
        </w:rPr>
        <w:t xml:space="preserve"> </w:t>
      </w:r>
      <w:r>
        <w:rPr>
          <w:rFonts w:ascii="仿宋" w:hAnsi="仿宋" w:eastAsia="仿宋" w:cs="仿宋"/>
          <w:color w:val="auto"/>
          <w:spacing w:val="-28"/>
          <w:sz w:val="24"/>
          <w:szCs w:val="24"/>
        </w:rPr>
        <w:t>正常开放。</w:t>
      </w:r>
    </w:p>
    <w:p w14:paraId="4EED7E8C">
      <w:pPr>
        <w:spacing w:before="182" w:line="217" w:lineRule="auto"/>
        <w:ind w:left="457"/>
        <w:rPr>
          <w:rFonts w:ascii="仿宋" w:hAnsi="仿宋" w:eastAsia="仿宋" w:cs="仿宋"/>
          <w:color w:val="auto"/>
          <w:sz w:val="24"/>
          <w:szCs w:val="24"/>
        </w:rPr>
      </w:pPr>
      <w:r>
        <w:rPr>
          <w:rFonts w:ascii="仿宋" w:hAnsi="仿宋" w:eastAsia="仿宋" w:cs="仿宋"/>
          <w:color w:val="auto"/>
          <w:spacing w:val="-19"/>
          <w:sz w:val="24"/>
          <w:szCs w:val="24"/>
        </w:rPr>
        <w:t>4、夜晚路灯照明率90%以上，维修率10</w:t>
      </w:r>
      <w:r>
        <w:rPr>
          <w:rFonts w:ascii="仿宋" w:hAnsi="仿宋" w:eastAsia="仿宋" w:cs="仿宋"/>
          <w:color w:val="auto"/>
          <w:spacing w:val="-20"/>
          <w:sz w:val="24"/>
          <w:szCs w:val="24"/>
        </w:rPr>
        <w:t>0%。</w:t>
      </w:r>
    </w:p>
    <w:p w14:paraId="73B00E73">
      <w:pPr>
        <w:spacing w:before="183" w:line="217" w:lineRule="auto"/>
        <w:jc w:val="right"/>
        <w:rPr>
          <w:rFonts w:ascii="仿宋" w:hAnsi="仿宋" w:eastAsia="仿宋" w:cs="仿宋"/>
          <w:color w:val="auto"/>
          <w:sz w:val="24"/>
          <w:szCs w:val="24"/>
        </w:rPr>
      </w:pPr>
      <w:r>
        <w:rPr>
          <w:rFonts w:ascii="仿宋" w:hAnsi="仿宋" w:eastAsia="仿宋" w:cs="仿宋"/>
          <w:color w:val="auto"/>
          <w:spacing w:val="-32"/>
          <w:sz w:val="24"/>
          <w:szCs w:val="24"/>
        </w:rPr>
        <w:t>5、人行道方砖、广场园区道路、台阶等表面平整、安砌牢固、纵横缝均匀、无空鼓、</w:t>
      </w:r>
      <w:r>
        <w:rPr>
          <w:rFonts w:ascii="仿宋" w:hAnsi="仿宋" w:eastAsia="仿宋" w:cs="仿宋"/>
          <w:color w:val="auto"/>
          <w:spacing w:val="-33"/>
          <w:sz w:val="24"/>
          <w:szCs w:val="24"/>
        </w:rPr>
        <w:t>纵横坡适。</w:t>
      </w:r>
    </w:p>
    <w:p w14:paraId="16A40DA6">
      <w:pPr>
        <w:spacing w:before="184" w:line="217" w:lineRule="auto"/>
        <w:ind w:left="460"/>
        <w:rPr>
          <w:rFonts w:ascii="仿宋" w:hAnsi="仿宋" w:eastAsia="仿宋" w:cs="仿宋"/>
          <w:color w:val="auto"/>
          <w:sz w:val="24"/>
          <w:szCs w:val="24"/>
        </w:rPr>
      </w:pPr>
      <w:r>
        <w:rPr>
          <w:rFonts w:ascii="仿宋" w:hAnsi="仿宋" w:eastAsia="仿宋" w:cs="仿宋"/>
          <w:color w:val="auto"/>
          <w:spacing w:val="-28"/>
          <w:sz w:val="24"/>
          <w:szCs w:val="24"/>
        </w:rPr>
        <w:t>6、道路、路沿石修补形状应规则，接头平顺，铺筑平整</w:t>
      </w:r>
      <w:r>
        <w:rPr>
          <w:rFonts w:ascii="仿宋" w:hAnsi="仿宋" w:eastAsia="仿宋" w:cs="仿宋"/>
          <w:color w:val="auto"/>
          <w:spacing w:val="-29"/>
          <w:sz w:val="24"/>
          <w:szCs w:val="24"/>
        </w:rPr>
        <w:t>、密实，</w:t>
      </w:r>
      <w:r>
        <w:rPr>
          <w:rFonts w:ascii="仿宋" w:hAnsi="仿宋" w:eastAsia="仿宋" w:cs="仿宋"/>
          <w:color w:val="auto"/>
          <w:spacing w:val="-61"/>
          <w:sz w:val="24"/>
          <w:szCs w:val="24"/>
        </w:rPr>
        <w:t xml:space="preserve"> </w:t>
      </w:r>
      <w:r>
        <w:rPr>
          <w:rFonts w:ascii="仿宋" w:hAnsi="仿宋" w:eastAsia="仿宋" w:cs="仿宋"/>
          <w:color w:val="auto"/>
          <w:spacing w:val="-29"/>
          <w:sz w:val="24"/>
          <w:szCs w:val="24"/>
        </w:rPr>
        <w:t>纵横坡适中。</w:t>
      </w:r>
    </w:p>
    <w:p w14:paraId="240D776B">
      <w:pPr>
        <w:spacing w:before="184" w:line="287" w:lineRule="auto"/>
        <w:ind w:left="51" w:right="37" w:firstLine="413"/>
        <w:rPr>
          <w:rFonts w:ascii="仿宋" w:hAnsi="仿宋" w:eastAsia="仿宋" w:cs="仿宋"/>
          <w:color w:val="auto"/>
          <w:sz w:val="24"/>
          <w:szCs w:val="24"/>
        </w:rPr>
      </w:pPr>
      <w:r>
        <w:rPr>
          <w:rFonts w:ascii="仿宋" w:hAnsi="仿宋" w:eastAsia="仿宋" w:cs="仿宋"/>
          <w:color w:val="auto"/>
          <w:spacing w:val="-34"/>
          <w:sz w:val="24"/>
          <w:szCs w:val="24"/>
        </w:rPr>
        <w:t>7、安全防护网、园路、桌椅、井盖、健身器材、宣</w:t>
      </w:r>
      <w:r>
        <w:rPr>
          <w:rFonts w:ascii="仿宋" w:hAnsi="仿宋" w:eastAsia="仿宋" w:cs="仿宋"/>
          <w:color w:val="auto"/>
          <w:spacing w:val="-35"/>
          <w:sz w:val="24"/>
          <w:szCs w:val="24"/>
        </w:rPr>
        <w:t>传标示牌等设</w:t>
      </w:r>
      <w:r>
        <w:rPr>
          <w:rFonts w:ascii="仿宋" w:hAnsi="仿宋" w:eastAsia="仿宋" w:cs="仿宋"/>
          <w:color w:val="auto"/>
          <w:spacing w:val="-31"/>
          <w:sz w:val="24"/>
          <w:szCs w:val="24"/>
        </w:rPr>
        <w:t xml:space="preserve"> </w:t>
      </w:r>
      <w:r>
        <w:rPr>
          <w:rFonts w:ascii="仿宋" w:hAnsi="仿宋" w:eastAsia="仿宋" w:cs="仿宋"/>
          <w:color w:val="auto"/>
          <w:spacing w:val="-35"/>
          <w:sz w:val="24"/>
          <w:szCs w:val="24"/>
        </w:rPr>
        <w:t>施保持良好，若有松动、脱落、</w:t>
      </w:r>
      <w:r>
        <w:rPr>
          <w:rFonts w:ascii="仿宋" w:hAnsi="仿宋" w:eastAsia="仿宋" w:cs="仿宋"/>
          <w:color w:val="auto"/>
          <w:sz w:val="24"/>
          <w:szCs w:val="24"/>
        </w:rPr>
        <w:t xml:space="preserve"> </w:t>
      </w:r>
      <w:r>
        <w:rPr>
          <w:rFonts w:ascii="仿宋" w:hAnsi="仿宋" w:eastAsia="仿宋" w:cs="仿宋"/>
          <w:color w:val="auto"/>
          <w:spacing w:val="-30"/>
          <w:sz w:val="24"/>
          <w:szCs w:val="24"/>
        </w:rPr>
        <w:t>腐锈等各种损坏情况，应及时修复。</w:t>
      </w:r>
    </w:p>
    <w:p w14:paraId="6A1AF9C0">
      <w:pPr>
        <w:spacing w:before="183" w:line="288" w:lineRule="auto"/>
        <w:ind w:left="45" w:right="143" w:firstLine="414"/>
        <w:rPr>
          <w:rFonts w:ascii="仿宋" w:hAnsi="仿宋" w:eastAsia="仿宋" w:cs="仿宋"/>
          <w:color w:val="auto"/>
          <w:sz w:val="24"/>
          <w:szCs w:val="24"/>
        </w:rPr>
      </w:pPr>
      <w:r>
        <w:rPr>
          <w:rFonts w:ascii="仿宋" w:hAnsi="仿宋" w:eastAsia="仿宋" w:cs="仿宋"/>
          <w:color w:val="auto"/>
          <w:spacing w:val="-30"/>
          <w:sz w:val="24"/>
          <w:szCs w:val="24"/>
        </w:rPr>
        <w:t>8、栏杆、座椅等设施应每年油漆一次。栏杆无脱焊，阴阳角方正，块件要顺直，油漆无漏刷、</w:t>
      </w:r>
      <w:r>
        <w:rPr>
          <w:rFonts w:ascii="仿宋" w:hAnsi="仿宋" w:eastAsia="仿宋" w:cs="仿宋"/>
          <w:color w:val="auto"/>
          <w:spacing w:val="6"/>
          <w:sz w:val="24"/>
          <w:szCs w:val="24"/>
        </w:rPr>
        <w:t xml:space="preserve"> </w:t>
      </w:r>
      <w:r>
        <w:rPr>
          <w:rFonts w:ascii="仿宋" w:hAnsi="仿宋" w:eastAsia="仿宋" w:cs="仿宋"/>
          <w:color w:val="auto"/>
          <w:spacing w:val="-29"/>
          <w:sz w:val="24"/>
          <w:szCs w:val="24"/>
        </w:rPr>
        <w:t>脱皮、斑驳，颜色一致，平整光滑。</w:t>
      </w:r>
    </w:p>
    <w:p w14:paraId="2271F82A">
      <w:pPr>
        <w:spacing w:before="183" w:line="288" w:lineRule="auto"/>
        <w:ind w:left="47" w:right="114" w:firstLine="412"/>
        <w:rPr>
          <w:rFonts w:ascii="仿宋" w:hAnsi="仿宋" w:eastAsia="仿宋" w:cs="仿宋"/>
          <w:color w:val="auto"/>
          <w:sz w:val="24"/>
          <w:szCs w:val="24"/>
        </w:rPr>
      </w:pPr>
      <w:r>
        <w:rPr>
          <w:rFonts w:ascii="仿宋" w:hAnsi="仿宋" w:eastAsia="仿宋" w:cs="仿宋"/>
          <w:color w:val="auto"/>
          <w:spacing w:val="-29"/>
          <w:sz w:val="24"/>
          <w:szCs w:val="24"/>
        </w:rPr>
        <w:t>9、井座、井圈、井盖安放平稳，顶面与周围地面适宜，路面不积水。污水管道</w:t>
      </w:r>
      <w:r>
        <w:rPr>
          <w:rFonts w:ascii="仿宋" w:hAnsi="仿宋" w:eastAsia="仿宋" w:cs="仿宋"/>
          <w:color w:val="auto"/>
          <w:spacing w:val="-30"/>
          <w:sz w:val="24"/>
          <w:szCs w:val="24"/>
        </w:rPr>
        <w:t>、污水井如有堵</w:t>
      </w:r>
      <w:r>
        <w:rPr>
          <w:rFonts w:ascii="仿宋" w:hAnsi="仿宋" w:eastAsia="仿宋" w:cs="仿宋"/>
          <w:color w:val="auto"/>
          <w:sz w:val="24"/>
          <w:szCs w:val="24"/>
        </w:rPr>
        <w:t xml:space="preserve"> </w:t>
      </w:r>
      <w:r>
        <w:rPr>
          <w:rFonts w:ascii="仿宋" w:hAnsi="仿宋" w:eastAsia="仿宋" w:cs="仿宋"/>
          <w:color w:val="auto"/>
          <w:spacing w:val="-29"/>
          <w:sz w:val="24"/>
          <w:szCs w:val="24"/>
        </w:rPr>
        <w:t>塞现象应派专业人员立即疏通。</w:t>
      </w:r>
    </w:p>
    <w:p w14:paraId="738646CD">
      <w:pPr>
        <w:spacing w:before="182" w:line="215" w:lineRule="auto"/>
        <w:ind w:left="476"/>
        <w:rPr>
          <w:rFonts w:ascii="仿宋" w:hAnsi="仿宋" w:eastAsia="仿宋" w:cs="仿宋"/>
          <w:color w:val="auto"/>
          <w:sz w:val="24"/>
          <w:szCs w:val="24"/>
        </w:rPr>
      </w:pPr>
      <w:r>
        <w:rPr>
          <w:rFonts w:ascii="仿宋" w:hAnsi="仿宋" w:eastAsia="仿宋" w:cs="仿宋"/>
          <w:color w:val="auto"/>
          <w:spacing w:val="-29"/>
          <w:sz w:val="24"/>
          <w:szCs w:val="24"/>
        </w:rPr>
        <w:t>10、定期检查水源、电缆线路是否存在隐患，设置警示标志，保持设施处于良好状态。</w:t>
      </w:r>
    </w:p>
    <w:p w14:paraId="61A6E120">
      <w:pPr>
        <w:spacing w:line="215" w:lineRule="auto"/>
        <w:rPr>
          <w:rFonts w:ascii="仿宋" w:hAnsi="仿宋" w:eastAsia="仿宋" w:cs="仿宋"/>
          <w:color w:val="auto"/>
          <w:sz w:val="24"/>
          <w:szCs w:val="24"/>
        </w:rPr>
        <w:sectPr>
          <w:footerReference r:id="rId27" w:type="default"/>
          <w:pgSz w:w="11910" w:h="16845"/>
          <w:pgMar w:top="1047" w:right="1201" w:bottom="890" w:left="1397" w:header="649" w:footer="659" w:gutter="0"/>
          <w:pgNumType w:fmt="decimal"/>
          <w:cols w:space="720" w:num="1"/>
        </w:sectPr>
      </w:pPr>
    </w:p>
    <w:p w14:paraId="6FA51F1C">
      <w:pPr>
        <w:pStyle w:val="3"/>
        <w:spacing w:line="421" w:lineRule="auto"/>
        <w:rPr>
          <w:color w:val="auto"/>
        </w:rPr>
      </w:pPr>
    </w:p>
    <w:p w14:paraId="21FFDC5E">
      <w:pPr>
        <w:spacing w:before="78" w:line="217" w:lineRule="auto"/>
        <w:ind w:left="476"/>
        <w:rPr>
          <w:rFonts w:ascii="仿宋" w:hAnsi="仿宋" w:eastAsia="仿宋" w:cs="仿宋"/>
          <w:color w:val="auto"/>
          <w:sz w:val="24"/>
          <w:szCs w:val="24"/>
        </w:rPr>
      </w:pPr>
      <w:r>
        <w:rPr>
          <w:rFonts w:ascii="仿宋" w:hAnsi="仿宋" w:eastAsia="仿宋" w:cs="仿宋"/>
          <w:color w:val="auto"/>
          <w:spacing w:val="-28"/>
          <w:sz w:val="24"/>
          <w:szCs w:val="24"/>
        </w:rPr>
        <w:t>11、地面单处损毁处应正常维护及修缮。</w:t>
      </w:r>
    </w:p>
    <w:p w14:paraId="457F4CE2">
      <w:pPr>
        <w:spacing w:before="183" w:line="216" w:lineRule="auto"/>
        <w:ind w:left="476"/>
        <w:rPr>
          <w:rFonts w:ascii="仿宋" w:hAnsi="仿宋" w:eastAsia="仿宋" w:cs="仿宋"/>
          <w:color w:val="auto"/>
          <w:sz w:val="24"/>
          <w:szCs w:val="24"/>
        </w:rPr>
      </w:pPr>
      <w:r>
        <w:rPr>
          <w:rFonts w:ascii="仿宋" w:hAnsi="仿宋" w:eastAsia="仿宋" w:cs="仿宋"/>
          <w:color w:val="auto"/>
          <w:spacing w:val="-29"/>
          <w:sz w:val="24"/>
          <w:szCs w:val="24"/>
        </w:rPr>
        <w:t>12、严格按照规定、规程作业，每天组织工作人员</w:t>
      </w:r>
      <w:r>
        <w:rPr>
          <w:rFonts w:hint="eastAsia" w:ascii="仿宋" w:hAnsi="仿宋" w:eastAsia="仿宋" w:cs="仿宋"/>
          <w:color w:val="auto"/>
          <w:spacing w:val="-29"/>
          <w:sz w:val="24"/>
          <w:szCs w:val="24"/>
          <w:lang w:eastAsia="zh-CN"/>
        </w:rPr>
        <w:t>巡查</w:t>
      </w:r>
      <w:r>
        <w:rPr>
          <w:rFonts w:ascii="仿宋" w:hAnsi="仿宋" w:eastAsia="仿宋" w:cs="仿宋"/>
          <w:color w:val="auto"/>
          <w:spacing w:val="-29"/>
          <w:sz w:val="24"/>
          <w:szCs w:val="24"/>
        </w:rPr>
        <w:t>，发现安全隐患及时排除。</w:t>
      </w:r>
    </w:p>
    <w:p w14:paraId="4BA25D10">
      <w:pPr>
        <w:spacing w:before="184" w:line="216" w:lineRule="auto"/>
        <w:ind w:left="266"/>
        <w:rPr>
          <w:rFonts w:ascii="仿宋" w:hAnsi="仿宋" w:eastAsia="仿宋" w:cs="仿宋"/>
          <w:color w:val="auto"/>
          <w:sz w:val="24"/>
          <w:szCs w:val="24"/>
        </w:rPr>
      </w:pPr>
      <w:r>
        <w:rPr>
          <w:rFonts w:ascii="仿宋" w:hAnsi="仿宋" w:eastAsia="仿宋" w:cs="仿宋"/>
          <w:b/>
          <w:bCs/>
          <w:color w:val="auto"/>
          <w:spacing w:val="-28"/>
          <w:sz w:val="24"/>
          <w:szCs w:val="24"/>
        </w:rPr>
        <w:t>第四部分</w:t>
      </w:r>
      <w:r>
        <w:rPr>
          <w:rFonts w:ascii="仿宋" w:hAnsi="仿宋" w:eastAsia="仿宋" w:cs="仿宋"/>
          <w:color w:val="auto"/>
          <w:spacing w:val="61"/>
          <w:sz w:val="24"/>
          <w:szCs w:val="24"/>
        </w:rPr>
        <w:t xml:space="preserve"> </w:t>
      </w:r>
      <w:r>
        <w:rPr>
          <w:rFonts w:ascii="仿宋" w:hAnsi="仿宋" w:eastAsia="仿宋" w:cs="仿宋"/>
          <w:b/>
          <w:bCs/>
          <w:color w:val="auto"/>
          <w:spacing w:val="-28"/>
          <w:sz w:val="24"/>
          <w:szCs w:val="24"/>
        </w:rPr>
        <w:t>文博艺术中心范围内的公共秩序维护与安全</w:t>
      </w:r>
      <w:r>
        <w:rPr>
          <w:rFonts w:ascii="仿宋" w:hAnsi="仿宋" w:eastAsia="仿宋" w:cs="仿宋"/>
          <w:b/>
          <w:bCs/>
          <w:color w:val="auto"/>
          <w:spacing w:val="-29"/>
          <w:sz w:val="24"/>
          <w:szCs w:val="24"/>
        </w:rPr>
        <w:t>消防工作</w:t>
      </w:r>
    </w:p>
    <w:p w14:paraId="78B8FF1D">
      <w:pPr>
        <w:spacing w:before="185" w:line="218" w:lineRule="auto"/>
        <w:ind w:left="476"/>
        <w:rPr>
          <w:rFonts w:ascii="仿宋" w:hAnsi="仿宋" w:eastAsia="仿宋" w:cs="仿宋"/>
          <w:color w:val="auto"/>
          <w:sz w:val="24"/>
          <w:szCs w:val="24"/>
        </w:rPr>
      </w:pPr>
      <w:r>
        <w:rPr>
          <w:rFonts w:ascii="仿宋" w:hAnsi="仿宋" w:eastAsia="仿宋" w:cs="仿宋"/>
          <w:color w:val="auto"/>
          <w:spacing w:val="-27"/>
          <w:sz w:val="24"/>
          <w:szCs w:val="24"/>
        </w:rPr>
        <w:t>1、服务范围</w:t>
      </w:r>
    </w:p>
    <w:p w14:paraId="469BC07E">
      <w:pPr>
        <w:spacing w:before="182" w:line="358" w:lineRule="auto"/>
        <w:ind w:left="45" w:right="97" w:firstLine="427"/>
        <w:rPr>
          <w:rFonts w:ascii="仿宋" w:hAnsi="仿宋" w:eastAsia="仿宋" w:cs="仿宋"/>
          <w:color w:val="auto"/>
          <w:sz w:val="24"/>
          <w:szCs w:val="24"/>
        </w:rPr>
      </w:pPr>
      <w:r>
        <w:rPr>
          <w:rFonts w:ascii="仿宋" w:hAnsi="仿宋" w:eastAsia="仿宋" w:cs="仿宋"/>
          <w:color w:val="auto"/>
          <w:spacing w:val="-29"/>
          <w:sz w:val="24"/>
          <w:szCs w:val="24"/>
        </w:rPr>
        <w:t>负责管理区域内的公共秩序维护，对文博艺术中</w:t>
      </w:r>
      <w:r>
        <w:rPr>
          <w:rFonts w:ascii="仿宋" w:hAnsi="仿宋" w:eastAsia="仿宋" w:cs="仿宋"/>
          <w:color w:val="auto"/>
          <w:spacing w:val="-30"/>
          <w:sz w:val="24"/>
          <w:szCs w:val="24"/>
        </w:rPr>
        <w:t>心实行</w:t>
      </w:r>
      <w:r>
        <w:rPr>
          <w:rFonts w:ascii="仿宋" w:hAnsi="仿宋" w:eastAsia="仿宋" w:cs="仿宋"/>
          <w:color w:val="auto"/>
          <w:spacing w:val="-65"/>
          <w:sz w:val="24"/>
          <w:szCs w:val="24"/>
        </w:rPr>
        <w:t xml:space="preserve"> </w:t>
      </w:r>
      <w:r>
        <w:rPr>
          <w:rFonts w:ascii="仿宋" w:hAnsi="仿宋" w:eastAsia="仿宋" w:cs="仿宋"/>
          <w:color w:val="auto"/>
          <w:spacing w:val="-30"/>
          <w:sz w:val="24"/>
          <w:szCs w:val="24"/>
        </w:rPr>
        <w:t>24</w:t>
      </w:r>
      <w:r>
        <w:rPr>
          <w:rFonts w:ascii="仿宋" w:hAnsi="仿宋" w:eastAsia="仿宋" w:cs="仿宋"/>
          <w:color w:val="auto"/>
          <w:spacing w:val="-45"/>
          <w:sz w:val="24"/>
          <w:szCs w:val="24"/>
        </w:rPr>
        <w:t xml:space="preserve"> </w:t>
      </w:r>
      <w:r>
        <w:rPr>
          <w:rFonts w:ascii="仿宋" w:hAnsi="仿宋" w:eastAsia="仿宋" w:cs="仿宋"/>
          <w:color w:val="auto"/>
          <w:spacing w:val="-30"/>
          <w:sz w:val="24"/>
          <w:szCs w:val="24"/>
        </w:rPr>
        <w:t>小时监控值班，发现可疑迹象，及时</w:t>
      </w:r>
      <w:r>
        <w:rPr>
          <w:rFonts w:ascii="仿宋" w:hAnsi="仿宋" w:eastAsia="仿宋" w:cs="仿宋"/>
          <w:color w:val="auto"/>
          <w:sz w:val="24"/>
          <w:szCs w:val="24"/>
        </w:rPr>
        <w:t xml:space="preserve"> </w:t>
      </w:r>
      <w:r>
        <w:rPr>
          <w:rFonts w:ascii="仿宋" w:hAnsi="仿宋" w:eastAsia="仿宋" w:cs="仿宋"/>
          <w:color w:val="auto"/>
          <w:spacing w:val="-32"/>
          <w:sz w:val="24"/>
          <w:szCs w:val="24"/>
        </w:rPr>
        <w:t>处理，力争把问题处理在萌芽状态。负责区域内的全部消防设施、设备的使用管理及大楼火灾的报警</w:t>
      </w:r>
      <w:r>
        <w:rPr>
          <w:rFonts w:ascii="仿宋" w:hAnsi="仿宋" w:eastAsia="仿宋" w:cs="仿宋"/>
          <w:color w:val="auto"/>
          <w:spacing w:val="14"/>
          <w:sz w:val="24"/>
          <w:szCs w:val="24"/>
        </w:rPr>
        <w:t xml:space="preserve"> </w:t>
      </w:r>
      <w:r>
        <w:rPr>
          <w:rFonts w:ascii="仿宋" w:hAnsi="仿宋" w:eastAsia="仿宋" w:cs="仿宋"/>
          <w:color w:val="auto"/>
          <w:spacing w:val="-32"/>
          <w:sz w:val="24"/>
          <w:szCs w:val="24"/>
        </w:rPr>
        <w:t>和救助工作。负责停车管理及其他安全保卫工作。制定完善日常安全保卫工作方案和消防及其他突发</w:t>
      </w:r>
      <w:r>
        <w:rPr>
          <w:rFonts w:ascii="仿宋" w:hAnsi="仿宋" w:eastAsia="仿宋" w:cs="仿宋"/>
          <w:color w:val="auto"/>
          <w:spacing w:val="14"/>
          <w:sz w:val="24"/>
          <w:szCs w:val="24"/>
        </w:rPr>
        <w:t xml:space="preserve"> </w:t>
      </w:r>
      <w:r>
        <w:rPr>
          <w:rFonts w:ascii="仿宋" w:hAnsi="仿宋" w:eastAsia="仿宋" w:cs="仿宋"/>
          <w:color w:val="auto"/>
          <w:spacing w:val="-28"/>
          <w:sz w:val="24"/>
          <w:szCs w:val="24"/>
        </w:rPr>
        <w:t>事件应急预案。</w:t>
      </w:r>
    </w:p>
    <w:p w14:paraId="5EDFACD9">
      <w:pPr>
        <w:spacing w:line="218" w:lineRule="auto"/>
        <w:ind w:left="461"/>
        <w:rPr>
          <w:rFonts w:ascii="仿宋" w:hAnsi="仿宋" w:eastAsia="仿宋" w:cs="仿宋"/>
          <w:color w:val="auto"/>
          <w:sz w:val="24"/>
          <w:szCs w:val="24"/>
        </w:rPr>
      </w:pPr>
      <w:r>
        <w:rPr>
          <w:rFonts w:ascii="仿宋" w:hAnsi="仿宋" w:eastAsia="仿宋" w:cs="仿宋"/>
          <w:color w:val="auto"/>
          <w:spacing w:val="-22"/>
          <w:sz w:val="24"/>
          <w:szCs w:val="24"/>
        </w:rPr>
        <w:t>2、服务标准</w:t>
      </w:r>
    </w:p>
    <w:p w14:paraId="3F035898">
      <w:pPr>
        <w:spacing w:before="181" w:line="215" w:lineRule="auto"/>
        <w:ind w:left="466"/>
        <w:rPr>
          <w:rFonts w:ascii="仿宋" w:hAnsi="仿宋" w:eastAsia="仿宋" w:cs="仿宋"/>
          <w:color w:val="auto"/>
          <w:sz w:val="24"/>
          <w:szCs w:val="24"/>
        </w:rPr>
      </w:pPr>
      <w:r>
        <w:rPr>
          <w:rFonts w:ascii="仿宋" w:hAnsi="仿宋" w:eastAsia="仿宋" w:cs="仿宋"/>
          <w:color w:val="auto"/>
          <w:spacing w:val="-30"/>
          <w:sz w:val="24"/>
          <w:szCs w:val="24"/>
        </w:rPr>
        <w:t>（1）做好来访接待登记工作。做好外来人员、车辆的出入登记和指引；</w:t>
      </w:r>
    </w:p>
    <w:p w14:paraId="415BA855">
      <w:pPr>
        <w:spacing w:before="187" w:line="287" w:lineRule="auto"/>
        <w:ind w:left="45" w:right="43" w:firstLine="420"/>
        <w:rPr>
          <w:rFonts w:ascii="仿宋" w:hAnsi="仿宋" w:eastAsia="仿宋" w:cs="仿宋"/>
          <w:color w:val="auto"/>
          <w:sz w:val="24"/>
          <w:szCs w:val="24"/>
        </w:rPr>
      </w:pPr>
      <w:r>
        <w:rPr>
          <w:rFonts w:ascii="仿宋" w:hAnsi="仿宋" w:eastAsia="仿宋" w:cs="仿宋"/>
          <w:color w:val="auto"/>
          <w:spacing w:val="-32"/>
          <w:sz w:val="24"/>
          <w:szCs w:val="24"/>
        </w:rPr>
        <w:t>（2）严格控制违禁品和违反装修管理规定</w:t>
      </w:r>
      <w:r>
        <w:rPr>
          <w:rFonts w:ascii="仿宋" w:hAnsi="仿宋" w:eastAsia="仿宋" w:cs="仿宋"/>
          <w:color w:val="auto"/>
          <w:spacing w:val="-33"/>
          <w:sz w:val="24"/>
          <w:szCs w:val="24"/>
        </w:rPr>
        <w:t>的工具、材料进入项目；对出入项目人员搬运的物品，</w:t>
      </w:r>
      <w:r>
        <w:rPr>
          <w:rFonts w:ascii="仿宋" w:hAnsi="仿宋" w:eastAsia="仿宋" w:cs="仿宋"/>
          <w:color w:val="auto"/>
          <w:sz w:val="24"/>
          <w:szCs w:val="24"/>
        </w:rPr>
        <w:t xml:space="preserve"> </w:t>
      </w:r>
      <w:r>
        <w:rPr>
          <w:rFonts w:ascii="仿宋" w:hAnsi="仿宋" w:eastAsia="仿宋" w:cs="仿宋"/>
          <w:color w:val="auto"/>
          <w:spacing w:val="-30"/>
          <w:sz w:val="24"/>
          <w:szCs w:val="24"/>
        </w:rPr>
        <w:t>按照有关规定认真核准有关证件后放行；</w:t>
      </w:r>
    </w:p>
    <w:p w14:paraId="5DB9BEB7">
      <w:pPr>
        <w:spacing w:before="182" w:line="311" w:lineRule="auto"/>
        <w:ind w:left="47" w:right="115" w:firstLine="418"/>
        <w:rPr>
          <w:rFonts w:ascii="仿宋" w:hAnsi="仿宋" w:eastAsia="仿宋" w:cs="仿宋"/>
          <w:color w:val="auto"/>
          <w:sz w:val="24"/>
          <w:szCs w:val="24"/>
        </w:rPr>
      </w:pPr>
      <w:r>
        <w:rPr>
          <w:rFonts w:ascii="仿宋" w:hAnsi="仿宋" w:eastAsia="仿宋" w:cs="仿宋"/>
          <w:color w:val="auto"/>
          <w:spacing w:val="-29"/>
          <w:sz w:val="24"/>
          <w:szCs w:val="24"/>
        </w:rPr>
        <w:t>（3）保持良好形象和精神状态，注意仪容仪表、礼节礼貌；检</w:t>
      </w:r>
      <w:r>
        <w:rPr>
          <w:rFonts w:ascii="仿宋" w:hAnsi="仿宋" w:eastAsia="仿宋" w:cs="仿宋"/>
          <w:color w:val="auto"/>
          <w:spacing w:val="-30"/>
          <w:sz w:val="24"/>
          <w:szCs w:val="24"/>
        </w:rPr>
        <w:t>查清洁部门搞好卫生，服务热情</w:t>
      </w:r>
      <w:r>
        <w:rPr>
          <w:rFonts w:ascii="仿宋" w:hAnsi="仿宋" w:eastAsia="仿宋" w:cs="仿宋"/>
          <w:color w:val="auto"/>
          <w:sz w:val="24"/>
          <w:szCs w:val="24"/>
        </w:rPr>
        <w:t xml:space="preserve"> </w:t>
      </w:r>
      <w:r>
        <w:rPr>
          <w:rFonts w:ascii="仿宋" w:hAnsi="仿宋" w:eastAsia="仿宋" w:cs="仿宋"/>
          <w:color w:val="auto"/>
          <w:spacing w:val="-32"/>
          <w:sz w:val="24"/>
          <w:szCs w:val="24"/>
        </w:rPr>
        <w:t>周到，文明执勤，有求必应，有问必答，切不可</w:t>
      </w:r>
      <w:r>
        <w:rPr>
          <w:rFonts w:hint="eastAsia" w:ascii="仿宋" w:hAnsi="仿宋" w:eastAsia="仿宋" w:cs="仿宋"/>
          <w:color w:val="auto"/>
          <w:spacing w:val="-32"/>
          <w:sz w:val="24"/>
          <w:szCs w:val="24"/>
          <w:lang w:eastAsia="zh-CN"/>
        </w:rPr>
        <w:t>推诿</w:t>
      </w:r>
      <w:r>
        <w:rPr>
          <w:rFonts w:ascii="仿宋" w:hAnsi="仿宋" w:eastAsia="仿宋" w:cs="仿宋"/>
          <w:color w:val="auto"/>
          <w:spacing w:val="-32"/>
          <w:sz w:val="24"/>
          <w:szCs w:val="24"/>
        </w:rPr>
        <w:t>搪塞或答“不知道”，在工作时间</w:t>
      </w:r>
      <w:r>
        <w:rPr>
          <w:rFonts w:ascii="仿宋" w:hAnsi="仿宋" w:eastAsia="仿宋" w:cs="仿宋"/>
          <w:color w:val="auto"/>
          <w:spacing w:val="-33"/>
          <w:sz w:val="24"/>
          <w:szCs w:val="24"/>
        </w:rPr>
        <w:t>应注意进出人</w:t>
      </w:r>
      <w:r>
        <w:rPr>
          <w:rFonts w:ascii="仿宋" w:hAnsi="仿宋" w:eastAsia="仿宋" w:cs="仿宋"/>
          <w:color w:val="auto"/>
          <w:sz w:val="24"/>
          <w:szCs w:val="24"/>
        </w:rPr>
        <w:t xml:space="preserve"> </w:t>
      </w:r>
      <w:r>
        <w:rPr>
          <w:rFonts w:ascii="仿宋" w:hAnsi="仿宋" w:eastAsia="仿宋" w:cs="仿宋"/>
          <w:color w:val="auto"/>
          <w:spacing w:val="-30"/>
          <w:sz w:val="24"/>
          <w:szCs w:val="24"/>
        </w:rPr>
        <w:t>员动态，发现可疑情况可有礼貌地查问并及时通知有关部门；</w:t>
      </w:r>
    </w:p>
    <w:p w14:paraId="5349C687">
      <w:pPr>
        <w:spacing w:before="201" w:line="287" w:lineRule="auto"/>
        <w:ind w:left="55" w:right="115" w:firstLine="411"/>
        <w:rPr>
          <w:rFonts w:ascii="仿宋" w:hAnsi="仿宋" w:eastAsia="仿宋" w:cs="仿宋"/>
          <w:color w:val="auto"/>
          <w:sz w:val="24"/>
          <w:szCs w:val="24"/>
        </w:rPr>
      </w:pPr>
      <w:r>
        <w:rPr>
          <w:rFonts w:ascii="仿宋" w:hAnsi="仿宋" w:eastAsia="仿宋" w:cs="仿宋"/>
          <w:color w:val="auto"/>
          <w:spacing w:val="-29"/>
          <w:sz w:val="24"/>
          <w:szCs w:val="24"/>
        </w:rPr>
        <w:t>（4）巡逻保安承担巡逻路线发现安全、工程、保洁、消防等问</w:t>
      </w:r>
      <w:r>
        <w:rPr>
          <w:rFonts w:ascii="仿宋" w:hAnsi="仿宋" w:eastAsia="仿宋" w:cs="仿宋"/>
          <w:color w:val="auto"/>
          <w:spacing w:val="-30"/>
          <w:sz w:val="24"/>
          <w:szCs w:val="24"/>
        </w:rPr>
        <w:t>题的责任并及时上报，检查内容</w:t>
      </w:r>
      <w:r>
        <w:rPr>
          <w:rFonts w:ascii="仿宋" w:hAnsi="仿宋" w:eastAsia="仿宋" w:cs="仿宋"/>
          <w:color w:val="auto"/>
          <w:sz w:val="24"/>
          <w:szCs w:val="24"/>
        </w:rPr>
        <w:t xml:space="preserve"> </w:t>
      </w:r>
      <w:r>
        <w:rPr>
          <w:rFonts w:ascii="仿宋" w:hAnsi="仿宋" w:eastAsia="仿宋" w:cs="仿宋"/>
          <w:color w:val="auto"/>
          <w:spacing w:val="-30"/>
          <w:sz w:val="24"/>
          <w:szCs w:val="24"/>
        </w:rPr>
        <w:t>包括但不限于各层卫生间、开水间、电梯厅、安全通道、保</w:t>
      </w:r>
      <w:r>
        <w:rPr>
          <w:rFonts w:ascii="仿宋" w:hAnsi="仿宋" w:eastAsia="仿宋" w:cs="仿宋"/>
          <w:color w:val="auto"/>
          <w:spacing w:val="-31"/>
          <w:sz w:val="24"/>
          <w:szCs w:val="24"/>
        </w:rPr>
        <w:t>洁、消防等；</w:t>
      </w:r>
    </w:p>
    <w:p w14:paraId="3B000229">
      <w:pPr>
        <w:spacing w:before="184" w:line="287" w:lineRule="auto"/>
        <w:ind w:left="46" w:right="150" w:firstLine="419"/>
        <w:rPr>
          <w:rFonts w:ascii="仿宋" w:hAnsi="仿宋" w:eastAsia="仿宋" w:cs="仿宋"/>
          <w:color w:val="auto"/>
          <w:sz w:val="24"/>
          <w:szCs w:val="24"/>
        </w:rPr>
      </w:pPr>
      <w:r>
        <w:rPr>
          <w:rFonts w:ascii="仿宋" w:hAnsi="仿宋" w:eastAsia="仿宋" w:cs="仿宋"/>
          <w:color w:val="auto"/>
          <w:spacing w:val="-30"/>
          <w:sz w:val="24"/>
          <w:szCs w:val="24"/>
        </w:rPr>
        <w:t>（5）要保护公物及装饰物品完好，严防破坏，经常检查保护公共场所的设备设</w:t>
      </w:r>
      <w:r>
        <w:rPr>
          <w:rFonts w:ascii="仿宋" w:hAnsi="仿宋" w:eastAsia="仿宋" w:cs="仿宋"/>
          <w:color w:val="auto"/>
          <w:spacing w:val="-31"/>
          <w:sz w:val="24"/>
          <w:szCs w:val="24"/>
        </w:rPr>
        <w:t>施、各层门窗，</w:t>
      </w:r>
      <w:r>
        <w:rPr>
          <w:rFonts w:ascii="仿宋" w:hAnsi="仿宋" w:eastAsia="仿宋" w:cs="仿宋"/>
          <w:color w:val="auto"/>
          <w:sz w:val="24"/>
          <w:szCs w:val="24"/>
        </w:rPr>
        <w:t xml:space="preserve"> </w:t>
      </w:r>
      <w:r>
        <w:rPr>
          <w:rFonts w:ascii="仿宋" w:hAnsi="仿宋" w:eastAsia="仿宋" w:cs="仿宋"/>
          <w:color w:val="auto"/>
          <w:spacing w:val="-30"/>
          <w:sz w:val="24"/>
          <w:szCs w:val="24"/>
        </w:rPr>
        <w:t>使之不受破坏，不被盗窃，检查公共照明、消防监控等设备设施，确保各设备处于正常运行状态；</w:t>
      </w:r>
    </w:p>
    <w:p w14:paraId="5068D454">
      <w:pPr>
        <w:spacing w:before="185" w:line="311" w:lineRule="auto"/>
        <w:ind w:left="48" w:right="99" w:firstLine="417"/>
        <w:rPr>
          <w:rFonts w:ascii="仿宋" w:hAnsi="仿宋" w:eastAsia="仿宋" w:cs="仿宋"/>
          <w:color w:val="auto"/>
          <w:sz w:val="24"/>
          <w:szCs w:val="24"/>
        </w:rPr>
      </w:pPr>
      <w:r>
        <w:rPr>
          <w:rFonts w:ascii="仿宋" w:hAnsi="仿宋" w:eastAsia="仿宋" w:cs="仿宋"/>
          <w:color w:val="auto"/>
          <w:spacing w:val="-29"/>
          <w:sz w:val="24"/>
          <w:szCs w:val="24"/>
        </w:rPr>
        <w:t>（6）监控室发现情况异常或可疑人员应立即通知维修人员和安保人员进行确认；巡逻路线时，</w:t>
      </w:r>
      <w:r>
        <w:rPr>
          <w:rFonts w:ascii="仿宋" w:hAnsi="仿宋" w:eastAsia="仿宋" w:cs="仿宋"/>
          <w:color w:val="auto"/>
          <w:spacing w:val="2"/>
          <w:sz w:val="24"/>
          <w:szCs w:val="24"/>
        </w:rPr>
        <w:t xml:space="preserve"> </w:t>
      </w:r>
      <w:r>
        <w:rPr>
          <w:rFonts w:ascii="仿宋" w:hAnsi="仿宋" w:eastAsia="仿宋" w:cs="仿宋"/>
          <w:color w:val="auto"/>
          <w:spacing w:val="-32"/>
          <w:sz w:val="24"/>
          <w:szCs w:val="24"/>
        </w:rPr>
        <w:t>发现安全、工程、保洁等问题需及时上报；留意对讲机呼叫情况，与其他岗位保持联系，防止各种治</w:t>
      </w:r>
      <w:r>
        <w:rPr>
          <w:rFonts w:ascii="仿宋" w:hAnsi="仿宋" w:eastAsia="仿宋" w:cs="仿宋"/>
          <w:color w:val="auto"/>
          <w:spacing w:val="10"/>
          <w:sz w:val="24"/>
          <w:szCs w:val="24"/>
        </w:rPr>
        <w:t xml:space="preserve"> </w:t>
      </w:r>
      <w:r>
        <w:rPr>
          <w:rFonts w:ascii="仿宋" w:hAnsi="仿宋" w:eastAsia="仿宋" w:cs="仿宋"/>
          <w:color w:val="auto"/>
          <w:spacing w:val="-31"/>
          <w:sz w:val="24"/>
          <w:szCs w:val="24"/>
        </w:rPr>
        <w:t>安、消防事故发生；</w:t>
      </w:r>
    </w:p>
    <w:p w14:paraId="5A2A97FC">
      <w:pPr>
        <w:spacing w:before="183" w:line="288" w:lineRule="auto"/>
        <w:ind w:left="47" w:right="119" w:firstLine="418"/>
        <w:rPr>
          <w:rFonts w:ascii="仿宋" w:hAnsi="仿宋" w:eastAsia="仿宋" w:cs="仿宋"/>
          <w:color w:val="auto"/>
          <w:sz w:val="24"/>
          <w:szCs w:val="24"/>
        </w:rPr>
      </w:pPr>
      <w:r>
        <w:rPr>
          <w:rFonts w:ascii="仿宋" w:hAnsi="仿宋" w:eastAsia="仿宋" w:cs="仿宋"/>
          <w:color w:val="auto"/>
          <w:spacing w:val="-29"/>
          <w:sz w:val="24"/>
          <w:szCs w:val="24"/>
        </w:rPr>
        <w:t>（7）应建立健全消防管理制度，建立消防责任制；确</w:t>
      </w:r>
      <w:r>
        <w:rPr>
          <w:rFonts w:ascii="仿宋" w:hAnsi="仿宋" w:eastAsia="仿宋" w:cs="仿宋"/>
          <w:color w:val="auto"/>
          <w:spacing w:val="-30"/>
          <w:sz w:val="24"/>
          <w:szCs w:val="24"/>
        </w:rPr>
        <w:t>保专人维护管理消防系统、消防器材，保</w:t>
      </w:r>
      <w:r>
        <w:rPr>
          <w:rFonts w:ascii="仿宋" w:hAnsi="仿宋" w:eastAsia="仿宋" w:cs="仿宋"/>
          <w:color w:val="auto"/>
          <w:sz w:val="24"/>
          <w:szCs w:val="24"/>
        </w:rPr>
        <w:t xml:space="preserve"> </w:t>
      </w:r>
      <w:r>
        <w:rPr>
          <w:rFonts w:ascii="仿宋" w:hAnsi="仿宋" w:eastAsia="仿宋" w:cs="仿宋"/>
          <w:color w:val="auto"/>
          <w:spacing w:val="-31"/>
          <w:sz w:val="24"/>
          <w:szCs w:val="24"/>
        </w:rPr>
        <w:t>持其完好；</w:t>
      </w:r>
    </w:p>
    <w:p w14:paraId="0B2F2C6E">
      <w:pPr>
        <w:spacing w:before="183" w:line="287" w:lineRule="auto"/>
        <w:ind w:left="53" w:right="62" w:firstLine="412"/>
        <w:rPr>
          <w:rFonts w:ascii="仿宋" w:hAnsi="仿宋" w:eastAsia="仿宋" w:cs="仿宋"/>
          <w:color w:val="auto"/>
          <w:sz w:val="24"/>
          <w:szCs w:val="24"/>
        </w:rPr>
      </w:pPr>
      <w:r>
        <w:rPr>
          <w:rFonts w:ascii="仿宋" w:hAnsi="仿宋" w:eastAsia="仿宋" w:cs="仿宋"/>
          <w:color w:val="auto"/>
          <w:spacing w:val="-27"/>
          <w:sz w:val="24"/>
          <w:szCs w:val="24"/>
        </w:rPr>
        <w:t>（8）全天24小时消防监控室安排保安值班，对消防主机进行24小时监管；保持消防通道畅通</w:t>
      </w:r>
      <w:r>
        <w:rPr>
          <w:rFonts w:hint="eastAsia" w:ascii="仿宋" w:hAnsi="仿宋" w:eastAsia="仿宋" w:cs="仿宋"/>
          <w:color w:val="auto"/>
          <w:spacing w:val="-27"/>
          <w:sz w:val="24"/>
          <w:szCs w:val="24"/>
          <w:lang w:eastAsia="zh-CN"/>
        </w:rPr>
        <w:t>，在</w:t>
      </w:r>
      <w:r>
        <w:rPr>
          <w:rFonts w:ascii="仿宋" w:hAnsi="仿宋" w:eastAsia="仿宋" w:cs="仿宋"/>
          <w:color w:val="auto"/>
          <w:spacing w:val="-31"/>
          <w:sz w:val="24"/>
          <w:szCs w:val="24"/>
        </w:rPr>
        <w:t>办公楼明显位置设有消防疏散线路示意图；</w:t>
      </w:r>
    </w:p>
    <w:p w14:paraId="62D0B3CB">
      <w:pPr>
        <w:spacing w:before="182" w:line="311" w:lineRule="auto"/>
        <w:ind w:left="48" w:right="105" w:firstLine="417"/>
        <w:rPr>
          <w:rFonts w:ascii="仿宋" w:hAnsi="仿宋" w:eastAsia="仿宋" w:cs="仿宋"/>
          <w:color w:val="auto"/>
          <w:sz w:val="24"/>
          <w:szCs w:val="24"/>
        </w:rPr>
      </w:pPr>
      <w:r>
        <w:rPr>
          <w:rFonts w:ascii="仿宋" w:hAnsi="仿宋" w:eastAsia="仿宋" w:cs="仿宋"/>
          <w:color w:val="auto"/>
          <w:spacing w:val="-29"/>
          <w:sz w:val="24"/>
          <w:szCs w:val="24"/>
        </w:rPr>
        <w:t>（9）按有关规定和消防部门要求，定期对消防设备设施进行巡视、检查和维护，并详</w:t>
      </w:r>
      <w:r>
        <w:rPr>
          <w:rFonts w:ascii="仿宋" w:hAnsi="仿宋" w:eastAsia="仿宋" w:cs="仿宋"/>
          <w:color w:val="auto"/>
          <w:spacing w:val="-30"/>
          <w:sz w:val="24"/>
          <w:szCs w:val="24"/>
        </w:rPr>
        <w:t>细记录，</w:t>
      </w:r>
      <w:r>
        <w:rPr>
          <w:rFonts w:ascii="仿宋" w:hAnsi="仿宋" w:eastAsia="仿宋" w:cs="仿宋"/>
          <w:color w:val="auto"/>
          <w:sz w:val="24"/>
          <w:szCs w:val="24"/>
        </w:rPr>
        <w:t xml:space="preserve"> </w:t>
      </w:r>
      <w:r>
        <w:rPr>
          <w:rFonts w:ascii="仿宋" w:hAnsi="仿宋" w:eastAsia="仿宋" w:cs="仿宋"/>
          <w:color w:val="auto"/>
          <w:spacing w:val="-32"/>
          <w:sz w:val="24"/>
          <w:szCs w:val="24"/>
        </w:rPr>
        <w:t>发现有异常情况，应及时予以调换或报修，确保其完整完好、在有效期内，处于良好的待命状态，能</w:t>
      </w:r>
      <w:r>
        <w:rPr>
          <w:rFonts w:ascii="仿宋" w:hAnsi="仿宋" w:eastAsia="仿宋" w:cs="仿宋"/>
          <w:color w:val="auto"/>
          <w:spacing w:val="4"/>
          <w:sz w:val="24"/>
          <w:szCs w:val="24"/>
        </w:rPr>
        <w:t xml:space="preserve"> </w:t>
      </w:r>
      <w:r>
        <w:rPr>
          <w:rFonts w:ascii="仿宋" w:hAnsi="仿宋" w:eastAsia="仿宋" w:cs="仿宋"/>
          <w:color w:val="auto"/>
          <w:spacing w:val="-30"/>
          <w:sz w:val="24"/>
          <w:szCs w:val="24"/>
        </w:rPr>
        <w:t>正常使用，配合专业公司做好消防年检和消防维保工</w:t>
      </w:r>
      <w:r>
        <w:rPr>
          <w:rFonts w:ascii="仿宋" w:hAnsi="仿宋" w:eastAsia="仿宋" w:cs="仿宋"/>
          <w:color w:val="auto"/>
          <w:spacing w:val="-31"/>
          <w:sz w:val="24"/>
          <w:szCs w:val="24"/>
        </w:rPr>
        <w:t>作；</w:t>
      </w:r>
    </w:p>
    <w:p w14:paraId="062135C7">
      <w:pPr>
        <w:spacing w:before="184" w:line="217" w:lineRule="auto"/>
        <w:ind w:left="466"/>
        <w:rPr>
          <w:rFonts w:ascii="仿宋" w:hAnsi="仿宋" w:eastAsia="仿宋" w:cs="仿宋"/>
          <w:color w:val="auto"/>
          <w:sz w:val="24"/>
          <w:szCs w:val="24"/>
        </w:rPr>
      </w:pPr>
      <w:r>
        <w:rPr>
          <w:rFonts w:ascii="仿宋" w:hAnsi="仿宋" w:eastAsia="仿宋" w:cs="仿宋"/>
          <w:color w:val="auto"/>
          <w:spacing w:val="-28"/>
          <w:sz w:val="24"/>
          <w:szCs w:val="24"/>
        </w:rPr>
        <w:t>（10）定期进行消防宣传和消防演习；对易燃易爆品设专人专区管</w:t>
      </w:r>
      <w:r>
        <w:rPr>
          <w:rFonts w:ascii="仿宋" w:hAnsi="仿宋" w:eastAsia="仿宋" w:cs="仿宋"/>
          <w:color w:val="auto"/>
          <w:spacing w:val="-29"/>
          <w:sz w:val="24"/>
          <w:szCs w:val="24"/>
        </w:rPr>
        <w:t>理；保安人员应能够熟练使</w:t>
      </w:r>
    </w:p>
    <w:p w14:paraId="02A88398">
      <w:pPr>
        <w:spacing w:line="217" w:lineRule="auto"/>
        <w:rPr>
          <w:rFonts w:ascii="仿宋" w:hAnsi="仿宋" w:eastAsia="仿宋" w:cs="仿宋"/>
          <w:color w:val="auto"/>
          <w:sz w:val="24"/>
          <w:szCs w:val="24"/>
        </w:rPr>
        <w:sectPr>
          <w:footerReference r:id="rId28" w:type="default"/>
          <w:pgSz w:w="11910" w:h="16845"/>
          <w:pgMar w:top="1047" w:right="1201" w:bottom="890" w:left="1397" w:header="649" w:footer="659" w:gutter="0"/>
          <w:pgNumType w:fmt="decimal"/>
          <w:cols w:space="720" w:num="1"/>
        </w:sectPr>
      </w:pPr>
    </w:p>
    <w:p w14:paraId="27E8ABF1">
      <w:pPr>
        <w:pStyle w:val="3"/>
        <w:spacing w:line="422" w:lineRule="auto"/>
        <w:rPr>
          <w:color w:val="auto"/>
        </w:rPr>
      </w:pPr>
    </w:p>
    <w:p w14:paraId="3CEBA60A">
      <w:pPr>
        <w:spacing w:before="78" w:line="358" w:lineRule="auto"/>
        <w:ind w:left="63" w:right="99" w:hanging="18"/>
        <w:rPr>
          <w:rFonts w:ascii="仿宋" w:hAnsi="仿宋" w:eastAsia="仿宋" w:cs="仿宋"/>
          <w:color w:val="auto"/>
          <w:sz w:val="24"/>
          <w:szCs w:val="24"/>
        </w:rPr>
      </w:pPr>
      <w:r>
        <w:rPr>
          <w:rFonts w:ascii="仿宋" w:hAnsi="仿宋" w:eastAsia="仿宋" w:cs="仿宋"/>
          <w:color w:val="auto"/>
          <w:spacing w:val="-32"/>
          <w:sz w:val="24"/>
          <w:szCs w:val="24"/>
        </w:rPr>
        <w:t>用灭火器、水带等消防器材，在接到火情或模拟火情处置指令后，除门卫、监控室等岗位留下必要人</w:t>
      </w:r>
      <w:r>
        <w:rPr>
          <w:rFonts w:ascii="仿宋" w:hAnsi="仿宋" w:eastAsia="仿宋" w:cs="仿宋"/>
          <w:color w:val="auto"/>
          <w:spacing w:val="12"/>
          <w:sz w:val="24"/>
          <w:szCs w:val="24"/>
        </w:rPr>
        <w:t xml:space="preserve"> </w:t>
      </w:r>
      <w:r>
        <w:rPr>
          <w:rFonts w:ascii="仿宋" w:hAnsi="仿宋" w:eastAsia="仿宋" w:cs="仿宋"/>
          <w:color w:val="auto"/>
          <w:spacing w:val="-30"/>
          <w:sz w:val="24"/>
          <w:szCs w:val="24"/>
        </w:rPr>
        <w:t>员以外，其他人员应立即赶往指定地点进行处置。</w:t>
      </w:r>
    </w:p>
    <w:p w14:paraId="44B99322">
      <w:pPr>
        <w:spacing w:before="2" w:line="357" w:lineRule="auto"/>
        <w:ind w:left="46" w:right="98" w:firstLine="419"/>
        <w:rPr>
          <w:rFonts w:ascii="仿宋" w:hAnsi="仿宋" w:eastAsia="仿宋" w:cs="仿宋"/>
          <w:color w:val="auto"/>
          <w:sz w:val="24"/>
          <w:szCs w:val="24"/>
        </w:rPr>
      </w:pPr>
      <w:r>
        <w:rPr>
          <w:rFonts w:ascii="仿宋" w:hAnsi="仿宋" w:eastAsia="仿宋" w:cs="仿宋"/>
          <w:color w:val="auto"/>
          <w:spacing w:val="-31"/>
          <w:sz w:val="24"/>
          <w:szCs w:val="24"/>
        </w:rPr>
        <w:t>（11）负责秩序维护人员的思想教育和安保知识的学习。掌握一定的消防知识，具备紧急事</w:t>
      </w:r>
      <w:r>
        <w:rPr>
          <w:rFonts w:ascii="仿宋" w:hAnsi="仿宋" w:eastAsia="仿宋" w:cs="仿宋"/>
          <w:color w:val="auto"/>
          <w:spacing w:val="-32"/>
          <w:sz w:val="24"/>
          <w:szCs w:val="24"/>
        </w:rPr>
        <w:t>件的</w:t>
      </w:r>
      <w:r>
        <w:rPr>
          <w:rFonts w:ascii="仿宋" w:hAnsi="仿宋" w:eastAsia="仿宋" w:cs="仿宋"/>
          <w:color w:val="auto"/>
          <w:sz w:val="24"/>
          <w:szCs w:val="24"/>
        </w:rPr>
        <w:t xml:space="preserve"> </w:t>
      </w:r>
      <w:r>
        <w:rPr>
          <w:rFonts w:ascii="仿宋" w:hAnsi="仿宋" w:eastAsia="仿宋" w:cs="仿宋"/>
          <w:color w:val="auto"/>
          <w:spacing w:val="-32"/>
          <w:sz w:val="24"/>
          <w:szCs w:val="24"/>
        </w:rPr>
        <w:t>处理（治安、消防、停车管理）。制定处理各种突</w:t>
      </w:r>
      <w:r>
        <w:rPr>
          <w:rFonts w:ascii="仿宋" w:hAnsi="仿宋" w:eastAsia="仿宋" w:cs="仿宋"/>
          <w:color w:val="auto"/>
          <w:spacing w:val="-33"/>
          <w:sz w:val="24"/>
          <w:szCs w:val="24"/>
        </w:rPr>
        <w:t>发事件的预案，并进行演练。</w:t>
      </w:r>
    </w:p>
    <w:p w14:paraId="11FBE417">
      <w:pPr>
        <w:spacing w:line="217" w:lineRule="auto"/>
        <w:ind w:left="476"/>
        <w:rPr>
          <w:rFonts w:ascii="仿宋" w:hAnsi="仿宋" w:eastAsia="仿宋" w:cs="仿宋"/>
          <w:color w:val="auto"/>
          <w:sz w:val="24"/>
          <w:szCs w:val="24"/>
        </w:rPr>
      </w:pPr>
      <w:r>
        <w:rPr>
          <w:rFonts w:ascii="仿宋" w:hAnsi="仿宋" w:eastAsia="仿宋" w:cs="仿宋"/>
          <w:b/>
          <w:bCs/>
          <w:color w:val="auto"/>
          <w:spacing w:val="-28"/>
          <w:sz w:val="24"/>
          <w:szCs w:val="24"/>
        </w:rPr>
        <w:t>第五部分</w:t>
      </w:r>
      <w:r>
        <w:rPr>
          <w:rFonts w:ascii="仿宋" w:hAnsi="仿宋" w:eastAsia="仿宋" w:cs="仿宋"/>
          <w:color w:val="auto"/>
          <w:spacing w:val="77"/>
          <w:sz w:val="24"/>
          <w:szCs w:val="24"/>
        </w:rPr>
        <w:t xml:space="preserve"> </w:t>
      </w:r>
      <w:r>
        <w:rPr>
          <w:rFonts w:ascii="仿宋" w:hAnsi="仿宋" w:eastAsia="仿宋" w:cs="仿宋"/>
          <w:b/>
          <w:bCs/>
          <w:color w:val="auto"/>
          <w:spacing w:val="-28"/>
          <w:sz w:val="24"/>
          <w:szCs w:val="24"/>
        </w:rPr>
        <w:t>文博艺术中心范围内设备设施管理及维护</w:t>
      </w:r>
    </w:p>
    <w:p w14:paraId="5A135E75">
      <w:pPr>
        <w:spacing w:before="182" w:line="287" w:lineRule="auto"/>
        <w:ind w:left="50" w:right="104" w:firstLine="426"/>
        <w:rPr>
          <w:rFonts w:ascii="仿宋" w:hAnsi="仿宋" w:eastAsia="仿宋" w:cs="仿宋"/>
          <w:color w:val="auto"/>
          <w:sz w:val="24"/>
          <w:szCs w:val="24"/>
        </w:rPr>
      </w:pPr>
      <w:r>
        <w:rPr>
          <w:rFonts w:ascii="仿宋" w:hAnsi="仿宋" w:eastAsia="仿宋" w:cs="仿宋"/>
          <w:color w:val="auto"/>
          <w:spacing w:val="-31"/>
          <w:sz w:val="24"/>
          <w:szCs w:val="24"/>
        </w:rPr>
        <w:t>1.给排水设备：保证给排水系统正常运行使用。建立健</w:t>
      </w:r>
      <w:r>
        <w:rPr>
          <w:rFonts w:ascii="仿宋" w:hAnsi="仿宋" w:eastAsia="仿宋" w:cs="仿宋"/>
          <w:color w:val="auto"/>
          <w:spacing w:val="-32"/>
          <w:sz w:val="24"/>
          <w:szCs w:val="24"/>
        </w:rPr>
        <w:t>全供水管理制度，防止跑、冒、滴、漏现</w:t>
      </w:r>
      <w:r>
        <w:rPr>
          <w:rFonts w:ascii="仿宋" w:hAnsi="仿宋" w:eastAsia="仿宋" w:cs="仿宋"/>
          <w:color w:val="auto"/>
          <w:sz w:val="24"/>
          <w:szCs w:val="24"/>
        </w:rPr>
        <w:t xml:space="preserve"> </w:t>
      </w:r>
      <w:r>
        <w:rPr>
          <w:rFonts w:ascii="仿宋" w:hAnsi="仿宋" w:eastAsia="仿宋" w:cs="仿宋"/>
          <w:color w:val="auto"/>
          <w:spacing w:val="-29"/>
          <w:sz w:val="24"/>
          <w:szCs w:val="24"/>
        </w:rPr>
        <w:t>象发生，定期对水泵房及机电设备进行巡检</w:t>
      </w:r>
      <w:r>
        <w:rPr>
          <w:rFonts w:ascii="仿宋" w:hAnsi="仿宋" w:eastAsia="仿宋" w:cs="仿宋"/>
          <w:color w:val="auto"/>
          <w:spacing w:val="-30"/>
          <w:sz w:val="24"/>
          <w:szCs w:val="24"/>
        </w:rPr>
        <w:t>；保证室内外排水系统运行通畅。</w:t>
      </w:r>
    </w:p>
    <w:p w14:paraId="09CF6102">
      <w:pPr>
        <w:spacing w:before="184" w:line="287" w:lineRule="auto"/>
        <w:ind w:left="106" w:right="40" w:firstLine="399"/>
        <w:rPr>
          <w:rFonts w:ascii="仿宋" w:hAnsi="仿宋" w:eastAsia="仿宋" w:cs="仿宋"/>
          <w:color w:val="auto"/>
          <w:sz w:val="24"/>
          <w:szCs w:val="24"/>
        </w:rPr>
      </w:pPr>
      <w:r>
        <w:rPr>
          <w:rFonts w:ascii="仿宋" w:hAnsi="仿宋" w:eastAsia="仿宋" w:cs="仿宋"/>
          <w:color w:val="auto"/>
          <w:spacing w:val="-31"/>
          <w:sz w:val="24"/>
          <w:szCs w:val="24"/>
        </w:rPr>
        <w:t>2.空调供暖设备：保证供冷供暖设备系统正常运行使用。定期对供暖系统管路、阀门等进行日常</w:t>
      </w:r>
      <w:r>
        <w:rPr>
          <w:rFonts w:ascii="仿宋" w:hAnsi="仿宋" w:eastAsia="仿宋" w:cs="仿宋"/>
          <w:color w:val="auto"/>
          <w:spacing w:val="16"/>
          <w:sz w:val="24"/>
          <w:szCs w:val="24"/>
        </w:rPr>
        <w:t xml:space="preserve"> </w:t>
      </w:r>
      <w:r>
        <w:rPr>
          <w:rFonts w:ascii="仿宋" w:hAnsi="仿宋" w:eastAsia="仿宋" w:cs="仿宋"/>
          <w:color w:val="auto"/>
          <w:spacing w:val="-33"/>
          <w:sz w:val="24"/>
          <w:szCs w:val="24"/>
        </w:rPr>
        <w:t>巡检。采暖期间，及时发现并解决小修问题</w:t>
      </w:r>
      <w:r>
        <w:rPr>
          <w:rFonts w:ascii="仿宋" w:hAnsi="仿宋" w:eastAsia="仿宋" w:cs="仿宋"/>
          <w:color w:val="auto"/>
          <w:spacing w:val="-34"/>
          <w:sz w:val="24"/>
          <w:szCs w:val="24"/>
        </w:rPr>
        <w:t>（仅限人工）。</w:t>
      </w:r>
    </w:p>
    <w:p w14:paraId="45FF9000">
      <w:pPr>
        <w:spacing w:before="243" w:line="311" w:lineRule="auto"/>
        <w:ind w:left="45" w:right="98" w:firstLine="417"/>
        <w:rPr>
          <w:rFonts w:ascii="仿宋" w:hAnsi="仿宋" w:eastAsia="仿宋" w:cs="仿宋"/>
          <w:color w:val="auto"/>
          <w:sz w:val="24"/>
          <w:szCs w:val="24"/>
        </w:rPr>
      </w:pPr>
      <w:r>
        <w:rPr>
          <w:rFonts w:ascii="仿宋" w:hAnsi="仿宋" w:eastAsia="仿宋" w:cs="仿宋"/>
          <w:color w:val="auto"/>
          <w:spacing w:val="-31"/>
          <w:sz w:val="24"/>
          <w:szCs w:val="24"/>
        </w:rPr>
        <w:t>3.供配电系统：按国家规范对供电系统进行严格管理，建立严格的配送电运行制度、配电房及箱</w:t>
      </w:r>
      <w:r>
        <w:rPr>
          <w:rFonts w:ascii="仿宋" w:hAnsi="仿宋" w:eastAsia="仿宋" w:cs="仿宋"/>
          <w:color w:val="auto"/>
          <w:sz w:val="24"/>
          <w:szCs w:val="24"/>
        </w:rPr>
        <w:t xml:space="preserve"> </w:t>
      </w:r>
      <w:r>
        <w:rPr>
          <w:rFonts w:ascii="仿宋" w:hAnsi="仿宋" w:eastAsia="仿宋" w:cs="仿宋"/>
          <w:color w:val="auto"/>
          <w:spacing w:val="-32"/>
          <w:sz w:val="24"/>
          <w:szCs w:val="24"/>
        </w:rPr>
        <w:t>变管理制度；对供配电系统进行定期巡检，建立各项设备档案，确保供配电设备运行良好；供电运行</w:t>
      </w:r>
      <w:r>
        <w:rPr>
          <w:rFonts w:ascii="仿宋" w:hAnsi="仿宋" w:eastAsia="仿宋" w:cs="仿宋"/>
          <w:color w:val="auto"/>
          <w:spacing w:val="12"/>
          <w:sz w:val="24"/>
          <w:szCs w:val="24"/>
        </w:rPr>
        <w:t xml:space="preserve"> </w:t>
      </w:r>
      <w:r>
        <w:rPr>
          <w:rFonts w:ascii="仿宋" w:hAnsi="仿宋" w:eastAsia="仿宋" w:cs="仿宋"/>
          <w:color w:val="auto"/>
          <w:spacing w:val="-27"/>
          <w:sz w:val="24"/>
          <w:szCs w:val="24"/>
        </w:rPr>
        <w:t>和维修人员</w:t>
      </w:r>
      <w:r>
        <w:rPr>
          <w:rFonts w:hint="eastAsia" w:ascii="仿宋" w:hAnsi="仿宋" w:eastAsia="仿宋" w:cs="仿宋"/>
          <w:color w:val="auto"/>
          <w:spacing w:val="-27"/>
          <w:sz w:val="24"/>
          <w:szCs w:val="24"/>
          <w:lang w:eastAsia="zh-CN"/>
        </w:rPr>
        <w:t>必须</w:t>
      </w:r>
      <w:r>
        <w:rPr>
          <w:rFonts w:ascii="仿宋" w:hAnsi="仿宋" w:eastAsia="仿宋" w:cs="仿宋"/>
          <w:color w:val="auto"/>
          <w:spacing w:val="-27"/>
          <w:sz w:val="24"/>
          <w:szCs w:val="24"/>
        </w:rPr>
        <w:t>持证上岗；建立24小时运行值班制度，做好值班记录，配合相关部门检查、年审。</w:t>
      </w:r>
    </w:p>
    <w:p w14:paraId="4C4A4A58">
      <w:pPr>
        <w:spacing w:before="186" w:line="287" w:lineRule="auto"/>
        <w:ind w:left="47" w:right="101" w:firstLine="410"/>
        <w:rPr>
          <w:rFonts w:ascii="仿宋" w:hAnsi="仿宋" w:eastAsia="仿宋" w:cs="仿宋"/>
          <w:color w:val="auto"/>
          <w:sz w:val="24"/>
          <w:szCs w:val="24"/>
        </w:rPr>
      </w:pPr>
      <w:r>
        <w:rPr>
          <w:rFonts w:ascii="仿宋" w:hAnsi="仿宋" w:eastAsia="仿宋" w:cs="仿宋"/>
          <w:color w:val="auto"/>
          <w:spacing w:val="-31"/>
          <w:sz w:val="24"/>
          <w:szCs w:val="24"/>
        </w:rPr>
        <w:t>4.电梯系统：建立电梯运行管理、设备管理、安全管理制度。电梯安全措施齐全、有效。电梯运</w:t>
      </w:r>
      <w:r>
        <w:rPr>
          <w:rFonts w:ascii="仿宋" w:hAnsi="仿宋" w:eastAsia="仿宋" w:cs="仿宋"/>
          <w:color w:val="auto"/>
          <w:spacing w:val="4"/>
          <w:sz w:val="24"/>
          <w:szCs w:val="24"/>
        </w:rPr>
        <w:t xml:space="preserve"> </w:t>
      </w:r>
      <w:r>
        <w:rPr>
          <w:rFonts w:ascii="仿宋" w:hAnsi="仿宋" w:eastAsia="仿宋" w:cs="仿宋"/>
          <w:color w:val="auto"/>
          <w:spacing w:val="-29"/>
          <w:sz w:val="24"/>
          <w:szCs w:val="24"/>
        </w:rPr>
        <w:t>行、养护记录完备。</w:t>
      </w:r>
    </w:p>
    <w:p w14:paraId="5E9AA621">
      <w:pPr>
        <w:spacing w:before="183" w:line="364" w:lineRule="auto"/>
        <w:ind w:left="56" w:right="115" w:firstLine="410"/>
        <w:rPr>
          <w:rFonts w:ascii="仿宋" w:hAnsi="仿宋" w:eastAsia="仿宋" w:cs="仿宋"/>
          <w:color w:val="auto"/>
          <w:sz w:val="24"/>
          <w:szCs w:val="24"/>
        </w:rPr>
      </w:pPr>
      <w:r>
        <w:rPr>
          <w:rFonts w:ascii="仿宋" w:hAnsi="仿宋" w:eastAsia="仿宋" w:cs="仿宋"/>
          <w:color w:val="auto"/>
          <w:spacing w:val="-29"/>
          <w:sz w:val="24"/>
          <w:szCs w:val="24"/>
        </w:rPr>
        <w:t>（1）电梯困人的应急处理办法：监控中心值班人员听到或看到</w:t>
      </w:r>
      <w:r>
        <w:rPr>
          <w:rFonts w:ascii="仿宋" w:hAnsi="仿宋" w:eastAsia="仿宋" w:cs="仿宋"/>
          <w:color w:val="auto"/>
          <w:spacing w:val="-30"/>
          <w:sz w:val="24"/>
          <w:szCs w:val="24"/>
        </w:rPr>
        <w:t>电梯受困人员呼救后，应立即呼</w:t>
      </w:r>
      <w:r>
        <w:rPr>
          <w:rFonts w:ascii="仿宋" w:hAnsi="仿宋" w:eastAsia="仿宋" w:cs="仿宋"/>
          <w:color w:val="auto"/>
          <w:sz w:val="24"/>
          <w:szCs w:val="24"/>
        </w:rPr>
        <w:t xml:space="preserve"> </w:t>
      </w:r>
      <w:r>
        <w:rPr>
          <w:rFonts w:ascii="仿宋" w:hAnsi="仿宋" w:eastAsia="仿宋" w:cs="仿宋"/>
          <w:color w:val="auto"/>
          <w:spacing w:val="-30"/>
          <w:sz w:val="24"/>
          <w:szCs w:val="24"/>
        </w:rPr>
        <w:t>叫相关人员赶赴现场处理，并立即通知工程主管或项目经理，由其在现场协调指挥。</w:t>
      </w:r>
    </w:p>
    <w:p w14:paraId="34AAF4E8">
      <w:pPr>
        <w:spacing w:before="3" w:line="286" w:lineRule="auto"/>
        <w:ind w:left="51" w:right="116" w:firstLine="412"/>
        <w:rPr>
          <w:rFonts w:ascii="仿宋" w:hAnsi="仿宋" w:eastAsia="仿宋" w:cs="仿宋"/>
          <w:color w:val="auto"/>
          <w:sz w:val="24"/>
          <w:szCs w:val="24"/>
        </w:rPr>
      </w:pPr>
      <w:r>
        <w:rPr>
          <w:rFonts w:ascii="仿宋" w:hAnsi="仿宋" w:eastAsia="仿宋" w:cs="仿宋"/>
          <w:color w:val="auto"/>
          <w:spacing w:val="-31"/>
          <w:sz w:val="24"/>
          <w:szCs w:val="24"/>
        </w:rPr>
        <w:t>5.照明系统（含室外灯光</w:t>
      </w:r>
      <w:r>
        <w:rPr>
          <w:rFonts w:ascii="仿宋" w:hAnsi="仿宋" w:eastAsia="仿宋" w:cs="仿宋"/>
          <w:color w:val="auto"/>
          <w:spacing w:val="-35"/>
          <w:sz w:val="24"/>
          <w:szCs w:val="24"/>
        </w:rPr>
        <w:t>）：</w:t>
      </w:r>
      <w:r>
        <w:rPr>
          <w:rFonts w:ascii="仿宋" w:hAnsi="仿宋" w:eastAsia="仿宋" w:cs="仿宋"/>
          <w:color w:val="auto"/>
          <w:spacing w:val="-31"/>
          <w:sz w:val="24"/>
          <w:szCs w:val="24"/>
        </w:rPr>
        <w:t>文博艺术中心区域内、外所有照明灯具外观整</w:t>
      </w:r>
      <w:r>
        <w:rPr>
          <w:rFonts w:ascii="仿宋" w:hAnsi="仿宋" w:eastAsia="仿宋" w:cs="仿宋"/>
          <w:color w:val="auto"/>
          <w:spacing w:val="-32"/>
          <w:sz w:val="24"/>
          <w:szCs w:val="24"/>
        </w:rPr>
        <w:t>洁无缺损、松落和安</w:t>
      </w:r>
      <w:r>
        <w:rPr>
          <w:rFonts w:ascii="仿宋" w:hAnsi="仿宋" w:eastAsia="仿宋" w:cs="仿宋"/>
          <w:color w:val="auto"/>
          <w:sz w:val="24"/>
          <w:szCs w:val="24"/>
        </w:rPr>
        <w:t xml:space="preserve"> </w:t>
      </w:r>
      <w:r>
        <w:rPr>
          <w:rFonts w:ascii="仿宋" w:hAnsi="仿宋" w:eastAsia="仿宋" w:cs="仿宋"/>
          <w:color w:val="auto"/>
          <w:spacing w:val="-30"/>
          <w:sz w:val="24"/>
          <w:szCs w:val="24"/>
        </w:rPr>
        <w:t>全隐患，光源完好，无蚊虫、蜘蛛网、积尘等。</w:t>
      </w:r>
    </w:p>
    <w:p w14:paraId="73FB83B8">
      <w:pPr>
        <w:spacing w:before="184" w:line="216" w:lineRule="auto"/>
        <w:ind w:left="460"/>
        <w:rPr>
          <w:rFonts w:ascii="仿宋" w:hAnsi="仿宋" w:eastAsia="仿宋" w:cs="仿宋"/>
          <w:color w:val="auto"/>
          <w:sz w:val="24"/>
          <w:szCs w:val="24"/>
        </w:rPr>
      </w:pPr>
      <w:r>
        <w:rPr>
          <w:rFonts w:ascii="仿宋" w:hAnsi="仿宋" w:eastAsia="仿宋" w:cs="仿宋"/>
          <w:color w:val="auto"/>
          <w:spacing w:val="-28"/>
          <w:sz w:val="24"/>
          <w:szCs w:val="24"/>
        </w:rPr>
        <w:t>6.负责文博艺术中心监控设备的管理，按规定操</w:t>
      </w:r>
      <w:r>
        <w:rPr>
          <w:rFonts w:ascii="仿宋" w:hAnsi="仿宋" w:eastAsia="仿宋" w:cs="仿宋"/>
          <w:color w:val="auto"/>
          <w:spacing w:val="-29"/>
          <w:sz w:val="24"/>
          <w:szCs w:val="24"/>
        </w:rPr>
        <w:t>作使用设备，保证设备的正常运行。</w:t>
      </w:r>
    </w:p>
    <w:p w14:paraId="09645CED">
      <w:pPr>
        <w:spacing w:before="246" w:line="218" w:lineRule="auto"/>
        <w:ind w:left="476"/>
        <w:rPr>
          <w:rFonts w:ascii="仿宋" w:hAnsi="仿宋" w:eastAsia="仿宋" w:cs="仿宋"/>
          <w:color w:val="auto"/>
          <w:sz w:val="24"/>
          <w:szCs w:val="24"/>
        </w:rPr>
      </w:pPr>
      <w:r>
        <w:rPr>
          <w:rFonts w:ascii="仿宋" w:hAnsi="仿宋" w:eastAsia="仿宋" w:cs="仿宋"/>
          <w:b/>
          <w:bCs/>
          <w:color w:val="auto"/>
          <w:spacing w:val="-20"/>
          <w:sz w:val="24"/>
          <w:szCs w:val="24"/>
        </w:rPr>
        <w:t>第六部分</w:t>
      </w:r>
      <w:r>
        <w:rPr>
          <w:rFonts w:ascii="仿宋" w:hAnsi="仿宋" w:eastAsia="仿宋" w:cs="仿宋"/>
          <w:color w:val="auto"/>
          <w:spacing w:val="69"/>
          <w:sz w:val="24"/>
          <w:szCs w:val="24"/>
        </w:rPr>
        <w:t xml:space="preserve"> </w:t>
      </w:r>
      <w:r>
        <w:rPr>
          <w:rFonts w:ascii="仿宋" w:hAnsi="仿宋" w:eastAsia="仿宋" w:cs="仿宋"/>
          <w:b/>
          <w:bCs/>
          <w:color w:val="auto"/>
          <w:spacing w:val="-20"/>
          <w:sz w:val="24"/>
          <w:szCs w:val="24"/>
        </w:rPr>
        <w:t>代办服务</w:t>
      </w:r>
    </w:p>
    <w:p w14:paraId="5DB36B4A">
      <w:pPr>
        <w:spacing w:before="182" w:line="218" w:lineRule="auto"/>
        <w:ind w:left="476"/>
        <w:rPr>
          <w:rFonts w:ascii="仿宋" w:hAnsi="仿宋" w:eastAsia="仿宋" w:cs="仿宋"/>
          <w:color w:val="auto"/>
          <w:sz w:val="24"/>
          <w:szCs w:val="24"/>
        </w:rPr>
      </w:pPr>
      <w:r>
        <w:rPr>
          <w:rFonts w:ascii="仿宋" w:hAnsi="仿宋" w:eastAsia="仿宋" w:cs="仿宋"/>
          <w:color w:val="auto"/>
          <w:spacing w:val="-27"/>
          <w:sz w:val="24"/>
          <w:szCs w:val="24"/>
        </w:rPr>
        <w:t>1、服务范围</w:t>
      </w:r>
    </w:p>
    <w:p w14:paraId="6041D8CD">
      <w:pPr>
        <w:spacing w:before="181" w:line="217" w:lineRule="auto"/>
        <w:ind w:left="469"/>
        <w:rPr>
          <w:rFonts w:ascii="仿宋" w:hAnsi="仿宋" w:eastAsia="仿宋" w:cs="仿宋"/>
          <w:color w:val="auto"/>
          <w:sz w:val="24"/>
          <w:szCs w:val="24"/>
        </w:rPr>
      </w:pPr>
      <w:r>
        <w:rPr>
          <w:rFonts w:ascii="仿宋" w:hAnsi="仿宋" w:eastAsia="仿宋" w:cs="仿宋"/>
          <w:color w:val="auto"/>
          <w:spacing w:val="-29"/>
          <w:sz w:val="24"/>
          <w:szCs w:val="24"/>
        </w:rPr>
        <w:t>综合服务主管：为物业管理区域提供各类综</w:t>
      </w:r>
      <w:r>
        <w:rPr>
          <w:rFonts w:ascii="仿宋" w:hAnsi="仿宋" w:eastAsia="仿宋" w:cs="仿宋"/>
          <w:color w:val="auto"/>
          <w:spacing w:val="-30"/>
          <w:sz w:val="24"/>
          <w:szCs w:val="24"/>
        </w:rPr>
        <w:t>合物业管理服务。</w:t>
      </w:r>
    </w:p>
    <w:p w14:paraId="536E67F8">
      <w:pPr>
        <w:spacing w:before="184" w:line="218" w:lineRule="auto"/>
        <w:ind w:left="461"/>
        <w:rPr>
          <w:rFonts w:ascii="仿宋" w:hAnsi="仿宋" w:eastAsia="仿宋" w:cs="仿宋"/>
          <w:color w:val="auto"/>
          <w:sz w:val="24"/>
          <w:szCs w:val="24"/>
        </w:rPr>
      </w:pPr>
      <w:r>
        <w:rPr>
          <w:rFonts w:ascii="仿宋" w:hAnsi="仿宋" w:eastAsia="仿宋" w:cs="仿宋"/>
          <w:color w:val="auto"/>
          <w:spacing w:val="-22"/>
          <w:sz w:val="24"/>
          <w:szCs w:val="24"/>
        </w:rPr>
        <w:t>2、服务标准</w:t>
      </w:r>
    </w:p>
    <w:p w14:paraId="781B1261">
      <w:pPr>
        <w:spacing w:before="182" w:line="217" w:lineRule="auto"/>
        <w:ind w:left="466"/>
        <w:rPr>
          <w:rFonts w:ascii="仿宋" w:hAnsi="仿宋" w:eastAsia="仿宋" w:cs="仿宋"/>
          <w:color w:val="auto"/>
          <w:sz w:val="24"/>
          <w:szCs w:val="24"/>
        </w:rPr>
      </w:pPr>
      <w:r>
        <w:rPr>
          <w:rFonts w:ascii="仿宋" w:hAnsi="仿宋" w:eastAsia="仿宋" w:cs="仿宋"/>
          <w:color w:val="auto"/>
          <w:spacing w:val="-29"/>
          <w:sz w:val="24"/>
          <w:szCs w:val="24"/>
        </w:rPr>
        <w:t>（1）建立、健全和落实内部管理规章制度。</w:t>
      </w:r>
    </w:p>
    <w:p w14:paraId="3FED0BC2">
      <w:pPr>
        <w:spacing w:before="183" w:line="217" w:lineRule="auto"/>
        <w:ind w:left="466"/>
        <w:rPr>
          <w:rFonts w:ascii="仿宋" w:hAnsi="仿宋" w:eastAsia="仿宋" w:cs="仿宋"/>
          <w:color w:val="auto"/>
          <w:sz w:val="24"/>
          <w:szCs w:val="24"/>
        </w:rPr>
      </w:pPr>
      <w:r>
        <w:rPr>
          <w:rFonts w:ascii="仿宋" w:hAnsi="仿宋" w:eastAsia="仿宋" w:cs="仿宋"/>
          <w:color w:val="auto"/>
          <w:spacing w:val="-29"/>
          <w:sz w:val="24"/>
          <w:szCs w:val="24"/>
        </w:rPr>
        <w:t>（2）进行礼仪礼节、岗位服务标准培训。</w:t>
      </w:r>
    </w:p>
    <w:p w14:paraId="4494C6CB">
      <w:pPr>
        <w:spacing w:before="183" w:line="216" w:lineRule="auto"/>
        <w:ind w:left="466"/>
        <w:rPr>
          <w:rFonts w:ascii="仿宋" w:hAnsi="仿宋" w:eastAsia="仿宋" w:cs="仿宋"/>
          <w:color w:val="auto"/>
          <w:sz w:val="24"/>
          <w:szCs w:val="24"/>
        </w:rPr>
      </w:pPr>
      <w:r>
        <w:rPr>
          <w:rFonts w:ascii="仿宋" w:hAnsi="仿宋" w:eastAsia="仿宋" w:cs="仿宋"/>
          <w:color w:val="auto"/>
          <w:spacing w:val="-29"/>
          <w:sz w:val="24"/>
          <w:szCs w:val="24"/>
        </w:rPr>
        <w:t>（3）合理开启办事大厅灯光，空调，下班前检查关闭。</w:t>
      </w:r>
    </w:p>
    <w:p w14:paraId="2C13429A">
      <w:pPr>
        <w:spacing w:before="185" w:line="216" w:lineRule="auto"/>
        <w:ind w:left="466"/>
        <w:rPr>
          <w:rFonts w:ascii="仿宋" w:hAnsi="仿宋" w:eastAsia="仿宋" w:cs="仿宋"/>
          <w:color w:val="auto"/>
          <w:sz w:val="24"/>
          <w:szCs w:val="24"/>
        </w:rPr>
      </w:pPr>
      <w:r>
        <w:rPr>
          <w:rFonts w:ascii="仿宋" w:hAnsi="仿宋" w:eastAsia="仿宋" w:cs="仿宋"/>
          <w:color w:val="auto"/>
          <w:spacing w:val="-29"/>
          <w:sz w:val="24"/>
          <w:szCs w:val="24"/>
        </w:rPr>
        <w:t>（4）协助办事窗口做好群众接待指引工作，引导到访群众有序办理业务。</w:t>
      </w:r>
    </w:p>
    <w:p w14:paraId="06B56C3B">
      <w:pPr>
        <w:spacing w:before="184" w:line="288" w:lineRule="auto"/>
        <w:ind w:left="62" w:right="119" w:firstLine="403"/>
        <w:rPr>
          <w:rFonts w:ascii="仿宋" w:hAnsi="仿宋" w:eastAsia="仿宋" w:cs="仿宋"/>
          <w:color w:val="auto"/>
          <w:sz w:val="24"/>
          <w:szCs w:val="24"/>
        </w:rPr>
      </w:pPr>
      <w:r>
        <w:rPr>
          <w:rFonts w:ascii="仿宋" w:hAnsi="仿宋" w:eastAsia="仿宋" w:cs="仿宋"/>
          <w:color w:val="auto"/>
          <w:spacing w:val="-29"/>
          <w:sz w:val="24"/>
          <w:szCs w:val="24"/>
        </w:rPr>
        <w:t>（5）协助秩序门岗做好访客登记并及时与被访领导确</w:t>
      </w:r>
      <w:r>
        <w:rPr>
          <w:rFonts w:ascii="仿宋" w:hAnsi="仿宋" w:eastAsia="仿宋" w:cs="仿宋"/>
          <w:color w:val="auto"/>
          <w:spacing w:val="-30"/>
          <w:sz w:val="24"/>
          <w:szCs w:val="24"/>
        </w:rPr>
        <w:t>认，引导访客落座等候，提供茶水，必要</w:t>
      </w:r>
      <w:r>
        <w:rPr>
          <w:rFonts w:ascii="仿宋" w:hAnsi="仿宋" w:eastAsia="仿宋" w:cs="仿宋"/>
          <w:color w:val="auto"/>
          <w:sz w:val="24"/>
          <w:szCs w:val="24"/>
        </w:rPr>
        <w:t xml:space="preserve"> </w:t>
      </w:r>
      <w:r>
        <w:rPr>
          <w:rFonts w:ascii="仿宋" w:hAnsi="仿宋" w:eastAsia="仿宋" w:cs="仿宋"/>
          <w:color w:val="auto"/>
          <w:spacing w:val="-30"/>
          <w:sz w:val="24"/>
          <w:szCs w:val="24"/>
        </w:rPr>
        <w:t>时引领访客至领导办公室。</w:t>
      </w:r>
    </w:p>
    <w:p w14:paraId="0364F8A1">
      <w:pPr>
        <w:spacing w:line="288" w:lineRule="auto"/>
        <w:rPr>
          <w:rFonts w:ascii="仿宋" w:hAnsi="仿宋" w:eastAsia="仿宋" w:cs="仿宋"/>
          <w:color w:val="auto"/>
          <w:sz w:val="24"/>
          <w:szCs w:val="24"/>
        </w:rPr>
        <w:sectPr>
          <w:footerReference r:id="rId29" w:type="default"/>
          <w:pgSz w:w="11910" w:h="16845"/>
          <w:pgMar w:top="1047" w:right="1201" w:bottom="890" w:left="1397" w:header="649" w:footer="659" w:gutter="0"/>
          <w:pgNumType w:fmt="decimal"/>
          <w:cols w:space="720" w:num="1"/>
        </w:sectPr>
      </w:pPr>
    </w:p>
    <w:p w14:paraId="4F12EE9F">
      <w:pPr>
        <w:spacing w:before="246" w:line="218" w:lineRule="auto"/>
        <w:ind w:left="476"/>
        <w:rPr>
          <w:rFonts w:ascii="仿宋" w:hAnsi="仿宋" w:eastAsia="仿宋" w:cs="仿宋"/>
          <w:color w:val="auto"/>
          <w:sz w:val="24"/>
          <w:szCs w:val="24"/>
        </w:rPr>
      </w:pPr>
      <w:r>
        <w:rPr>
          <w:rFonts w:ascii="仿宋" w:hAnsi="仿宋" w:eastAsia="仿宋" w:cs="仿宋"/>
          <w:b/>
          <w:bCs/>
          <w:color w:val="auto"/>
          <w:spacing w:val="-20"/>
          <w:sz w:val="24"/>
          <w:szCs w:val="24"/>
        </w:rPr>
        <w:t>第</w:t>
      </w:r>
      <w:r>
        <w:rPr>
          <w:rFonts w:hint="eastAsia" w:ascii="仿宋" w:hAnsi="仿宋" w:eastAsia="仿宋" w:cs="仿宋"/>
          <w:b/>
          <w:bCs/>
          <w:color w:val="auto"/>
          <w:spacing w:val="-20"/>
          <w:sz w:val="24"/>
          <w:szCs w:val="24"/>
          <w:lang w:eastAsia="zh-CN"/>
        </w:rPr>
        <w:t>七</w:t>
      </w:r>
      <w:r>
        <w:rPr>
          <w:rFonts w:ascii="仿宋" w:hAnsi="仿宋" w:eastAsia="仿宋" w:cs="仿宋"/>
          <w:b/>
          <w:bCs/>
          <w:color w:val="auto"/>
          <w:spacing w:val="-20"/>
          <w:sz w:val="24"/>
          <w:szCs w:val="24"/>
        </w:rPr>
        <w:t>部分</w:t>
      </w:r>
      <w:r>
        <w:rPr>
          <w:rFonts w:ascii="仿宋" w:hAnsi="仿宋" w:eastAsia="仿宋" w:cs="仿宋"/>
          <w:color w:val="auto"/>
          <w:spacing w:val="69"/>
          <w:sz w:val="24"/>
          <w:szCs w:val="24"/>
        </w:rPr>
        <w:t xml:space="preserve"> </w:t>
      </w:r>
      <w:r>
        <w:rPr>
          <w:rFonts w:hint="eastAsia" w:ascii="仿宋" w:hAnsi="仿宋" w:eastAsia="仿宋" w:cs="仿宋"/>
          <w:b/>
          <w:bCs/>
          <w:color w:val="auto"/>
          <w:spacing w:val="-20"/>
          <w:sz w:val="24"/>
          <w:szCs w:val="24"/>
          <w:lang w:eastAsia="zh-CN"/>
        </w:rPr>
        <w:t>其它</w:t>
      </w:r>
      <w:r>
        <w:rPr>
          <w:rFonts w:ascii="仿宋" w:hAnsi="仿宋" w:eastAsia="仿宋" w:cs="仿宋"/>
          <w:b/>
          <w:bCs/>
          <w:color w:val="auto"/>
          <w:spacing w:val="-20"/>
          <w:sz w:val="24"/>
          <w:szCs w:val="24"/>
        </w:rPr>
        <w:t>服务</w:t>
      </w:r>
    </w:p>
    <w:p w14:paraId="0DDC9F7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 xml:space="preserve"> </w:t>
      </w:r>
    </w:p>
    <w:p w14:paraId="1DAD229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1.电梯维保</w:t>
      </w:r>
    </w:p>
    <w:p w14:paraId="37FE73B1">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服务内容：覆盖行政中心8部、党校2部、文广旅局2部、规划馆2部、城市会客厅2部电梯；服务包含电梯年度检验、限速器校验、称重实验全流程维保工作。</w:t>
      </w:r>
    </w:p>
    <w:p w14:paraId="6429257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49BBD2AF">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（1）严格按照特种设备安全规范定期开展电梯年检、限速器校验、称重实验；</w:t>
      </w:r>
    </w:p>
    <w:p w14:paraId="76FBDF37">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（2）全区域所有电梯统一巡检、维保，留存完整维保、检测纸质记录；</w:t>
      </w:r>
    </w:p>
    <w:p w14:paraId="3C207D1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（3）电梯故障快速响应处置，保障24小时安全稳定运行。</w:t>
      </w:r>
    </w:p>
    <w:p w14:paraId="5415209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2.设备维修</w:t>
      </w:r>
    </w:p>
    <w:p w14:paraId="0C1BCBB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服务内容：全域各类通用设备、中央空调系统、消防配套设施日常维修、小型更换。</w:t>
      </w:r>
    </w:p>
    <w:p w14:paraId="00731E1C">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2776CC6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（1）建立设备台账，定期巡检，提前排查故障隐患；</w:t>
      </w:r>
    </w:p>
    <w:p w14:paraId="64D57C93">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（2）设备故障接单后及时上门维修，做到小修不过夜；</w:t>
      </w:r>
    </w:p>
    <w:p w14:paraId="6492EEA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（3）维修耗材、配件按需更换，维修记录完整归档。</w:t>
      </w:r>
    </w:p>
    <w:p w14:paraId="0AEFF5E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3.绿化维护</w:t>
      </w:r>
    </w:p>
    <w:p w14:paraId="282EFBA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服务内容：项目全域公共绿地、乔灌木、景观绿植全年养护，含浇水、施肥、修剪、除草、病虫害防治、绿植补栽等。</w:t>
      </w:r>
    </w:p>
    <w:p w14:paraId="19310D0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45AFDE59">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（1）绿植长势良好，无大面积枯枝、病虫害、黄土裸露；</w:t>
      </w:r>
    </w:p>
    <w:p w14:paraId="6952327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（2）定期清理绿化垃圾，绿地整洁无杂草堆积；</w:t>
      </w:r>
    </w:p>
    <w:p w14:paraId="698133A1">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（3）按季节完成修剪、防虫、浇灌作业，留存养护记录。</w:t>
      </w:r>
    </w:p>
    <w:p w14:paraId="409B0F3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4.清洁维护</w:t>
      </w:r>
    </w:p>
    <w:p w14:paraId="19CBEC33">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服务内容：全域保洁作业所需耗材、清洁工具统一配备、定期补充更换。</w:t>
      </w:r>
    </w:p>
    <w:p w14:paraId="5596705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31D4AAF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（1）按需储备拖把、清洁剂、垃圾袋、尘推等全套保洁耗材工具；</w:t>
      </w:r>
    </w:p>
    <w:p w14:paraId="51AF61F1">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（2）耗材库存充足，及时补给，不出现保洁断供情况；</w:t>
      </w:r>
    </w:p>
    <w:p w14:paraId="2F0A655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（3）工具定期维护更换，保障日常保洁作业正常开展。</w:t>
      </w:r>
    </w:p>
    <w:p w14:paraId="4BF0E84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5.秩序维护</w:t>
      </w:r>
    </w:p>
    <w:p w14:paraId="7FC69F84">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服务内容：安保执勤配套对讲机、安防器械、作业工具管理、维护与更新。</w:t>
      </w:r>
    </w:p>
    <w:p w14:paraId="373A5CA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7B14769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（1）所有对讲设备、安防器械时刻保持完好、电量充足；</w:t>
      </w:r>
    </w:p>
    <w:p w14:paraId="0CF1203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（2）定期检修调试对讲机，保障24小时通讯通畅；</w:t>
      </w:r>
    </w:p>
    <w:p w14:paraId="49E6F6E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（3）安保器械妥善存放，定期检查，损坏及时更换。</w:t>
      </w:r>
    </w:p>
    <w:p w14:paraId="40FBDCC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6.变压器检测</w:t>
      </w:r>
    </w:p>
    <w:p w14:paraId="2AFF413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服务内容：项目配电变压器专业安全检测工作。</w:t>
      </w:r>
    </w:p>
    <w:p w14:paraId="605967B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42BE0B7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（1）严格执行每2年开展1次全面专业检测；</w:t>
      </w:r>
    </w:p>
    <w:p w14:paraId="25A59FE4">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（2）检测由持证专业人员操作，出具正规检测报告；</w:t>
      </w:r>
    </w:p>
    <w:p w14:paraId="36DA6BB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（3）检测发现隐患立即上报并配合完成整改。</w:t>
      </w:r>
    </w:p>
    <w:p w14:paraId="00A2615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7.避雷检测</w:t>
      </w:r>
    </w:p>
    <w:p w14:paraId="7B1E2D19">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服务内容：建筑全域避雷设施安全性能专业检测。</w:t>
      </w:r>
    </w:p>
    <w:p w14:paraId="0FB170B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5FE3FBB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（1）每年完成1次全覆盖避雷系统检测；</w:t>
      </w:r>
    </w:p>
    <w:p w14:paraId="47A282D7">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（2）检测接地电阻、避雷带、引下线等全部点位；</w:t>
      </w:r>
    </w:p>
    <w:p w14:paraId="1ABC026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（3）出具年度避雷检测合格报告，破损点位及时维修。</w:t>
      </w:r>
    </w:p>
    <w:p w14:paraId="5047E41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8.智能化维护</w:t>
      </w:r>
    </w:p>
    <w:p w14:paraId="7B0AC99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服务内容：5套视频监控系统日常检修、配件更换、运维保养。</w:t>
      </w:r>
    </w:p>
    <w:p w14:paraId="0064756C">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78B83F4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（1）所有监控摄像头、存储设备、线路定期巡检；</w:t>
      </w:r>
    </w:p>
    <w:p w14:paraId="358D761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（2）监控故障快速修复，保障画面清晰、存储正常；</w:t>
      </w:r>
    </w:p>
    <w:p w14:paraId="67A5B522">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（3）全年提取专项维修经费保障智能化设备稳定运行。</w:t>
      </w:r>
    </w:p>
    <w:p w14:paraId="526E9347">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9.垃圾清运</w:t>
      </w:r>
    </w:p>
    <w:p w14:paraId="5177C804">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服务内容：全域生活垃圾、保洁垃圾统一收集、转运至指定垃圾中转站。</w:t>
      </w:r>
    </w:p>
    <w:p w14:paraId="3E7BAF8C">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2625F269">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（1）垃圾日产日清，垃圾桶无满溢、无异味、无散落垃圾；</w:t>
      </w:r>
    </w:p>
    <w:p w14:paraId="32D67CE7">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（2）清运车辆密闭运输，沿途不抛洒、不滴漏；</w:t>
      </w:r>
    </w:p>
    <w:p w14:paraId="1A377292">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（3）清运完毕对垃圾桶、点位简单冲洗保洁。</w:t>
      </w:r>
    </w:p>
    <w:p w14:paraId="0875672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10.消防维保</w:t>
      </w:r>
    </w:p>
    <w:p w14:paraId="2EAC2E5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服务内容：全域消防设施设备维保、配件更换，定期出具维保保养报告。</w:t>
      </w:r>
    </w:p>
    <w:p w14:paraId="3330455C">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31D808B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（1）定期巡检火灾报警、消火栓、灭火器、喷淋等全套消防设备；</w:t>
      </w:r>
    </w:p>
    <w:p w14:paraId="6E2BF2C4">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（2）及时更换过期、损坏消防配件，确保设备随时可用；</w:t>
      </w:r>
    </w:p>
    <w:p w14:paraId="3F92DE9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（3）按消防管理规定定期出具正规维保保养报告，配合消防检查。</w:t>
      </w:r>
    </w:p>
    <w:p w14:paraId="18F1C9A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11.办公</w:t>
      </w:r>
    </w:p>
    <w:p w14:paraId="6661EE7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服务内容：物业服务项目部日常办公物资、耗材消耗保障。</w:t>
      </w:r>
    </w:p>
    <w:p w14:paraId="5B49659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286FC07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（1）按需采购纸张、笔墨、表单、打印耗材等办公物资；</w:t>
      </w:r>
    </w:p>
    <w:p w14:paraId="20E4E9C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（2）保障日常台账登记、资料打印、办公业务正常开展；</w:t>
      </w:r>
    </w:p>
    <w:p w14:paraId="65CDE21F">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（3）节约办公耗材，做好物资出入登记管理。</w:t>
      </w:r>
    </w:p>
    <w:p w14:paraId="081C110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12.化粪池清掏</w:t>
      </w:r>
    </w:p>
    <w:p w14:paraId="5693C7E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服务内容：全域公共化粪池、排污池定期清掏、疏通。</w:t>
      </w:r>
    </w:p>
    <w:p w14:paraId="3D31A0D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19944952">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（1）每年完成2次全覆盖化粪池清掏作业；</w:t>
      </w:r>
    </w:p>
    <w:p w14:paraId="098BA4B3">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（2）清掏无残留污物、无堵塞，现场清理干净无异味污染；</w:t>
      </w:r>
    </w:p>
    <w:p w14:paraId="261E13D1">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（3）清掏作业避开人流高峰，做好安全警示防护。</w:t>
      </w:r>
    </w:p>
    <w:p w14:paraId="6527D70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 xml:space="preserve">13.水系 </w:t>
      </w:r>
    </w:p>
    <w:p w14:paraId="4C3FFB7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服务内容：景观水系定期整体换水作业。</w:t>
      </w:r>
    </w:p>
    <w:p w14:paraId="6082B484">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13FE4963">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（1）全年按照不少于10次整体换水标准执行；</w:t>
      </w:r>
    </w:p>
    <w:p w14:paraId="596A820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（2）换水同步清理池底淤泥、漂浮杂物，水质清澈无异味；</w:t>
      </w:r>
    </w:p>
    <w:p w14:paraId="2F22A969">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（3）换水作业做好周边防滑、安全围挡警示。</w:t>
      </w:r>
    </w:p>
    <w:p w14:paraId="3A49CE5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14.水系运维</w:t>
      </w:r>
    </w:p>
    <w:p w14:paraId="49D6507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服务内容：景观水系水泵、过滤、循环设备日常运维、维修配件更换。</w:t>
      </w:r>
    </w:p>
    <w:p w14:paraId="5FF23F43">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1A28E7F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（1）每日巡检水系循环设备，及时处理漏水、泵体故障；</w:t>
      </w:r>
    </w:p>
    <w:p w14:paraId="7C60C12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（2）维修所需配套配件全部包含在内，随坏随换；</w:t>
      </w:r>
    </w:p>
    <w:p w14:paraId="25695553">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（3）保障水系水循环持续正常，无死水发臭情况。</w:t>
      </w:r>
    </w:p>
    <w:p w14:paraId="1FA3BE44">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15.外墙清洗</w:t>
      </w:r>
    </w:p>
    <w:p w14:paraId="35CAC7A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服务内容：项目所有建筑外立面定期清洗保洁。</w:t>
      </w:r>
    </w:p>
    <w:p w14:paraId="21524F31">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21640258">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（1）采用专业高空作业规范施工，做好安全防护；</w:t>
      </w:r>
    </w:p>
    <w:p w14:paraId="68C846A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（2）清洗后外墙无污渍、水渍、灰尘，观感整洁；</w:t>
      </w:r>
    </w:p>
    <w:p w14:paraId="615C839A">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16.室内石材保养</w:t>
      </w:r>
    </w:p>
    <w:p w14:paraId="74CECDC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服务内容：公共区域大理石、花岗岩等石材地面定期养护抛光。</w:t>
      </w:r>
    </w:p>
    <w:p w14:paraId="0247D26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200055BC">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（1）每月开展1次全域室内石材打磨、抛光、结晶养护；</w:t>
      </w:r>
    </w:p>
    <w:p w14:paraId="0DE4754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（2）养护后石材表面光亮、无划痕、无污渍；</w:t>
      </w:r>
    </w:p>
    <w:p w14:paraId="2CC97C96">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（3）养护作业避开办公高峰，做好地面防滑提示。</w:t>
      </w:r>
    </w:p>
    <w:p w14:paraId="4AF24381">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17.道路广场维护</w:t>
      </w:r>
    </w:p>
    <w:p w14:paraId="46DDF76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服务内容：广场、园区道路小型维修保养，包含石材铺装、柏油路面、景观小品修缮。</w:t>
      </w:r>
    </w:p>
    <w:p w14:paraId="4BA9B37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0A662279">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（1）定期巡查路面、广场石材，空鼓、破损及时小修；</w:t>
      </w:r>
    </w:p>
    <w:p w14:paraId="7ED97FFD">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（2）景观小品、休闲设施漆面、破损同步修补保养；</w:t>
      </w:r>
    </w:p>
    <w:p w14:paraId="68B682EB">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（3）维修后路面平整、铺装牢固，无坑洼、松动。</w:t>
      </w:r>
    </w:p>
    <w:p w14:paraId="607BDEE5">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18.建筑物维护</w:t>
      </w:r>
    </w:p>
    <w:p w14:paraId="0B5ECCB0">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服务内容：全域建筑主体、公共墙面、屋面、附属设施日常修缮养护。</w:t>
      </w:r>
    </w:p>
    <w:p w14:paraId="15747F19">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服务标准：</w:t>
      </w:r>
    </w:p>
    <w:p w14:paraId="7DBAAEF7">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（1）定期排查墙面开裂、屋面渗水、构件破损问题并维修；</w:t>
      </w:r>
    </w:p>
    <w:p w14:paraId="4706FD9E">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ascii="仿宋" w:hAnsi="仿宋" w:eastAsia="仿宋" w:cs="仿宋"/>
          <w:color w:val="auto"/>
          <w:sz w:val="24"/>
          <w:szCs w:val="24"/>
        </w:rPr>
      </w:pPr>
      <w:r>
        <w:rPr>
          <w:rFonts w:ascii="仿宋" w:hAnsi="仿宋" w:eastAsia="仿宋" w:cs="仿宋"/>
          <w:color w:val="auto"/>
          <w:sz w:val="24"/>
          <w:szCs w:val="24"/>
        </w:rPr>
        <w:t>（2）建筑附属栏杆、门窗、外立面构件统一养护；</w:t>
      </w:r>
    </w:p>
    <w:p w14:paraId="7AA5BB2B">
      <w:pPr>
        <w:spacing w:line="288" w:lineRule="auto"/>
        <w:rPr>
          <w:rFonts w:ascii="仿宋" w:hAnsi="仿宋" w:eastAsia="仿宋" w:cs="仿宋"/>
          <w:color w:val="auto"/>
          <w:sz w:val="24"/>
          <w:szCs w:val="24"/>
        </w:rPr>
        <w:sectPr>
          <w:pgSz w:w="11910" w:h="16845"/>
          <w:pgMar w:top="1047" w:right="1201" w:bottom="890" w:left="1397" w:header="649" w:footer="659" w:gutter="0"/>
          <w:pgNumType w:fmt="decimal"/>
          <w:cols w:space="720" w:num="1"/>
        </w:sectPr>
      </w:pPr>
    </w:p>
    <w:p w14:paraId="272A4B3B">
      <w:pPr>
        <w:pStyle w:val="3"/>
        <w:spacing w:line="478" w:lineRule="auto"/>
        <w:rPr>
          <w:color w:val="auto"/>
        </w:rPr>
      </w:pPr>
    </w:p>
    <w:p w14:paraId="30393DE2">
      <w:pPr>
        <w:spacing w:before="78" w:line="218" w:lineRule="auto"/>
        <w:ind w:left="473"/>
        <w:rPr>
          <w:rFonts w:ascii="仿宋" w:hAnsi="仿宋" w:eastAsia="仿宋" w:cs="仿宋"/>
          <w:color w:val="auto"/>
          <w:sz w:val="24"/>
          <w:szCs w:val="24"/>
        </w:rPr>
      </w:pPr>
      <w:r>
        <w:rPr>
          <w:rFonts w:ascii="仿宋" w:hAnsi="仿宋" w:eastAsia="仿宋" w:cs="仿宋"/>
          <w:b/>
          <w:bCs/>
          <w:color w:val="auto"/>
          <w:spacing w:val="-24"/>
          <w:sz w:val="24"/>
          <w:szCs w:val="24"/>
        </w:rPr>
        <w:t>三、人员配备总体要求</w:t>
      </w:r>
    </w:p>
    <w:p w14:paraId="69304ADD">
      <w:pPr>
        <w:pStyle w:val="3"/>
        <w:spacing w:line="325" w:lineRule="auto"/>
        <w:rPr>
          <w:color w:val="auto"/>
        </w:rPr>
      </w:pPr>
    </w:p>
    <w:p w14:paraId="73EBF5B9">
      <w:pPr>
        <w:spacing w:before="182" w:line="218" w:lineRule="auto"/>
        <w:ind w:left="476"/>
        <w:rPr>
          <w:rFonts w:ascii="仿宋" w:hAnsi="仿宋" w:eastAsia="仿宋" w:cs="仿宋"/>
          <w:color w:val="auto"/>
          <w:sz w:val="24"/>
          <w:szCs w:val="24"/>
        </w:rPr>
      </w:pPr>
      <w:bookmarkStart w:id="10" w:name="bookmark9"/>
      <w:bookmarkEnd w:id="10"/>
      <w:r>
        <w:rPr>
          <w:rFonts w:ascii="仿宋" w:hAnsi="仿宋" w:eastAsia="仿宋" w:cs="仿宋"/>
          <w:color w:val="auto"/>
          <w:spacing w:val="-25"/>
          <w:sz w:val="24"/>
          <w:szCs w:val="24"/>
        </w:rPr>
        <w:t>1.人员总体配备汇总表</w:t>
      </w:r>
    </w:p>
    <w:p w14:paraId="2A4FD31F">
      <w:pPr>
        <w:spacing w:line="57" w:lineRule="exact"/>
        <w:rPr>
          <w:color w:val="auto"/>
        </w:rPr>
      </w:pPr>
    </w:p>
    <w:tbl>
      <w:tblPr>
        <w:tblStyle w:val="8"/>
        <w:tblW w:w="92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6"/>
        <w:gridCol w:w="3984"/>
        <w:gridCol w:w="3909"/>
      </w:tblGrid>
      <w:tr w14:paraId="327C7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157A">
            <w:pPr>
              <w:keepNext w:val="0"/>
              <w:keepLines w:val="0"/>
              <w:widowControl/>
              <w:suppressLineNumbers w:val="0"/>
              <w:jc w:val="center"/>
              <w:textAlignment w:val="center"/>
              <w:rPr>
                <w:rFonts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部门</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1F4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部门类别</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882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岗位人数</w:t>
            </w:r>
          </w:p>
        </w:tc>
      </w:tr>
      <w:tr w14:paraId="61A0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A994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管理员</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803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项目经理</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F7D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1</w:t>
            </w:r>
          </w:p>
        </w:tc>
      </w:tr>
      <w:tr w14:paraId="2DEE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4FC8D">
            <w:pPr>
              <w:jc w:val="center"/>
              <w:rPr>
                <w:rFonts w:hint="eastAsia" w:ascii="仿宋" w:hAnsi="仿宋" w:eastAsia="仿宋" w:cs="仿宋"/>
                <w:i w:val="0"/>
                <w:iCs w:val="0"/>
                <w:color w:val="auto"/>
                <w:sz w:val="24"/>
                <w:szCs w:val="24"/>
                <w:u w:val="none"/>
              </w:rPr>
            </w:pP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B1F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部门主管</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DED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3</w:t>
            </w:r>
          </w:p>
        </w:tc>
      </w:tr>
      <w:tr w14:paraId="3848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87D09">
            <w:pPr>
              <w:jc w:val="center"/>
              <w:rPr>
                <w:rFonts w:hint="eastAsia" w:ascii="仿宋" w:hAnsi="仿宋" w:eastAsia="仿宋" w:cs="仿宋"/>
                <w:i w:val="0"/>
                <w:iCs w:val="0"/>
                <w:color w:val="auto"/>
                <w:sz w:val="24"/>
                <w:szCs w:val="24"/>
                <w:u w:val="none"/>
              </w:rPr>
            </w:pP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EF6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办公室及收费</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83C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1</w:t>
            </w:r>
          </w:p>
        </w:tc>
      </w:tr>
      <w:tr w14:paraId="0156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9E7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秩序部</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DEF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秩序员（形象岗）</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02D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27</w:t>
            </w:r>
          </w:p>
        </w:tc>
      </w:tr>
      <w:tr w14:paraId="45B14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FC3FE">
            <w:pPr>
              <w:jc w:val="center"/>
              <w:rPr>
                <w:rFonts w:hint="eastAsia" w:ascii="仿宋" w:hAnsi="仿宋" w:eastAsia="仿宋" w:cs="仿宋"/>
                <w:i w:val="0"/>
                <w:iCs w:val="0"/>
                <w:color w:val="auto"/>
                <w:sz w:val="24"/>
                <w:szCs w:val="24"/>
                <w:u w:val="none"/>
              </w:rPr>
            </w:pP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215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秩序员</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1AE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8</w:t>
            </w:r>
          </w:p>
        </w:tc>
      </w:tr>
      <w:tr w14:paraId="6215A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151DA">
            <w:pPr>
              <w:jc w:val="center"/>
              <w:rPr>
                <w:rFonts w:hint="eastAsia" w:ascii="仿宋" w:hAnsi="仿宋" w:eastAsia="仿宋" w:cs="仿宋"/>
                <w:i w:val="0"/>
                <w:iCs w:val="0"/>
                <w:color w:val="auto"/>
                <w:sz w:val="24"/>
                <w:szCs w:val="24"/>
                <w:u w:val="none"/>
              </w:rPr>
            </w:pP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651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消防监控</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C04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13</w:t>
            </w:r>
          </w:p>
        </w:tc>
      </w:tr>
      <w:tr w14:paraId="63AE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tcBorders>
              <w:top w:val="nil"/>
              <w:left w:val="single" w:color="000000" w:sz="4" w:space="0"/>
              <w:bottom w:val="single" w:color="000000" w:sz="4" w:space="0"/>
              <w:right w:val="single" w:color="000000" w:sz="4" w:space="0"/>
            </w:tcBorders>
            <w:shd w:val="clear" w:color="auto" w:fill="auto"/>
            <w:vAlign w:val="center"/>
          </w:tcPr>
          <w:p w14:paraId="05919F2C">
            <w:pPr>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保洁部</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B23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保洁员</w:t>
            </w:r>
          </w:p>
        </w:tc>
        <w:tc>
          <w:tcPr>
            <w:tcW w:w="39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F7E1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27</w:t>
            </w:r>
          </w:p>
        </w:tc>
      </w:tr>
      <w:tr w14:paraId="1B0D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8AF0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维修部</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633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维修班长</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4ED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1</w:t>
            </w:r>
          </w:p>
        </w:tc>
      </w:tr>
      <w:tr w14:paraId="726DD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B75C2">
            <w:pPr>
              <w:jc w:val="center"/>
              <w:rPr>
                <w:rFonts w:hint="eastAsia" w:ascii="仿宋" w:hAnsi="仿宋" w:eastAsia="仿宋" w:cs="仿宋"/>
                <w:i w:val="0"/>
                <w:iCs w:val="0"/>
                <w:color w:val="auto"/>
                <w:sz w:val="24"/>
                <w:szCs w:val="24"/>
                <w:u w:val="none"/>
              </w:rPr>
            </w:pP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F95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维修员</w:t>
            </w: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55C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10</w:t>
            </w:r>
          </w:p>
        </w:tc>
      </w:tr>
      <w:tr w14:paraId="759A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F6A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snapToGrid w:val="0"/>
                <w:color w:val="auto"/>
                <w:kern w:val="0"/>
                <w:sz w:val="24"/>
                <w:szCs w:val="24"/>
                <w:u w:val="none"/>
                <w:lang w:val="en-US" w:eastAsia="zh-CN" w:bidi="ar"/>
              </w:rPr>
              <w:t>合计</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50AC">
            <w:pPr>
              <w:jc w:val="center"/>
              <w:rPr>
                <w:rFonts w:hint="eastAsia" w:ascii="仿宋" w:hAnsi="仿宋" w:eastAsia="仿宋" w:cs="仿宋"/>
                <w:i w:val="0"/>
                <w:iCs w:val="0"/>
                <w:color w:val="auto"/>
                <w:sz w:val="24"/>
                <w:szCs w:val="24"/>
                <w:u w:val="none"/>
              </w:rPr>
            </w:pPr>
          </w:p>
        </w:tc>
        <w:tc>
          <w:tcPr>
            <w:tcW w:w="3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F63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fldChar w:fldCharType="begin"/>
            </w:r>
            <w:r>
              <w:rPr>
                <w:rFonts w:hint="eastAsia" w:ascii="仿宋" w:hAnsi="仿宋" w:eastAsia="仿宋" w:cs="仿宋"/>
                <w:i w:val="0"/>
                <w:iCs w:val="0"/>
                <w:color w:val="auto"/>
                <w:sz w:val="24"/>
                <w:szCs w:val="24"/>
                <w:u w:val="none"/>
              </w:rPr>
              <w:instrText xml:space="preserve"> = sum(C2:C10) \* MERGEFORMAT </w:instrText>
            </w:r>
            <w:r>
              <w:rPr>
                <w:rFonts w:hint="eastAsia" w:ascii="仿宋" w:hAnsi="仿宋" w:eastAsia="仿宋" w:cs="仿宋"/>
                <w:i w:val="0"/>
                <w:iCs w:val="0"/>
                <w:color w:val="auto"/>
                <w:sz w:val="24"/>
                <w:szCs w:val="24"/>
                <w:u w:val="none"/>
              </w:rPr>
              <w:fldChar w:fldCharType="separate"/>
            </w:r>
            <w:r>
              <w:rPr>
                <w:rFonts w:hint="eastAsia" w:ascii="仿宋" w:hAnsi="仿宋" w:eastAsia="仿宋" w:cs="仿宋"/>
                <w:i w:val="0"/>
                <w:iCs w:val="0"/>
                <w:color w:val="auto"/>
                <w:sz w:val="24"/>
                <w:szCs w:val="24"/>
                <w:u w:val="none"/>
              </w:rPr>
              <w:t>91</w:t>
            </w:r>
            <w:r>
              <w:rPr>
                <w:rFonts w:hint="eastAsia" w:ascii="仿宋" w:hAnsi="仿宋" w:eastAsia="仿宋" w:cs="仿宋"/>
                <w:i w:val="0"/>
                <w:iCs w:val="0"/>
                <w:color w:val="auto"/>
                <w:sz w:val="24"/>
                <w:szCs w:val="24"/>
                <w:u w:val="none"/>
              </w:rPr>
              <w:fldChar w:fldCharType="end"/>
            </w:r>
          </w:p>
        </w:tc>
      </w:tr>
    </w:tbl>
    <w:p w14:paraId="4D289BA1">
      <w:pPr>
        <w:spacing w:before="124" w:line="218" w:lineRule="auto"/>
        <w:ind w:left="461"/>
        <w:rPr>
          <w:rFonts w:ascii="仿宋" w:hAnsi="仿宋" w:eastAsia="仿宋" w:cs="仿宋"/>
          <w:color w:val="auto"/>
          <w:sz w:val="24"/>
          <w:szCs w:val="24"/>
        </w:rPr>
      </w:pPr>
      <w:r>
        <w:rPr>
          <w:rFonts w:ascii="仿宋" w:hAnsi="仿宋" w:eastAsia="仿宋" w:cs="仿宋"/>
          <w:color w:val="auto"/>
          <w:spacing w:val="-23"/>
          <w:sz w:val="24"/>
          <w:szCs w:val="24"/>
        </w:rPr>
        <w:t>2.人员总体配备明细</w:t>
      </w:r>
    </w:p>
    <w:tbl>
      <w:tblPr>
        <w:tblStyle w:val="10"/>
        <w:tblpPr w:leftFromText="180" w:rightFromText="180" w:vertAnchor="text" w:horzAnchor="page" w:tblpX="1397" w:tblpY="33"/>
        <w:tblOverlap w:val="never"/>
        <w:tblW w:w="926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7"/>
        <w:gridCol w:w="1065"/>
        <w:gridCol w:w="914"/>
        <w:gridCol w:w="974"/>
        <w:gridCol w:w="4004"/>
        <w:gridCol w:w="1402"/>
      </w:tblGrid>
      <w:tr w14:paraId="134B4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907" w:type="dxa"/>
            <w:vAlign w:val="top"/>
          </w:tcPr>
          <w:p w14:paraId="2E07A593">
            <w:pPr>
              <w:kinsoku w:val="0"/>
              <w:autoSpaceDE w:val="0"/>
              <w:autoSpaceDN w:val="0"/>
              <w:adjustRightInd w:val="0"/>
              <w:snapToGrid w:val="0"/>
              <w:spacing w:before="124" w:line="218" w:lineRule="auto"/>
              <w:ind w:left="120"/>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序号</w:t>
            </w:r>
          </w:p>
        </w:tc>
        <w:tc>
          <w:tcPr>
            <w:tcW w:w="1065" w:type="dxa"/>
            <w:vAlign w:val="top"/>
          </w:tcPr>
          <w:p w14:paraId="7317F1B4">
            <w:pPr>
              <w:kinsoku w:val="0"/>
              <w:autoSpaceDE w:val="0"/>
              <w:autoSpaceDN w:val="0"/>
              <w:adjustRightInd w:val="0"/>
              <w:snapToGrid w:val="0"/>
              <w:spacing w:before="124" w:line="217" w:lineRule="auto"/>
              <w:ind w:left="32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位置</w:t>
            </w:r>
          </w:p>
        </w:tc>
        <w:tc>
          <w:tcPr>
            <w:tcW w:w="914" w:type="dxa"/>
            <w:vAlign w:val="top"/>
          </w:tcPr>
          <w:p w14:paraId="6018E12F">
            <w:pPr>
              <w:kinsoku w:val="0"/>
              <w:autoSpaceDE w:val="0"/>
              <w:autoSpaceDN w:val="0"/>
              <w:adjustRightInd w:val="0"/>
              <w:snapToGrid w:val="0"/>
              <w:spacing w:before="124" w:line="220" w:lineRule="auto"/>
              <w:ind w:left="330"/>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人员</w:t>
            </w:r>
          </w:p>
        </w:tc>
        <w:tc>
          <w:tcPr>
            <w:tcW w:w="974" w:type="dxa"/>
            <w:vAlign w:val="top"/>
          </w:tcPr>
          <w:p w14:paraId="362C1C02">
            <w:pPr>
              <w:rPr>
                <w:rFonts w:ascii="Arial"/>
                <w:color w:val="auto"/>
                <w:sz w:val="21"/>
              </w:rPr>
            </w:pPr>
          </w:p>
        </w:tc>
        <w:tc>
          <w:tcPr>
            <w:tcW w:w="4004" w:type="dxa"/>
            <w:vAlign w:val="top"/>
          </w:tcPr>
          <w:p w14:paraId="67F9F9BC">
            <w:pPr>
              <w:kinsoku w:val="0"/>
              <w:autoSpaceDE w:val="0"/>
              <w:autoSpaceDN w:val="0"/>
              <w:adjustRightInd w:val="0"/>
              <w:snapToGrid w:val="0"/>
              <w:spacing w:before="124" w:line="216" w:lineRule="auto"/>
              <w:ind w:left="179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1"/>
                <w:kern w:val="0"/>
                <w:sz w:val="24"/>
                <w:szCs w:val="24"/>
                <w:lang w:val="en-US" w:eastAsia="en-US" w:bidi="ar-SA"/>
              </w:rPr>
              <w:t>工作区域</w:t>
            </w:r>
          </w:p>
        </w:tc>
        <w:tc>
          <w:tcPr>
            <w:tcW w:w="1402" w:type="dxa"/>
            <w:vAlign w:val="top"/>
          </w:tcPr>
          <w:p w14:paraId="303A49FE">
            <w:pPr>
              <w:kinsoku w:val="0"/>
              <w:autoSpaceDE w:val="0"/>
              <w:autoSpaceDN w:val="0"/>
              <w:adjustRightInd w:val="0"/>
              <w:snapToGrid w:val="0"/>
              <w:spacing w:before="123" w:line="219" w:lineRule="auto"/>
              <w:ind w:left="50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人数</w:t>
            </w:r>
          </w:p>
        </w:tc>
      </w:tr>
      <w:tr w14:paraId="33FFB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6" w:hRule="atLeast"/>
        </w:trPr>
        <w:tc>
          <w:tcPr>
            <w:tcW w:w="907" w:type="dxa"/>
            <w:vMerge w:val="restart"/>
            <w:tcBorders>
              <w:bottom w:val="nil"/>
            </w:tcBorders>
            <w:vAlign w:val="top"/>
          </w:tcPr>
          <w:p w14:paraId="5E28CBBF">
            <w:pPr>
              <w:spacing w:line="250" w:lineRule="auto"/>
              <w:rPr>
                <w:rFonts w:ascii="Arial"/>
                <w:color w:val="auto"/>
                <w:sz w:val="21"/>
              </w:rPr>
            </w:pPr>
          </w:p>
          <w:p w14:paraId="4B1BABC6">
            <w:pPr>
              <w:spacing w:line="251" w:lineRule="auto"/>
              <w:rPr>
                <w:rFonts w:ascii="Arial"/>
                <w:color w:val="auto"/>
                <w:sz w:val="21"/>
              </w:rPr>
            </w:pPr>
          </w:p>
          <w:p w14:paraId="6B58E751">
            <w:pPr>
              <w:spacing w:line="251" w:lineRule="auto"/>
              <w:rPr>
                <w:rFonts w:ascii="Arial"/>
                <w:color w:val="auto"/>
                <w:sz w:val="21"/>
              </w:rPr>
            </w:pPr>
          </w:p>
          <w:p w14:paraId="7D7C63E5">
            <w:pPr>
              <w:spacing w:line="251" w:lineRule="auto"/>
              <w:rPr>
                <w:rFonts w:ascii="Arial"/>
                <w:color w:val="auto"/>
                <w:sz w:val="21"/>
              </w:rPr>
            </w:pPr>
          </w:p>
          <w:p w14:paraId="4ECA8B07">
            <w:pPr>
              <w:spacing w:line="251" w:lineRule="auto"/>
              <w:rPr>
                <w:rFonts w:ascii="Arial"/>
                <w:color w:val="auto"/>
                <w:sz w:val="21"/>
              </w:rPr>
            </w:pPr>
          </w:p>
          <w:p w14:paraId="2B2135D4">
            <w:pPr>
              <w:spacing w:line="251" w:lineRule="auto"/>
              <w:rPr>
                <w:rFonts w:ascii="Arial"/>
                <w:color w:val="auto"/>
                <w:sz w:val="21"/>
              </w:rPr>
            </w:pPr>
          </w:p>
          <w:p w14:paraId="5CA614FB">
            <w:pPr>
              <w:spacing w:line="251" w:lineRule="auto"/>
              <w:rPr>
                <w:rFonts w:ascii="Arial"/>
                <w:color w:val="auto"/>
                <w:sz w:val="21"/>
              </w:rPr>
            </w:pPr>
          </w:p>
          <w:p w14:paraId="3128B753">
            <w:pPr>
              <w:kinsoku w:val="0"/>
              <w:autoSpaceDE w:val="0"/>
              <w:autoSpaceDN w:val="0"/>
              <w:adjustRightInd w:val="0"/>
              <w:snapToGrid w:val="0"/>
              <w:spacing w:before="78" w:line="238" w:lineRule="auto"/>
              <w:ind w:left="55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1</w:t>
            </w:r>
          </w:p>
        </w:tc>
        <w:tc>
          <w:tcPr>
            <w:tcW w:w="1065" w:type="dxa"/>
            <w:vMerge w:val="restart"/>
            <w:tcBorders>
              <w:bottom w:val="nil"/>
            </w:tcBorders>
            <w:vAlign w:val="top"/>
          </w:tcPr>
          <w:p w14:paraId="01E7A920">
            <w:pPr>
              <w:spacing w:line="250" w:lineRule="auto"/>
              <w:rPr>
                <w:rFonts w:ascii="Arial"/>
                <w:color w:val="auto"/>
                <w:sz w:val="21"/>
              </w:rPr>
            </w:pPr>
          </w:p>
          <w:p w14:paraId="2368E549">
            <w:pPr>
              <w:spacing w:line="250" w:lineRule="auto"/>
              <w:rPr>
                <w:rFonts w:ascii="Arial"/>
                <w:color w:val="auto"/>
                <w:sz w:val="21"/>
              </w:rPr>
            </w:pPr>
          </w:p>
          <w:p w14:paraId="68560625">
            <w:pPr>
              <w:spacing w:line="251" w:lineRule="auto"/>
              <w:rPr>
                <w:rFonts w:ascii="Arial"/>
                <w:color w:val="auto"/>
                <w:sz w:val="21"/>
              </w:rPr>
            </w:pPr>
          </w:p>
          <w:p w14:paraId="3C13C317">
            <w:pPr>
              <w:spacing w:line="251" w:lineRule="auto"/>
              <w:rPr>
                <w:rFonts w:ascii="Arial"/>
                <w:color w:val="auto"/>
                <w:sz w:val="21"/>
              </w:rPr>
            </w:pPr>
          </w:p>
          <w:p w14:paraId="51E8F8EF">
            <w:pPr>
              <w:spacing w:line="251" w:lineRule="auto"/>
              <w:rPr>
                <w:rFonts w:ascii="Arial"/>
                <w:color w:val="auto"/>
                <w:sz w:val="21"/>
              </w:rPr>
            </w:pPr>
          </w:p>
          <w:p w14:paraId="25B4F4E6">
            <w:pPr>
              <w:spacing w:line="251" w:lineRule="auto"/>
              <w:rPr>
                <w:rFonts w:ascii="Arial"/>
                <w:color w:val="auto"/>
                <w:sz w:val="21"/>
              </w:rPr>
            </w:pPr>
          </w:p>
          <w:p w14:paraId="2D7981BA">
            <w:pPr>
              <w:spacing w:line="251" w:lineRule="auto"/>
              <w:rPr>
                <w:rFonts w:ascii="Arial"/>
                <w:color w:val="auto"/>
                <w:sz w:val="21"/>
              </w:rPr>
            </w:pPr>
          </w:p>
          <w:p w14:paraId="1A75C696">
            <w:pPr>
              <w:kinsoku w:val="0"/>
              <w:autoSpaceDE w:val="0"/>
              <w:autoSpaceDN w:val="0"/>
              <w:adjustRightInd w:val="0"/>
              <w:snapToGrid w:val="0"/>
              <w:spacing w:before="78" w:line="220" w:lineRule="auto"/>
              <w:ind w:left="114"/>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7"/>
                <w:kern w:val="0"/>
                <w:sz w:val="24"/>
                <w:szCs w:val="24"/>
                <w:lang w:val="en-US" w:eastAsia="en-US" w:bidi="ar-SA"/>
              </w:rPr>
              <w:t>规划馆</w:t>
            </w:r>
          </w:p>
        </w:tc>
        <w:tc>
          <w:tcPr>
            <w:tcW w:w="914" w:type="dxa"/>
            <w:vMerge w:val="restart"/>
            <w:tcBorders>
              <w:bottom w:val="nil"/>
            </w:tcBorders>
            <w:vAlign w:val="top"/>
          </w:tcPr>
          <w:p w14:paraId="1A492622">
            <w:pPr>
              <w:spacing w:line="250" w:lineRule="auto"/>
              <w:rPr>
                <w:rFonts w:ascii="Arial"/>
                <w:color w:val="auto"/>
                <w:sz w:val="21"/>
              </w:rPr>
            </w:pPr>
          </w:p>
          <w:p w14:paraId="7F8C63CA">
            <w:pPr>
              <w:spacing w:line="251" w:lineRule="auto"/>
              <w:rPr>
                <w:rFonts w:ascii="Arial"/>
                <w:color w:val="auto"/>
                <w:sz w:val="21"/>
              </w:rPr>
            </w:pPr>
          </w:p>
          <w:p w14:paraId="7080E117">
            <w:pPr>
              <w:spacing w:line="251" w:lineRule="auto"/>
              <w:rPr>
                <w:rFonts w:ascii="Arial"/>
                <w:color w:val="auto"/>
                <w:sz w:val="21"/>
              </w:rPr>
            </w:pPr>
          </w:p>
          <w:p w14:paraId="1D0232EA">
            <w:pPr>
              <w:spacing w:line="251" w:lineRule="auto"/>
              <w:rPr>
                <w:rFonts w:ascii="Arial"/>
                <w:color w:val="auto"/>
                <w:sz w:val="21"/>
              </w:rPr>
            </w:pPr>
          </w:p>
          <w:p w14:paraId="4799B5D3">
            <w:pPr>
              <w:spacing w:line="251" w:lineRule="auto"/>
              <w:rPr>
                <w:rFonts w:ascii="Arial"/>
                <w:color w:val="auto"/>
                <w:sz w:val="21"/>
              </w:rPr>
            </w:pPr>
          </w:p>
          <w:p w14:paraId="220CF731">
            <w:pPr>
              <w:spacing w:line="251" w:lineRule="auto"/>
              <w:rPr>
                <w:rFonts w:ascii="Arial"/>
                <w:color w:val="auto"/>
                <w:sz w:val="21"/>
              </w:rPr>
            </w:pPr>
          </w:p>
          <w:p w14:paraId="5B2E419F">
            <w:pPr>
              <w:spacing w:line="251" w:lineRule="auto"/>
              <w:rPr>
                <w:rFonts w:ascii="Arial"/>
                <w:color w:val="auto"/>
                <w:sz w:val="21"/>
              </w:rPr>
            </w:pPr>
          </w:p>
          <w:p w14:paraId="5EC4FF93">
            <w:pPr>
              <w:kinsoku w:val="0"/>
              <w:autoSpaceDE w:val="0"/>
              <w:autoSpaceDN w:val="0"/>
              <w:adjustRightInd w:val="0"/>
              <w:snapToGrid w:val="0"/>
              <w:spacing w:before="78" w:line="217"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保洁</w:t>
            </w:r>
          </w:p>
        </w:tc>
        <w:tc>
          <w:tcPr>
            <w:tcW w:w="974" w:type="dxa"/>
            <w:vAlign w:val="top"/>
          </w:tcPr>
          <w:p w14:paraId="6C14CE4D">
            <w:pPr>
              <w:spacing w:line="296" w:lineRule="auto"/>
              <w:rPr>
                <w:rFonts w:ascii="Arial"/>
                <w:color w:val="auto"/>
                <w:sz w:val="21"/>
              </w:rPr>
            </w:pPr>
          </w:p>
          <w:p w14:paraId="4BACDC38">
            <w:pPr>
              <w:spacing w:line="296" w:lineRule="auto"/>
              <w:rPr>
                <w:rFonts w:ascii="Arial"/>
                <w:color w:val="auto"/>
                <w:sz w:val="21"/>
              </w:rPr>
            </w:pPr>
          </w:p>
          <w:p w14:paraId="41BA98F9">
            <w:pPr>
              <w:kinsoku w:val="0"/>
              <w:autoSpaceDE w:val="0"/>
              <w:autoSpaceDN w:val="0"/>
              <w:adjustRightInd w:val="0"/>
              <w:snapToGrid w:val="0"/>
              <w:spacing w:before="78" w:line="218" w:lineRule="auto"/>
              <w:ind w:left="11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7"/>
                <w:kern w:val="0"/>
                <w:sz w:val="24"/>
                <w:szCs w:val="24"/>
                <w:lang w:val="en-US" w:eastAsia="en-US" w:bidi="ar-SA"/>
              </w:rPr>
              <w:t>2楼</w:t>
            </w:r>
          </w:p>
        </w:tc>
        <w:tc>
          <w:tcPr>
            <w:tcW w:w="4004" w:type="dxa"/>
            <w:vAlign w:val="center"/>
          </w:tcPr>
          <w:p w14:paraId="2E61C6E6">
            <w:pPr>
              <w:kinsoku w:val="0"/>
              <w:autoSpaceDE w:val="0"/>
              <w:autoSpaceDN w:val="0"/>
              <w:adjustRightInd w:val="0"/>
              <w:snapToGrid w:val="0"/>
              <w:spacing w:before="184" w:line="348" w:lineRule="auto"/>
              <w:ind w:left="101" w:right="69" w:firstLine="1"/>
              <w:jc w:val="both"/>
              <w:textAlignment w:val="baseline"/>
              <w:rPr>
                <w:rFonts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1楼大厅及2楼科工局公共走廊卫生间，1楼至2楼西侧石材步梯、1-2楼所有安全步梯（6个）</w:t>
            </w:r>
          </w:p>
        </w:tc>
        <w:tc>
          <w:tcPr>
            <w:tcW w:w="1402" w:type="dxa"/>
            <w:vAlign w:val="center"/>
          </w:tcPr>
          <w:p w14:paraId="55A75DEF">
            <w:pPr>
              <w:kinsoku w:val="0"/>
              <w:autoSpaceDE w:val="0"/>
              <w:autoSpaceDN w:val="0"/>
              <w:adjustRightInd w:val="0"/>
              <w:snapToGrid w:val="0"/>
              <w:spacing w:before="184" w:line="348" w:lineRule="auto"/>
              <w:ind w:left="101" w:right="69" w:firstLine="1"/>
              <w:jc w:val="both"/>
              <w:textAlignment w:val="baseline"/>
              <w:rPr>
                <w:rFonts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1人</w:t>
            </w:r>
          </w:p>
        </w:tc>
      </w:tr>
      <w:tr w14:paraId="11D01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6" w:hRule="atLeast"/>
        </w:trPr>
        <w:tc>
          <w:tcPr>
            <w:tcW w:w="907" w:type="dxa"/>
            <w:vMerge w:val="continue"/>
            <w:tcBorders>
              <w:top w:val="nil"/>
            </w:tcBorders>
            <w:vAlign w:val="top"/>
          </w:tcPr>
          <w:p w14:paraId="0D640E6C">
            <w:pPr>
              <w:rPr>
                <w:rFonts w:ascii="Arial"/>
                <w:color w:val="auto"/>
                <w:sz w:val="21"/>
              </w:rPr>
            </w:pPr>
          </w:p>
        </w:tc>
        <w:tc>
          <w:tcPr>
            <w:tcW w:w="1065" w:type="dxa"/>
            <w:vMerge w:val="continue"/>
            <w:tcBorders>
              <w:top w:val="nil"/>
            </w:tcBorders>
            <w:vAlign w:val="top"/>
          </w:tcPr>
          <w:p w14:paraId="482F3556">
            <w:pPr>
              <w:rPr>
                <w:rFonts w:ascii="Arial"/>
                <w:color w:val="auto"/>
                <w:sz w:val="21"/>
              </w:rPr>
            </w:pPr>
          </w:p>
        </w:tc>
        <w:tc>
          <w:tcPr>
            <w:tcW w:w="914" w:type="dxa"/>
            <w:vMerge w:val="continue"/>
            <w:tcBorders>
              <w:top w:val="nil"/>
            </w:tcBorders>
            <w:vAlign w:val="top"/>
          </w:tcPr>
          <w:p w14:paraId="44109EA5">
            <w:pPr>
              <w:rPr>
                <w:rFonts w:ascii="Arial"/>
                <w:color w:val="auto"/>
                <w:sz w:val="21"/>
              </w:rPr>
            </w:pPr>
          </w:p>
        </w:tc>
        <w:tc>
          <w:tcPr>
            <w:tcW w:w="974" w:type="dxa"/>
            <w:vAlign w:val="top"/>
          </w:tcPr>
          <w:p w14:paraId="0E687AA9">
            <w:pPr>
              <w:spacing w:line="242" w:lineRule="auto"/>
              <w:rPr>
                <w:rFonts w:ascii="Arial"/>
                <w:color w:val="auto"/>
                <w:sz w:val="21"/>
              </w:rPr>
            </w:pPr>
          </w:p>
          <w:p w14:paraId="697178FD">
            <w:pPr>
              <w:spacing w:line="242" w:lineRule="auto"/>
              <w:rPr>
                <w:rFonts w:ascii="Arial"/>
                <w:color w:val="auto"/>
                <w:sz w:val="21"/>
              </w:rPr>
            </w:pPr>
          </w:p>
          <w:p w14:paraId="0307BC6F">
            <w:pPr>
              <w:spacing w:line="243" w:lineRule="auto"/>
              <w:rPr>
                <w:rFonts w:ascii="Arial"/>
                <w:color w:val="auto"/>
                <w:sz w:val="21"/>
              </w:rPr>
            </w:pPr>
          </w:p>
          <w:p w14:paraId="2F96CB8A">
            <w:pPr>
              <w:spacing w:line="243" w:lineRule="auto"/>
              <w:rPr>
                <w:rFonts w:ascii="Arial"/>
                <w:color w:val="auto"/>
                <w:sz w:val="21"/>
              </w:rPr>
            </w:pPr>
          </w:p>
          <w:p w14:paraId="3A5108B2">
            <w:pPr>
              <w:kinsoku w:val="0"/>
              <w:autoSpaceDE w:val="0"/>
              <w:autoSpaceDN w:val="0"/>
              <w:adjustRightInd w:val="0"/>
              <w:snapToGrid w:val="0"/>
              <w:spacing w:before="78" w:line="218" w:lineRule="auto"/>
              <w:ind w:left="124"/>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4"/>
                <w:kern w:val="0"/>
                <w:sz w:val="24"/>
                <w:szCs w:val="24"/>
                <w:lang w:val="en-US" w:eastAsia="en-US" w:bidi="ar-SA"/>
              </w:rPr>
              <w:t>北侧</w:t>
            </w:r>
          </w:p>
        </w:tc>
        <w:tc>
          <w:tcPr>
            <w:tcW w:w="4004" w:type="dxa"/>
            <w:vAlign w:val="center"/>
          </w:tcPr>
          <w:p w14:paraId="1CC883C5">
            <w:pPr>
              <w:kinsoku w:val="0"/>
              <w:autoSpaceDE w:val="0"/>
              <w:autoSpaceDN w:val="0"/>
              <w:adjustRightInd w:val="0"/>
              <w:snapToGrid w:val="0"/>
              <w:spacing w:before="184" w:line="348" w:lineRule="auto"/>
              <w:ind w:left="101" w:right="69" w:firstLine="1"/>
              <w:jc w:val="both"/>
              <w:textAlignment w:val="baseline"/>
              <w:rPr>
                <w:rFonts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3楼城市管理局、商务局公共区域2至3楼北侧室内安全步梯通往西侧影院平台，西侧设备间大通道、北侧2个安全步梯2-3楼、招商局接待室阳光房3件卫生保洁，卫生间、茶水间</w:t>
            </w:r>
          </w:p>
        </w:tc>
        <w:tc>
          <w:tcPr>
            <w:tcW w:w="1402" w:type="dxa"/>
            <w:vAlign w:val="center"/>
          </w:tcPr>
          <w:p w14:paraId="4276216A">
            <w:pPr>
              <w:kinsoku w:val="0"/>
              <w:autoSpaceDE w:val="0"/>
              <w:autoSpaceDN w:val="0"/>
              <w:adjustRightInd w:val="0"/>
              <w:snapToGrid w:val="0"/>
              <w:spacing w:before="184" w:line="348" w:lineRule="auto"/>
              <w:ind w:left="101" w:right="69" w:firstLine="1"/>
              <w:jc w:val="both"/>
              <w:textAlignment w:val="baseline"/>
              <w:rPr>
                <w:rFonts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1人</w:t>
            </w:r>
          </w:p>
        </w:tc>
      </w:tr>
    </w:tbl>
    <w:p w14:paraId="442C6A18">
      <w:pPr>
        <w:spacing w:line="57" w:lineRule="exact"/>
        <w:rPr>
          <w:color w:val="auto"/>
        </w:rPr>
      </w:pPr>
    </w:p>
    <w:p w14:paraId="70FC8C10">
      <w:pPr>
        <w:pStyle w:val="3"/>
        <w:rPr>
          <w:color w:val="auto"/>
        </w:rPr>
      </w:pPr>
    </w:p>
    <w:p w14:paraId="470CCD1C">
      <w:pPr>
        <w:rPr>
          <w:color w:val="auto"/>
        </w:rPr>
        <w:sectPr>
          <w:headerReference r:id="rId30" w:type="default"/>
          <w:footerReference r:id="rId31" w:type="default"/>
          <w:pgSz w:w="11910" w:h="16845"/>
          <w:pgMar w:top="990" w:right="1201" w:bottom="890" w:left="1397" w:header="675" w:footer="659" w:gutter="0"/>
          <w:cols w:space="720" w:num="1"/>
        </w:sectPr>
      </w:pPr>
    </w:p>
    <w:p w14:paraId="634CABAE">
      <w:pPr>
        <w:spacing w:before="193"/>
        <w:rPr>
          <w:color w:val="auto"/>
        </w:rPr>
      </w:pPr>
    </w:p>
    <w:tbl>
      <w:tblPr>
        <w:tblStyle w:val="10"/>
        <w:tblW w:w="92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7"/>
        <w:gridCol w:w="1065"/>
        <w:gridCol w:w="914"/>
        <w:gridCol w:w="974"/>
        <w:gridCol w:w="4004"/>
        <w:gridCol w:w="1402"/>
      </w:tblGrid>
      <w:tr w14:paraId="7D69C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2" w:hRule="atLeast"/>
        </w:trPr>
        <w:tc>
          <w:tcPr>
            <w:tcW w:w="907" w:type="dxa"/>
            <w:vMerge w:val="restart"/>
            <w:tcBorders>
              <w:bottom w:val="nil"/>
            </w:tcBorders>
            <w:vAlign w:val="top"/>
          </w:tcPr>
          <w:p w14:paraId="0FFB1481">
            <w:pPr>
              <w:rPr>
                <w:rFonts w:ascii="Arial"/>
                <w:color w:val="auto"/>
                <w:sz w:val="21"/>
              </w:rPr>
            </w:pPr>
          </w:p>
        </w:tc>
        <w:tc>
          <w:tcPr>
            <w:tcW w:w="1065" w:type="dxa"/>
            <w:vMerge w:val="restart"/>
            <w:tcBorders>
              <w:bottom w:val="nil"/>
            </w:tcBorders>
            <w:vAlign w:val="top"/>
          </w:tcPr>
          <w:p w14:paraId="427C0580">
            <w:pPr>
              <w:rPr>
                <w:rFonts w:ascii="Arial"/>
                <w:color w:val="auto"/>
                <w:sz w:val="21"/>
              </w:rPr>
            </w:pPr>
          </w:p>
        </w:tc>
        <w:tc>
          <w:tcPr>
            <w:tcW w:w="914" w:type="dxa"/>
            <w:vAlign w:val="top"/>
          </w:tcPr>
          <w:p w14:paraId="1DD11D79">
            <w:pPr>
              <w:rPr>
                <w:rFonts w:ascii="Arial"/>
                <w:color w:val="auto"/>
                <w:sz w:val="21"/>
              </w:rPr>
            </w:pPr>
          </w:p>
        </w:tc>
        <w:tc>
          <w:tcPr>
            <w:tcW w:w="974" w:type="dxa"/>
            <w:vAlign w:val="top"/>
          </w:tcPr>
          <w:p w14:paraId="57891BF1">
            <w:pPr>
              <w:spacing w:line="291" w:lineRule="auto"/>
              <w:rPr>
                <w:rFonts w:ascii="Arial"/>
                <w:color w:val="auto"/>
                <w:sz w:val="21"/>
              </w:rPr>
            </w:pPr>
          </w:p>
          <w:p w14:paraId="70A4B194">
            <w:pPr>
              <w:spacing w:line="291" w:lineRule="auto"/>
              <w:rPr>
                <w:rFonts w:ascii="Arial"/>
                <w:color w:val="auto"/>
                <w:sz w:val="21"/>
              </w:rPr>
            </w:pPr>
          </w:p>
          <w:p w14:paraId="4B768DE5">
            <w:pPr>
              <w:kinsoku w:val="0"/>
              <w:autoSpaceDE w:val="0"/>
              <w:autoSpaceDN w:val="0"/>
              <w:adjustRightInd w:val="0"/>
              <w:snapToGrid w:val="0"/>
              <w:spacing w:before="78" w:line="220" w:lineRule="auto"/>
              <w:ind w:left="12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5"/>
                <w:kern w:val="0"/>
                <w:sz w:val="24"/>
                <w:szCs w:val="24"/>
                <w:lang w:val="en-US" w:eastAsia="en-US" w:bidi="ar-SA"/>
              </w:rPr>
              <w:t>南侧</w:t>
            </w:r>
          </w:p>
        </w:tc>
        <w:tc>
          <w:tcPr>
            <w:tcW w:w="4004" w:type="dxa"/>
            <w:vAlign w:val="center"/>
          </w:tcPr>
          <w:p w14:paraId="6E96F1D5">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3楼南侧招商局，乡村振兴局公共区域及2-3楼安全步梯（5个）、卫生间卫生、茶水间</w:t>
            </w:r>
          </w:p>
        </w:tc>
        <w:tc>
          <w:tcPr>
            <w:tcW w:w="1402" w:type="dxa"/>
            <w:vAlign w:val="center"/>
          </w:tcPr>
          <w:p w14:paraId="4B41C933">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1人</w:t>
            </w:r>
          </w:p>
        </w:tc>
      </w:tr>
      <w:tr w14:paraId="3B27B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4" w:hRule="atLeast"/>
        </w:trPr>
        <w:tc>
          <w:tcPr>
            <w:tcW w:w="907" w:type="dxa"/>
            <w:vMerge w:val="continue"/>
            <w:tcBorders>
              <w:top w:val="nil"/>
              <w:bottom w:val="nil"/>
            </w:tcBorders>
            <w:vAlign w:val="top"/>
          </w:tcPr>
          <w:p w14:paraId="796956C7">
            <w:pPr>
              <w:rPr>
                <w:rFonts w:ascii="Arial"/>
                <w:color w:val="auto"/>
                <w:sz w:val="21"/>
              </w:rPr>
            </w:pPr>
          </w:p>
        </w:tc>
        <w:tc>
          <w:tcPr>
            <w:tcW w:w="1065" w:type="dxa"/>
            <w:vMerge w:val="continue"/>
            <w:tcBorders>
              <w:top w:val="nil"/>
              <w:bottom w:val="nil"/>
            </w:tcBorders>
            <w:vAlign w:val="top"/>
          </w:tcPr>
          <w:p w14:paraId="4B5C8E34">
            <w:pPr>
              <w:rPr>
                <w:rFonts w:ascii="Arial"/>
                <w:color w:val="auto"/>
                <w:sz w:val="21"/>
              </w:rPr>
            </w:pPr>
          </w:p>
        </w:tc>
        <w:tc>
          <w:tcPr>
            <w:tcW w:w="914" w:type="dxa"/>
            <w:vAlign w:val="top"/>
          </w:tcPr>
          <w:p w14:paraId="27705E41">
            <w:pPr>
              <w:spacing w:line="241" w:lineRule="auto"/>
              <w:rPr>
                <w:rFonts w:ascii="Arial"/>
                <w:color w:val="auto"/>
                <w:sz w:val="21"/>
              </w:rPr>
            </w:pPr>
          </w:p>
          <w:p w14:paraId="4B51250B">
            <w:pPr>
              <w:spacing w:line="241" w:lineRule="auto"/>
              <w:rPr>
                <w:rFonts w:ascii="Arial"/>
                <w:color w:val="auto"/>
                <w:sz w:val="21"/>
              </w:rPr>
            </w:pPr>
          </w:p>
          <w:p w14:paraId="487A2533">
            <w:pPr>
              <w:spacing w:line="241" w:lineRule="auto"/>
              <w:rPr>
                <w:rFonts w:ascii="Arial"/>
                <w:color w:val="auto"/>
                <w:sz w:val="21"/>
              </w:rPr>
            </w:pPr>
          </w:p>
          <w:p w14:paraId="23BDAB59">
            <w:pPr>
              <w:spacing w:line="242" w:lineRule="auto"/>
              <w:rPr>
                <w:rFonts w:ascii="Arial"/>
                <w:color w:val="auto"/>
                <w:sz w:val="21"/>
              </w:rPr>
            </w:pPr>
          </w:p>
          <w:p w14:paraId="53DC0756">
            <w:pPr>
              <w:kinsoku w:val="0"/>
              <w:autoSpaceDE w:val="0"/>
              <w:autoSpaceDN w:val="0"/>
              <w:adjustRightInd w:val="0"/>
              <w:snapToGrid w:val="0"/>
              <w:spacing w:before="78" w:line="217" w:lineRule="auto"/>
              <w:ind w:left="12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维修</w:t>
            </w:r>
          </w:p>
        </w:tc>
        <w:tc>
          <w:tcPr>
            <w:tcW w:w="974" w:type="dxa"/>
            <w:vAlign w:val="top"/>
          </w:tcPr>
          <w:p w14:paraId="353B3A25">
            <w:pPr>
              <w:rPr>
                <w:rFonts w:ascii="Arial"/>
                <w:color w:val="auto"/>
                <w:sz w:val="21"/>
              </w:rPr>
            </w:pPr>
          </w:p>
        </w:tc>
        <w:tc>
          <w:tcPr>
            <w:tcW w:w="4004" w:type="dxa"/>
            <w:vAlign w:val="center"/>
          </w:tcPr>
          <w:p w14:paraId="4637F8FE">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科工局、乡村振兴局、招商局、商务局、城市管理局、市场监管局、城市会客厅公共区域及办公区域照明日常开关、各单位小修（白班2人）空调暖气设备正常运行，早、中、晚各1人）</w:t>
            </w:r>
          </w:p>
        </w:tc>
        <w:tc>
          <w:tcPr>
            <w:tcW w:w="1402" w:type="dxa"/>
            <w:vAlign w:val="center"/>
          </w:tcPr>
          <w:p w14:paraId="40685DBC">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 xml:space="preserve">                   早：1人                    中：1人           晚：1人                 合计：3人</w:t>
            </w:r>
          </w:p>
        </w:tc>
      </w:tr>
      <w:tr w14:paraId="0DAC1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19" w:hRule="atLeast"/>
        </w:trPr>
        <w:tc>
          <w:tcPr>
            <w:tcW w:w="907" w:type="dxa"/>
            <w:vMerge w:val="continue"/>
            <w:tcBorders>
              <w:top w:val="nil"/>
              <w:bottom w:val="nil"/>
            </w:tcBorders>
            <w:vAlign w:val="top"/>
          </w:tcPr>
          <w:p w14:paraId="33B040AF">
            <w:pPr>
              <w:rPr>
                <w:rFonts w:ascii="Arial"/>
                <w:color w:val="auto"/>
                <w:sz w:val="21"/>
              </w:rPr>
            </w:pPr>
          </w:p>
        </w:tc>
        <w:tc>
          <w:tcPr>
            <w:tcW w:w="1065" w:type="dxa"/>
            <w:vMerge w:val="continue"/>
            <w:tcBorders>
              <w:top w:val="nil"/>
              <w:bottom w:val="nil"/>
            </w:tcBorders>
            <w:vAlign w:val="top"/>
          </w:tcPr>
          <w:p w14:paraId="694A28AB">
            <w:pPr>
              <w:rPr>
                <w:rFonts w:ascii="Arial"/>
                <w:color w:val="auto"/>
                <w:sz w:val="21"/>
              </w:rPr>
            </w:pPr>
          </w:p>
        </w:tc>
        <w:tc>
          <w:tcPr>
            <w:tcW w:w="914" w:type="dxa"/>
            <w:vAlign w:val="top"/>
          </w:tcPr>
          <w:p w14:paraId="39E19BC8">
            <w:pPr>
              <w:spacing w:line="249" w:lineRule="auto"/>
              <w:rPr>
                <w:rFonts w:ascii="Arial"/>
                <w:color w:val="auto"/>
                <w:sz w:val="21"/>
              </w:rPr>
            </w:pPr>
          </w:p>
          <w:p w14:paraId="763C312E">
            <w:pPr>
              <w:spacing w:line="249" w:lineRule="auto"/>
              <w:rPr>
                <w:rFonts w:ascii="Arial"/>
                <w:color w:val="auto"/>
                <w:sz w:val="21"/>
              </w:rPr>
            </w:pPr>
          </w:p>
          <w:p w14:paraId="5ADA7AA5">
            <w:pPr>
              <w:spacing w:line="249" w:lineRule="auto"/>
              <w:rPr>
                <w:rFonts w:ascii="Arial"/>
                <w:color w:val="auto"/>
                <w:sz w:val="21"/>
              </w:rPr>
            </w:pPr>
          </w:p>
          <w:p w14:paraId="07F826AB">
            <w:pPr>
              <w:spacing w:line="249" w:lineRule="auto"/>
              <w:rPr>
                <w:rFonts w:ascii="Arial"/>
                <w:color w:val="auto"/>
                <w:sz w:val="21"/>
              </w:rPr>
            </w:pPr>
          </w:p>
          <w:p w14:paraId="46BAD064">
            <w:pPr>
              <w:spacing w:line="249" w:lineRule="auto"/>
              <w:rPr>
                <w:rFonts w:ascii="Arial"/>
                <w:color w:val="auto"/>
                <w:sz w:val="21"/>
              </w:rPr>
            </w:pPr>
          </w:p>
          <w:p w14:paraId="32DB8EFA">
            <w:pPr>
              <w:spacing w:line="249" w:lineRule="auto"/>
              <w:rPr>
                <w:rFonts w:ascii="Arial"/>
                <w:color w:val="auto"/>
                <w:sz w:val="21"/>
              </w:rPr>
            </w:pPr>
          </w:p>
          <w:p w14:paraId="0382F261">
            <w:pPr>
              <w:spacing w:line="249" w:lineRule="auto"/>
              <w:rPr>
                <w:rFonts w:ascii="Arial"/>
                <w:color w:val="auto"/>
                <w:sz w:val="21"/>
              </w:rPr>
            </w:pPr>
          </w:p>
          <w:p w14:paraId="5C595062">
            <w:pPr>
              <w:spacing w:line="250" w:lineRule="auto"/>
              <w:rPr>
                <w:rFonts w:ascii="Arial"/>
                <w:color w:val="auto"/>
                <w:sz w:val="21"/>
              </w:rPr>
            </w:pPr>
          </w:p>
          <w:p w14:paraId="4FA71DEE">
            <w:pPr>
              <w:spacing w:line="250" w:lineRule="auto"/>
              <w:rPr>
                <w:rFonts w:ascii="Arial"/>
                <w:color w:val="auto"/>
                <w:sz w:val="21"/>
              </w:rPr>
            </w:pPr>
          </w:p>
          <w:p w14:paraId="3492C964">
            <w:pPr>
              <w:spacing w:line="250" w:lineRule="auto"/>
              <w:rPr>
                <w:rFonts w:ascii="Arial"/>
                <w:color w:val="auto"/>
                <w:sz w:val="21"/>
              </w:rPr>
            </w:pPr>
          </w:p>
          <w:p w14:paraId="5ABA0094">
            <w:pPr>
              <w:spacing w:line="250" w:lineRule="auto"/>
              <w:rPr>
                <w:rFonts w:ascii="Arial"/>
                <w:color w:val="auto"/>
                <w:sz w:val="21"/>
              </w:rPr>
            </w:pPr>
          </w:p>
          <w:p w14:paraId="692C2012">
            <w:pPr>
              <w:spacing w:line="250" w:lineRule="auto"/>
              <w:rPr>
                <w:rFonts w:ascii="Arial"/>
                <w:color w:val="auto"/>
                <w:sz w:val="21"/>
              </w:rPr>
            </w:pPr>
          </w:p>
          <w:p w14:paraId="0DEB2295">
            <w:pPr>
              <w:spacing w:line="250" w:lineRule="auto"/>
              <w:rPr>
                <w:rFonts w:ascii="Arial"/>
                <w:color w:val="auto"/>
                <w:sz w:val="21"/>
              </w:rPr>
            </w:pPr>
          </w:p>
          <w:p w14:paraId="492CABA8">
            <w:pPr>
              <w:spacing w:line="250" w:lineRule="auto"/>
              <w:rPr>
                <w:rFonts w:ascii="Arial"/>
                <w:color w:val="auto"/>
                <w:sz w:val="21"/>
              </w:rPr>
            </w:pPr>
          </w:p>
          <w:p w14:paraId="0959BB16">
            <w:pPr>
              <w:spacing w:line="250" w:lineRule="auto"/>
              <w:rPr>
                <w:rFonts w:ascii="Arial"/>
                <w:color w:val="auto"/>
                <w:sz w:val="21"/>
              </w:rPr>
            </w:pPr>
          </w:p>
          <w:p w14:paraId="39F84542">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49754631">
            <w:pPr>
              <w:rPr>
                <w:rFonts w:ascii="Arial"/>
                <w:color w:val="auto"/>
                <w:sz w:val="21"/>
              </w:rPr>
            </w:pPr>
          </w:p>
        </w:tc>
        <w:tc>
          <w:tcPr>
            <w:tcW w:w="4004" w:type="dxa"/>
            <w:vAlign w:val="center"/>
          </w:tcPr>
          <w:p w14:paraId="08CC35D0">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监控室负责：1、24小时监控设备的监视、值班期间随时记录消防控制室内消防设备的运行情况；2、负责对火灾报警控制器等消防设备进行每日检查以确保消防控制设备正常运行；3、当建筑消防设备出现异常、误报和故障时应及时通知并协助维保人员进行维修，维护，填写建筑消防设施故障维修记录表；4、接到火灾报警后，按火警处置流程处置、5做好交接班工作，认真填写消防控制室值班记录表；6、认真学习消防法律法规，学习消防专业知识，熟练掌握消防设备的性能及操作规程，提高消防技能</w:t>
            </w:r>
          </w:p>
        </w:tc>
        <w:tc>
          <w:tcPr>
            <w:tcW w:w="1402" w:type="dxa"/>
            <w:vAlign w:val="center"/>
          </w:tcPr>
          <w:p w14:paraId="00C8BF01">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早班：2人，               中班：2人，                 夜班：2人                    合计：6人</w:t>
            </w:r>
          </w:p>
        </w:tc>
      </w:tr>
      <w:tr w14:paraId="68C6B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52" w:hRule="atLeast"/>
        </w:trPr>
        <w:tc>
          <w:tcPr>
            <w:tcW w:w="907" w:type="dxa"/>
            <w:vMerge w:val="continue"/>
            <w:tcBorders>
              <w:top w:val="nil"/>
            </w:tcBorders>
            <w:vAlign w:val="top"/>
          </w:tcPr>
          <w:p w14:paraId="609B2B6F">
            <w:pPr>
              <w:rPr>
                <w:rFonts w:ascii="Arial"/>
                <w:color w:val="auto"/>
                <w:sz w:val="21"/>
              </w:rPr>
            </w:pPr>
          </w:p>
        </w:tc>
        <w:tc>
          <w:tcPr>
            <w:tcW w:w="1065" w:type="dxa"/>
            <w:vMerge w:val="continue"/>
            <w:tcBorders>
              <w:top w:val="nil"/>
            </w:tcBorders>
            <w:vAlign w:val="top"/>
          </w:tcPr>
          <w:p w14:paraId="01D9BB90">
            <w:pPr>
              <w:rPr>
                <w:rFonts w:ascii="Arial"/>
                <w:color w:val="auto"/>
                <w:sz w:val="21"/>
              </w:rPr>
            </w:pPr>
          </w:p>
        </w:tc>
        <w:tc>
          <w:tcPr>
            <w:tcW w:w="914" w:type="dxa"/>
            <w:vAlign w:val="top"/>
          </w:tcPr>
          <w:p w14:paraId="40CB219C">
            <w:pPr>
              <w:spacing w:line="245" w:lineRule="auto"/>
              <w:rPr>
                <w:rFonts w:ascii="Arial"/>
                <w:color w:val="auto"/>
                <w:sz w:val="21"/>
              </w:rPr>
            </w:pPr>
          </w:p>
          <w:p w14:paraId="1A3EFB5E">
            <w:pPr>
              <w:spacing w:line="246" w:lineRule="auto"/>
              <w:rPr>
                <w:rFonts w:ascii="Arial"/>
                <w:color w:val="auto"/>
                <w:sz w:val="21"/>
              </w:rPr>
            </w:pPr>
          </w:p>
          <w:p w14:paraId="428BC963">
            <w:pPr>
              <w:spacing w:line="246" w:lineRule="auto"/>
              <w:rPr>
                <w:rFonts w:ascii="Arial"/>
                <w:color w:val="auto"/>
                <w:sz w:val="21"/>
              </w:rPr>
            </w:pPr>
          </w:p>
          <w:p w14:paraId="575A4DD8">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4669F48C">
            <w:pPr>
              <w:rPr>
                <w:rFonts w:ascii="Arial"/>
                <w:color w:val="auto"/>
                <w:sz w:val="21"/>
              </w:rPr>
            </w:pPr>
          </w:p>
        </w:tc>
        <w:tc>
          <w:tcPr>
            <w:tcW w:w="4004" w:type="dxa"/>
            <w:vAlign w:val="center"/>
          </w:tcPr>
          <w:p w14:paraId="1D9DB04E">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规划馆：科工局、乡村振兴局、招商局、商务局、城市管理局、市场监管局各单位进门大厅负责管理并登记各单位进出入物资登记并按照各单位上班时间开关门</w:t>
            </w:r>
          </w:p>
        </w:tc>
        <w:tc>
          <w:tcPr>
            <w:tcW w:w="1402" w:type="dxa"/>
            <w:vAlign w:val="center"/>
          </w:tcPr>
          <w:p w14:paraId="1B317D08">
            <w:pPr>
              <w:kinsoku w:val="0"/>
              <w:autoSpaceDE w:val="0"/>
              <w:autoSpaceDN w:val="0"/>
              <w:adjustRightInd w:val="0"/>
              <w:snapToGrid w:val="0"/>
              <w:spacing w:before="184" w:line="348" w:lineRule="auto"/>
              <w:ind w:left="101" w:right="69" w:firstLine="1"/>
              <w:jc w:val="both"/>
              <w:textAlignment w:val="baseline"/>
              <w:rPr>
                <w:rFonts w:hint="eastAsia" w:ascii="仿宋" w:hAnsi="仿宋" w:eastAsia="仿宋" w:cs="仿宋"/>
                <w:snapToGrid w:val="0"/>
                <w:color w:val="auto"/>
                <w:spacing w:val="-28"/>
                <w:kern w:val="0"/>
                <w:sz w:val="24"/>
                <w:szCs w:val="24"/>
                <w:lang w:val="en-US" w:eastAsia="en-US" w:bidi="ar-SA"/>
              </w:rPr>
            </w:pPr>
            <w:r>
              <w:rPr>
                <w:rFonts w:hint="eastAsia" w:ascii="仿宋" w:hAnsi="仿宋" w:eastAsia="仿宋" w:cs="仿宋"/>
                <w:snapToGrid w:val="0"/>
                <w:color w:val="auto"/>
                <w:spacing w:val="-28"/>
                <w:kern w:val="0"/>
                <w:sz w:val="24"/>
                <w:szCs w:val="24"/>
                <w:lang w:val="en-US" w:eastAsia="zh-CN" w:bidi="ar-SA"/>
              </w:rPr>
              <w:t>早班：2人，               中班：2人，                                    合计：4人</w:t>
            </w:r>
          </w:p>
        </w:tc>
      </w:tr>
    </w:tbl>
    <w:p w14:paraId="3F78345A">
      <w:pPr>
        <w:pStyle w:val="3"/>
        <w:rPr>
          <w:color w:val="auto"/>
        </w:rPr>
      </w:pPr>
    </w:p>
    <w:p w14:paraId="6A72DA3B">
      <w:pPr>
        <w:rPr>
          <w:color w:val="auto"/>
        </w:rPr>
        <w:sectPr>
          <w:footerReference r:id="rId32" w:type="default"/>
          <w:pgSz w:w="11910" w:h="16845"/>
          <w:pgMar w:top="990" w:right="1201" w:bottom="890" w:left="1397" w:header="675" w:footer="659" w:gutter="0"/>
          <w:cols w:space="720" w:num="1"/>
        </w:sectPr>
      </w:pPr>
    </w:p>
    <w:p w14:paraId="696E467C">
      <w:pPr>
        <w:spacing w:before="193"/>
        <w:rPr>
          <w:color w:val="auto"/>
        </w:rPr>
      </w:pPr>
    </w:p>
    <w:tbl>
      <w:tblPr>
        <w:tblStyle w:val="10"/>
        <w:tblW w:w="92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7"/>
        <w:gridCol w:w="1065"/>
        <w:gridCol w:w="914"/>
        <w:gridCol w:w="974"/>
        <w:gridCol w:w="4004"/>
        <w:gridCol w:w="1402"/>
      </w:tblGrid>
      <w:tr w14:paraId="696C4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6" w:hRule="atLeast"/>
        </w:trPr>
        <w:tc>
          <w:tcPr>
            <w:tcW w:w="907" w:type="dxa"/>
            <w:vMerge w:val="restart"/>
            <w:tcBorders>
              <w:bottom w:val="nil"/>
            </w:tcBorders>
            <w:vAlign w:val="top"/>
          </w:tcPr>
          <w:p w14:paraId="39B233B8">
            <w:pPr>
              <w:spacing w:line="242" w:lineRule="auto"/>
              <w:rPr>
                <w:rFonts w:ascii="Arial"/>
                <w:color w:val="auto"/>
                <w:sz w:val="21"/>
              </w:rPr>
            </w:pPr>
          </w:p>
          <w:p w14:paraId="54F19EEC">
            <w:pPr>
              <w:spacing w:line="242" w:lineRule="auto"/>
              <w:rPr>
                <w:rFonts w:ascii="Arial"/>
                <w:color w:val="auto"/>
                <w:sz w:val="21"/>
              </w:rPr>
            </w:pPr>
          </w:p>
          <w:p w14:paraId="356FC083">
            <w:pPr>
              <w:spacing w:line="242" w:lineRule="auto"/>
              <w:rPr>
                <w:rFonts w:ascii="Arial"/>
                <w:color w:val="auto"/>
                <w:sz w:val="21"/>
              </w:rPr>
            </w:pPr>
          </w:p>
          <w:p w14:paraId="17448895">
            <w:pPr>
              <w:spacing w:line="242" w:lineRule="auto"/>
              <w:rPr>
                <w:rFonts w:ascii="Arial"/>
                <w:color w:val="auto"/>
                <w:sz w:val="21"/>
              </w:rPr>
            </w:pPr>
          </w:p>
          <w:p w14:paraId="3713E61A">
            <w:pPr>
              <w:spacing w:line="242" w:lineRule="auto"/>
              <w:rPr>
                <w:rFonts w:ascii="Arial"/>
                <w:color w:val="auto"/>
                <w:sz w:val="21"/>
              </w:rPr>
            </w:pPr>
          </w:p>
          <w:p w14:paraId="2936E250">
            <w:pPr>
              <w:spacing w:line="242" w:lineRule="auto"/>
              <w:rPr>
                <w:rFonts w:ascii="Arial"/>
                <w:color w:val="auto"/>
                <w:sz w:val="21"/>
              </w:rPr>
            </w:pPr>
          </w:p>
          <w:p w14:paraId="76D8E4DE">
            <w:pPr>
              <w:spacing w:line="242" w:lineRule="auto"/>
              <w:rPr>
                <w:rFonts w:ascii="Arial"/>
                <w:color w:val="auto"/>
                <w:sz w:val="21"/>
              </w:rPr>
            </w:pPr>
          </w:p>
          <w:p w14:paraId="1BD82597">
            <w:pPr>
              <w:spacing w:line="242" w:lineRule="auto"/>
              <w:rPr>
                <w:rFonts w:ascii="Arial"/>
                <w:color w:val="auto"/>
                <w:sz w:val="21"/>
              </w:rPr>
            </w:pPr>
          </w:p>
          <w:p w14:paraId="1C106D8A">
            <w:pPr>
              <w:spacing w:line="242" w:lineRule="auto"/>
              <w:rPr>
                <w:rFonts w:ascii="Arial"/>
                <w:color w:val="auto"/>
                <w:sz w:val="21"/>
              </w:rPr>
            </w:pPr>
          </w:p>
          <w:p w14:paraId="7B310425">
            <w:pPr>
              <w:spacing w:line="242" w:lineRule="auto"/>
              <w:rPr>
                <w:rFonts w:ascii="Arial"/>
                <w:color w:val="auto"/>
                <w:sz w:val="21"/>
              </w:rPr>
            </w:pPr>
          </w:p>
          <w:p w14:paraId="7550D556">
            <w:pPr>
              <w:spacing w:line="242" w:lineRule="auto"/>
              <w:rPr>
                <w:rFonts w:ascii="Arial"/>
                <w:color w:val="auto"/>
                <w:sz w:val="21"/>
              </w:rPr>
            </w:pPr>
          </w:p>
          <w:p w14:paraId="0849248A">
            <w:pPr>
              <w:spacing w:line="242" w:lineRule="auto"/>
              <w:rPr>
                <w:rFonts w:ascii="Arial"/>
                <w:color w:val="auto"/>
                <w:sz w:val="21"/>
              </w:rPr>
            </w:pPr>
          </w:p>
          <w:p w14:paraId="381929FF">
            <w:pPr>
              <w:spacing w:line="242" w:lineRule="auto"/>
              <w:rPr>
                <w:rFonts w:ascii="Arial"/>
                <w:color w:val="auto"/>
                <w:sz w:val="21"/>
              </w:rPr>
            </w:pPr>
          </w:p>
          <w:p w14:paraId="45887C5B">
            <w:pPr>
              <w:spacing w:line="242" w:lineRule="auto"/>
              <w:rPr>
                <w:rFonts w:ascii="Arial"/>
                <w:color w:val="auto"/>
                <w:sz w:val="21"/>
              </w:rPr>
            </w:pPr>
          </w:p>
          <w:p w14:paraId="156B8BAE">
            <w:pPr>
              <w:spacing w:line="242" w:lineRule="auto"/>
              <w:rPr>
                <w:rFonts w:ascii="Arial"/>
                <w:color w:val="auto"/>
                <w:sz w:val="21"/>
              </w:rPr>
            </w:pPr>
          </w:p>
          <w:p w14:paraId="0EACC874">
            <w:pPr>
              <w:spacing w:line="242" w:lineRule="auto"/>
              <w:rPr>
                <w:rFonts w:ascii="Arial"/>
                <w:color w:val="auto"/>
                <w:sz w:val="21"/>
              </w:rPr>
            </w:pPr>
          </w:p>
          <w:p w14:paraId="3FB37B6D">
            <w:pPr>
              <w:spacing w:line="242" w:lineRule="auto"/>
              <w:rPr>
                <w:rFonts w:ascii="Arial"/>
                <w:color w:val="auto"/>
                <w:sz w:val="21"/>
              </w:rPr>
            </w:pPr>
          </w:p>
          <w:p w14:paraId="6EE73502">
            <w:pPr>
              <w:spacing w:line="242" w:lineRule="auto"/>
              <w:rPr>
                <w:rFonts w:ascii="Arial"/>
                <w:color w:val="auto"/>
                <w:sz w:val="21"/>
              </w:rPr>
            </w:pPr>
          </w:p>
          <w:p w14:paraId="7AAE5571">
            <w:pPr>
              <w:spacing w:line="242" w:lineRule="auto"/>
              <w:rPr>
                <w:rFonts w:ascii="Arial"/>
                <w:color w:val="auto"/>
                <w:sz w:val="21"/>
              </w:rPr>
            </w:pPr>
          </w:p>
          <w:p w14:paraId="37ECF3E7">
            <w:pPr>
              <w:spacing w:line="242" w:lineRule="auto"/>
              <w:rPr>
                <w:rFonts w:ascii="Arial"/>
                <w:color w:val="auto"/>
                <w:sz w:val="21"/>
              </w:rPr>
            </w:pPr>
          </w:p>
          <w:p w14:paraId="48AB85FF">
            <w:pPr>
              <w:spacing w:line="242" w:lineRule="auto"/>
              <w:rPr>
                <w:rFonts w:ascii="Arial"/>
                <w:color w:val="auto"/>
                <w:sz w:val="21"/>
              </w:rPr>
            </w:pPr>
          </w:p>
          <w:p w14:paraId="52D69637">
            <w:pPr>
              <w:spacing w:line="242" w:lineRule="auto"/>
              <w:rPr>
                <w:rFonts w:ascii="Arial"/>
                <w:color w:val="auto"/>
                <w:sz w:val="21"/>
              </w:rPr>
            </w:pPr>
          </w:p>
          <w:p w14:paraId="75C246DA">
            <w:pPr>
              <w:spacing w:line="242" w:lineRule="auto"/>
              <w:rPr>
                <w:rFonts w:ascii="Arial"/>
                <w:color w:val="auto"/>
                <w:sz w:val="21"/>
              </w:rPr>
            </w:pPr>
          </w:p>
          <w:p w14:paraId="27AD307F">
            <w:pPr>
              <w:spacing w:line="242" w:lineRule="auto"/>
              <w:rPr>
                <w:rFonts w:ascii="Arial"/>
                <w:color w:val="auto"/>
                <w:sz w:val="21"/>
              </w:rPr>
            </w:pPr>
          </w:p>
          <w:p w14:paraId="17173FE5">
            <w:pPr>
              <w:spacing w:line="243" w:lineRule="auto"/>
              <w:rPr>
                <w:rFonts w:ascii="Arial"/>
                <w:color w:val="auto"/>
                <w:sz w:val="21"/>
              </w:rPr>
            </w:pPr>
          </w:p>
          <w:p w14:paraId="4C15D98A">
            <w:pPr>
              <w:spacing w:line="243" w:lineRule="auto"/>
              <w:rPr>
                <w:rFonts w:ascii="Arial"/>
                <w:color w:val="auto"/>
                <w:sz w:val="21"/>
              </w:rPr>
            </w:pPr>
          </w:p>
          <w:p w14:paraId="1B555AAB">
            <w:pPr>
              <w:spacing w:line="243" w:lineRule="auto"/>
              <w:rPr>
                <w:rFonts w:ascii="Arial"/>
                <w:color w:val="auto"/>
                <w:sz w:val="21"/>
              </w:rPr>
            </w:pPr>
          </w:p>
          <w:p w14:paraId="4F356D54">
            <w:pPr>
              <w:kinsoku w:val="0"/>
              <w:autoSpaceDE w:val="0"/>
              <w:autoSpaceDN w:val="0"/>
              <w:adjustRightInd w:val="0"/>
              <w:snapToGrid w:val="0"/>
              <w:spacing w:before="78" w:line="238" w:lineRule="auto"/>
              <w:ind w:left="53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2</w:t>
            </w:r>
          </w:p>
        </w:tc>
        <w:tc>
          <w:tcPr>
            <w:tcW w:w="1065" w:type="dxa"/>
            <w:vMerge w:val="restart"/>
            <w:tcBorders>
              <w:bottom w:val="nil"/>
            </w:tcBorders>
            <w:vAlign w:val="top"/>
          </w:tcPr>
          <w:p w14:paraId="3D3E021E">
            <w:pPr>
              <w:spacing w:line="242" w:lineRule="auto"/>
              <w:rPr>
                <w:rFonts w:ascii="Arial"/>
                <w:color w:val="auto"/>
                <w:sz w:val="21"/>
              </w:rPr>
            </w:pPr>
          </w:p>
          <w:p w14:paraId="6C36E6A7">
            <w:pPr>
              <w:spacing w:line="242" w:lineRule="auto"/>
              <w:rPr>
                <w:rFonts w:ascii="Arial"/>
                <w:color w:val="auto"/>
                <w:sz w:val="21"/>
              </w:rPr>
            </w:pPr>
          </w:p>
          <w:p w14:paraId="335F46B2">
            <w:pPr>
              <w:spacing w:line="242" w:lineRule="auto"/>
              <w:rPr>
                <w:rFonts w:ascii="Arial"/>
                <w:color w:val="auto"/>
                <w:sz w:val="21"/>
              </w:rPr>
            </w:pPr>
          </w:p>
          <w:p w14:paraId="50D158EA">
            <w:pPr>
              <w:spacing w:line="242" w:lineRule="auto"/>
              <w:rPr>
                <w:rFonts w:ascii="Arial"/>
                <w:color w:val="auto"/>
                <w:sz w:val="21"/>
              </w:rPr>
            </w:pPr>
          </w:p>
          <w:p w14:paraId="2EEACE08">
            <w:pPr>
              <w:spacing w:line="242" w:lineRule="auto"/>
              <w:rPr>
                <w:rFonts w:ascii="Arial"/>
                <w:color w:val="auto"/>
                <w:sz w:val="21"/>
              </w:rPr>
            </w:pPr>
          </w:p>
          <w:p w14:paraId="5370FE47">
            <w:pPr>
              <w:spacing w:line="242" w:lineRule="auto"/>
              <w:rPr>
                <w:rFonts w:ascii="Arial"/>
                <w:color w:val="auto"/>
                <w:sz w:val="21"/>
              </w:rPr>
            </w:pPr>
          </w:p>
          <w:p w14:paraId="4BB90015">
            <w:pPr>
              <w:spacing w:line="242" w:lineRule="auto"/>
              <w:rPr>
                <w:rFonts w:ascii="Arial"/>
                <w:color w:val="auto"/>
                <w:sz w:val="21"/>
              </w:rPr>
            </w:pPr>
          </w:p>
          <w:p w14:paraId="42E23352">
            <w:pPr>
              <w:spacing w:line="242" w:lineRule="auto"/>
              <w:rPr>
                <w:rFonts w:ascii="Arial"/>
                <w:color w:val="auto"/>
                <w:sz w:val="21"/>
              </w:rPr>
            </w:pPr>
          </w:p>
          <w:p w14:paraId="7D613E69">
            <w:pPr>
              <w:spacing w:line="242" w:lineRule="auto"/>
              <w:rPr>
                <w:rFonts w:ascii="Arial"/>
                <w:color w:val="auto"/>
                <w:sz w:val="21"/>
              </w:rPr>
            </w:pPr>
          </w:p>
          <w:p w14:paraId="65C83FB7">
            <w:pPr>
              <w:spacing w:line="242" w:lineRule="auto"/>
              <w:rPr>
                <w:rFonts w:ascii="Arial"/>
                <w:color w:val="auto"/>
                <w:sz w:val="21"/>
              </w:rPr>
            </w:pPr>
          </w:p>
          <w:p w14:paraId="26AA597C">
            <w:pPr>
              <w:spacing w:line="242" w:lineRule="auto"/>
              <w:rPr>
                <w:rFonts w:ascii="Arial"/>
                <w:color w:val="auto"/>
                <w:sz w:val="21"/>
              </w:rPr>
            </w:pPr>
          </w:p>
          <w:p w14:paraId="6F7A5591">
            <w:pPr>
              <w:spacing w:line="242" w:lineRule="auto"/>
              <w:rPr>
                <w:rFonts w:ascii="Arial"/>
                <w:color w:val="auto"/>
                <w:sz w:val="21"/>
              </w:rPr>
            </w:pPr>
          </w:p>
          <w:p w14:paraId="679AF88B">
            <w:pPr>
              <w:spacing w:line="242" w:lineRule="auto"/>
              <w:rPr>
                <w:rFonts w:ascii="Arial"/>
                <w:color w:val="auto"/>
                <w:sz w:val="21"/>
              </w:rPr>
            </w:pPr>
          </w:p>
          <w:p w14:paraId="4B8F2D37">
            <w:pPr>
              <w:spacing w:line="242" w:lineRule="auto"/>
              <w:rPr>
                <w:rFonts w:ascii="Arial"/>
                <w:color w:val="auto"/>
                <w:sz w:val="21"/>
              </w:rPr>
            </w:pPr>
          </w:p>
          <w:p w14:paraId="041439EA">
            <w:pPr>
              <w:spacing w:line="242" w:lineRule="auto"/>
              <w:rPr>
                <w:rFonts w:ascii="Arial"/>
                <w:color w:val="auto"/>
                <w:sz w:val="21"/>
              </w:rPr>
            </w:pPr>
          </w:p>
          <w:p w14:paraId="1C3D1EB8">
            <w:pPr>
              <w:spacing w:line="242" w:lineRule="auto"/>
              <w:rPr>
                <w:rFonts w:ascii="Arial"/>
                <w:color w:val="auto"/>
                <w:sz w:val="21"/>
              </w:rPr>
            </w:pPr>
          </w:p>
          <w:p w14:paraId="698FFE9C">
            <w:pPr>
              <w:spacing w:line="242" w:lineRule="auto"/>
              <w:rPr>
                <w:rFonts w:ascii="Arial"/>
                <w:color w:val="auto"/>
                <w:sz w:val="21"/>
              </w:rPr>
            </w:pPr>
          </w:p>
          <w:p w14:paraId="6B2892DA">
            <w:pPr>
              <w:spacing w:line="242" w:lineRule="auto"/>
              <w:rPr>
                <w:rFonts w:ascii="Arial"/>
                <w:color w:val="auto"/>
                <w:sz w:val="21"/>
              </w:rPr>
            </w:pPr>
          </w:p>
          <w:p w14:paraId="3857FDEC">
            <w:pPr>
              <w:spacing w:line="242" w:lineRule="auto"/>
              <w:rPr>
                <w:rFonts w:ascii="Arial"/>
                <w:color w:val="auto"/>
                <w:sz w:val="21"/>
              </w:rPr>
            </w:pPr>
          </w:p>
          <w:p w14:paraId="4778742F">
            <w:pPr>
              <w:spacing w:line="242" w:lineRule="auto"/>
              <w:rPr>
                <w:rFonts w:ascii="Arial"/>
                <w:color w:val="auto"/>
                <w:sz w:val="21"/>
              </w:rPr>
            </w:pPr>
          </w:p>
          <w:p w14:paraId="6818EC60">
            <w:pPr>
              <w:spacing w:line="242" w:lineRule="auto"/>
              <w:rPr>
                <w:rFonts w:ascii="Arial"/>
                <w:color w:val="auto"/>
                <w:sz w:val="21"/>
              </w:rPr>
            </w:pPr>
          </w:p>
          <w:p w14:paraId="282D1CCB">
            <w:pPr>
              <w:spacing w:line="242" w:lineRule="auto"/>
              <w:rPr>
                <w:rFonts w:ascii="Arial"/>
                <w:color w:val="auto"/>
                <w:sz w:val="21"/>
              </w:rPr>
            </w:pPr>
          </w:p>
          <w:p w14:paraId="0CCBF5CD">
            <w:pPr>
              <w:spacing w:line="242" w:lineRule="auto"/>
              <w:rPr>
                <w:rFonts w:ascii="Arial"/>
                <w:color w:val="auto"/>
                <w:sz w:val="21"/>
              </w:rPr>
            </w:pPr>
          </w:p>
          <w:p w14:paraId="29FE51C1">
            <w:pPr>
              <w:spacing w:line="242" w:lineRule="auto"/>
              <w:rPr>
                <w:rFonts w:ascii="Arial"/>
                <w:color w:val="auto"/>
                <w:sz w:val="21"/>
              </w:rPr>
            </w:pPr>
          </w:p>
          <w:p w14:paraId="5FFD8551">
            <w:pPr>
              <w:spacing w:line="242" w:lineRule="auto"/>
              <w:rPr>
                <w:rFonts w:ascii="Arial"/>
                <w:color w:val="auto"/>
                <w:sz w:val="21"/>
              </w:rPr>
            </w:pPr>
          </w:p>
          <w:p w14:paraId="423D1126">
            <w:pPr>
              <w:spacing w:line="243" w:lineRule="auto"/>
              <w:rPr>
                <w:rFonts w:ascii="Arial"/>
                <w:color w:val="auto"/>
                <w:sz w:val="21"/>
              </w:rPr>
            </w:pPr>
          </w:p>
          <w:p w14:paraId="11F5F187">
            <w:pPr>
              <w:spacing w:line="243" w:lineRule="auto"/>
              <w:rPr>
                <w:rFonts w:ascii="Arial"/>
                <w:color w:val="auto"/>
                <w:sz w:val="21"/>
              </w:rPr>
            </w:pPr>
          </w:p>
          <w:p w14:paraId="34089BCE">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0"/>
                <w:kern w:val="0"/>
                <w:sz w:val="24"/>
                <w:szCs w:val="24"/>
                <w:lang w:val="en-US" w:eastAsia="en-US" w:bidi="ar-SA"/>
              </w:rPr>
              <w:t>政务中心</w:t>
            </w:r>
          </w:p>
        </w:tc>
        <w:tc>
          <w:tcPr>
            <w:tcW w:w="914" w:type="dxa"/>
            <w:vMerge w:val="restart"/>
            <w:tcBorders>
              <w:bottom w:val="nil"/>
            </w:tcBorders>
            <w:vAlign w:val="top"/>
          </w:tcPr>
          <w:p w14:paraId="4B04C2C7">
            <w:pPr>
              <w:spacing w:line="242" w:lineRule="auto"/>
              <w:rPr>
                <w:rFonts w:ascii="Arial"/>
                <w:color w:val="auto"/>
                <w:sz w:val="21"/>
              </w:rPr>
            </w:pPr>
          </w:p>
          <w:p w14:paraId="4898D69F">
            <w:pPr>
              <w:spacing w:line="242" w:lineRule="auto"/>
              <w:rPr>
                <w:rFonts w:ascii="Arial"/>
                <w:color w:val="auto"/>
                <w:sz w:val="21"/>
              </w:rPr>
            </w:pPr>
          </w:p>
          <w:p w14:paraId="15736B22">
            <w:pPr>
              <w:spacing w:line="242" w:lineRule="auto"/>
              <w:rPr>
                <w:rFonts w:ascii="Arial"/>
                <w:color w:val="auto"/>
                <w:sz w:val="21"/>
              </w:rPr>
            </w:pPr>
          </w:p>
          <w:p w14:paraId="59A14788">
            <w:pPr>
              <w:spacing w:line="242" w:lineRule="auto"/>
              <w:rPr>
                <w:rFonts w:ascii="Arial"/>
                <w:color w:val="auto"/>
                <w:sz w:val="21"/>
              </w:rPr>
            </w:pPr>
          </w:p>
          <w:p w14:paraId="6E5BC691">
            <w:pPr>
              <w:spacing w:line="242" w:lineRule="auto"/>
              <w:rPr>
                <w:rFonts w:ascii="Arial"/>
                <w:color w:val="auto"/>
                <w:sz w:val="21"/>
              </w:rPr>
            </w:pPr>
          </w:p>
          <w:p w14:paraId="40CE11A7">
            <w:pPr>
              <w:spacing w:line="242" w:lineRule="auto"/>
              <w:rPr>
                <w:rFonts w:ascii="Arial"/>
                <w:color w:val="auto"/>
                <w:sz w:val="21"/>
              </w:rPr>
            </w:pPr>
          </w:p>
          <w:p w14:paraId="74B9B774">
            <w:pPr>
              <w:spacing w:line="242" w:lineRule="auto"/>
              <w:rPr>
                <w:rFonts w:ascii="Arial"/>
                <w:color w:val="auto"/>
                <w:sz w:val="21"/>
              </w:rPr>
            </w:pPr>
          </w:p>
          <w:p w14:paraId="51C7C2F7">
            <w:pPr>
              <w:spacing w:line="242" w:lineRule="auto"/>
              <w:rPr>
                <w:rFonts w:ascii="Arial"/>
                <w:color w:val="auto"/>
                <w:sz w:val="21"/>
              </w:rPr>
            </w:pPr>
          </w:p>
          <w:p w14:paraId="7A09210B">
            <w:pPr>
              <w:spacing w:line="242" w:lineRule="auto"/>
              <w:rPr>
                <w:rFonts w:ascii="Arial"/>
                <w:color w:val="auto"/>
                <w:sz w:val="21"/>
              </w:rPr>
            </w:pPr>
          </w:p>
          <w:p w14:paraId="4E380E56">
            <w:pPr>
              <w:spacing w:line="242" w:lineRule="auto"/>
              <w:rPr>
                <w:rFonts w:ascii="Arial"/>
                <w:color w:val="auto"/>
                <w:sz w:val="21"/>
              </w:rPr>
            </w:pPr>
          </w:p>
          <w:p w14:paraId="1C9A7165">
            <w:pPr>
              <w:spacing w:line="242" w:lineRule="auto"/>
              <w:rPr>
                <w:rFonts w:ascii="Arial"/>
                <w:color w:val="auto"/>
                <w:sz w:val="21"/>
              </w:rPr>
            </w:pPr>
          </w:p>
          <w:p w14:paraId="70C2E2C2">
            <w:pPr>
              <w:spacing w:line="242" w:lineRule="auto"/>
              <w:rPr>
                <w:rFonts w:ascii="Arial"/>
                <w:color w:val="auto"/>
                <w:sz w:val="21"/>
              </w:rPr>
            </w:pPr>
          </w:p>
          <w:p w14:paraId="26DB15CA">
            <w:pPr>
              <w:spacing w:line="242" w:lineRule="auto"/>
              <w:rPr>
                <w:rFonts w:ascii="Arial"/>
                <w:color w:val="auto"/>
                <w:sz w:val="21"/>
              </w:rPr>
            </w:pPr>
          </w:p>
          <w:p w14:paraId="46C390AF">
            <w:pPr>
              <w:spacing w:line="242" w:lineRule="auto"/>
              <w:rPr>
                <w:rFonts w:ascii="Arial"/>
                <w:color w:val="auto"/>
                <w:sz w:val="21"/>
              </w:rPr>
            </w:pPr>
          </w:p>
          <w:p w14:paraId="1859AD86">
            <w:pPr>
              <w:spacing w:line="242" w:lineRule="auto"/>
              <w:rPr>
                <w:rFonts w:ascii="Arial"/>
                <w:color w:val="auto"/>
                <w:sz w:val="21"/>
              </w:rPr>
            </w:pPr>
          </w:p>
          <w:p w14:paraId="0B7974E8">
            <w:pPr>
              <w:spacing w:line="242" w:lineRule="auto"/>
              <w:rPr>
                <w:rFonts w:ascii="Arial"/>
                <w:color w:val="auto"/>
                <w:sz w:val="21"/>
              </w:rPr>
            </w:pPr>
          </w:p>
          <w:p w14:paraId="4D663D94">
            <w:pPr>
              <w:spacing w:line="242" w:lineRule="auto"/>
              <w:rPr>
                <w:rFonts w:ascii="Arial"/>
                <w:color w:val="auto"/>
                <w:sz w:val="21"/>
              </w:rPr>
            </w:pPr>
          </w:p>
          <w:p w14:paraId="170C94DF">
            <w:pPr>
              <w:spacing w:line="242" w:lineRule="auto"/>
              <w:rPr>
                <w:rFonts w:ascii="Arial"/>
                <w:color w:val="auto"/>
                <w:sz w:val="21"/>
              </w:rPr>
            </w:pPr>
          </w:p>
          <w:p w14:paraId="2181E1B7">
            <w:pPr>
              <w:spacing w:line="242" w:lineRule="auto"/>
              <w:rPr>
                <w:rFonts w:ascii="Arial"/>
                <w:color w:val="auto"/>
                <w:sz w:val="21"/>
              </w:rPr>
            </w:pPr>
          </w:p>
          <w:p w14:paraId="2FC134CE">
            <w:pPr>
              <w:spacing w:line="242" w:lineRule="auto"/>
              <w:rPr>
                <w:rFonts w:ascii="Arial"/>
                <w:color w:val="auto"/>
                <w:sz w:val="21"/>
              </w:rPr>
            </w:pPr>
          </w:p>
          <w:p w14:paraId="2E6A854A">
            <w:pPr>
              <w:spacing w:line="242" w:lineRule="auto"/>
              <w:rPr>
                <w:rFonts w:ascii="Arial"/>
                <w:color w:val="auto"/>
                <w:sz w:val="21"/>
              </w:rPr>
            </w:pPr>
          </w:p>
          <w:p w14:paraId="01210E83">
            <w:pPr>
              <w:spacing w:line="242" w:lineRule="auto"/>
              <w:rPr>
                <w:rFonts w:ascii="Arial"/>
                <w:color w:val="auto"/>
                <w:sz w:val="21"/>
              </w:rPr>
            </w:pPr>
          </w:p>
          <w:p w14:paraId="078E63A9">
            <w:pPr>
              <w:spacing w:line="242" w:lineRule="auto"/>
              <w:rPr>
                <w:rFonts w:ascii="Arial"/>
                <w:color w:val="auto"/>
                <w:sz w:val="21"/>
              </w:rPr>
            </w:pPr>
          </w:p>
          <w:p w14:paraId="1004AD7D">
            <w:pPr>
              <w:spacing w:line="242" w:lineRule="auto"/>
              <w:rPr>
                <w:rFonts w:ascii="Arial"/>
                <w:color w:val="auto"/>
                <w:sz w:val="21"/>
              </w:rPr>
            </w:pPr>
          </w:p>
          <w:p w14:paraId="510D8624">
            <w:pPr>
              <w:spacing w:line="242" w:lineRule="auto"/>
              <w:rPr>
                <w:rFonts w:ascii="Arial"/>
                <w:color w:val="auto"/>
                <w:sz w:val="21"/>
              </w:rPr>
            </w:pPr>
          </w:p>
          <w:p w14:paraId="05EAD22B">
            <w:pPr>
              <w:spacing w:line="243" w:lineRule="auto"/>
              <w:rPr>
                <w:rFonts w:ascii="Arial"/>
                <w:color w:val="auto"/>
                <w:sz w:val="21"/>
              </w:rPr>
            </w:pPr>
          </w:p>
          <w:p w14:paraId="6A997F77">
            <w:pPr>
              <w:spacing w:line="243" w:lineRule="auto"/>
              <w:rPr>
                <w:rFonts w:ascii="Arial"/>
                <w:color w:val="auto"/>
                <w:sz w:val="21"/>
              </w:rPr>
            </w:pPr>
          </w:p>
          <w:p w14:paraId="162ACD98">
            <w:pPr>
              <w:kinsoku w:val="0"/>
              <w:autoSpaceDE w:val="0"/>
              <w:autoSpaceDN w:val="0"/>
              <w:adjustRightInd w:val="0"/>
              <w:snapToGrid w:val="0"/>
              <w:spacing w:before="78" w:line="217"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保洁</w:t>
            </w:r>
          </w:p>
        </w:tc>
        <w:tc>
          <w:tcPr>
            <w:tcW w:w="974" w:type="dxa"/>
            <w:vAlign w:val="top"/>
          </w:tcPr>
          <w:p w14:paraId="07916BB6">
            <w:pPr>
              <w:spacing w:line="258" w:lineRule="auto"/>
              <w:rPr>
                <w:rFonts w:ascii="Arial"/>
                <w:color w:val="auto"/>
                <w:sz w:val="21"/>
              </w:rPr>
            </w:pPr>
          </w:p>
          <w:p w14:paraId="3B870A25">
            <w:pPr>
              <w:spacing w:line="258" w:lineRule="auto"/>
              <w:rPr>
                <w:rFonts w:ascii="Arial"/>
                <w:color w:val="auto"/>
                <w:sz w:val="21"/>
              </w:rPr>
            </w:pPr>
          </w:p>
          <w:p w14:paraId="69FB7ADC">
            <w:pPr>
              <w:spacing w:line="258" w:lineRule="auto"/>
              <w:rPr>
                <w:rFonts w:ascii="Arial"/>
                <w:color w:val="auto"/>
                <w:sz w:val="21"/>
              </w:rPr>
            </w:pPr>
          </w:p>
          <w:p w14:paraId="1878DAF4">
            <w:pPr>
              <w:spacing w:line="258" w:lineRule="auto"/>
              <w:rPr>
                <w:rFonts w:ascii="Arial"/>
                <w:color w:val="auto"/>
                <w:sz w:val="21"/>
              </w:rPr>
            </w:pPr>
          </w:p>
          <w:p w14:paraId="6DA55604">
            <w:pPr>
              <w:spacing w:line="258" w:lineRule="auto"/>
              <w:rPr>
                <w:rFonts w:ascii="Arial"/>
                <w:color w:val="auto"/>
                <w:sz w:val="21"/>
              </w:rPr>
            </w:pPr>
          </w:p>
          <w:p w14:paraId="730D83FF">
            <w:pPr>
              <w:spacing w:line="258" w:lineRule="auto"/>
              <w:rPr>
                <w:rFonts w:ascii="Arial"/>
                <w:color w:val="auto"/>
                <w:sz w:val="21"/>
              </w:rPr>
            </w:pPr>
          </w:p>
          <w:p w14:paraId="66B0B1A2">
            <w:pPr>
              <w:spacing w:line="258" w:lineRule="auto"/>
              <w:rPr>
                <w:rFonts w:ascii="Arial"/>
                <w:color w:val="auto"/>
                <w:sz w:val="21"/>
              </w:rPr>
            </w:pPr>
          </w:p>
          <w:p w14:paraId="01F518DD">
            <w:pPr>
              <w:spacing w:line="258" w:lineRule="auto"/>
              <w:rPr>
                <w:rFonts w:ascii="Arial"/>
                <w:color w:val="auto"/>
                <w:sz w:val="21"/>
              </w:rPr>
            </w:pPr>
          </w:p>
          <w:p w14:paraId="16C98816">
            <w:pPr>
              <w:spacing w:line="259" w:lineRule="auto"/>
              <w:rPr>
                <w:rFonts w:ascii="Arial"/>
                <w:color w:val="auto"/>
                <w:sz w:val="21"/>
              </w:rPr>
            </w:pPr>
          </w:p>
          <w:p w14:paraId="5A7ACAB2">
            <w:pPr>
              <w:spacing w:line="259" w:lineRule="auto"/>
              <w:rPr>
                <w:rFonts w:ascii="Arial"/>
                <w:color w:val="auto"/>
                <w:sz w:val="21"/>
              </w:rPr>
            </w:pPr>
          </w:p>
          <w:p w14:paraId="79F4FC7B">
            <w:pPr>
              <w:kinsoku w:val="0"/>
              <w:autoSpaceDE w:val="0"/>
              <w:autoSpaceDN w:val="0"/>
              <w:adjustRightInd w:val="0"/>
              <w:snapToGrid w:val="0"/>
              <w:spacing w:before="78" w:line="218"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9"/>
                <w:kern w:val="0"/>
                <w:sz w:val="24"/>
                <w:szCs w:val="24"/>
                <w:lang w:val="en-US" w:eastAsia="en-US" w:bidi="ar-SA"/>
              </w:rPr>
              <w:t>1楼</w:t>
            </w:r>
          </w:p>
        </w:tc>
        <w:tc>
          <w:tcPr>
            <w:tcW w:w="4004" w:type="dxa"/>
            <w:vAlign w:val="top"/>
          </w:tcPr>
          <w:p w14:paraId="7551370B">
            <w:pPr>
              <w:kinsoku w:val="0"/>
              <w:autoSpaceDE w:val="0"/>
              <w:autoSpaceDN w:val="0"/>
              <w:adjustRightInd w:val="0"/>
              <w:snapToGrid w:val="0"/>
              <w:spacing w:before="115" w:line="350" w:lineRule="auto"/>
              <w:ind w:left="105" w:right="53" w:firstLine="11"/>
              <w:jc w:val="both"/>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1 楼南侧卫生间、母婴室、税局大厅公共</w:t>
            </w:r>
            <w:r>
              <w:rPr>
                <w:rFonts w:ascii="仿宋" w:hAnsi="仿宋" w:eastAsia="仿宋" w:cs="仿宋"/>
                <w:snapToGrid w:val="0"/>
                <w:color w:val="auto"/>
                <w:spacing w:val="1"/>
                <w:kern w:val="0"/>
                <w:sz w:val="24"/>
                <w:szCs w:val="24"/>
                <w:lang w:val="en-US" w:eastAsia="en-US" w:bidi="ar-SA"/>
              </w:rPr>
              <w:t xml:space="preserve"> </w:t>
            </w:r>
            <w:r>
              <w:rPr>
                <w:rFonts w:ascii="仿宋" w:hAnsi="仿宋" w:eastAsia="仿宋" w:cs="仿宋"/>
                <w:snapToGrid w:val="0"/>
                <w:color w:val="auto"/>
                <w:spacing w:val="-21"/>
                <w:kern w:val="0"/>
                <w:sz w:val="24"/>
                <w:szCs w:val="24"/>
                <w:lang w:val="en-US" w:eastAsia="en-US" w:bidi="ar-SA"/>
              </w:rPr>
              <w:t>区域、民生银行西侧电梯间+电梯轿厢(5</w:t>
            </w:r>
            <w:r>
              <w:rPr>
                <w:rFonts w:ascii="仿宋" w:hAnsi="仿宋" w:eastAsia="仿宋" w:cs="仿宋"/>
                <w:snapToGrid w:val="0"/>
                <w:color w:val="auto"/>
                <w:spacing w:val="12"/>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号、6</w:t>
            </w:r>
            <w:r>
              <w:rPr>
                <w:rFonts w:ascii="仿宋" w:hAnsi="仿宋" w:eastAsia="仿宋" w:cs="仿宋"/>
                <w:snapToGrid w:val="0"/>
                <w:color w:val="auto"/>
                <w:spacing w:val="-54"/>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号)、安全步梯间1楼、南侧所有墙</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面</w:t>
            </w:r>
            <w:r>
              <w:rPr>
                <w:rFonts w:ascii="仿宋" w:hAnsi="仿宋" w:eastAsia="仿宋" w:cs="仿宋"/>
                <w:snapToGrid w:val="0"/>
                <w:color w:val="auto"/>
                <w:spacing w:val="-47"/>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3</w:t>
            </w:r>
            <w:r>
              <w:rPr>
                <w:rFonts w:ascii="仿宋" w:hAnsi="仿宋" w:eastAsia="仿宋" w:cs="仿宋"/>
                <w:snapToGrid w:val="0"/>
                <w:color w:val="auto"/>
                <w:spacing w:val="-26"/>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米以下(1</w:t>
            </w:r>
            <w:r>
              <w:rPr>
                <w:rFonts w:ascii="仿宋" w:hAnsi="仿宋" w:eastAsia="仿宋" w:cs="仿宋"/>
                <w:snapToGrid w:val="0"/>
                <w:color w:val="auto"/>
                <w:spacing w:val="-25"/>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人)；大厅西侧玻璃门、北</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侧卫生间、1 楼北侧安全步梯间、观光电</w:t>
            </w:r>
            <w:r>
              <w:rPr>
                <w:rFonts w:ascii="仿宋" w:hAnsi="仿宋" w:eastAsia="仿宋" w:cs="仿宋"/>
                <w:snapToGrid w:val="0"/>
                <w:color w:val="auto"/>
                <w:spacing w:val="11"/>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梯</w:t>
            </w:r>
            <w:r>
              <w:rPr>
                <w:rFonts w:ascii="仿宋" w:hAnsi="仿宋" w:eastAsia="仿宋" w:cs="仿宋"/>
                <w:snapToGrid w:val="0"/>
                <w:color w:val="auto"/>
                <w:spacing w:val="-64"/>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4</w:t>
            </w:r>
            <w:r>
              <w:rPr>
                <w:rFonts w:ascii="仿宋" w:hAnsi="仿宋" w:eastAsia="仿宋" w:cs="仿宋"/>
                <w:snapToGrid w:val="0"/>
                <w:color w:val="auto"/>
                <w:spacing w:val="-43"/>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部内外保洁、农商银行公共区域、北</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侧所有墙面</w:t>
            </w:r>
            <w:r>
              <w:rPr>
                <w:rFonts w:ascii="仿宋" w:hAnsi="仿宋" w:eastAsia="仿宋" w:cs="仿宋"/>
                <w:snapToGrid w:val="0"/>
                <w:color w:val="auto"/>
                <w:spacing w:val="-58"/>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3</w:t>
            </w:r>
            <w:r>
              <w:rPr>
                <w:rFonts w:ascii="仿宋" w:hAnsi="仿宋" w:eastAsia="仿宋" w:cs="仿宋"/>
                <w:snapToGrid w:val="0"/>
                <w:color w:val="auto"/>
                <w:spacing w:val="-41"/>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米以下(1</w:t>
            </w:r>
            <w:r>
              <w:rPr>
                <w:rFonts w:ascii="仿宋" w:hAnsi="仿宋" w:eastAsia="仿宋" w:cs="仿宋"/>
                <w:snapToGrid w:val="0"/>
                <w:color w:val="auto"/>
                <w:spacing w:val="-40"/>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人)；1</w:t>
            </w:r>
            <w:r>
              <w:rPr>
                <w:rFonts w:ascii="仿宋" w:hAnsi="仿宋" w:eastAsia="仿宋" w:cs="仿宋"/>
                <w:snapToGrid w:val="0"/>
                <w:color w:val="auto"/>
                <w:spacing w:val="-45"/>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楼东侧</w:t>
            </w:r>
            <w:r>
              <w:rPr>
                <w:rFonts w:ascii="仿宋" w:hAnsi="仿宋" w:eastAsia="仿宋" w:cs="仿宋"/>
                <w:snapToGrid w:val="0"/>
                <w:color w:val="auto"/>
                <w:spacing w:val="-63"/>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24</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33"/>
                <w:kern w:val="0"/>
                <w:sz w:val="24"/>
                <w:szCs w:val="24"/>
                <w:lang w:val="en-US" w:eastAsia="en-US" w:bidi="ar-SA"/>
              </w:rPr>
              <w:t>小时服务，南、北货梯间+货梯内、东侧公</w:t>
            </w:r>
            <w:r>
              <w:rPr>
                <w:rFonts w:ascii="仿宋" w:hAnsi="仿宋" w:eastAsia="仿宋" w:cs="仿宋"/>
                <w:snapToGrid w:val="0"/>
                <w:color w:val="auto"/>
                <w:spacing w:val="15"/>
                <w:kern w:val="0"/>
                <w:sz w:val="24"/>
                <w:szCs w:val="24"/>
                <w:lang w:val="en-US" w:eastAsia="en-US" w:bidi="ar-SA"/>
              </w:rPr>
              <w:t xml:space="preserve"> </w:t>
            </w:r>
            <w:r>
              <w:rPr>
                <w:rFonts w:ascii="仿宋" w:hAnsi="仿宋" w:eastAsia="仿宋" w:cs="仿宋"/>
                <w:snapToGrid w:val="0"/>
                <w:color w:val="auto"/>
                <w:spacing w:val="-15"/>
                <w:kern w:val="0"/>
                <w:sz w:val="24"/>
                <w:szCs w:val="24"/>
                <w:lang w:val="en-US" w:eastAsia="en-US" w:bidi="ar-SA"/>
              </w:rPr>
              <w:t>共区域走廊、东侧玻璃门及所有墙面(1</w:t>
            </w:r>
            <w:r>
              <w:rPr>
                <w:rFonts w:ascii="仿宋" w:hAnsi="仿宋" w:eastAsia="仿宋" w:cs="仿宋"/>
                <w:snapToGrid w:val="0"/>
                <w:color w:val="auto"/>
                <w:spacing w:val="3"/>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人)；民生大厅及大厅黑色地面所有区域+</w:t>
            </w:r>
            <w:r>
              <w:rPr>
                <w:rFonts w:ascii="仿宋" w:hAnsi="仿宋" w:eastAsia="仿宋" w:cs="仿宋"/>
                <w:snapToGrid w:val="0"/>
                <w:color w:val="auto"/>
                <w:spacing w:val="14"/>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附属物、大厅西门两侧休息座椅、二楼多</w:t>
            </w:r>
            <w:r>
              <w:rPr>
                <w:rFonts w:ascii="仿宋" w:hAnsi="仿宋" w:eastAsia="仿宋" w:cs="仿宋"/>
                <w:snapToGrid w:val="0"/>
                <w:color w:val="auto"/>
                <w:spacing w:val="2"/>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功能会议室(1</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人)。</w:t>
            </w:r>
          </w:p>
        </w:tc>
        <w:tc>
          <w:tcPr>
            <w:tcW w:w="1402" w:type="dxa"/>
            <w:vAlign w:val="top"/>
          </w:tcPr>
          <w:p w14:paraId="5C54564C">
            <w:pPr>
              <w:spacing w:line="258" w:lineRule="auto"/>
              <w:rPr>
                <w:rFonts w:ascii="Arial"/>
                <w:color w:val="auto"/>
                <w:sz w:val="21"/>
              </w:rPr>
            </w:pPr>
          </w:p>
          <w:p w14:paraId="490ACA1A">
            <w:pPr>
              <w:spacing w:line="258" w:lineRule="auto"/>
              <w:rPr>
                <w:rFonts w:ascii="Arial"/>
                <w:color w:val="auto"/>
                <w:sz w:val="21"/>
              </w:rPr>
            </w:pPr>
          </w:p>
          <w:p w14:paraId="52C61111">
            <w:pPr>
              <w:spacing w:line="258" w:lineRule="auto"/>
              <w:rPr>
                <w:rFonts w:ascii="Arial"/>
                <w:color w:val="auto"/>
                <w:sz w:val="21"/>
              </w:rPr>
            </w:pPr>
          </w:p>
          <w:p w14:paraId="3B38CFB7">
            <w:pPr>
              <w:spacing w:line="258" w:lineRule="auto"/>
              <w:rPr>
                <w:rFonts w:ascii="Arial"/>
                <w:color w:val="auto"/>
                <w:sz w:val="21"/>
              </w:rPr>
            </w:pPr>
          </w:p>
          <w:p w14:paraId="7EBAD1B2">
            <w:pPr>
              <w:spacing w:line="258" w:lineRule="auto"/>
              <w:rPr>
                <w:rFonts w:ascii="Arial"/>
                <w:color w:val="auto"/>
                <w:sz w:val="21"/>
              </w:rPr>
            </w:pPr>
          </w:p>
          <w:p w14:paraId="39135254">
            <w:pPr>
              <w:spacing w:line="258" w:lineRule="auto"/>
              <w:rPr>
                <w:rFonts w:ascii="Arial"/>
                <w:color w:val="auto"/>
                <w:sz w:val="21"/>
              </w:rPr>
            </w:pPr>
          </w:p>
          <w:p w14:paraId="1ED533C3">
            <w:pPr>
              <w:spacing w:line="258" w:lineRule="auto"/>
              <w:rPr>
                <w:rFonts w:ascii="Arial"/>
                <w:color w:val="auto"/>
                <w:sz w:val="21"/>
              </w:rPr>
            </w:pPr>
          </w:p>
          <w:p w14:paraId="3BF3AC7E">
            <w:pPr>
              <w:spacing w:line="259" w:lineRule="auto"/>
              <w:rPr>
                <w:rFonts w:ascii="Arial"/>
                <w:color w:val="auto"/>
                <w:sz w:val="21"/>
              </w:rPr>
            </w:pPr>
          </w:p>
          <w:p w14:paraId="2665937B">
            <w:pPr>
              <w:spacing w:line="259" w:lineRule="auto"/>
              <w:rPr>
                <w:rFonts w:ascii="Arial"/>
                <w:color w:val="auto"/>
                <w:sz w:val="21"/>
              </w:rPr>
            </w:pPr>
          </w:p>
          <w:p w14:paraId="507F0665">
            <w:pPr>
              <w:spacing w:line="259" w:lineRule="auto"/>
              <w:rPr>
                <w:rFonts w:ascii="Arial"/>
                <w:color w:val="auto"/>
                <w:sz w:val="21"/>
              </w:rPr>
            </w:pPr>
          </w:p>
          <w:p w14:paraId="17CDB5C1">
            <w:pPr>
              <w:kinsoku w:val="0"/>
              <w:autoSpaceDE w:val="0"/>
              <w:autoSpaceDN w:val="0"/>
              <w:adjustRightInd w:val="0"/>
              <w:snapToGrid w:val="0"/>
              <w:spacing w:before="78" w:line="222" w:lineRule="auto"/>
              <w:ind w:left="53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4"/>
                <w:kern w:val="0"/>
                <w:sz w:val="24"/>
                <w:szCs w:val="24"/>
                <w:lang w:val="en-US" w:eastAsia="en-US" w:bidi="ar-SA"/>
              </w:rPr>
              <w:t>4</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4"/>
                <w:kern w:val="0"/>
                <w:sz w:val="24"/>
                <w:szCs w:val="24"/>
                <w:lang w:val="en-US" w:eastAsia="en-US" w:bidi="ar-SA"/>
              </w:rPr>
              <w:t>人</w:t>
            </w:r>
          </w:p>
        </w:tc>
      </w:tr>
      <w:tr w14:paraId="08B92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19" w:hRule="atLeast"/>
        </w:trPr>
        <w:tc>
          <w:tcPr>
            <w:tcW w:w="907" w:type="dxa"/>
            <w:vMerge w:val="continue"/>
            <w:tcBorders>
              <w:top w:val="nil"/>
              <w:bottom w:val="nil"/>
            </w:tcBorders>
            <w:vAlign w:val="top"/>
          </w:tcPr>
          <w:p w14:paraId="2AAC5B96">
            <w:pPr>
              <w:rPr>
                <w:rFonts w:ascii="Arial"/>
                <w:color w:val="auto"/>
                <w:sz w:val="21"/>
              </w:rPr>
            </w:pPr>
          </w:p>
        </w:tc>
        <w:tc>
          <w:tcPr>
            <w:tcW w:w="1065" w:type="dxa"/>
            <w:vMerge w:val="continue"/>
            <w:tcBorders>
              <w:top w:val="nil"/>
              <w:bottom w:val="nil"/>
            </w:tcBorders>
            <w:vAlign w:val="top"/>
          </w:tcPr>
          <w:p w14:paraId="2FFAEE75">
            <w:pPr>
              <w:rPr>
                <w:rFonts w:ascii="Arial"/>
                <w:color w:val="auto"/>
                <w:sz w:val="21"/>
              </w:rPr>
            </w:pPr>
          </w:p>
        </w:tc>
        <w:tc>
          <w:tcPr>
            <w:tcW w:w="914" w:type="dxa"/>
            <w:vMerge w:val="continue"/>
            <w:tcBorders>
              <w:top w:val="nil"/>
              <w:bottom w:val="nil"/>
            </w:tcBorders>
            <w:vAlign w:val="top"/>
          </w:tcPr>
          <w:p w14:paraId="64165C06">
            <w:pPr>
              <w:rPr>
                <w:rFonts w:ascii="Arial"/>
                <w:color w:val="auto"/>
                <w:sz w:val="21"/>
              </w:rPr>
            </w:pPr>
          </w:p>
        </w:tc>
        <w:tc>
          <w:tcPr>
            <w:tcW w:w="974" w:type="dxa"/>
            <w:vAlign w:val="top"/>
          </w:tcPr>
          <w:p w14:paraId="6210A1B1">
            <w:pPr>
              <w:spacing w:line="276" w:lineRule="auto"/>
              <w:rPr>
                <w:rFonts w:ascii="Arial"/>
                <w:color w:val="auto"/>
                <w:sz w:val="21"/>
              </w:rPr>
            </w:pPr>
          </w:p>
          <w:p w14:paraId="28B9C325">
            <w:pPr>
              <w:spacing w:line="276" w:lineRule="auto"/>
              <w:rPr>
                <w:rFonts w:ascii="Arial"/>
                <w:color w:val="auto"/>
                <w:sz w:val="21"/>
              </w:rPr>
            </w:pPr>
          </w:p>
          <w:p w14:paraId="64397B00">
            <w:pPr>
              <w:spacing w:line="276" w:lineRule="auto"/>
              <w:rPr>
                <w:rFonts w:ascii="Arial"/>
                <w:color w:val="auto"/>
                <w:sz w:val="21"/>
              </w:rPr>
            </w:pPr>
          </w:p>
          <w:p w14:paraId="0960F7BD">
            <w:pPr>
              <w:spacing w:line="276" w:lineRule="auto"/>
              <w:rPr>
                <w:rFonts w:ascii="Arial"/>
                <w:color w:val="auto"/>
                <w:sz w:val="21"/>
              </w:rPr>
            </w:pPr>
          </w:p>
          <w:p w14:paraId="5407E569">
            <w:pPr>
              <w:spacing w:line="276" w:lineRule="auto"/>
              <w:rPr>
                <w:rFonts w:ascii="Arial"/>
                <w:color w:val="auto"/>
                <w:sz w:val="21"/>
              </w:rPr>
            </w:pPr>
          </w:p>
          <w:p w14:paraId="3A450ECA">
            <w:pPr>
              <w:spacing w:line="276" w:lineRule="auto"/>
              <w:rPr>
                <w:rFonts w:ascii="Arial"/>
                <w:color w:val="auto"/>
                <w:sz w:val="21"/>
              </w:rPr>
            </w:pPr>
          </w:p>
          <w:p w14:paraId="1DA2FEDF">
            <w:pPr>
              <w:kinsoku w:val="0"/>
              <w:autoSpaceDE w:val="0"/>
              <w:autoSpaceDN w:val="0"/>
              <w:adjustRightInd w:val="0"/>
              <w:snapToGrid w:val="0"/>
              <w:spacing w:before="78" w:line="218" w:lineRule="auto"/>
              <w:ind w:left="220"/>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6"/>
                <w:kern w:val="0"/>
                <w:sz w:val="24"/>
                <w:szCs w:val="24"/>
                <w:lang w:val="en-US" w:eastAsia="en-US" w:bidi="ar-SA"/>
              </w:rPr>
              <w:t>3楼</w:t>
            </w:r>
          </w:p>
        </w:tc>
        <w:tc>
          <w:tcPr>
            <w:tcW w:w="4004" w:type="dxa"/>
            <w:vAlign w:val="top"/>
          </w:tcPr>
          <w:p w14:paraId="31EF0EC9">
            <w:pPr>
              <w:kinsoku w:val="0"/>
              <w:autoSpaceDE w:val="0"/>
              <w:autoSpaceDN w:val="0"/>
              <w:adjustRightInd w:val="0"/>
              <w:snapToGrid w:val="0"/>
              <w:spacing w:before="121" w:line="345" w:lineRule="auto"/>
              <w:ind w:left="105" w:firstLine="1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5"/>
                <w:kern w:val="0"/>
                <w:sz w:val="24"/>
                <w:szCs w:val="24"/>
                <w:lang w:val="en-US" w:eastAsia="en-US" w:bidi="ar-SA"/>
              </w:rPr>
              <w:t>南侧人社局公共区域、电梯间、卫生间、</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出入境公共区域、安全步梯1-3楼(2个)</w:t>
            </w:r>
            <w:r>
              <w:rPr>
                <w:rFonts w:ascii="仿宋" w:hAnsi="仿宋" w:eastAsia="仿宋" w:cs="仿宋"/>
                <w:snapToGrid w:val="0"/>
                <w:color w:val="auto"/>
                <w:spacing w:val="5"/>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、货梯间 1-3 楼室内步梯圆柱、南侧</w:t>
            </w:r>
            <w:r>
              <w:rPr>
                <w:rFonts w:ascii="仿宋" w:hAnsi="仿宋" w:eastAsia="仿宋" w:cs="仿宋"/>
                <w:snapToGrid w:val="0"/>
                <w:color w:val="auto"/>
                <w:spacing w:val="-29"/>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1-3</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楼石材步梯(1 人);北侧卫生间、茶水间</w:t>
            </w:r>
            <w:r>
              <w:rPr>
                <w:rFonts w:ascii="仿宋" w:hAnsi="仿宋" w:eastAsia="仿宋" w:cs="仿宋"/>
                <w:snapToGrid w:val="0"/>
                <w:color w:val="auto"/>
                <w:spacing w:val="12"/>
                <w:kern w:val="0"/>
                <w:sz w:val="24"/>
                <w:szCs w:val="24"/>
                <w:lang w:val="en-US" w:eastAsia="en-US" w:bidi="ar-SA"/>
              </w:rPr>
              <w:t xml:space="preserve"> </w:t>
            </w:r>
            <w:r>
              <w:rPr>
                <w:rFonts w:ascii="仿宋" w:hAnsi="仿宋" w:eastAsia="仿宋" w:cs="仿宋"/>
                <w:snapToGrid w:val="0"/>
                <w:color w:val="auto"/>
                <w:spacing w:val="-21"/>
                <w:kern w:val="0"/>
                <w:sz w:val="24"/>
                <w:szCs w:val="24"/>
                <w:lang w:val="en-US" w:eastAsia="en-US" w:bidi="ar-SA"/>
              </w:rPr>
              <w:t>1-3楼安全步梯(1个)、交警队、公安局、</w:t>
            </w:r>
            <w:r>
              <w:rPr>
                <w:rFonts w:ascii="仿宋" w:hAnsi="仿宋" w:eastAsia="仿宋" w:cs="仿宋"/>
                <w:snapToGrid w:val="0"/>
                <w:color w:val="auto"/>
                <w:spacing w:val="3"/>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驾驶员学习室、公共区域(1 人)；东侧房</w:t>
            </w:r>
            <w:r>
              <w:rPr>
                <w:rFonts w:ascii="仿宋" w:hAnsi="仿宋" w:eastAsia="仿宋" w:cs="仿宋"/>
                <w:snapToGrid w:val="0"/>
                <w:color w:val="auto"/>
                <w:spacing w:val="9"/>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管局、民政局、货梯间、步梯间</w:t>
            </w:r>
            <w:r>
              <w:rPr>
                <w:rFonts w:ascii="仿宋" w:hAnsi="仿宋" w:eastAsia="仿宋" w:cs="仿宋"/>
                <w:snapToGrid w:val="0"/>
                <w:color w:val="auto"/>
                <w:spacing w:val="-40"/>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1-3</w:t>
            </w:r>
            <w:r>
              <w:rPr>
                <w:rFonts w:ascii="仿宋" w:hAnsi="仿宋" w:eastAsia="仿宋" w:cs="仿宋"/>
                <w:snapToGrid w:val="0"/>
                <w:color w:val="auto"/>
                <w:spacing w:val="-45"/>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楼(2</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个)、室内1-3楼步梯东侧公共区域(1</w:t>
            </w:r>
            <w:r>
              <w:rPr>
                <w:rFonts w:ascii="仿宋" w:hAnsi="仿宋" w:eastAsia="仿宋" w:cs="仿宋"/>
                <w:snapToGrid w:val="0"/>
                <w:color w:val="auto"/>
                <w:spacing w:val="-62"/>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人)。</w:t>
            </w:r>
          </w:p>
        </w:tc>
        <w:tc>
          <w:tcPr>
            <w:tcW w:w="1402" w:type="dxa"/>
            <w:vAlign w:val="top"/>
          </w:tcPr>
          <w:p w14:paraId="481F672B">
            <w:pPr>
              <w:spacing w:line="276" w:lineRule="auto"/>
              <w:rPr>
                <w:rFonts w:ascii="Arial"/>
                <w:color w:val="auto"/>
                <w:sz w:val="21"/>
              </w:rPr>
            </w:pPr>
          </w:p>
          <w:p w14:paraId="4BD58C99">
            <w:pPr>
              <w:spacing w:line="276" w:lineRule="auto"/>
              <w:rPr>
                <w:rFonts w:ascii="Arial"/>
                <w:color w:val="auto"/>
                <w:sz w:val="21"/>
              </w:rPr>
            </w:pPr>
          </w:p>
          <w:p w14:paraId="78A79BD7">
            <w:pPr>
              <w:spacing w:line="276" w:lineRule="auto"/>
              <w:rPr>
                <w:rFonts w:ascii="Arial"/>
                <w:color w:val="auto"/>
                <w:sz w:val="21"/>
              </w:rPr>
            </w:pPr>
          </w:p>
          <w:p w14:paraId="2405DE42">
            <w:pPr>
              <w:spacing w:line="276" w:lineRule="auto"/>
              <w:rPr>
                <w:rFonts w:ascii="Arial"/>
                <w:color w:val="auto"/>
                <w:sz w:val="21"/>
              </w:rPr>
            </w:pPr>
          </w:p>
          <w:p w14:paraId="663850E9">
            <w:pPr>
              <w:spacing w:line="276" w:lineRule="auto"/>
              <w:rPr>
                <w:rFonts w:ascii="Arial"/>
                <w:color w:val="auto"/>
                <w:sz w:val="21"/>
              </w:rPr>
            </w:pPr>
          </w:p>
          <w:p w14:paraId="34439366">
            <w:pPr>
              <w:spacing w:line="277" w:lineRule="auto"/>
              <w:rPr>
                <w:rFonts w:ascii="Arial"/>
                <w:color w:val="auto"/>
                <w:sz w:val="21"/>
              </w:rPr>
            </w:pPr>
          </w:p>
          <w:p w14:paraId="168F1D10">
            <w:pPr>
              <w:kinsoku w:val="0"/>
              <w:autoSpaceDE w:val="0"/>
              <w:autoSpaceDN w:val="0"/>
              <w:adjustRightInd w:val="0"/>
              <w:snapToGrid w:val="0"/>
              <w:spacing w:before="78" w:line="222" w:lineRule="auto"/>
              <w:ind w:left="529"/>
              <w:jc w:val="left"/>
              <w:textAlignment w:val="baseline"/>
              <w:rPr>
                <w:rFonts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spacing w:val="-7"/>
                <w:kern w:val="0"/>
                <w:sz w:val="24"/>
                <w:szCs w:val="24"/>
                <w:lang w:val="en-US" w:eastAsia="zh-CN" w:bidi="ar-SA"/>
              </w:rPr>
              <w:t>4</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7"/>
                <w:kern w:val="0"/>
                <w:sz w:val="24"/>
                <w:szCs w:val="24"/>
                <w:lang w:val="en-US" w:eastAsia="en-US" w:bidi="ar-SA"/>
              </w:rPr>
              <w:t>人</w:t>
            </w:r>
          </w:p>
        </w:tc>
      </w:tr>
      <w:tr w14:paraId="68E7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1" w:hRule="atLeast"/>
        </w:trPr>
        <w:tc>
          <w:tcPr>
            <w:tcW w:w="907" w:type="dxa"/>
            <w:vMerge w:val="continue"/>
            <w:tcBorders>
              <w:top w:val="nil"/>
            </w:tcBorders>
            <w:vAlign w:val="top"/>
          </w:tcPr>
          <w:p w14:paraId="791C5A51">
            <w:pPr>
              <w:rPr>
                <w:rFonts w:ascii="Arial"/>
                <w:color w:val="auto"/>
                <w:sz w:val="21"/>
              </w:rPr>
            </w:pPr>
          </w:p>
        </w:tc>
        <w:tc>
          <w:tcPr>
            <w:tcW w:w="1065" w:type="dxa"/>
            <w:vMerge w:val="continue"/>
            <w:tcBorders>
              <w:top w:val="nil"/>
            </w:tcBorders>
            <w:vAlign w:val="top"/>
          </w:tcPr>
          <w:p w14:paraId="3A698D54">
            <w:pPr>
              <w:rPr>
                <w:rFonts w:ascii="Arial"/>
                <w:color w:val="auto"/>
                <w:sz w:val="21"/>
              </w:rPr>
            </w:pPr>
          </w:p>
        </w:tc>
        <w:tc>
          <w:tcPr>
            <w:tcW w:w="914" w:type="dxa"/>
            <w:vMerge w:val="continue"/>
            <w:tcBorders>
              <w:top w:val="nil"/>
            </w:tcBorders>
            <w:vAlign w:val="top"/>
          </w:tcPr>
          <w:p w14:paraId="4B06BD05">
            <w:pPr>
              <w:rPr>
                <w:rFonts w:ascii="Arial"/>
                <w:color w:val="auto"/>
                <w:sz w:val="21"/>
              </w:rPr>
            </w:pPr>
          </w:p>
        </w:tc>
        <w:tc>
          <w:tcPr>
            <w:tcW w:w="974" w:type="dxa"/>
            <w:vAlign w:val="top"/>
          </w:tcPr>
          <w:p w14:paraId="58EBB791">
            <w:pPr>
              <w:spacing w:line="271" w:lineRule="auto"/>
              <w:rPr>
                <w:rFonts w:ascii="Arial"/>
                <w:color w:val="auto"/>
                <w:sz w:val="21"/>
              </w:rPr>
            </w:pPr>
          </w:p>
          <w:p w14:paraId="6DD48119">
            <w:pPr>
              <w:spacing w:line="271" w:lineRule="auto"/>
              <w:rPr>
                <w:rFonts w:ascii="Arial"/>
                <w:color w:val="auto"/>
                <w:sz w:val="21"/>
              </w:rPr>
            </w:pPr>
          </w:p>
          <w:p w14:paraId="59787600">
            <w:pPr>
              <w:spacing w:line="271" w:lineRule="auto"/>
              <w:rPr>
                <w:rFonts w:ascii="Arial"/>
                <w:color w:val="auto"/>
                <w:sz w:val="21"/>
              </w:rPr>
            </w:pPr>
          </w:p>
          <w:p w14:paraId="7C0C7CE6">
            <w:pPr>
              <w:spacing w:line="271" w:lineRule="auto"/>
              <w:rPr>
                <w:rFonts w:ascii="Arial"/>
                <w:color w:val="auto"/>
                <w:sz w:val="21"/>
              </w:rPr>
            </w:pPr>
          </w:p>
          <w:p w14:paraId="1AB84EBB">
            <w:pPr>
              <w:spacing w:line="271" w:lineRule="auto"/>
              <w:rPr>
                <w:rFonts w:ascii="Arial"/>
                <w:color w:val="auto"/>
                <w:sz w:val="21"/>
              </w:rPr>
            </w:pPr>
          </w:p>
          <w:p w14:paraId="0F9E3E9B">
            <w:pPr>
              <w:spacing w:line="272" w:lineRule="auto"/>
              <w:rPr>
                <w:rFonts w:ascii="Arial"/>
                <w:color w:val="auto"/>
                <w:sz w:val="21"/>
              </w:rPr>
            </w:pPr>
          </w:p>
          <w:p w14:paraId="44D7699E">
            <w:pPr>
              <w:spacing w:line="272" w:lineRule="auto"/>
              <w:rPr>
                <w:rFonts w:ascii="Arial"/>
                <w:color w:val="auto"/>
                <w:sz w:val="21"/>
              </w:rPr>
            </w:pPr>
          </w:p>
          <w:p w14:paraId="3AA13383">
            <w:pPr>
              <w:kinsoku w:val="0"/>
              <w:autoSpaceDE w:val="0"/>
              <w:autoSpaceDN w:val="0"/>
              <w:adjustRightInd w:val="0"/>
              <w:snapToGrid w:val="0"/>
              <w:spacing w:before="78" w:line="218" w:lineRule="auto"/>
              <w:ind w:left="214"/>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9"/>
                <w:kern w:val="0"/>
                <w:sz w:val="24"/>
                <w:szCs w:val="24"/>
                <w:lang w:val="en-US" w:eastAsia="en-US" w:bidi="ar-SA"/>
              </w:rPr>
              <w:t>4楼</w:t>
            </w:r>
          </w:p>
        </w:tc>
        <w:tc>
          <w:tcPr>
            <w:tcW w:w="4004" w:type="dxa"/>
            <w:vAlign w:val="top"/>
          </w:tcPr>
          <w:p w14:paraId="5DB1AB4E">
            <w:pPr>
              <w:kinsoku w:val="0"/>
              <w:autoSpaceDE w:val="0"/>
              <w:autoSpaceDN w:val="0"/>
              <w:adjustRightInd w:val="0"/>
              <w:snapToGrid w:val="0"/>
              <w:spacing w:before="132" w:line="346" w:lineRule="auto"/>
              <w:ind w:left="105" w:right="53" w:firstLine="1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0"/>
                <w:kern w:val="0"/>
                <w:sz w:val="24"/>
                <w:szCs w:val="24"/>
                <w:lang w:val="en-US" w:eastAsia="en-US" w:bidi="ar-SA"/>
              </w:rPr>
              <w:t>南侧公共区域、电梯间、卫生间、公安局</w:t>
            </w:r>
            <w:r>
              <w:rPr>
                <w:rFonts w:ascii="仿宋" w:hAnsi="仿宋" w:eastAsia="仿宋" w:cs="仿宋"/>
                <w:snapToGrid w:val="0"/>
                <w:color w:val="auto"/>
                <w:spacing w:val="8"/>
                <w:kern w:val="0"/>
                <w:sz w:val="24"/>
                <w:szCs w:val="24"/>
                <w:lang w:val="en-US" w:eastAsia="en-US" w:bidi="ar-SA"/>
              </w:rPr>
              <w:t xml:space="preserve"> </w:t>
            </w:r>
            <w:r>
              <w:rPr>
                <w:rFonts w:ascii="仿宋" w:hAnsi="仿宋" w:eastAsia="仿宋" w:cs="仿宋"/>
                <w:snapToGrid w:val="0"/>
                <w:color w:val="auto"/>
                <w:spacing w:val="-19"/>
                <w:kern w:val="0"/>
                <w:sz w:val="24"/>
                <w:szCs w:val="24"/>
                <w:lang w:val="en-US" w:eastAsia="en-US" w:bidi="ar-SA"/>
              </w:rPr>
              <w:t>公共区域、安全步梯1-3楼(2个)、货梯</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间1-3楼室内步梯、4楼休闲区域(1</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人</w:t>
            </w:r>
            <w:r>
              <w:rPr>
                <w:rFonts w:ascii="仿宋" w:hAnsi="仿宋" w:eastAsia="仿宋" w:cs="仿宋"/>
                <w:snapToGrid w:val="0"/>
                <w:color w:val="auto"/>
                <w:spacing w:val="-21"/>
                <w:kern w:val="0"/>
                <w:sz w:val="24"/>
                <w:szCs w:val="24"/>
                <w:lang w:val="en-US" w:eastAsia="en-US" w:bidi="ar-SA"/>
              </w:rPr>
              <w:t>)；</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19"/>
                <w:kern w:val="0"/>
                <w:sz w:val="24"/>
                <w:szCs w:val="24"/>
                <w:lang w:val="en-US" w:eastAsia="en-US" w:bidi="ar-SA"/>
              </w:rPr>
              <w:t>北侧卫生间、茶水间 1-3 楼安全步梯(1</w:t>
            </w:r>
            <w:r>
              <w:rPr>
                <w:rFonts w:ascii="仿宋" w:hAnsi="仿宋" w:eastAsia="仿宋" w:cs="仿宋"/>
                <w:snapToGrid w:val="0"/>
                <w:color w:val="auto"/>
                <w:spacing w:val="11"/>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个);北侧办公大厅所有台面、桌椅、围栏</w:t>
            </w:r>
            <w:r>
              <w:rPr>
                <w:rFonts w:ascii="仿宋" w:hAnsi="仿宋" w:eastAsia="仿宋" w:cs="仿宋"/>
                <w:snapToGrid w:val="0"/>
                <w:color w:val="auto"/>
                <w:spacing w:val="11"/>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玻璃、3-4</w:t>
            </w:r>
            <w:r>
              <w:rPr>
                <w:rFonts w:ascii="仿宋" w:hAnsi="仿宋" w:eastAsia="仿宋" w:cs="仿宋"/>
                <w:snapToGrid w:val="0"/>
                <w:color w:val="auto"/>
                <w:spacing w:val="-12"/>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楼室内步梯及玻璃(1 人);4</w:t>
            </w:r>
            <w:r>
              <w:rPr>
                <w:rFonts w:ascii="仿宋" w:hAnsi="仿宋" w:eastAsia="仿宋" w:cs="仿宋"/>
                <w:snapToGrid w:val="0"/>
                <w:color w:val="auto"/>
                <w:spacing w:val="-29"/>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楼</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东、步梯3-4</w:t>
            </w:r>
            <w:r>
              <w:rPr>
                <w:rFonts w:ascii="仿宋" w:hAnsi="仿宋" w:eastAsia="仿宋" w:cs="仿宋"/>
                <w:snapToGrid w:val="0"/>
                <w:color w:val="auto"/>
                <w:spacing w:val="-54"/>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楼2</w:t>
            </w:r>
            <w:r>
              <w:rPr>
                <w:rFonts w:ascii="仿宋" w:hAnsi="仿宋" w:eastAsia="仿宋" w:cs="仿宋"/>
                <w:snapToGrid w:val="0"/>
                <w:color w:val="auto"/>
                <w:spacing w:val="-58"/>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个、东侧货梯间两条通</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道及所有石材墙玻璃、圆柱东侧</w:t>
            </w:r>
            <w:r>
              <w:rPr>
                <w:rFonts w:ascii="仿宋" w:hAnsi="仿宋" w:eastAsia="仿宋" w:cs="仿宋"/>
                <w:snapToGrid w:val="0"/>
                <w:color w:val="auto"/>
                <w:spacing w:val="-36"/>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1-3</w:t>
            </w:r>
            <w:r>
              <w:rPr>
                <w:rFonts w:ascii="仿宋" w:hAnsi="仿宋" w:eastAsia="仿宋" w:cs="仿宋"/>
                <w:snapToGrid w:val="0"/>
                <w:color w:val="auto"/>
                <w:spacing w:val="-45"/>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楼大</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石材步梯(1</w:t>
            </w:r>
            <w:r>
              <w:rPr>
                <w:rFonts w:ascii="仿宋" w:hAnsi="仿宋" w:eastAsia="仿宋" w:cs="仿宋"/>
                <w:snapToGrid w:val="0"/>
                <w:color w:val="auto"/>
                <w:spacing w:val="-64"/>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人)。</w:t>
            </w:r>
          </w:p>
        </w:tc>
        <w:tc>
          <w:tcPr>
            <w:tcW w:w="1402" w:type="dxa"/>
            <w:vAlign w:val="top"/>
          </w:tcPr>
          <w:p w14:paraId="78FA5D01">
            <w:pPr>
              <w:spacing w:line="271" w:lineRule="auto"/>
              <w:rPr>
                <w:rFonts w:ascii="Arial"/>
                <w:color w:val="auto"/>
                <w:sz w:val="21"/>
              </w:rPr>
            </w:pPr>
          </w:p>
          <w:p w14:paraId="0E210CDC">
            <w:pPr>
              <w:spacing w:line="271" w:lineRule="auto"/>
              <w:rPr>
                <w:rFonts w:ascii="Arial"/>
                <w:color w:val="auto"/>
                <w:sz w:val="21"/>
              </w:rPr>
            </w:pPr>
          </w:p>
          <w:p w14:paraId="140B6013">
            <w:pPr>
              <w:spacing w:line="271" w:lineRule="auto"/>
              <w:rPr>
                <w:rFonts w:ascii="Arial"/>
                <w:color w:val="auto"/>
                <w:sz w:val="21"/>
              </w:rPr>
            </w:pPr>
          </w:p>
          <w:p w14:paraId="0A287B6D">
            <w:pPr>
              <w:spacing w:line="271" w:lineRule="auto"/>
              <w:rPr>
                <w:rFonts w:ascii="Arial"/>
                <w:color w:val="auto"/>
                <w:sz w:val="21"/>
              </w:rPr>
            </w:pPr>
          </w:p>
          <w:p w14:paraId="6F4C3088">
            <w:pPr>
              <w:spacing w:line="272" w:lineRule="auto"/>
              <w:rPr>
                <w:rFonts w:ascii="Arial"/>
                <w:color w:val="auto"/>
                <w:sz w:val="21"/>
              </w:rPr>
            </w:pPr>
          </w:p>
          <w:p w14:paraId="0D1EDD7E">
            <w:pPr>
              <w:spacing w:line="272" w:lineRule="auto"/>
              <w:rPr>
                <w:rFonts w:ascii="Arial"/>
                <w:color w:val="auto"/>
                <w:sz w:val="21"/>
              </w:rPr>
            </w:pPr>
          </w:p>
          <w:p w14:paraId="4BA1A87D">
            <w:pPr>
              <w:spacing w:line="272" w:lineRule="auto"/>
              <w:rPr>
                <w:rFonts w:ascii="Arial"/>
                <w:color w:val="auto"/>
                <w:sz w:val="21"/>
              </w:rPr>
            </w:pPr>
          </w:p>
          <w:p w14:paraId="1C4A8EB1">
            <w:pPr>
              <w:kinsoku w:val="0"/>
              <w:autoSpaceDE w:val="0"/>
              <w:autoSpaceDN w:val="0"/>
              <w:adjustRightInd w:val="0"/>
              <w:snapToGrid w:val="0"/>
              <w:spacing w:before="78" w:line="222" w:lineRule="auto"/>
              <w:ind w:left="529"/>
              <w:jc w:val="left"/>
              <w:textAlignment w:val="baseline"/>
              <w:rPr>
                <w:rFonts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spacing w:val="-71"/>
                <w:kern w:val="0"/>
                <w:sz w:val="24"/>
                <w:szCs w:val="24"/>
                <w:lang w:val="en-US" w:eastAsia="zh-CN" w:bidi="ar-SA"/>
              </w:rPr>
              <w:t>4</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7"/>
                <w:kern w:val="0"/>
                <w:sz w:val="24"/>
                <w:szCs w:val="24"/>
                <w:lang w:val="en-US" w:eastAsia="en-US" w:bidi="ar-SA"/>
              </w:rPr>
              <w:t>人</w:t>
            </w:r>
          </w:p>
        </w:tc>
      </w:tr>
    </w:tbl>
    <w:p w14:paraId="63D6024C">
      <w:pPr>
        <w:pStyle w:val="3"/>
        <w:rPr>
          <w:color w:val="auto"/>
        </w:rPr>
      </w:pPr>
    </w:p>
    <w:p w14:paraId="31BEEA28">
      <w:pPr>
        <w:rPr>
          <w:color w:val="auto"/>
        </w:rPr>
        <w:sectPr>
          <w:footerReference r:id="rId33" w:type="default"/>
          <w:pgSz w:w="11910" w:h="16845"/>
          <w:pgMar w:top="990" w:right="1201" w:bottom="890" w:left="1397" w:header="675" w:footer="659" w:gutter="0"/>
          <w:cols w:space="720" w:num="1"/>
        </w:sectPr>
      </w:pPr>
    </w:p>
    <w:p w14:paraId="1A59823D">
      <w:pPr>
        <w:spacing w:before="193"/>
        <w:rPr>
          <w:color w:val="auto"/>
        </w:rPr>
      </w:pPr>
    </w:p>
    <w:tbl>
      <w:tblPr>
        <w:tblStyle w:val="10"/>
        <w:tblW w:w="92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7"/>
        <w:gridCol w:w="1065"/>
        <w:gridCol w:w="914"/>
        <w:gridCol w:w="974"/>
        <w:gridCol w:w="4004"/>
        <w:gridCol w:w="1402"/>
      </w:tblGrid>
      <w:tr w14:paraId="6999B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7" w:hRule="atLeast"/>
        </w:trPr>
        <w:tc>
          <w:tcPr>
            <w:tcW w:w="907" w:type="dxa"/>
            <w:vMerge w:val="restart"/>
            <w:tcBorders>
              <w:bottom w:val="nil"/>
            </w:tcBorders>
            <w:vAlign w:val="top"/>
          </w:tcPr>
          <w:p w14:paraId="47B0EC0A">
            <w:pPr>
              <w:rPr>
                <w:rFonts w:ascii="Arial"/>
                <w:color w:val="auto"/>
                <w:sz w:val="21"/>
              </w:rPr>
            </w:pPr>
          </w:p>
        </w:tc>
        <w:tc>
          <w:tcPr>
            <w:tcW w:w="1065" w:type="dxa"/>
            <w:vMerge w:val="restart"/>
            <w:tcBorders>
              <w:bottom w:val="nil"/>
            </w:tcBorders>
            <w:vAlign w:val="top"/>
          </w:tcPr>
          <w:p w14:paraId="782DEE3B">
            <w:pPr>
              <w:rPr>
                <w:rFonts w:ascii="Arial"/>
                <w:color w:val="auto"/>
                <w:sz w:val="21"/>
              </w:rPr>
            </w:pPr>
          </w:p>
        </w:tc>
        <w:tc>
          <w:tcPr>
            <w:tcW w:w="914" w:type="dxa"/>
            <w:vAlign w:val="top"/>
          </w:tcPr>
          <w:p w14:paraId="0EE90817">
            <w:pPr>
              <w:rPr>
                <w:rFonts w:ascii="Arial"/>
                <w:color w:val="auto"/>
                <w:sz w:val="21"/>
              </w:rPr>
            </w:pPr>
          </w:p>
        </w:tc>
        <w:tc>
          <w:tcPr>
            <w:tcW w:w="974" w:type="dxa"/>
            <w:vAlign w:val="top"/>
          </w:tcPr>
          <w:p w14:paraId="496538C9">
            <w:pPr>
              <w:spacing w:line="246" w:lineRule="auto"/>
              <w:rPr>
                <w:rFonts w:ascii="Arial"/>
                <w:color w:val="auto"/>
                <w:sz w:val="21"/>
              </w:rPr>
            </w:pPr>
          </w:p>
          <w:p w14:paraId="77EEE8D7">
            <w:pPr>
              <w:spacing w:line="247" w:lineRule="auto"/>
              <w:rPr>
                <w:rFonts w:ascii="Arial"/>
                <w:color w:val="auto"/>
                <w:sz w:val="21"/>
              </w:rPr>
            </w:pPr>
          </w:p>
          <w:p w14:paraId="3D75D296">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6"/>
                <w:kern w:val="0"/>
                <w:sz w:val="24"/>
                <w:szCs w:val="24"/>
                <w:lang w:val="en-US" w:eastAsia="en-US" w:bidi="ar-SA"/>
              </w:rPr>
              <w:t>5楼</w:t>
            </w:r>
          </w:p>
        </w:tc>
        <w:tc>
          <w:tcPr>
            <w:tcW w:w="4004" w:type="dxa"/>
            <w:vAlign w:val="top"/>
          </w:tcPr>
          <w:p w14:paraId="25D9AAF3">
            <w:pPr>
              <w:kinsoku w:val="0"/>
              <w:autoSpaceDE w:val="0"/>
              <w:autoSpaceDN w:val="0"/>
              <w:adjustRightInd w:val="0"/>
              <w:snapToGrid w:val="0"/>
              <w:spacing w:before="109" w:line="325" w:lineRule="auto"/>
              <w:ind w:left="104" w:right="53" w:hanging="1"/>
              <w:jc w:val="both"/>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5 楼所有公共区域、卫生间、茶水间、电</w:t>
            </w:r>
            <w:r>
              <w:rPr>
                <w:rFonts w:ascii="仿宋" w:hAnsi="仿宋" w:eastAsia="仿宋" w:cs="仿宋"/>
                <w:snapToGrid w:val="0"/>
                <w:color w:val="auto"/>
                <w:spacing w:val="14"/>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梯间、4-5</w:t>
            </w:r>
            <w:r>
              <w:rPr>
                <w:rFonts w:ascii="仿宋" w:hAnsi="仿宋" w:eastAsia="仿宋" w:cs="仿宋"/>
                <w:snapToGrid w:val="0"/>
                <w:color w:val="auto"/>
                <w:spacing w:val="-22"/>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楼消防步梯</w:t>
            </w:r>
            <w:r>
              <w:rPr>
                <w:rFonts w:ascii="仿宋" w:hAnsi="仿宋" w:eastAsia="仿宋" w:cs="仿宋"/>
                <w:snapToGrid w:val="0"/>
                <w:color w:val="auto"/>
                <w:spacing w:val="-49"/>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2 个、南侧消防步</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14"/>
                <w:kern w:val="0"/>
                <w:sz w:val="24"/>
                <w:szCs w:val="24"/>
                <w:lang w:val="en-US" w:eastAsia="en-US" w:bidi="ar-SA"/>
              </w:rPr>
              <w:t>梯1-5楼、2楼夹层通道(</w:t>
            </w:r>
            <w:r>
              <w:rPr>
                <w:rFonts w:hint="eastAsia" w:ascii="仿宋" w:hAnsi="仿宋" w:eastAsia="仿宋" w:cs="仿宋"/>
                <w:snapToGrid w:val="0"/>
                <w:color w:val="auto"/>
                <w:spacing w:val="-14"/>
                <w:kern w:val="0"/>
                <w:sz w:val="24"/>
                <w:szCs w:val="24"/>
                <w:lang w:val="en-US" w:eastAsia="zh-CN" w:bidi="ar-SA"/>
              </w:rPr>
              <w:t>1</w:t>
            </w:r>
            <w:r>
              <w:rPr>
                <w:rFonts w:ascii="仿宋" w:hAnsi="仿宋" w:eastAsia="仿宋" w:cs="仿宋"/>
                <w:snapToGrid w:val="0"/>
                <w:color w:val="auto"/>
                <w:spacing w:val="-60"/>
                <w:kern w:val="0"/>
                <w:sz w:val="24"/>
                <w:szCs w:val="24"/>
                <w:lang w:val="en-US" w:eastAsia="en-US" w:bidi="ar-SA"/>
              </w:rPr>
              <w:t xml:space="preserve"> </w:t>
            </w:r>
            <w:r>
              <w:rPr>
                <w:rFonts w:ascii="仿宋" w:hAnsi="仿宋" w:eastAsia="仿宋" w:cs="仿宋"/>
                <w:snapToGrid w:val="0"/>
                <w:color w:val="auto"/>
                <w:spacing w:val="-14"/>
                <w:kern w:val="0"/>
                <w:sz w:val="24"/>
                <w:szCs w:val="24"/>
                <w:lang w:val="en-US" w:eastAsia="en-US" w:bidi="ar-SA"/>
              </w:rPr>
              <w:t>人)</w:t>
            </w:r>
          </w:p>
        </w:tc>
        <w:tc>
          <w:tcPr>
            <w:tcW w:w="1402" w:type="dxa"/>
            <w:vAlign w:val="top"/>
          </w:tcPr>
          <w:p w14:paraId="05A822F1">
            <w:pPr>
              <w:spacing w:line="247" w:lineRule="auto"/>
              <w:rPr>
                <w:rFonts w:ascii="Arial"/>
                <w:color w:val="auto"/>
                <w:sz w:val="21"/>
              </w:rPr>
            </w:pPr>
          </w:p>
          <w:p w14:paraId="79F6692A">
            <w:pPr>
              <w:spacing w:line="247" w:lineRule="auto"/>
              <w:rPr>
                <w:rFonts w:ascii="Arial"/>
                <w:color w:val="auto"/>
                <w:sz w:val="21"/>
              </w:rPr>
            </w:pPr>
          </w:p>
          <w:p w14:paraId="4573CC2E">
            <w:pPr>
              <w:kinsoku w:val="0"/>
              <w:autoSpaceDE w:val="0"/>
              <w:autoSpaceDN w:val="0"/>
              <w:adjustRightInd w:val="0"/>
              <w:snapToGrid w:val="0"/>
              <w:spacing w:before="78" w:line="222" w:lineRule="auto"/>
              <w:ind w:left="542"/>
              <w:jc w:val="left"/>
              <w:textAlignment w:val="baseline"/>
              <w:rPr>
                <w:rFonts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spacing w:val="11"/>
                <w:kern w:val="0"/>
                <w:sz w:val="24"/>
                <w:szCs w:val="24"/>
                <w:lang w:val="en-US" w:eastAsia="zh-CN" w:bidi="ar-SA"/>
              </w:rPr>
              <w:t>2</w:t>
            </w:r>
            <w:r>
              <w:rPr>
                <w:rFonts w:ascii="仿宋" w:hAnsi="仿宋" w:eastAsia="仿宋" w:cs="仿宋"/>
                <w:snapToGrid w:val="0"/>
                <w:color w:val="auto"/>
                <w:spacing w:val="11"/>
                <w:kern w:val="0"/>
                <w:sz w:val="24"/>
                <w:szCs w:val="24"/>
                <w:lang w:val="en-US" w:eastAsia="en-US" w:bidi="ar-SA"/>
              </w:rPr>
              <w:t>人</w:t>
            </w:r>
          </w:p>
        </w:tc>
      </w:tr>
      <w:tr w14:paraId="397C5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54" w:hRule="atLeast"/>
        </w:trPr>
        <w:tc>
          <w:tcPr>
            <w:tcW w:w="907" w:type="dxa"/>
            <w:vMerge w:val="continue"/>
            <w:tcBorders>
              <w:top w:val="nil"/>
              <w:bottom w:val="nil"/>
            </w:tcBorders>
            <w:vAlign w:val="top"/>
          </w:tcPr>
          <w:p w14:paraId="0962A68F">
            <w:pPr>
              <w:rPr>
                <w:rFonts w:ascii="Arial"/>
                <w:color w:val="auto"/>
                <w:sz w:val="21"/>
              </w:rPr>
            </w:pPr>
          </w:p>
        </w:tc>
        <w:tc>
          <w:tcPr>
            <w:tcW w:w="1065" w:type="dxa"/>
            <w:vMerge w:val="continue"/>
            <w:tcBorders>
              <w:top w:val="nil"/>
              <w:bottom w:val="nil"/>
            </w:tcBorders>
            <w:vAlign w:val="top"/>
          </w:tcPr>
          <w:p w14:paraId="2B379586">
            <w:pPr>
              <w:rPr>
                <w:rFonts w:ascii="Arial"/>
                <w:color w:val="auto"/>
                <w:sz w:val="21"/>
              </w:rPr>
            </w:pPr>
          </w:p>
        </w:tc>
        <w:tc>
          <w:tcPr>
            <w:tcW w:w="914" w:type="dxa"/>
            <w:vAlign w:val="top"/>
          </w:tcPr>
          <w:p w14:paraId="2F9762E7">
            <w:pPr>
              <w:spacing w:line="245" w:lineRule="auto"/>
              <w:rPr>
                <w:rFonts w:ascii="Arial"/>
                <w:color w:val="auto"/>
                <w:sz w:val="21"/>
              </w:rPr>
            </w:pPr>
          </w:p>
          <w:p w14:paraId="11D018FD">
            <w:pPr>
              <w:spacing w:line="245" w:lineRule="auto"/>
              <w:rPr>
                <w:rFonts w:ascii="Arial"/>
                <w:color w:val="auto"/>
                <w:sz w:val="21"/>
              </w:rPr>
            </w:pPr>
          </w:p>
          <w:p w14:paraId="334C3733">
            <w:pPr>
              <w:spacing w:line="245" w:lineRule="auto"/>
              <w:rPr>
                <w:rFonts w:ascii="Arial"/>
                <w:color w:val="auto"/>
                <w:sz w:val="21"/>
              </w:rPr>
            </w:pPr>
          </w:p>
          <w:p w14:paraId="19E90B00">
            <w:pPr>
              <w:spacing w:line="245" w:lineRule="auto"/>
              <w:rPr>
                <w:rFonts w:ascii="Arial"/>
                <w:color w:val="auto"/>
                <w:sz w:val="21"/>
              </w:rPr>
            </w:pPr>
          </w:p>
          <w:p w14:paraId="60125656">
            <w:pPr>
              <w:kinsoku w:val="0"/>
              <w:autoSpaceDE w:val="0"/>
              <w:autoSpaceDN w:val="0"/>
              <w:adjustRightInd w:val="0"/>
              <w:snapToGrid w:val="0"/>
              <w:spacing w:before="78" w:line="217" w:lineRule="auto"/>
              <w:ind w:left="12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维修</w:t>
            </w:r>
          </w:p>
        </w:tc>
        <w:tc>
          <w:tcPr>
            <w:tcW w:w="974" w:type="dxa"/>
            <w:vAlign w:val="top"/>
          </w:tcPr>
          <w:p w14:paraId="25404D5F">
            <w:pPr>
              <w:rPr>
                <w:rFonts w:ascii="Arial"/>
                <w:color w:val="auto"/>
                <w:sz w:val="21"/>
              </w:rPr>
            </w:pPr>
          </w:p>
        </w:tc>
        <w:tc>
          <w:tcPr>
            <w:tcW w:w="4004" w:type="dxa"/>
            <w:vAlign w:val="top"/>
          </w:tcPr>
          <w:p w14:paraId="6F267D44">
            <w:pPr>
              <w:kinsoku w:val="0"/>
              <w:autoSpaceDE w:val="0"/>
              <w:autoSpaceDN w:val="0"/>
              <w:adjustRightInd w:val="0"/>
              <w:snapToGrid w:val="0"/>
              <w:spacing w:before="134" w:line="340" w:lineRule="auto"/>
              <w:ind w:left="10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6"/>
                <w:kern w:val="0"/>
                <w:sz w:val="24"/>
                <w:szCs w:val="24"/>
                <w:lang w:val="en-US" w:eastAsia="en-US" w:bidi="ar-SA"/>
              </w:rPr>
              <w:t>政务中心、公共资源中心、档案馆、税局、</w:t>
            </w:r>
            <w:r>
              <w:rPr>
                <w:rFonts w:ascii="仿宋" w:hAnsi="仿宋" w:eastAsia="仿宋" w:cs="仿宋"/>
                <w:snapToGrid w:val="0"/>
                <w:color w:val="auto"/>
                <w:spacing w:val="5"/>
                <w:kern w:val="0"/>
                <w:sz w:val="24"/>
                <w:szCs w:val="24"/>
                <w:lang w:val="en-US" w:eastAsia="en-US" w:bidi="ar-SA"/>
              </w:rPr>
              <w:t xml:space="preserve"> </w:t>
            </w:r>
            <w:r>
              <w:rPr>
                <w:rFonts w:ascii="仿宋" w:hAnsi="仿宋" w:eastAsia="仿宋" w:cs="仿宋"/>
                <w:snapToGrid w:val="0"/>
                <w:color w:val="auto"/>
                <w:spacing w:val="-30"/>
                <w:kern w:val="0"/>
                <w:sz w:val="24"/>
                <w:szCs w:val="24"/>
                <w:lang w:val="en-US" w:eastAsia="en-US" w:bidi="ar-SA"/>
              </w:rPr>
              <w:t>人力资源中心公共区域及办公区域照明日</w:t>
            </w:r>
            <w:r>
              <w:rPr>
                <w:rFonts w:ascii="仿宋" w:hAnsi="仿宋" w:eastAsia="仿宋" w:cs="仿宋"/>
                <w:snapToGrid w:val="0"/>
                <w:color w:val="auto"/>
                <w:spacing w:val="6"/>
                <w:kern w:val="0"/>
                <w:sz w:val="24"/>
                <w:szCs w:val="24"/>
                <w:lang w:val="en-US" w:eastAsia="en-US" w:bidi="ar-SA"/>
              </w:rPr>
              <w:t xml:space="preserve"> </w:t>
            </w:r>
            <w:r>
              <w:rPr>
                <w:rFonts w:ascii="仿宋" w:hAnsi="仿宋" w:eastAsia="仿宋" w:cs="仿宋"/>
                <w:snapToGrid w:val="0"/>
                <w:color w:val="auto"/>
                <w:spacing w:val="-21"/>
                <w:kern w:val="0"/>
                <w:sz w:val="24"/>
                <w:szCs w:val="24"/>
                <w:lang w:val="en-US" w:eastAsia="en-US" w:bidi="ar-SA"/>
              </w:rPr>
              <w:t>常开关、各单位小修(白班2</w:t>
            </w:r>
            <w:r>
              <w:rPr>
                <w:rFonts w:ascii="仿宋" w:hAnsi="仿宋" w:eastAsia="仿宋" w:cs="仿宋"/>
                <w:snapToGrid w:val="0"/>
                <w:color w:val="auto"/>
                <w:spacing w:val="-40"/>
                <w:kern w:val="0"/>
                <w:sz w:val="24"/>
                <w:szCs w:val="24"/>
                <w:lang w:val="en-US" w:eastAsia="en-US" w:bidi="ar-SA"/>
              </w:rPr>
              <w:t xml:space="preserve"> </w:t>
            </w:r>
            <w:r>
              <w:rPr>
                <w:rFonts w:ascii="仿宋" w:hAnsi="仿宋" w:eastAsia="仿宋" w:cs="仿宋"/>
                <w:snapToGrid w:val="0"/>
                <w:color w:val="auto"/>
                <w:spacing w:val="-21"/>
                <w:kern w:val="0"/>
                <w:sz w:val="24"/>
                <w:szCs w:val="24"/>
                <w:lang w:val="en-US" w:eastAsia="en-US" w:bidi="ar-SA"/>
              </w:rPr>
              <w:t>人)博物馆、</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30"/>
                <w:kern w:val="0"/>
                <w:sz w:val="24"/>
                <w:szCs w:val="24"/>
                <w:lang w:val="en-US" w:eastAsia="en-US" w:bidi="ar-SA"/>
              </w:rPr>
              <w:t>科技馆空调暖气设备正常运行，早班、中</w:t>
            </w:r>
            <w:r>
              <w:rPr>
                <w:rFonts w:ascii="仿宋" w:hAnsi="仿宋" w:eastAsia="仿宋" w:cs="仿宋"/>
                <w:snapToGrid w:val="0"/>
                <w:color w:val="auto"/>
                <w:spacing w:val="6"/>
                <w:kern w:val="0"/>
                <w:sz w:val="24"/>
                <w:szCs w:val="24"/>
                <w:lang w:val="en-US" w:eastAsia="en-US" w:bidi="ar-SA"/>
              </w:rPr>
              <w:t xml:space="preserve"> </w:t>
            </w:r>
            <w:r>
              <w:rPr>
                <w:rFonts w:ascii="仿宋" w:hAnsi="仿宋" w:eastAsia="仿宋" w:cs="仿宋"/>
                <w:snapToGrid w:val="0"/>
                <w:color w:val="auto"/>
                <w:spacing w:val="-19"/>
                <w:kern w:val="0"/>
                <w:sz w:val="24"/>
                <w:szCs w:val="24"/>
                <w:lang w:val="en-US" w:eastAsia="en-US" w:bidi="ar-SA"/>
              </w:rPr>
              <w:t>班、晚班各1</w:t>
            </w:r>
            <w:r>
              <w:rPr>
                <w:rFonts w:ascii="仿宋" w:hAnsi="仿宋" w:eastAsia="仿宋" w:cs="仿宋"/>
                <w:snapToGrid w:val="0"/>
                <w:color w:val="auto"/>
                <w:spacing w:val="-65"/>
                <w:kern w:val="0"/>
                <w:sz w:val="24"/>
                <w:szCs w:val="24"/>
                <w:lang w:val="en-US" w:eastAsia="en-US" w:bidi="ar-SA"/>
              </w:rPr>
              <w:t xml:space="preserve"> </w:t>
            </w:r>
            <w:r>
              <w:rPr>
                <w:rFonts w:ascii="仿宋" w:hAnsi="仿宋" w:eastAsia="仿宋" w:cs="仿宋"/>
                <w:snapToGrid w:val="0"/>
                <w:color w:val="auto"/>
                <w:spacing w:val="-19"/>
                <w:kern w:val="0"/>
                <w:sz w:val="24"/>
                <w:szCs w:val="24"/>
                <w:lang w:val="en-US" w:eastAsia="en-US" w:bidi="ar-SA"/>
              </w:rPr>
              <w:t>人)</w:t>
            </w:r>
          </w:p>
        </w:tc>
        <w:tc>
          <w:tcPr>
            <w:tcW w:w="1402" w:type="dxa"/>
            <w:vAlign w:val="top"/>
          </w:tcPr>
          <w:p w14:paraId="1D810A48">
            <w:pPr>
              <w:kinsoku w:val="0"/>
              <w:autoSpaceDE w:val="0"/>
              <w:autoSpaceDN w:val="0"/>
              <w:adjustRightInd w:val="0"/>
              <w:snapToGrid w:val="0"/>
              <w:spacing w:before="133" w:line="219" w:lineRule="auto"/>
              <w:ind w:left="16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白班：2</w:t>
            </w:r>
            <w:r>
              <w:rPr>
                <w:rFonts w:ascii="仿宋" w:hAnsi="仿宋" w:eastAsia="仿宋" w:cs="仿宋"/>
                <w:snapToGrid w:val="0"/>
                <w:color w:val="auto"/>
                <w:spacing w:val="-67"/>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人</w:t>
            </w:r>
          </w:p>
          <w:p w14:paraId="12637888">
            <w:pPr>
              <w:kinsoku w:val="0"/>
              <w:autoSpaceDE w:val="0"/>
              <w:autoSpaceDN w:val="0"/>
              <w:adjustRightInd w:val="0"/>
              <w:snapToGrid w:val="0"/>
              <w:spacing w:before="180" w:line="218"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2"/>
                <w:kern w:val="0"/>
                <w:sz w:val="24"/>
                <w:szCs w:val="24"/>
                <w:lang w:val="en-US" w:eastAsia="en-US" w:bidi="ar-SA"/>
              </w:rPr>
              <w:t>早班：1</w:t>
            </w:r>
            <w:r>
              <w:rPr>
                <w:rFonts w:ascii="仿宋" w:hAnsi="仿宋" w:eastAsia="仿宋" w:cs="仿宋"/>
                <w:snapToGrid w:val="0"/>
                <w:color w:val="auto"/>
                <w:spacing w:val="-69"/>
                <w:kern w:val="0"/>
                <w:sz w:val="24"/>
                <w:szCs w:val="24"/>
                <w:lang w:val="en-US" w:eastAsia="en-US" w:bidi="ar-SA"/>
              </w:rPr>
              <w:t xml:space="preserve"> </w:t>
            </w:r>
            <w:r>
              <w:rPr>
                <w:rFonts w:ascii="仿宋" w:hAnsi="仿宋" w:eastAsia="仿宋" w:cs="仿宋"/>
                <w:snapToGrid w:val="0"/>
                <w:color w:val="auto"/>
                <w:spacing w:val="-22"/>
                <w:kern w:val="0"/>
                <w:sz w:val="24"/>
                <w:szCs w:val="24"/>
                <w:lang w:val="en-US" w:eastAsia="en-US" w:bidi="ar-SA"/>
              </w:rPr>
              <w:t>人</w:t>
            </w:r>
          </w:p>
          <w:p w14:paraId="34EE042D">
            <w:pPr>
              <w:kinsoku w:val="0"/>
              <w:autoSpaceDE w:val="0"/>
              <w:autoSpaceDN w:val="0"/>
              <w:adjustRightInd w:val="0"/>
              <w:snapToGrid w:val="0"/>
              <w:spacing w:before="181" w:line="218" w:lineRule="auto"/>
              <w:ind w:left="1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中班：1</w:t>
            </w:r>
            <w:r>
              <w:rPr>
                <w:rFonts w:ascii="仿宋" w:hAnsi="仿宋" w:eastAsia="仿宋" w:cs="仿宋"/>
                <w:snapToGrid w:val="0"/>
                <w:color w:val="auto"/>
                <w:spacing w:val="-68"/>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人</w:t>
            </w:r>
          </w:p>
          <w:p w14:paraId="152E5849">
            <w:pPr>
              <w:kinsoku w:val="0"/>
              <w:autoSpaceDE w:val="0"/>
              <w:autoSpaceDN w:val="0"/>
              <w:adjustRightInd w:val="0"/>
              <w:snapToGrid w:val="0"/>
              <w:spacing w:before="181" w:line="219" w:lineRule="auto"/>
              <w:ind w:left="13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3"/>
                <w:kern w:val="0"/>
                <w:sz w:val="24"/>
                <w:szCs w:val="24"/>
                <w:lang w:val="en-US" w:eastAsia="en-US" w:bidi="ar-SA"/>
              </w:rPr>
              <w:t>晚班：1</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人</w:t>
            </w:r>
          </w:p>
          <w:p w14:paraId="55E0EA10">
            <w:pPr>
              <w:kinsoku w:val="0"/>
              <w:autoSpaceDE w:val="0"/>
              <w:autoSpaceDN w:val="0"/>
              <w:adjustRightInd w:val="0"/>
              <w:snapToGrid w:val="0"/>
              <w:spacing w:before="182" w:line="218" w:lineRule="auto"/>
              <w:ind w:left="13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3"/>
                <w:kern w:val="0"/>
                <w:sz w:val="24"/>
                <w:szCs w:val="24"/>
                <w:lang w:val="en-US" w:eastAsia="en-US" w:bidi="ar-SA"/>
              </w:rPr>
              <w:t>合计：5</w:t>
            </w:r>
            <w:r>
              <w:rPr>
                <w:rFonts w:ascii="仿宋" w:hAnsi="仿宋" w:eastAsia="仿宋" w:cs="仿宋"/>
                <w:snapToGrid w:val="0"/>
                <w:color w:val="auto"/>
                <w:spacing w:val="-68"/>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人</w:t>
            </w:r>
          </w:p>
        </w:tc>
      </w:tr>
      <w:tr w14:paraId="163CD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0" w:hRule="atLeast"/>
        </w:trPr>
        <w:tc>
          <w:tcPr>
            <w:tcW w:w="907" w:type="dxa"/>
            <w:vMerge w:val="continue"/>
            <w:tcBorders>
              <w:top w:val="nil"/>
              <w:bottom w:val="nil"/>
            </w:tcBorders>
            <w:vAlign w:val="top"/>
          </w:tcPr>
          <w:p w14:paraId="126FDB3D">
            <w:pPr>
              <w:rPr>
                <w:rFonts w:ascii="Arial"/>
                <w:color w:val="auto"/>
                <w:sz w:val="21"/>
              </w:rPr>
            </w:pPr>
          </w:p>
        </w:tc>
        <w:tc>
          <w:tcPr>
            <w:tcW w:w="1065" w:type="dxa"/>
            <w:vMerge w:val="continue"/>
            <w:tcBorders>
              <w:top w:val="nil"/>
              <w:bottom w:val="nil"/>
            </w:tcBorders>
            <w:vAlign w:val="top"/>
          </w:tcPr>
          <w:p w14:paraId="3A342021">
            <w:pPr>
              <w:rPr>
                <w:rFonts w:ascii="Arial"/>
                <w:color w:val="auto"/>
                <w:sz w:val="21"/>
              </w:rPr>
            </w:pPr>
          </w:p>
        </w:tc>
        <w:tc>
          <w:tcPr>
            <w:tcW w:w="914" w:type="dxa"/>
            <w:vAlign w:val="top"/>
          </w:tcPr>
          <w:p w14:paraId="7C884FFB">
            <w:pPr>
              <w:kinsoku w:val="0"/>
              <w:autoSpaceDE w:val="0"/>
              <w:autoSpaceDN w:val="0"/>
              <w:adjustRightInd w:val="0"/>
              <w:snapToGrid w:val="0"/>
              <w:spacing w:before="106"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74BFE71F">
            <w:pPr>
              <w:rPr>
                <w:rFonts w:ascii="Arial"/>
                <w:color w:val="auto"/>
                <w:sz w:val="21"/>
              </w:rPr>
            </w:pPr>
          </w:p>
        </w:tc>
        <w:tc>
          <w:tcPr>
            <w:tcW w:w="4004" w:type="dxa"/>
            <w:vAlign w:val="top"/>
          </w:tcPr>
          <w:p w14:paraId="2D022EEE">
            <w:pPr>
              <w:kinsoku w:val="0"/>
              <w:autoSpaceDE w:val="0"/>
              <w:autoSpaceDN w:val="0"/>
              <w:adjustRightInd w:val="0"/>
              <w:snapToGrid w:val="0"/>
              <w:spacing w:before="107" w:line="217" w:lineRule="auto"/>
              <w:ind w:left="11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7"/>
                <w:kern w:val="0"/>
                <w:sz w:val="24"/>
                <w:szCs w:val="24"/>
                <w:lang w:val="en-US" w:eastAsia="en-US" w:bidi="ar-SA"/>
              </w:rPr>
              <w:t>负责政务中心门岗及外围巡逻</w:t>
            </w:r>
          </w:p>
        </w:tc>
        <w:tc>
          <w:tcPr>
            <w:tcW w:w="1402" w:type="dxa"/>
            <w:vAlign w:val="top"/>
          </w:tcPr>
          <w:p w14:paraId="29397C76">
            <w:pPr>
              <w:kinsoku w:val="0"/>
              <w:autoSpaceDE w:val="0"/>
              <w:autoSpaceDN w:val="0"/>
              <w:adjustRightInd w:val="0"/>
              <w:snapToGrid w:val="0"/>
              <w:spacing w:before="107" w:line="222" w:lineRule="auto"/>
              <w:ind w:left="54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6"/>
                <w:kern w:val="0"/>
                <w:sz w:val="24"/>
                <w:szCs w:val="24"/>
                <w:lang w:val="en-US" w:eastAsia="en-US" w:bidi="ar-SA"/>
              </w:rPr>
              <w:t>6</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6"/>
                <w:kern w:val="0"/>
                <w:sz w:val="24"/>
                <w:szCs w:val="24"/>
                <w:lang w:val="en-US" w:eastAsia="en-US" w:bidi="ar-SA"/>
              </w:rPr>
              <w:t>人</w:t>
            </w:r>
          </w:p>
        </w:tc>
      </w:tr>
      <w:tr w14:paraId="2CE0C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53" w:hRule="atLeast"/>
        </w:trPr>
        <w:tc>
          <w:tcPr>
            <w:tcW w:w="907" w:type="dxa"/>
            <w:vMerge w:val="continue"/>
            <w:tcBorders>
              <w:top w:val="nil"/>
            </w:tcBorders>
            <w:vAlign w:val="top"/>
          </w:tcPr>
          <w:p w14:paraId="6165B065">
            <w:pPr>
              <w:rPr>
                <w:rFonts w:ascii="Arial"/>
                <w:color w:val="auto"/>
                <w:sz w:val="21"/>
              </w:rPr>
            </w:pPr>
          </w:p>
        </w:tc>
        <w:tc>
          <w:tcPr>
            <w:tcW w:w="1065" w:type="dxa"/>
            <w:vMerge w:val="continue"/>
            <w:tcBorders>
              <w:top w:val="nil"/>
            </w:tcBorders>
            <w:vAlign w:val="top"/>
          </w:tcPr>
          <w:p w14:paraId="653C0CAE">
            <w:pPr>
              <w:rPr>
                <w:rFonts w:ascii="Arial"/>
                <w:color w:val="auto"/>
                <w:sz w:val="21"/>
              </w:rPr>
            </w:pPr>
          </w:p>
        </w:tc>
        <w:tc>
          <w:tcPr>
            <w:tcW w:w="914" w:type="dxa"/>
            <w:vAlign w:val="top"/>
          </w:tcPr>
          <w:p w14:paraId="64F388E3">
            <w:pPr>
              <w:spacing w:line="251" w:lineRule="auto"/>
              <w:rPr>
                <w:rFonts w:ascii="Arial"/>
                <w:color w:val="auto"/>
                <w:sz w:val="21"/>
              </w:rPr>
            </w:pPr>
          </w:p>
          <w:p w14:paraId="62EDC445">
            <w:pPr>
              <w:spacing w:line="251" w:lineRule="auto"/>
              <w:rPr>
                <w:rFonts w:ascii="Arial"/>
                <w:color w:val="auto"/>
                <w:sz w:val="21"/>
              </w:rPr>
            </w:pPr>
          </w:p>
          <w:p w14:paraId="38D6EDAE">
            <w:pPr>
              <w:spacing w:line="251" w:lineRule="auto"/>
              <w:rPr>
                <w:rFonts w:ascii="Arial"/>
                <w:color w:val="auto"/>
                <w:sz w:val="21"/>
              </w:rPr>
            </w:pPr>
          </w:p>
          <w:p w14:paraId="6640F845">
            <w:pPr>
              <w:spacing w:line="251" w:lineRule="auto"/>
              <w:rPr>
                <w:rFonts w:ascii="Arial"/>
                <w:color w:val="auto"/>
                <w:sz w:val="21"/>
              </w:rPr>
            </w:pPr>
          </w:p>
          <w:p w14:paraId="6EE242EA">
            <w:pPr>
              <w:spacing w:line="251" w:lineRule="auto"/>
              <w:rPr>
                <w:rFonts w:ascii="Arial"/>
                <w:color w:val="auto"/>
                <w:sz w:val="21"/>
              </w:rPr>
            </w:pPr>
          </w:p>
          <w:p w14:paraId="39E8484E">
            <w:pPr>
              <w:spacing w:line="251" w:lineRule="auto"/>
              <w:rPr>
                <w:rFonts w:ascii="Arial"/>
                <w:color w:val="auto"/>
                <w:sz w:val="21"/>
              </w:rPr>
            </w:pPr>
          </w:p>
          <w:p w14:paraId="7B7B1F1E">
            <w:pPr>
              <w:spacing w:line="251" w:lineRule="auto"/>
              <w:rPr>
                <w:rFonts w:ascii="Arial"/>
                <w:color w:val="auto"/>
                <w:sz w:val="21"/>
              </w:rPr>
            </w:pPr>
          </w:p>
          <w:p w14:paraId="053A69D4">
            <w:pPr>
              <w:spacing w:line="251" w:lineRule="auto"/>
              <w:rPr>
                <w:rFonts w:ascii="Arial"/>
                <w:color w:val="auto"/>
                <w:sz w:val="21"/>
              </w:rPr>
            </w:pPr>
          </w:p>
          <w:p w14:paraId="6AD8C437">
            <w:pPr>
              <w:spacing w:line="252" w:lineRule="auto"/>
              <w:rPr>
                <w:rFonts w:ascii="Arial"/>
                <w:color w:val="auto"/>
                <w:sz w:val="21"/>
              </w:rPr>
            </w:pPr>
          </w:p>
          <w:p w14:paraId="6424705B">
            <w:pPr>
              <w:spacing w:line="252" w:lineRule="auto"/>
              <w:rPr>
                <w:rFonts w:ascii="Arial"/>
                <w:color w:val="auto"/>
                <w:sz w:val="21"/>
              </w:rPr>
            </w:pPr>
          </w:p>
          <w:p w14:paraId="4809B8C1">
            <w:pPr>
              <w:spacing w:line="252" w:lineRule="auto"/>
              <w:rPr>
                <w:rFonts w:ascii="Arial"/>
                <w:color w:val="auto"/>
                <w:sz w:val="21"/>
              </w:rPr>
            </w:pPr>
          </w:p>
          <w:p w14:paraId="038EAE41">
            <w:pPr>
              <w:spacing w:line="252" w:lineRule="auto"/>
              <w:rPr>
                <w:rFonts w:ascii="Arial"/>
                <w:color w:val="auto"/>
                <w:sz w:val="21"/>
              </w:rPr>
            </w:pPr>
          </w:p>
          <w:p w14:paraId="70B782D2">
            <w:pPr>
              <w:spacing w:line="252" w:lineRule="auto"/>
              <w:rPr>
                <w:rFonts w:ascii="Arial"/>
                <w:color w:val="auto"/>
                <w:sz w:val="21"/>
              </w:rPr>
            </w:pPr>
          </w:p>
          <w:p w14:paraId="0432EC8B">
            <w:pPr>
              <w:spacing w:line="252" w:lineRule="auto"/>
              <w:rPr>
                <w:rFonts w:ascii="Arial"/>
                <w:color w:val="auto"/>
                <w:sz w:val="21"/>
              </w:rPr>
            </w:pPr>
          </w:p>
          <w:p w14:paraId="7298D87D">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1F81B49F">
            <w:pPr>
              <w:rPr>
                <w:rFonts w:ascii="Arial"/>
                <w:color w:val="auto"/>
                <w:sz w:val="21"/>
              </w:rPr>
            </w:pPr>
          </w:p>
        </w:tc>
        <w:tc>
          <w:tcPr>
            <w:tcW w:w="4004" w:type="dxa"/>
            <w:vAlign w:val="top"/>
          </w:tcPr>
          <w:p w14:paraId="7D346B30">
            <w:pPr>
              <w:kinsoku w:val="0"/>
              <w:autoSpaceDE w:val="0"/>
              <w:autoSpaceDN w:val="0"/>
              <w:adjustRightInd w:val="0"/>
              <w:snapToGrid w:val="0"/>
              <w:spacing w:before="122" w:line="218" w:lineRule="auto"/>
              <w:ind w:left="10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1"/>
                <w:kern w:val="0"/>
                <w:sz w:val="24"/>
                <w:szCs w:val="24"/>
                <w:lang w:val="en-US" w:eastAsia="en-US" w:bidi="ar-SA"/>
              </w:rPr>
              <w:t>政务中心监控室负责：</w:t>
            </w:r>
          </w:p>
          <w:p w14:paraId="109E39F4">
            <w:pPr>
              <w:kinsoku w:val="0"/>
              <w:autoSpaceDE w:val="0"/>
              <w:autoSpaceDN w:val="0"/>
              <w:adjustRightInd w:val="0"/>
              <w:snapToGrid w:val="0"/>
              <w:spacing w:before="183" w:line="311" w:lineRule="auto"/>
              <w:ind w:left="106" w:right="50" w:firstLine="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7"/>
                <w:kern w:val="0"/>
                <w:sz w:val="24"/>
                <w:szCs w:val="24"/>
                <w:lang w:val="en-US" w:eastAsia="en-US" w:bidi="ar-SA"/>
              </w:rPr>
              <w:t>1、24 小时监控设备的监视、值班期间随</w:t>
            </w:r>
            <w:r>
              <w:rPr>
                <w:rFonts w:ascii="仿宋" w:hAnsi="仿宋" w:eastAsia="仿宋" w:cs="仿宋"/>
                <w:snapToGrid w:val="0"/>
                <w:color w:val="auto"/>
                <w:spacing w:val="9"/>
                <w:kern w:val="0"/>
                <w:sz w:val="24"/>
                <w:szCs w:val="24"/>
                <w:lang w:val="en-US" w:eastAsia="en-US" w:bidi="ar-SA"/>
              </w:rPr>
              <w:t xml:space="preserve"> </w:t>
            </w:r>
            <w:r>
              <w:rPr>
                <w:rFonts w:ascii="仿宋" w:hAnsi="仿宋" w:eastAsia="仿宋" w:cs="仿宋"/>
                <w:snapToGrid w:val="0"/>
                <w:color w:val="auto"/>
                <w:spacing w:val="-15"/>
                <w:kern w:val="0"/>
                <w:sz w:val="24"/>
                <w:szCs w:val="24"/>
                <w:lang w:val="en-US" w:eastAsia="en-US" w:bidi="ar-SA"/>
              </w:rPr>
              <w:t>时记录消防控制室内消防设备的运行情</w:t>
            </w:r>
            <w:r>
              <w:rPr>
                <w:rFonts w:ascii="仿宋" w:hAnsi="仿宋" w:eastAsia="仿宋" w:cs="仿宋"/>
                <w:snapToGrid w:val="0"/>
                <w:color w:val="auto"/>
                <w:spacing w:val="5"/>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况；</w:t>
            </w:r>
          </w:p>
          <w:p w14:paraId="548CDCD8">
            <w:pPr>
              <w:kinsoku w:val="0"/>
              <w:autoSpaceDE w:val="0"/>
              <w:autoSpaceDN w:val="0"/>
              <w:adjustRightInd w:val="0"/>
              <w:snapToGrid w:val="0"/>
              <w:spacing w:before="181" w:line="311" w:lineRule="auto"/>
              <w:ind w:left="107" w:right="50" w:hanging="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1"/>
                <w:kern w:val="0"/>
                <w:sz w:val="24"/>
                <w:szCs w:val="24"/>
                <w:lang w:val="en-US" w:eastAsia="en-US" w:bidi="ar-SA"/>
              </w:rPr>
              <w:t>2、负责对火灾报警控制器等消防设备进</w:t>
            </w:r>
            <w:r>
              <w:rPr>
                <w:rFonts w:ascii="仿宋" w:hAnsi="仿宋" w:eastAsia="仿宋" w:cs="仿宋"/>
                <w:snapToGrid w:val="0"/>
                <w:color w:val="auto"/>
                <w:spacing w:val="13"/>
                <w:kern w:val="0"/>
                <w:sz w:val="24"/>
                <w:szCs w:val="24"/>
                <w:lang w:val="en-US" w:eastAsia="en-US" w:bidi="ar-SA"/>
              </w:rPr>
              <w:t xml:space="preserve"> </w:t>
            </w:r>
            <w:r>
              <w:rPr>
                <w:rFonts w:ascii="仿宋" w:hAnsi="仿宋" w:eastAsia="仿宋" w:cs="仿宋"/>
                <w:snapToGrid w:val="0"/>
                <w:color w:val="auto"/>
                <w:spacing w:val="-15"/>
                <w:kern w:val="0"/>
                <w:sz w:val="24"/>
                <w:szCs w:val="24"/>
                <w:lang w:val="en-US" w:eastAsia="en-US" w:bidi="ar-SA"/>
              </w:rPr>
              <w:t>行每日检查以确保消防控制设备正常运</w:t>
            </w:r>
            <w:r>
              <w:rPr>
                <w:rFonts w:ascii="仿宋" w:hAnsi="仿宋" w:eastAsia="仿宋" w:cs="仿宋"/>
                <w:snapToGrid w:val="0"/>
                <w:color w:val="auto"/>
                <w:spacing w:val="4"/>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行；</w:t>
            </w:r>
          </w:p>
          <w:p w14:paraId="190C07EB">
            <w:pPr>
              <w:kinsoku w:val="0"/>
              <w:autoSpaceDE w:val="0"/>
              <w:autoSpaceDN w:val="0"/>
              <w:adjustRightInd w:val="0"/>
              <w:snapToGrid w:val="0"/>
              <w:spacing w:before="184" w:line="315" w:lineRule="auto"/>
              <w:ind w:left="110" w:hanging="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2"/>
                <w:kern w:val="0"/>
                <w:sz w:val="24"/>
                <w:szCs w:val="24"/>
                <w:lang w:val="en-US" w:eastAsia="en-US" w:bidi="ar-SA"/>
              </w:rPr>
              <w:t>3、当建筑消防设备出现异常、误报和故障</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时应及时通知并协助维保人员进行维修、</w:t>
            </w:r>
            <w:r>
              <w:rPr>
                <w:rFonts w:ascii="仿宋" w:hAnsi="仿宋" w:eastAsia="仿宋" w:cs="仿宋"/>
                <w:snapToGrid w:val="0"/>
                <w:color w:val="auto"/>
                <w:spacing w:val="7"/>
                <w:kern w:val="0"/>
                <w:sz w:val="24"/>
                <w:szCs w:val="24"/>
                <w:lang w:val="en-US" w:eastAsia="en-US" w:bidi="ar-SA"/>
              </w:rPr>
              <w:t xml:space="preserve"> </w:t>
            </w:r>
            <w:r>
              <w:rPr>
                <w:rFonts w:ascii="仿宋" w:hAnsi="仿宋" w:eastAsia="仿宋" w:cs="仿宋"/>
                <w:snapToGrid w:val="0"/>
                <w:color w:val="auto"/>
                <w:spacing w:val="-36"/>
                <w:kern w:val="0"/>
                <w:sz w:val="24"/>
                <w:szCs w:val="24"/>
                <w:lang w:val="en-US" w:eastAsia="en-US" w:bidi="ar-SA"/>
              </w:rPr>
              <w:t>维护，填写建筑消防设施故障维修记录表；</w:t>
            </w:r>
          </w:p>
          <w:p w14:paraId="22C4B4B6">
            <w:pPr>
              <w:kinsoku w:val="0"/>
              <w:autoSpaceDE w:val="0"/>
              <w:autoSpaceDN w:val="0"/>
              <w:adjustRightInd w:val="0"/>
              <w:snapToGrid w:val="0"/>
              <w:spacing w:before="182" w:line="218" w:lineRule="auto"/>
              <w:jc w:val="righ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5"/>
                <w:w w:val="98"/>
                <w:kern w:val="0"/>
                <w:sz w:val="24"/>
                <w:szCs w:val="24"/>
                <w:lang w:val="en-US" w:eastAsia="en-US" w:bidi="ar-SA"/>
              </w:rPr>
              <w:t>4、接到火灾报警后，按火警处置流程处置；</w:t>
            </w:r>
          </w:p>
          <w:p w14:paraId="29EC8933">
            <w:pPr>
              <w:kinsoku w:val="0"/>
              <w:autoSpaceDE w:val="0"/>
              <w:autoSpaceDN w:val="0"/>
              <w:adjustRightInd w:val="0"/>
              <w:snapToGrid w:val="0"/>
              <w:spacing w:before="181" w:line="288" w:lineRule="auto"/>
              <w:ind w:left="104" w:right="74" w:hanging="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4"/>
                <w:kern w:val="0"/>
                <w:sz w:val="24"/>
                <w:szCs w:val="24"/>
                <w:lang w:val="en-US" w:eastAsia="en-US" w:bidi="ar-SA"/>
              </w:rPr>
              <w:t>5、做好交接班工作，认真填写消防控制室</w:t>
            </w:r>
            <w:r>
              <w:rPr>
                <w:rFonts w:ascii="仿宋" w:hAnsi="仿宋" w:eastAsia="仿宋" w:cs="仿宋"/>
                <w:snapToGrid w:val="0"/>
                <w:color w:val="auto"/>
                <w:spacing w:val="15"/>
                <w:kern w:val="0"/>
                <w:sz w:val="24"/>
                <w:szCs w:val="24"/>
                <w:lang w:val="en-US" w:eastAsia="en-US" w:bidi="ar-SA"/>
              </w:rPr>
              <w:t xml:space="preserve"> </w:t>
            </w:r>
            <w:r>
              <w:rPr>
                <w:rFonts w:ascii="仿宋" w:hAnsi="仿宋" w:eastAsia="仿宋" w:cs="仿宋"/>
                <w:snapToGrid w:val="0"/>
                <w:color w:val="auto"/>
                <w:spacing w:val="-30"/>
                <w:kern w:val="0"/>
                <w:sz w:val="24"/>
                <w:szCs w:val="24"/>
                <w:lang w:val="en-US" w:eastAsia="en-US" w:bidi="ar-SA"/>
              </w:rPr>
              <w:t>值班记录表；</w:t>
            </w:r>
          </w:p>
          <w:p w14:paraId="10BB7640">
            <w:pPr>
              <w:kinsoku w:val="0"/>
              <w:autoSpaceDE w:val="0"/>
              <w:autoSpaceDN w:val="0"/>
              <w:adjustRightInd w:val="0"/>
              <w:snapToGrid w:val="0"/>
              <w:spacing w:before="182" w:line="311" w:lineRule="auto"/>
              <w:ind w:left="107" w:right="68" w:hanging="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3"/>
                <w:kern w:val="0"/>
                <w:sz w:val="24"/>
                <w:szCs w:val="24"/>
                <w:lang w:val="en-US" w:eastAsia="en-US" w:bidi="ar-SA"/>
              </w:rPr>
              <w:t>6、认真学习消防法律法规，学习消防专业</w:t>
            </w:r>
            <w:r>
              <w:rPr>
                <w:rFonts w:ascii="仿宋" w:hAnsi="仿宋" w:eastAsia="仿宋" w:cs="仿宋"/>
                <w:snapToGrid w:val="0"/>
                <w:color w:val="auto"/>
                <w:spacing w:val="6"/>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知识，熟练掌握消防设备的性能及操作规</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程，提高消防技能。</w:t>
            </w:r>
          </w:p>
        </w:tc>
        <w:tc>
          <w:tcPr>
            <w:tcW w:w="1402" w:type="dxa"/>
            <w:vAlign w:val="top"/>
          </w:tcPr>
          <w:p w14:paraId="0A9C90B8">
            <w:pPr>
              <w:spacing w:line="259" w:lineRule="auto"/>
              <w:rPr>
                <w:rFonts w:ascii="Arial"/>
                <w:color w:val="auto"/>
                <w:sz w:val="21"/>
              </w:rPr>
            </w:pPr>
          </w:p>
          <w:p w14:paraId="698C0736">
            <w:pPr>
              <w:spacing w:line="259" w:lineRule="auto"/>
              <w:rPr>
                <w:rFonts w:ascii="Arial"/>
                <w:color w:val="auto"/>
                <w:sz w:val="21"/>
              </w:rPr>
            </w:pPr>
          </w:p>
          <w:p w14:paraId="7D527DC1">
            <w:pPr>
              <w:spacing w:line="259" w:lineRule="auto"/>
              <w:rPr>
                <w:rFonts w:ascii="Arial"/>
                <w:color w:val="auto"/>
                <w:sz w:val="21"/>
              </w:rPr>
            </w:pPr>
          </w:p>
          <w:p w14:paraId="173E8A40">
            <w:pPr>
              <w:spacing w:line="259" w:lineRule="auto"/>
              <w:rPr>
                <w:rFonts w:ascii="Arial"/>
                <w:color w:val="auto"/>
                <w:sz w:val="21"/>
              </w:rPr>
            </w:pPr>
          </w:p>
          <w:p w14:paraId="25E3311A">
            <w:pPr>
              <w:spacing w:line="259" w:lineRule="auto"/>
              <w:rPr>
                <w:rFonts w:ascii="Arial"/>
                <w:color w:val="auto"/>
                <w:sz w:val="21"/>
              </w:rPr>
            </w:pPr>
          </w:p>
          <w:p w14:paraId="7BBEC5EA">
            <w:pPr>
              <w:spacing w:line="260" w:lineRule="auto"/>
              <w:rPr>
                <w:rFonts w:ascii="Arial"/>
                <w:color w:val="auto"/>
                <w:sz w:val="21"/>
              </w:rPr>
            </w:pPr>
          </w:p>
          <w:p w14:paraId="48FDB0B0">
            <w:pPr>
              <w:spacing w:line="260" w:lineRule="auto"/>
              <w:rPr>
                <w:rFonts w:ascii="Arial"/>
                <w:color w:val="auto"/>
                <w:sz w:val="21"/>
              </w:rPr>
            </w:pPr>
          </w:p>
          <w:p w14:paraId="05DA36F8">
            <w:pPr>
              <w:spacing w:line="260" w:lineRule="auto"/>
              <w:rPr>
                <w:rFonts w:ascii="Arial"/>
                <w:color w:val="auto"/>
                <w:sz w:val="21"/>
              </w:rPr>
            </w:pPr>
          </w:p>
          <w:p w14:paraId="7B292255">
            <w:pPr>
              <w:spacing w:line="260" w:lineRule="auto"/>
              <w:rPr>
                <w:rFonts w:ascii="Arial"/>
                <w:color w:val="auto"/>
                <w:sz w:val="21"/>
              </w:rPr>
            </w:pPr>
          </w:p>
          <w:p w14:paraId="75588462">
            <w:pPr>
              <w:spacing w:line="260" w:lineRule="auto"/>
              <w:rPr>
                <w:rFonts w:ascii="Arial"/>
                <w:color w:val="auto"/>
                <w:sz w:val="21"/>
              </w:rPr>
            </w:pPr>
          </w:p>
          <w:p w14:paraId="5F682F63">
            <w:pPr>
              <w:kinsoku w:val="0"/>
              <w:autoSpaceDE w:val="0"/>
              <w:autoSpaceDN w:val="0"/>
              <w:adjustRightInd w:val="0"/>
              <w:snapToGrid w:val="0"/>
              <w:spacing w:before="78" w:line="218"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2"/>
                <w:kern w:val="0"/>
                <w:sz w:val="24"/>
                <w:szCs w:val="24"/>
                <w:lang w:val="en-US" w:eastAsia="en-US" w:bidi="ar-SA"/>
              </w:rPr>
              <w:t>早班：</w:t>
            </w:r>
            <w:r>
              <w:rPr>
                <w:rFonts w:hint="eastAsia" w:ascii="仿宋" w:hAnsi="仿宋" w:eastAsia="仿宋" w:cs="仿宋"/>
                <w:snapToGrid w:val="0"/>
                <w:color w:val="auto"/>
                <w:spacing w:val="-22"/>
                <w:kern w:val="0"/>
                <w:sz w:val="24"/>
                <w:szCs w:val="24"/>
                <w:lang w:val="en-US" w:eastAsia="zh-CN" w:bidi="ar-SA"/>
              </w:rPr>
              <w:t>2</w:t>
            </w:r>
            <w:r>
              <w:rPr>
                <w:rFonts w:ascii="仿宋" w:hAnsi="仿宋" w:eastAsia="仿宋" w:cs="仿宋"/>
                <w:snapToGrid w:val="0"/>
                <w:color w:val="auto"/>
                <w:spacing w:val="-22"/>
                <w:kern w:val="0"/>
                <w:sz w:val="24"/>
                <w:szCs w:val="24"/>
                <w:lang w:val="en-US" w:eastAsia="en-US" w:bidi="ar-SA"/>
              </w:rPr>
              <w:t>人</w:t>
            </w:r>
          </w:p>
          <w:p w14:paraId="16585910">
            <w:pPr>
              <w:kinsoku w:val="0"/>
              <w:autoSpaceDE w:val="0"/>
              <w:autoSpaceDN w:val="0"/>
              <w:adjustRightInd w:val="0"/>
              <w:snapToGrid w:val="0"/>
              <w:spacing w:before="182" w:line="218" w:lineRule="auto"/>
              <w:ind w:left="1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中班：</w:t>
            </w:r>
            <w:r>
              <w:rPr>
                <w:rFonts w:hint="eastAsia" w:ascii="仿宋" w:hAnsi="仿宋" w:eastAsia="仿宋" w:cs="仿宋"/>
                <w:snapToGrid w:val="0"/>
                <w:color w:val="auto"/>
                <w:spacing w:val="-28"/>
                <w:kern w:val="0"/>
                <w:sz w:val="24"/>
                <w:szCs w:val="24"/>
                <w:lang w:val="en-US" w:eastAsia="zh-CN" w:bidi="ar-SA"/>
              </w:rPr>
              <w:t>2</w:t>
            </w:r>
            <w:r>
              <w:rPr>
                <w:rFonts w:ascii="仿宋" w:hAnsi="仿宋" w:eastAsia="仿宋" w:cs="仿宋"/>
                <w:snapToGrid w:val="0"/>
                <w:color w:val="auto"/>
                <w:spacing w:val="-68"/>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人</w:t>
            </w:r>
          </w:p>
          <w:p w14:paraId="5064632A">
            <w:pPr>
              <w:kinsoku w:val="0"/>
              <w:autoSpaceDE w:val="0"/>
              <w:autoSpaceDN w:val="0"/>
              <w:adjustRightInd w:val="0"/>
              <w:snapToGrid w:val="0"/>
              <w:spacing w:before="182" w:line="218" w:lineRule="auto"/>
              <w:ind w:left="12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2"/>
                <w:kern w:val="0"/>
                <w:sz w:val="24"/>
                <w:szCs w:val="24"/>
                <w:lang w:val="en-US" w:eastAsia="en-US" w:bidi="ar-SA"/>
              </w:rPr>
              <w:t>夜班：</w:t>
            </w:r>
            <w:r>
              <w:rPr>
                <w:rFonts w:hint="eastAsia" w:ascii="仿宋" w:hAnsi="仿宋" w:eastAsia="仿宋" w:cs="仿宋"/>
                <w:snapToGrid w:val="0"/>
                <w:color w:val="auto"/>
                <w:spacing w:val="-22"/>
                <w:kern w:val="0"/>
                <w:sz w:val="24"/>
                <w:szCs w:val="24"/>
                <w:lang w:val="en-US" w:eastAsia="zh-CN" w:bidi="ar-SA"/>
              </w:rPr>
              <w:t>2</w:t>
            </w:r>
            <w:r>
              <w:rPr>
                <w:rFonts w:ascii="仿宋" w:hAnsi="仿宋" w:eastAsia="仿宋" w:cs="仿宋"/>
                <w:snapToGrid w:val="0"/>
                <w:color w:val="auto"/>
                <w:spacing w:val="-22"/>
                <w:kern w:val="0"/>
                <w:sz w:val="24"/>
                <w:szCs w:val="24"/>
                <w:lang w:val="en-US" w:eastAsia="en-US" w:bidi="ar-SA"/>
              </w:rPr>
              <w:t>人</w:t>
            </w:r>
          </w:p>
          <w:p w14:paraId="780F8A31">
            <w:pPr>
              <w:kinsoku w:val="0"/>
              <w:autoSpaceDE w:val="0"/>
              <w:autoSpaceDN w:val="0"/>
              <w:adjustRightInd w:val="0"/>
              <w:snapToGrid w:val="0"/>
              <w:spacing w:before="181" w:line="217"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行政班：1</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人</w:t>
            </w:r>
          </w:p>
          <w:p w14:paraId="739937C2">
            <w:pPr>
              <w:kinsoku w:val="0"/>
              <w:autoSpaceDE w:val="0"/>
              <w:autoSpaceDN w:val="0"/>
              <w:adjustRightInd w:val="0"/>
              <w:snapToGrid w:val="0"/>
              <w:spacing w:before="184" w:line="218" w:lineRule="auto"/>
              <w:ind w:left="13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3"/>
                <w:kern w:val="0"/>
                <w:sz w:val="24"/>
                <w:szCs w:val="24"/>
                <w:lang w:val="en-US" w:eastAsia="en-US" w:bidi="ar-SA"/>
              </w:rPr>
              <w:t>合计：</w:t>
            </w:r>
            <w:r>
              <w:rPr>
                <w:rFonts w:hint="eastAsia" w:ascii="仿宋" w:hAnsi="仿宋" w:eastAsia="仿宋" w:cs="仿宋"/>
                <w:snapToGrid w:val="0"/>
                <w:color w:val="auto"/>
                <w:spacing w:val="-23"/>
                <w:kern w:val="0"/>
                <w:sz w:val="24"/>
                <w:szCs w:val="24"/>
                <w:lang w:val="en-US" w:eastAsia="zh-CN" w:bidi="ar-SA"/>
              </w:rPr>
              <w:t>7</w:t>
            </w:r>
            <w:r>
              <w:rPr>
                <w:rFonts w:ascii="仿宋" w:hAnsi="仿宋" w:eastAsia="仿宋" w:cs="仿宋"/>
                <w:snapToGrid w:val="0"/>
                <w:color w:val="auto"/>
                <w:spacing w:val="-23"/>
                <w:kern w:val="0"/>
                <w:sz w:val="24"/>
                <w:szCs w:val="24"/>
                <w:lang w:val="en-US" w:eastAsia="en-US" w:bidi="ar-SA"/>
              </w:rPr>
              <w:t>人</w:t>
            </w:r>
          </w:p>
        </w:tc>
      </w:tr>
      <w:tr w14:paraId="6B116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0" w:hRule="atLeast"/>
        </w:trPr>
        <w:tc>
          <w:tcPr>
            <w:tcW w:w="907" w:type="dxa"/>
            <w:vMerge w:val="restart"/>
            <w:tcBorders>
              <w:bottom w:val="nil"/>
            </w:tcBorders>
            <w:vAlign w:val="top"/>
          </w:tcPr>
          <w:p w14:paraId="20BB2411">
            <w:pPr>
              <w:spacing w:line="251" w:lineRule="auto"/>
              <w:rPr>
                <w:rFonts w:ascii="Arial"/>
                <w:color w:val="auto"/>
                <w:sz w:val="21"/>
              </w:rPr>
            </w:pPr>
          </w:p>
          <w:p w14:paraId="566B6E24">
            <w:pPr>
              <w:spacing w:line="251" w:lineRule="auto"/>
              <w:rPr>
                <w:rFonts w:ascii="Arial"/>
                <w:color w:val="auto"/>
                <w:sz w:val="21"/>
              </w:rPr>
            </w:pPr>
          </w:p>
          <w:p w14:paraId="44E273E9">
            <w:pPr>
              <w:spacing w:line="251" w:lineRule="auto"/>
              <w:rPr>
                <w:rFonts w:ascii="Arial"/>
                <w:color w:val="auto"/>
                <w:sz w:val="21"/>
              </w:rPr>
            </w:pPr>
          </w:p>
          <w:p w14:paraId="20A0385F">
            <w:pPr>
              <w:kinsoku w:val="0"/>
              <w:autoSpaceDE w:val="0"/>
              <w:autoSpaceDN w:val="0"/>
              <w:adjustRightInd w:val="0"/>
              <w:snapToGrid w:val="0"/>
              <w:spacing w:before="78" w:line="237" w:lineRule="auto"/>
              <w:ind w:left="53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3</w:t>
            </w:r>
          </w:p>
        </w:tc>
        <w:tc>
          <w:tcPr>
            <w:tcW w:w="1065" w:type="dxa"/>
            <w:vMerge w:val="restart"/>
            <w:tcBorders>
              <w:bottom w:val="nil"/>
            </w:tcBorders>
            <w:vAlign w:val="top"/>
          </w:tcPr>
          <w:p w14:paraId="231AB4C1">
            <w:pPr>
              <w:spacing w:line="256" w:lineRule="auto"/>
              <w:rPr>
                <w:rFonts w:ascii="Arial"/>
                <w:color w:val="auto"/>
                <w:sz w:val="21"/>
              </w:rPr>
            </w:pPr>
          </w:p>
          <w:p w14:paraId="6F1BE710">
            <w:pPr>
              <w:spacing w:line="257" w:lineRule="auto"/>
              <w:rPr>
                <w:rFonts w:ascii="Arial"/>
                <w:color w:val="auto"/>
                <w:sz w:val="21"/>
              </w:rPr>
            </w:pPr>
          </w:p>
          <w:p w14:paraId="401B89F0">
            <w:pPr>
              <w:kinsoku w:val="0"/>
              <w:autoSpaceDE w:val="0"/>
              <w:autoSpaceDN w:val="0"/>
              <w:adjustRightInd w:val="0"/>
              <w:snapToGrid w:val="0"/>
              <w:spacing w:before="78" w:line="361" w:lineRule="auto"/>
              <w:ind w:left="115" w:right="79" w:firstLine="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城市会客</w:t>
            </w:r>
            <w:r>
              <w:rPr>
                <w:rFonts w:ascii="仿宋" w:hAnsi="仿宋" w:eastAsia="仿宋" w:cs="仿宋"/>
                <w:snapToGrid w:val="0"/>
                <w:color w:val="auto"/>
                <w:spacing w:val="1"/>
                <w:kern w:val="0"/>
                <w:sz w:val="24"/>
                <w:szCs w:val="24"/>
                <w:lang w:val="en-US" w:eastAsia="en-US" w:bidi="ar-SA"/>
              </w:rPr>
              <w:t xml:space="preserve"> </w:t>
            </w:r>
            <w:r>
              <w:rPr>
                <w:rFonts w:ascii="仿宋" w:hAnsi="仿宋" w:eastAsia="仿宋" w:cs="仿宋"/>
                <w:snapToGrid w:val="0"/>
                <w:color w:val="auto"/>
                <w:kern w:val="0"/>
                <w:sz w:val="24"/>
                <w:szCs w:val="24"/>
                <w:lang w:val="en-US" w:eastAsia="en-US" w:bidi="ar-SA"/>
              </w:rPr>
              <w:t>厅</w:t>
            </w:r>
          </w:p>
        </w:tc>
        <w:tc>
          <w:tcPr>
            <w:tcW w:w="914" w:type="dxa"/>
            <w:vMerge w:val="restart"/>
            <w:tcBorders>
              <w:bottom w:val="nil"/>
            </w:tcBorders>
            <w:vAlign w:val="top"/>
          </w:tcPr>
          <w:p w14:paraId="2086AB54">
            <w:pPr>
              <w:spacing w:line="251" w:lineRule="auto"/>
              <w:rPr>
                <w:rFonts w:ascii="Arial"/>
                <w:color w:val="auto"/>
                <w:sz w:val="21"/>
              </w:rPr>
            </w:pPr>
          </w:p>
          <w:p w14:paraId="2536DA30">
            <w:pPr>
              <w:spacing w:line="251" w:lineRule="auto"/>
              <w:rPr>
                <w:rFonts w:ascii="Arial"/>
                <w:color w:val="auto"/>
                <w:sz w:val="21"/>
              </w:rPr>
            </w:pPr>
          </w:p>
          <w:p w14:paraId="329E9F12">
            <w:pPr>
              <w:spacing w:line="251" w:lineRule="auto"/>
              <w:rPr>
                <w:rFonts w:ascii="Arial"/>
                <w:color w:val="auto"/>
                <w:sz w:val="21"/>
              </w:rPr>
            </w:pPr>
          </w:p>
          <w:p w14:paraId="3E5C93DD">
            <w:pPr>
              <w:kinsoku w:val="0"/>
              <w:autoSpaceDE w:val="0"/>
              <w:autoSpaceDN w:val="0"/>
              <w:adjustRightInd w:val="0"/>
              <w:snapToGrid w:val="0"/>
              <w:spacing w:before="78" w:line="217"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保洁</w:t>
            </w:r>
          </w:p>
        </w:tc>
        <w:tc>
          <w:tcPr>
            <w:tcW w:w="974" w:type="dxa"/>
            <w:vAlign w:val="top"/>
          </w:tcPr>
          <w:p w14:paraId="0B9547DA">
            <w:pPr>
              <w:spacing w:line="276" w:lineRule="auto"/>
              <w:rPr>
                <w:rFonts w:ascii="Arial"/>
                <w:color w:val="auto"/>
                <w:sz w:val="21"/>
              </w:rPr>
            </w:pPr>
          </w:p>
          <w:p w14:paraId="58761DEE">
            <w:pPr>
              <w:kinsoku w:val="0"/>
              <w:autoSpaceDE w:val="0"/>
              <w:autoSpaceDN w:val="0"/>
              <w:adjustRightInd w:val="0"/>
              <w:snapToGrid w:val="0"/>
              <w:spacing w:before="78" w:line="218"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9"/>
                <w:kern w:val="0"/>
                <w:sz w:val="24"/>
                <w:szCs w:val="24"/>
                <w:lang w:val="en-US" w:eastAsia="en-US" w:bidi="ar-SA"/>
              </w:rPr>
              <w:t>1楼</w:t>
            </w:r>
          </w:p>
        </w:tc>
        <w:tc>
          <w:tcPr>
            <w:tcW w:w="4004" w:type="dxa"/>
            <w:vAlign w:val="top"/>
          </w:tcPr>
          <w:p w14:paraId="235880BA">
            <w:pPr>
              <w:kinsoku w:val="0"/>
              <w:autoSpaceDE w:val="0"/>
              <w:autoSpaceDN w:val="0"/>
              <w:adjustRightInd w:val="0"/>
              <w:snapToGrid w:val="0"/>
              <w:spacing w:before="129" w:line="304" w:lineRule="auto"/>
              <w:ind w:left="106" w:right="82" w:firstLine="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大厅、卫生间、贵宾厅所有附属物、内外</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玻璃门。</w:t>
            </w:r>
          </w:p>
        </w:tc>
        <w:tc>
          <w:tcPr>
            <w:tcW w:w="1402" w:type="dxa"/>
            <w:vAlign w:val="top"/>
          </w:tcPr>
          <w:p w14:paraId="2DB7F2EF">
            <w:pPr>
              <w:spacing w:line="276" w:lineRule="auto"/>
              <w:rPr>
                <w:rFonts w:ascii="Arial"/>
                <w:color w:val="auto"/>
                <w:sz w:val="21"/>
              </w:rPr>
            </w:pPr>
          </w:p>
          <w:p w14:paraId="4E8F2274">
            <w:pPr>
              <w:kinsoku w:val="0"/>
              <w:autoSpaceDE w:val="0"/>
              <w:autoSpaceDN w:val="0"/>
              <w:adjustRightInd w:val="0"/>
              <w:snapToGrid w:val="0"/>
              <w:spacing w:before="78"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r w14:paraId="34AEA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2" w:hRule="atLeast"/>
        </w:trPr>
        <w:tc>
          <w:tcPr>
            <w:tcW w:w="907" w:type="dxa"/>
            <w:vMerge w:val="continue"/>
            <w:tcBorders>
              <w:top w:val="nil"/>
            </w:tcBorders>
            <w:vAlign w:val="top"/>
          </w:tcPr>
          <w:p w14:paraId="211F8D55">
            <w:pPr>
              <w:rPr>
                <w:rFonts w:ascii="Arial"/>
                <w:color w:val="auto"/>
                <w:sz w:val="21"/>
              </w:rPr>
            </w:pPr>
          </w:p>
        </w:tc>
        <w:tc>
          <w:tcPr>
            <w:tcW w:w="1065" w:type="dxa"/>
            <w:vMerge w:val="continue"/>
            <w:tcBorders>
              <w:top w:val="nil"/>
            </w:tcBorders>
            <w:vAlign w:val="top"/>
          </w:tcPr>
          <w:p w14:paraId="23B739B3">
            <w:pPr>
              <w:rPr>
                <w:rFonts w:ascii="Arial"/>
                <w:color w:val="auto"/>
                <w:sz w:val="21"/>
              </w:rPr>
            </w:pPr>
          </w:p>
        </w:tc>
        <w:tc>
          <w:tcPr>
            <w:tcW w:w="914" w:type="dxa"/>
            <w:vMerge w:val="continue"/>
            <w:tcBorders>
              <w:top w:val="nil"/>
            </w:tcBorders>
            <w:vAlign w:val="top"/>
          </w:tcPr>
          <w:p w14:paraId="4684F3D0">
            <w:pPr>
              <w:rPr>
                <w:rFonts w:ascii="Arial"/>
                <w:color w:val="auto"/>
                <w:sz w:val="21"/>
              </w:rPr>
            </w:pPr>
          </w:p>
        </w:tc>
        <w:tc>
          <w:tcPr>
            <w:tcW w:w="974" w:type="dxa"/>
            <w:vAlign w:val="top"/>
          </w:tcPr>
          <w:p w14:paraId="576292A1">
            <w:pPr>
              <w:spacing w:line="277" w:lineRule="auto"/>
              <w:rPr>
                <w:rFonts w:ascii="Arial"/>
                <w:color w:val="auto"/>
                <w:sz w:val="21"/>
              </w:rPr>
            </w:pPr>
          </w:p>
          <w:p w14:paraId="008380CD">
            <w:pPr>
              <w:kinsoku w:val="0"/>
              <w:autoSpaceDE w:val="0"/>
              <w:autoSpaceDN w:val="0"/>
              <w:adjustRightInd w:val="0"/>
              <w:snapToGrid w:val="0"/>
              <w:spacing w:before="78" w:line="218" w:lineRule="auto"/>
              <w:ind w:left="11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7"/>
                <w:kern w:val="0"/>
                <w:sz w:val="24"/>
                <w:szCs w:val="24"/>
                <w:lang w:val="en-US" w:eastAsia="en-US" w:bidi="ar-SA"/>
              </w:rPr>
              <w:t>2楼</w:t>
            </w:r>
          </w:p>
        </w:tc>
        <w:tc>
          <w:tcPr>
            <w:tcW w:w="4004" w:type="dxa"/>
            <w:vAlign w:val="top"/>
          </w:tcPr>
          <w:p w14:paraId="02F576D6">
            <w:pPr>
              <w:kinsoku w:val="0"/>
              <w:autoSpaceDE w:val="0"/>
              <w:autoSpaceDN w:val="0"/>
              <w:adjustRightInd w:val="0"/>
              <w:snapToGrid w:val="0"/>
              <w:spacing w:before="116" w:line="306" w:lineRule="auto"/>
              <w:ind w:left="107" w:right="121" w:firstLine="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4"/>
                <w:kern w:val="0"/>
                <w:sz w:val="24"/>
                <w:szCs w:val="24"/>
                <w:lang w:val="en-US" w:eastAsia="en-US" w:bidi="ar-SA"/>
              </w:rPr>
              <w:t>东侧观光电梯(2个)、卫生间、会议室、</w:t>
            </w:r>
            <w:r>
              <w:rPr>
                <w:rFonts w:ascii="仿宋" w:hAnsi="仿宋" w:eastAsia="仿宋" w:cs="仿宋"/>
                <w:snapToGrid w:val="0"/>
                <w:color w:val="auto"/>
                <w:spacing w:val="10"/>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休闲区、1-2 楼大步梯、西侧大卫生间、</w:t>
            </w:r>
          </w:p>
        </w:tc>
        <w:tc>
          <w:tcPr>
            <w:tcW w:w="1402" w:type="dxa"/>
            <w:vAlign w:val="top"/>
          </w:tcPr>
          <w:p w14:paraId="7535718A">
            <w:pPr>
              <w:spacing w:line="277" w:lineRule="auto"/>
              <w:rPr>
                <w:rFonts w:ascii="Arial"/>
                <w:color w:val="auto"/>
                <w:sz w:val="21"/>
              </w:rPr>
            </w:pPr>
          </w:p>
          <w:p w14:paraId="57F1E779">
            <w:pPr>
              <w:kinsoku w:val="0"/>
              <w:autoSpaceDE w:val="0"/>
              <w:autoSpaceDN w:val="0"/>
              <w:adjustRightInd w:val="0"/>
              <w:snapToGrid w:val="0"/>
              <w:spacing w:before="78"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bl>
    <w:p w14:paraId="1D3D036E">
      <w:pPr>
        <w:pStyle w:val="3"/>
        <w:rPr>
          <w:color w:val="auto"/>
        </w:rPr>
      </w:pPr>
    </w:p>
    <w:p w14:paraId="51D0EC47">
      <w:pPr>
        <w:rPr>
          <w:color w:val="auto"/>
        </w:rPr>
        <w:sectPr>
          <w:footerReference r:id="rId34" w:type="default"/>
          <w:pgSz w:w="11910" w:h="16845"/>
          <w:pgMar w:top="990" w:right="1201" w:bottom="890" w:left="1397" w:header="675" w:footer="659" w:gutter="0"/>
          <w:cols w:space="720" w:num="1"/>
        </w:sectPr>
      </w:pPr>
    </w:p>
    <w:p w14:paraId="3454FC50">
      <w:pPr>
        <w:spacing w:before="193"/>
        <w:rPr>
          <w:color w:val="auto"/>
        </w:rPr>
      </w:pPr>
    </w:p>
    <w:tbl>
      <w:tblPr>
        <w:tblStyle w:val="10"/>
        <w:tblW w:w="92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7"/>
        <w:gridCol w:w="1065"/>
        <w:gridCol w:w="914"/>
        <w:gridCol w:w="974"/>
        <w:gridCol w:w="4004"/>
        <w:gridCol w:w="1402"/>
      </w:tblGrid>
      <w:tr w14:paraId="57D9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907" w:type="dxa"/>
            <w:vMerge w:val="restart"/>
            <w:tcBorders>
              <w:bottom w:val="nil"/>
            </w:tcBorders>
            <w:vAlign w:val="top"/>
          </w:tcPr>
          <w:p w14:paraId="44255FDA">
            <w:pPr>
              <w:rPr>
                <w:rFonts w:ascii="Arial"/>
                <w:color w:val="auto"/>
                <w:sz w:val="21"/>
              </w:rPr>
            </w:pPr>
          </w:p>
        </w:tc>
        <w:tc>
          <w:tcPr>
            <w:tcW w:w="1065" w:type="dxa"/>
            <w:vMerge w:val="restart"/>
            <w:tcBorders>
              <w:bottom w:val="nil"/>
            </w:tcBorders>
            <w:vAlign w:val="top"/>
          </w:tcPr>
          <w:p w14:paraId="2769FD54">
            <w:pPr>
              <w:rPr>
                <w:rFonts w:ascii="Arial"/>
                <w:color w:val="auto"/>
                <w:sz w:val="21"/>
              </w:rPr>
            </w:pPr>
          </w:p>
        </w:tc>
        <w:tc>
          <w:tcPr>
            <w:tcW w:w="914" w:type="dxa"/>
            <w:vAlign w:val="top"/>
          </w:tcPr>
          <w:p w14:paraId="6FC18F0A">
            <w:pPr>
              <w:rPr>
                <w:rFonts w:ascii="Arial"/>
                <w:color w:val="auto"/>
                <w:sz w:val="21"/>
              </w:rPr>
            </w:pPr>
          </w:p>
        </w:tc>
        <w:tc>
          <w:tcPr>
            <w:tcW w:w="974" w:type="dxa"/>
            <w:vAlign w:val="top"/>
          </w:tcPr>
          <w:p w14:paraId="0CDE0A1C">
            <w:pPr>
              <w:rPr>
                <w:rFonts w:ascii="Arial"/>
                <w:color w:val="auto"/>
                <w:sz w:val="21"/>
              </w:rPr>
            </w:pPr>
          </w:p>
        </w:tc>
        <w:tc>
          <w:tcPr>
            <w:tcW w:w="4004" w:type="dxa"/>
            <w:vAlign w:val="top"/>
          </w:tcPr>
          <w:p w14:paraId="2426D1E7">
            <w:pPr>
              <w:kinsoku w:val="0"/>
              <w:autoSpaceDE w:val="0"/>
              <w:autoSpaceDN w:val="0"/>
              <w:adjustRightInd w:val="0"/>
              <w:snapToGrid w:val="0"/>
              <w:spacing w:before="108" w:line="217" w:lineRule="auto"/>
              <w:ind w:left="10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所有展厅书吧、影院、所有附属物。</w:t>
            </w:r>
          </w:p>
        </w:tc>
        <w:tc>
          <w:tcPr>
            <w:tcW w:w="1402" w:type="dxa"/>
            <w:vAlign w:val="top"/>
          </w:tcPr>
          <w:p w14:paraId="5B7A6505">
            <w:pPr>
              <w:rPr>
                <w:rFonts w:ascii="Arial"/>
                <w:color w:val="auto"/>
                <w:sz w:val="21"/>
              </w:rPr>
            </w:pPr>
          </w:p>
        </w:tc>
      </w:tr>
      <w:tr w14:paraId="32C33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9" w:hRule="atLeast"/>
        </w:trPr>
        <w:tc>
          <w:tcPr>
            <w:tcW w:w="907" w:type="dxa"/>
            <w:vMerge w:val="continue"/>
            <w:tcBorders>
              <w:top w:val="nil"/>
            </w:tcBorders>
            <w:vAlign w:val="top"/>
          </w:tcPr>
          <w:p w14:paraId="2DF39733">
            <w:pPr>
              <w:rPr>
                <w:rFonts w:ascii="Arial"/>
                <w:color w:val="auto"/>
                <w:sz w:val="21"/>
              </w:rPr>
            </w:pPr>
          </w:p>
        </w:tc>
        <w:tc>
          <w:tcPr>
            <w:tcW w:w="1065" w:type="dxa"/>
            <w:vMerge w:val="continue"/>
            <w:tcBorders>
              <w:top w:val="nil"/>
            </w:tcBorders>
            <w:vAlign w:val="top"/>
          </w:tcPr>
          <w:p w14:paraId="14DFCCA4">
            <w:pPr>
              <w:rPr>
                <w:rFonts w:ascii="Arial"/>
                <w:color w:val="auto"/>
                <w:sz w:val="21"/>
              </w:rPr>
            </w:pPr>
          </w:p>
        </w:tc>
        <w:tc>
          <w:tcPr>
            <w:tcW w:w="914" w:type="dxa"/>
            <w:vAlign w:val="top"/>
          </w:tcPr>
          <w:p w14:paraId="210A874A">
            <w:pPr>
              <w:spacing w:line="262" w:lineRule="auto"/>
              <w:rPr>
                <w:rFonts w:ascii="Arial"/>
                <w:color w:val="auto"/>
                <w:sz w:val="21"/>
              </w:rPr>
            </w:pPr>
          </w:p>
          <w:p w14:paraId="5F488276">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7C33325C">
            <w:pPr>
              <w:rPr>
                <w:rFonts w:ascii="Arial"/>
                <w:color w:val="auto"/>
                <w:sz w:val="21"/>
              </w:rPr>
            </w:pPr>
          </w:p>
        </w:tc>
        <w:tc>
          <w:tcPr>
            <w:tcW w:w="4004" w:type="dxa"/>
            <w:vAlign w:val="top"/>
          </w:tcPr>
          <w:p w14:paraId="511B7EE7">
            <w:pPr>
              <w:kinsoku w:val="0"/>
              <w:autoSpaceDE w:val="0"/>
              <w:autoSpaceDN w:val="0"/>
              <w:adjustRightInd w:val="0"/>
              <w:snapToGrid w:val="0"/>
              <w:spacing w:before="115" w:line="309" w:lineRule="auto"/>
              <w:ind w:left="105" w:right="82" w:firstLine="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0"/>
                <w:kern w:val="0"/>
                <w:sz w:val="24"/>
                <w:szCs w:val="24"/>
                <w:lang w:val="en-US" w:eastAsia="en-US" w:bidi="ar-SA"/>
              </w:rPr>
              <w:t>城市会客厅南门设岗负责门口进出秩序维</w:t>
            </w:r>
            <w:r>
              <w:rPr>
                <w:rFonts w:ascii="仿宋" w:hAnsi="仿宋" w:eastAsia="仿宋" w:cs="仿宋"/>
                <w:snapToGrid w:val="0"/>
                <w:color w:val="auto"/>
                <w:spacing w:val="15"/>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护。</w:t>
            </w:r>
          </w:p>
        </w:tc>
        <w:tc>
          <w:tcPr>
            <w:tcW w:w="1402" w:type="dxa"/>
            <w:vAlign w:val="top"/>
          </w:tcPr>
          <w:p w14:paraId="1F2AA2FA">
            <w:pPr>
              <w:spacing w:line="263" w:lineRule="auto"/>
              <w:rPr>
                <w:rFonts w:ascii="Arial"/>
                <w:color w:val="auto"/>
                <w:sz w:val="21"/>
              </w:rPr>
            </w:pPr>
          </w:p>
          <w:p w14:paraId="2AD294DB">
            <w:pPr>
              <w:kinsoku w:val="0"/>
              <w:autoSpaceDE w:val="0"/>
              <w:autoSpaceDN w:val="0"/>
              <w:adjustRightInd w:val="0"/>
              <w:snapToGrid w:val="0"/>
              <w:spacing w:before="78" w:line="222" w:lineRule="auto"/>
              <w:ind w:left="53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4"/>
                <w:kern w:val="0"/>
                <w:sz w:val="24"/>
                <w:szCs w:val="24"/>
                <w:lang w:val="en-US" w:eastAsia="en-US" w:bidi="ar-SA"/>
              </w:rPr>
              <w:t>4</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4"/>
                <w:kern w:val="0"/>
                <w:sz w:val="24"/>
                <w:szCs w:val="24"/>
                <w:lang w:val="en-US" w:eastAsia="en-US" w:bidi="ar-SA"/>
              </w:rPr>
              <w:t>人</w:t>
            </w:r>
          </w:p>
        </w:tc>
      </w:tr>
      <w:tr w14:paraId="48C80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0" w:hRule="atLeast"/>
        </w:trPr>
        <w:tc>
          <w:tcPr>
            <w:tcW w:w="907" w:type="dxa"/>
            <w:vMerge w:val="restart"/>
            <w:tcBorders>
              <w:bottom w:val="nil"/>
            </w:tcBorders>
            <w:vAlign w:val="top"/>
          </w:tcPr>
          <w:p w14:paraId="1B8B5ECD">
            <w:pPr>
              <w:spacing w:line="252" w:lineRule="auto"/>
              <w:rPr>
                <w:rFonts w:ascii="Arial"/>
                <w:color w:val="auto"/>
                <w:sz w:val="21"/>
              </w:rPr>
            </w:pPr>
          </w:p>
          <w:p w14:paraId="5047A66E">
            <w:pPr>
              <w:spacing w:line="252" w:lineRule="auto"/>
              <w:rPr>
                <w:rFonts w:ascii="Arial"/>
                <w:color w:val="auto"/>
                <w:sz w:val="21"/>
              </w:rPr>
            </w:pPr>
          </w:p>
          <w:p w14:paraId="39DD3E8D">
            <w:pPr>
              <w:spacing w:line="252" w:lineRule="auto"/>
              <w:rPr>
                <w:rFonts w:ascii="Arial"/>
                <w:color w:val="auto"/>
                <w:sz w:val="21"/>
              </w:rPr>
            </w:pPr>
          </w:p>
          <w:p w14:paraId="6621B312">
            <w:pPr>
              <w:spacing w:line="252" w:lineRule="auto"/>
              <w:rPr>
                <w:rFonts w:ascii="Arial"/>
                <w:color w:val="auto"/>
                <w:sz w:val="21"/>
              </w:rPr>
            </w:pPr>
          </w:p>
          <w:p w14:paraId="61B7BBC3">
            <w:pPr>
              <w:spacing w:line="252" w:lineRule="auto"/>
              <w:rPr>
                <w:rFonts w:ascii="Arial"/>
                <w:color w:val="auto"/>
                <w:sz w:val="21"/>
              </w:rPr>
            </w:pPr>
          </w:p>
          <w:p w14:paraId="5C3E7EB3">
            <w:pPr>
              <w:spacing w:line="252" w:lineRule="auto"/>
              <w:rPr>
                <w:rFonts w:ascii="Arial"/>
                <w:color w:val="auto"/>
                <w:sz w:val="21"/>
              </w:rPr>
            </w:pPr>
          </w:p>
          <w:p w14:paraId="30A31AB1">
            <w:pPr>
              <w:spacing w:line="252" w:lineRule="auto"/>
              <w:rPr>
                <w:rFonts w:ascii="Arial"/>
                <w:color w:val="auto"/>
                <w:sz w:val="21"/>
              </w:rPr>
            </w:pPr>
          </w:p>
          <w:p w14:paraId="59B0AA61">
            <w:pPr>
              <w:spacing w:line="252" w:lineRule="auto"/>
              <w:rPr>
                <w:rFonts w:ascii="Arial"/>
                <w:color w:val="auto"/>
                <w:sz w:val="21"/>
              </w:rPr>
            </w:pPr>
          </w:p>
          <w:p w14:paraId="2EA0BBA5">
            <w:pPr>
              <w:spacing w:line="252" w:lineRule="auto"/>
              <w:rPr>
                <w:rFonts w:ascii="Arial"/>
                <w:color w:val="auto"/>
                <w:sz w:val="21"/>
              </w:rPr>
            </w:pPr>
          </w:p>
          <w:p w14:paraId="65BDE77F">
            <w:pPr>
              <w:spacing w:line="252" w:lineRule="auto"/>
              <w:rPr>
                <w:rFonts w:ascii="Arial"/>
                <w:color w:val="auto"/>
                <w:sz w:val="21"/>
              </w:rPr>
            </w:pPr>
          </w:p>
          <w:p w14:paraId="3E2D422A">
            <w:pPr>
              <w:spacing w:line="253" w:lineRule="auto"/>
              <w:rPr>
                <w:rFonts w:ascii="Arial"/>
                <w:color w:val="auto"/>
                <w:sz w:val="21"/>
              </w:rPr>
            </w:pPr>
          </w:p>
          <w:p w14:paraId="6B2FE58A">
            <w:pPr>
              <w:spacing w:line="253" w:lineRule="auto"/>
              <w:rPr>
                <w:rFonts w:ascii="Arial"/>
                <w:color w:val="auto"/>
                <w:sz w:val="21"/>
              </w:rPr>
            </w:pPr>
          </w:p>
          <w:p w14:paraId="6564AF56">
            <w:pPr>
              <w:spacing w:line="253" w:lineRule="auto"/>
              <w:rPr>
                <w:rFonts w:ascii="Arial"/>
                <w:color w:val="auto"/>
                <w:sz w:val="21"/>
              </w:rPr>
            </w:pPr>
          </w:p>
          <w:p w14:paraId="5C47A6D4">
            <w:pPr>
              <w:spacing w:line="253" w:lineRule="auto"/>
              <w:rPr>
                <w:rFonts w:ascii="Arial"/>
                <w:color w:val="auto"/>
                <w:sz w:val="21"/>
              </w:rPr>
            </w:pPr>
          </w:p>
          <w:p w14:paraId="141E9B7E">
            <w:pPr>
              <w:kinsoku w:val="0"/>
              <w:autoSpaceDE w:val="0"/>
              <w:autoSpaceDN w:val="0"/>
              <w:adjustRightInd w:val="0"/>
              <w:snapToGrid w:val="0"/>
              <w:spacing w:before="78" w:line="238" w:lineRule="auto"/>
              <w:ind w:left="53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4</w:t>
            </w:r>
          </w:p>
        </w:tc>
        <w:tc>
          <w:tcPr>
            <w:tcW w:w="1065" w:type="dxa"/>
            <w:vMerge w:val="restart"/>
            <w:tcBorders>
              <w:bottom w:val="nil"/>
            </w:tcBorders>
            <w:vAlign w:val="top"/>
          </w:tcPr>
          <w:p w14:paraId="6EE48394">
            <w:pPr>
              <w:spacing w:line="252" w:lineRule="auto"/>
              <w:rPr>
                <w:rFonts w:ascii="Arial"/>
                <w:color w:val="auto"/>
                <w:sz w:val="21"/>
              </w:rPr>
            </w:pPr>
          </w:p>
          <w:p w14:paraId="37856F6F">
            <w:pPr>
              <w:spacing w:line="252" w:lineRule="auto"/>
              <w:rPr>
                <w:rFonts w:ascii="Arial"/>
                <w:color w:val="auto"/>
                <w:sz w:val="21"/>
              </w:rPr>
            </w:pPr>
          </w:p>
          <w:p w14:paraId="6B3C7B77">
            <w:pPr>
              <w:spacing w:line="252" w:lineRule="auto"/>
              <w:rPr>
                <w:rFonts w:ascii="Arial"/>
                <w:color w:val="auto"/>
                <w:sz w:val="21"/>
              </w:rPr>
            </w:pPr>
          </w:p>
          <w:p w14:paraId="1310E550">
            <w:pPr>
              <w:spacing w:line="252" w:lineRule="auto"/>
              <w:rPr>
                <w:rFonts w:ascii="Arial"/>
                <w:color w:val="auto"/>
                <w:sz w:val="21"/>
              </w:rPr>
            </w:pPr>
          </w:p>
          <w:p w14:paraId="42CE24A8">
            <w:pPr>
              <w:spacing w:line="252" w:lineRule="auto"/>
              <w:rPr>
                <w:rFonts w:ascii="Arial"/>
                <w:color w:val="auto"/>
                <w:sz w:val="21"/>
              </w:rPr>
            </w:pPr>
          </w:p>
          <w:p w14:paraId="33989C09">
            <w:pPr>
              <w:spacing w:line="252" w:lineRule="auto"/>
              <w:rPr>
                <w:rFonts w:ascii="Arial"/>
                <w:color w:val="auto"/>
                <w:sz w:val="21"/>
              </w:rPr>
            </w:pPr>
          </w:p>
          <w:p w14:paraId="02D1F5CA">
            <w:pPr>
              <w:spacing w:line="252" w:lineRule="auto"/>
              <w:rPr>
                <w:rFonts w:ascii="Arial"/>
                <w:color w:val="auto"/>
                <w:sz w:val="21"/>
              </w:rPr>
            </w:pPr>
          </w:p>
          <w:p w14:paraId="16F55C83">
            <w:pPr>
              <w:spacing w:line="252" w:lineRule="auto"/>
              <w:rPr>
                <w:rFonts w:ascii="Arial"/>
                <w:color w:val="auto"/>
                <w:sz w:val="21"/>
              </w:rPr>
            </w:pPr>
          </w:p>
          <w:p w14:paraId="387E36C3">
            <w:pPr>
              <w:spacing w:line="252" w:lineRule="auto"/>
              <w:rPr>
                <w:rFonts w:ascii="Arial"/>
                <w:color w:val="auto"/>
                <w:sz w:val="21"/>
              </w:rPr>
            </w:pPr>
          </w:p>
          <w:p w14:paraId="0023F829">
            <w:pPr>
              <w:spacing w:line="252" w:lineRule="auto"/>
              <w:rPr>
                <w:rFonts w:ascii="Arial"/>
                <w:color w:val="auto"/>
                <w:sz w:val="21"/>
              </w:rPr>
            </w:pPr>
          </w:p>
          <w:p w14:paraId="2A511AA2">
            <w:pPr>
              <w:spacing w:line="252" w:lineRule="auto"/>
              <w:rPr>
                <w:rFonts w:ascii="Arial"/>
                <w:color w:val="auto"/>
                <w:sz w:val="21"/>
              </w:rPr>
            </w:pPr>
          </w:p>
          <w:p w14:paraId="0683CCE4">
            <w:pPr>
              <w:spacing w:line="253" w:lineRule="auto"/>
              <w:rPr>
                <w:rFonts w:ascii="Arial"/>
                <w:color w:val="auto"/>
                <w:sz w:val="21"/>
              </w:rPr>
            </w:pPr>
          </w:p>
          <w:p w14:paraId="07FB4283">
            <w:pPr>
              <w:spacing w:line="253" w:lineRule="auto"/>
              <w:rPr>
                <w:rFonts w:ascii="Arial"/>
                <w:color w:val="auto"/>
                <w:sz w:val="21"/>
              </w:rPr>
            </w:pPr>
          </w:p>
          <w:p w14:paraId="6D0EA88A">
            <w:pPr>
              <w:spacing w:line="253" w:lineRule="auto"/>
              <w:rPr>
                <w:rFonts w:ascii="Arial"/>
                <w:color w:val="auto"/>
                <w:sz w:val="21"/>
              </w:rPr>
            </w:pPr>
          </w:p>
          <w:p w14:paraId="1F522E6E">
            <w:pPr>
              <w:kinsoku w:val="0"/>
              <w:autoSpaceDE w:val="0"/>
              <w:autoSpaceDN w:val="0"/>
              <w:adjustRightInd w:val="0"/>
              <w:snapToGrid w:val="0"/>
              <w:spacing w:before="78" w:line="217" w:lineRule="auto"/>
              <w:ind w:left="11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8"/>
                <w:kern w:val="0"/>
                <w:sz w:val="24"/>
                <w:szCs w:val="24"/>
                <w:lang w:val="en-US" w:eastAsia="en-US" w:bidi="ar-SA"/>
              </w:rPr>
              <w:t>博物馆</w:t>
            </w:r>
          </w:p>
        </w:tc>
        <w:tc>
          <w:tcPr>
            <w:tcW w:w="914" w:type="dxa"/>
            <w:vMerge w:val="restart"/>
            <w:tcBorders>
              <w:bottom w:val="nil"/>
            </w:tcBorders>
            <w:vAlign w:val="top"/>
          </w:tcPr>
          <w:p w14:paraId="6D1E91EC">
            <w:pPr>
              <w:spacing w:line="266" w:lineRule="auto"/>
              <w:rPr>
                <w:rFonts w:ascii="Arial"/>
                <w:color w:val="auto"/>
                <w:sz w:val="21"/>
              </w:rPr>
            </w:pPr>
          </w:p>
          <w:p w14:paraId="6EEC6FD7">
            <w:pPr>
              <w:spacing w:line="266" w:lineRule="auto"/>
              <w:rPr>
                <w:rFonts w:ascii="Arial"/>
                <w:color w:val="auto"/>
                <w:sz w:val="21"/>
              </w:rPr>
            </w:pPr>
          </w:p>
          <w:p w14:paraId="436F7CA4">
            <w:pPr>
              <w:spacing w:line="266" w:lineRule="auto"/>
              <w:rPr>
                <w:rFonts w:ascii="Arial"/>
                <w:color w:val="auto"/>
                <w:sz w:val="21"/>
              </w:rPr>
            </w:pPr>
          </w:p>
          <w:p w14:paraId="225156B5">
            <w:pPr>
              <w:spacing w:line="266" w:lineRule="auto"/>
              <w:rPr>
                <w:rFonts w:ascii="Arial"/>
                <w:color w:val="auto"/>
                <w:sz w:val="21"/>
              </w:rPr>
            </w:pPr>
          </w:p>
          <w:p w14:paraId="04AC8809">
            <w:pPr>
              <w:spacing w:line="266" w:lineRule="auto"/>
              <w:rPr>
                <w:rFonts w:ascii="Arial"/>
                <w:color w:val="auto"/>
                <w:sz w:val="21"/>
              </w:rPr>
            </w:pPr>
          </w:p>
          <w:p w14:paraId="772509D2">
            <w:pPr>
              <w:spacing w:line="266" w:lineRule="auto"/>
              <w:rPr>
                <w:rFonts w:ascii="Arial"/>
                <w:color w:val="auto"/>
                <w:sz w:val="21"/>
              </w:rPr>
            </w:pPr>
          </w:p>
          <w:p w14:paraId="149C26A8">
            <w:pPr>
              <w:spacing w:line="266" w:lineRule="auto"/>
              <w:rPr>
                <w:rFonts w:ascii="Arial"/>
                <w:color w:val="auto"/>
                <w:sz w:val="21"/>
              </w:rPr>
            </w:pPr>
          </w:p>
          <w:p w14:paraId="7FC0A7EE">
            <w:pPr>
              <w:spacing w:line="266" w:lineRule="auto"/>
              <w:rPr>
                <w:rFonts w:ascii="Arial"/>
                <w:color w:val="auto"/>
                <w:sz w:val="21"/>
              </w:rPr>
            </w:pPr>
          </w:p>
          <w:p w14:paraId="5CD75898">
            <w:pPr>
              <w:kinsoku w:val="0"/>
              <w:autoSpaceDE w:val="0"/>
              <w:autoSpaceDN w:val="0"/>
              <w:adjustRightInd w:val="0"/>
              <w:snapToGrid w:val="0"/>
              <w:spacing w:before="78" w:line="217"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保洁</w:t>
            </w:r>
          </w:p>
        </w:tc>
        <w:tc>
          <w:tcPr>
            <w:tcW w:w="974" w:type="dxa"/>
            <w:vAlign w:val="top"/>
          </w:tcPr>
          <w:p w14:paraId="4A947F3A">
            <w:pPr>
              <w:spacing w:line="264" w:lineRule="auto"/>
              <w:rPr>
                <w:rFonts w:ascii="Arial"/>
                <w:color w:val="auto"/>
                <w:sz w:val="21"/>
              </w:rPr>
            </w:pPr>
          </w:p>
          <w:p w14:paraId="05F87A84">
            <w:pPr>
              <w:kinsoku w:val="0"/>
              <w:autoSpaceDE w:val="0"/>
              <w:autoSpaceDN w:val="0"/>
              <w:adjustRightInd w:val="0"/>
              <w:snapToGrid w:val="0"/>
              <w:spacing w:before="78" w:line="218"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9"/>
                <w:kern w:val="0"/>
                <w:sz w:val="24"/>
                <w:szCs w:val="24"/>
                <w:lang w:val="en-US" w:eastAsia="en-US" w:bidi="ar-SA"/>
              </w:rPr>
              <w:t>1楼</w:t>
            </w:r>
          </w:p>
        </w:tc>
        <w:tc>
          <w:tcPr>
            <w:tcW w:w="4004" w:type="dxa"/>
            <w:vAlign w:val="top"/>
          </w:tcPr>
          <w:p w14:paraId="0E70765B">
            <w:pPr>
              <w:kinsoku w:val="0"/>
              <w:autoSpaceDE w:val="0"/>
              <w:autoSpaceDN w:val="0"/>
              <w:adjustRightInd w:val="0"/>
              <w:snapToGrid w:val="0"/>
              <w:spacing w:before="119" w:line="308" w:lineRule="auto"/>
              <w:ind w:left="140" w:right="82" w:hanging="8"/>
              <w:jc w:val="left"/>
              <w:textAlignment w:val="baseline"/>
              <w:rPr>
                <w:rFonts w:ascii="仿宋" w:hAnsi="仿宋" w:eastAsia="仿宋" w:cs="仿宋"/>
                <w:snapToGrid w:val="0"/>
                <w:color w:val="auto"/>
                <w:kern w:val="0"/>
                <w:sz w:val="24"/>
                <w:szCs w:val="24"/>
                <w:highlight w:val="none"/>
                <w:lang w:val="en-US" w:eastAsia="en-US" w:bidi="ar-SA"/>
              </w:rPr>
            </w:pPr>
            <w:r>
              <w:rPr>
                <w:rFonts w:ascii="仿宋" w:hAnsi="仿宋" w:eastAsia="仿宋" w:cs="仿宋"/>
                <w:snapToGrid w:val="0"/>
                <w:color w:val="auto"/>
                <w:spacing w:val="-31"/>
                <w:kern w:val="0"/>
                <w:sz w:val="24"/>
                <w:szCs w:val="24"/>
                <w:highlight w:val="none"/>
                <w:lang w:val="en-US" w:eastAsia="en-US" w:bidi="ar-SA"/>
              </w:rPr>
              <w:t>电梯问、卫生间、茶水间、大厅所有区域</w:t>
            </w:r>
            <w:r>
              <w:rPr>
                <w:rFonts w:ascii="仿宋" w:hAnsi="仿宋" w:eastAsia="仿宋" w:cs="仿宋"/>
                <w:snapToGrid w:val="0"/>
                <w:color w:val="auto"/>
                <w:spacing w:val="11"/>
                <w:kern w:val="0"/>
                <w:sz w:val="24"/>
                <w:szCs w:val="24"/>
                <w:highlight w:val="none"/>
                <w:lang w:val="en-US" w:eastAsia="en-US" w:bidi="ar-SA"/>
              </w:rPr>
              <w:t xml:space="preserve"> </w:t>
            </w:r>
            <w:r>
              <w:rPr>
                <w:rFonts w:ascii="仿宋" w:hAnsi="仿宋" w:eastAsia="仿宋" w:cs="仿宋"/>
                <w:snapToGrid w:val="0"/>
                <w:color w:val="auto"/>
                <w:spacing w:val="-23"/>
                <w:kern w:val="0"/>
                <w:sz w:val="24"/>
                <w:szCs w:val="24"/>
                <w:highlight w:val="none"/>
                <w:lang w:val="en-US" w:eastAsia="en-US" w:bidi="ar-SA"/>
              </w:rPr>
              <w:t>(</w:t>
            </w:r>
            <w:r>
              <w:rPr>
                <w:rFonts w:hint="eastAsia" w:ascii="仿宋" w:hAnsi="仿宋" w:eastAsia="仿宋" w:cs="仿宋"/>
                <w:snapToGrid w:val="0"/>
                <w:color w:val="auto"/>
                <w:spacing w:val="-23"/>
                <w:kern w:val="0"/>
                <w:sz w:val="24"/>
                <w:szCs w:val="24"/>
                <w:highlight w:val="none"/>
                <w:lang w:val="en-US" w:eastAsia="zh-CN" w:bidi="ar-SA"/>
              </w:rPr>
              <w:t>1</w:t>
            </w:r>
            <w:r>
              <w:rPr>
                <w:rFonts w:ascii="仿宋" w:hAnsi="仿宋" w:eastAsia="仿宋" w:cs="仿宋"/>
                <w:snapToGrid w:val="0"/>
                <w:color w:val="auto"/>
                <w:spacing w:val="-23"/>
                <w:kern w:val="0"/>
                <w:sz w:val="24"/>
                <w:szCs w:val="24"/>
                <w:highlight w:val="none"/>
                <w:lang w:val="en-US" w:eastAsia="en-US" w:bidi="ar-SA"/>
              </w:rPr>
              <w:t>人)。</w:t>
            </w:r>
          </w:p>
        </w:tc>
        <w:tc>
          <w:tcPr>
            <w:tcW w:w="1402" w:type="dxa"/>
            <w:vAlign w:val="top"/>
          </w:tcPr>
          <w:p w14:paraId="009C6427">
            <w:pPr>
              <w:spacing w:line="264" w:lineRule="auto"/>
              <w:rPr>
                <w:rFonts w:ascii="Arial"/>
                <w:color w:val="auto"/>
                <w:sz w:val="21"/>
                <w:highlight w:val="none"/>
              </w:rPr>
            </w:pPr>
          </w:p>
          <w:p w14:paraId="6B78AEBA">
            <w:pPr>
              <w:kinsoku w:val="0"/>
              <w:autoSpaceDE w:val="0"/>
              <w:autoSpaceDN w:val="0"/>
              <w:adjustRightInd w:val="0"/>
              <w:snapToGrid w:val="0"/>
              <w:spacing w:before="78" w:line="222" w:lineRule="auto"/>
              <w:ind w:left="527"/>
              <w:jc w:val="left"/>
              <w:textAlignment w:val="baseline"/>
              <w:rPr>
                <w:rFonts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spacing w:val="-6"/>
                <w:kern w:val="0"/>
                <w:sz w:val="24"/>
                <w:szCs w:val="24"/>
                <w:highlight w:val="none"/>
                <w:lang w:val="en-US" w:eastAsia="zh-CN" w:bidi="ar-SA"/>
              </w:rPr>
              <w:t>1</w:t>
            </w:r>
            <w:r>
              <w:rPr>
                <w:rFonts w:ascii="仿宋" w:hAnsi="仿宋" w:eastAsia="仿宋" w:cs="仿宋"/>
                <w:snapToGrid w:val="0"/>
                <w:color w:val="auto"/>
                <w:spacing w:val="-6"/>
                <w:kern w:val="0"/>
                <w:sz w:val="24"/>
                <w:szCs w:val="24"/>
                <w:highlight w:val="none"/>
                <w:lang w:val="en-US" w:eastAsia="en-US" w:bidi="ar-SA"/>
              </w:rPr>
              <w:t>人</w:t>
            </w:r>
          </w:p>
        </w:tc>
      </w:tr>
      <w:tr w14:paraId="7200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4" w:hRule="atLeast"/>
        </w:trPr>
        <w:tc>
          <w:tcPr>
            <w:tcW w:w="907" w:type="dxa"/>
            <w:vMerge w:val="continue"/>
            <w:tcBorders>
              <w:top w:val="nil"/>
              <w:bottom w:val="nil"/>
            </w:tcBorders>
            <w:vAlign w:val="top"/>
          </w:tcPr>
          <w:p w14:paraId="1F712B82">
            <w:pPr>
              <w:rPr>
                <w:rFonts w:ascii="Arial"/>
                <w:color w:val="auto"/>
                <w:sz w:val="21"/>
              </w:rPr>
            </w:pPr>
          </w:p>
        </w:tc>
        <w:tc>
          <w:tcPr>
            <w:tcW w:w="1065" w:type="dxa"/>
            <w:vMerge w:val="continue"/>
            <w:tcBorders>
              <w:top w:val="nil"/>
              <w:bottom w:val="nil"/>
            </w:tcBorders>
            <w:vAlign w:val="top"/>
          </w:tcPr>
          <w:p w14:paraId="3B6922CF">
            <w:pPr>
              <w:rPr>
                <w:rFonts w:ascii="Arial"/>
                <w:color w:val="auto"/>
                <w:sz w:val="21"/>
              </w:rPr>
            </w:pPr>
          </w:p>
        </w:tc>
        <w:tc>
          <w:tcPr>
            <w:tcW w:w="914" w:type="dxa"/>
            <w:vMerge w:val="continue"/>
            <w:tcBorders>
              <w:top w:val="nil"/>
              <w:bottom w:val="nil"/>
            </w:tcBorders>
            <w:vAlign w:val="top"/>
          </w:tcPr>
          <w:p w14:paraId="6E5CBFDA">
            <w:pPr>
              <w:rPr>
                <w:rFonts w:ascii="Arial"/>
                <w:color w:val="auto"/>
                <w:sz w:val="21"/>
              </w:rPr>
            </w:pPr>
          </w:p>
        </w:tc>
        <w:tc>
          <w:tcPr>
            <w:tcW w:w="974" w:type="dxa"/>
            <w:vAlign w:val="top"/>
          </w:tcPr>
          <w:p w14:paraId="698A0146">
            <w:pPr>
              <w:spacing w:line="251" w:lineRule="auto"/>
              <w:rPr>
                <w:rFonts w:ascii="Arial"/>
                <w:color w:val="auto"/>
                <w:sz w:val="21"/>
              </w:rPr>
            </w:pPr>
          </w:p>
          <w:p w14:paraId="6D0CCA3B">
            <w:pPr>
              <w:spacing w:line="252" w:lineRule="auto"/>
              <w:rPr>
                <w:rFonts w:ascii="Arial"/>
                <w:color w:val="auto"/>
                <w:sz w:val="21"/>
              </w:rPr>
            </w:pPr>
          </w:p>
          <w:p w14:paraId="2082C42F">
            <w:pPr>
              <w:kinsoku w:val="0"/>
              <w:autoSpaceDE w:val="0"/>
              <w:autoSpaceDN w:val="0"/>
              <w:adjustRightInd w:val="0"/>
              <w:snapToGrid w:val="0"/>
              <w:spacing w:before="78" w:line="218" w:lineRule="auto"/>
              <w:ind w:left="11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7"/>
                <w:kern w:val="0"/>
                <w:sz w:val="24"/>
                <w:szCs w:val="24"/>
                <w:lang w:val="en-US" w:eastAsia="en-US" w:bidi="ar-SA"/>
              </w:rPr>
              <w:t>2楼</w:t>
            </w:r>
          </w:p>
        </w:tc>
        <w:tc>
          <w:tcPr>
            <w:tcW w:w="4004" w:type="dxa"/>
            <w:vAlign w:val="top"/>
          </w:tcPr>
          <w:p w14:paraId="30FFF14A">
            <w:pPr>
              <w:kinsoku w:val="0"/>
              <w:autoSpaceDE w:val="0"/>
              <w:autoSpaceDN w:val="0"/>
              <w:adjustRightInd w:val="0"/>
              <w:snapToGrid w:val="0"/>
              <w:spacing w:before="104" w:line="328" w:lineRule="auto"/>
              <w:ind w:left="106" w:right="54" w:firstLine="1"/>
              <w:jc w:val="both"/>
              <w:textAlignment w:val="baseline"/>
              <w:rPr>
                <w:rFonts w:ascii="仿宋" w:hAnsi="仿宋" w:eastAsia="仿宋" w:cs="仿宋"/>
                <w:snapToGrid w:val="0"/>
                <w:color w:val="auto"/>
                <w:kern w:val="0"/>
                <w:sz w:val="24"/>
                <w:szCs w:val="24"/>
                <w:highlight w:val="none"/>
                <w:lang w:val="en-US" w:eastAsia="en-US" w:bidi="ar-SA"/>
              </w:rPr>
            </w:pPr>
            <w:r>
              <w:rPr>
                <w:rFonts w:ascii="仿宋" w:hAnsi="仿宋" w:eastAsia="仿宋" w:cs="仿宋"/>
                <w:snapToGrid w:val="0"/>
                <w:color w:val="auto"/>
                <w:spacing w:val="-27"/>
                <w:kern w:val="0"/>
                <w:sz w:val="24"/>
                <w:szCs w:val="24"/>
                <w:highlight w:val="none"/>
                <w:lang w:val="en-US" w:eastAsia="en-US" w:bidi="ar-SA"/>
              </w:rPr>
              <w:t>大厅所有区域、卫生间、电梯间、1-2 楼</w:t>
            </w:r>
            <w:r>
              <w:rPr>
                <w:rFonts w:ascii="仿宋" w:hAnsi="仿宋" w:eastAsia="仿宋" w:cs="仿宋"/>
                <w:snapToGrid w:val="0"/>
                <w:color w:val="auto"/>
                <w:spacing w:val="14"/>
                <w:kern w:val="0"/>
                <w:sz w:val="24"/>
                <w:szCs w:val="24"/>
                <w:highlight w:val="none"/>
                <w:lang w:val="en-US" w:eastAsia="en-US" w:bidi="ar-SA"/>
              </w:rPr>
              <w:t xml:space="preserve"> </w:t>
            </w:r>
            <w:r>
              <w:rPr>
                <w:rFonts w:ascii="仿宋" w:hAnsi="仿宋" w:eastAsia="仿宋" w:cs="仿宋"/>
                <w:snapToGrid w:val="0"/>
                <w:color w:val="auto"/>
                <w:spacing w:val="-23"/>
                <w:kern w:val="0"/>
                <w:sz w:val="24"/>
                <w:szCs w:val="24"/>
                <w:highlight w:val="none"/>
                <w:lang w:val="en-US" w:eastAsia="en-US" w:bidi="ar-SA"/>
              </w:rPr>
              <w:t>所有消防步梯5</w:t>
            </w:r>
            <w:r>
              <w:rPr>
                <w:rFonts w:ascii="仿宋" w:hAnsi="仿宋" w:eastAsia="仿宋" w:cs="仿宋"/>
                <w:snapToGrid w:val="0"/>
                <w:color w:val="auto"/>
                <w:spacing w:val="-53"/>
                <w:kern w:val="0"/>
                <w:sz w:val="24"/>
                <w:szCs w:val="24"/>
                <w:highlight w:val="none"/>
                <w:lang w:val="en-US" w:eastAsia="en-US" w:bidi="ar-SA"/>
              </w:rPr>
              <w:t xml:space="preserve"> </w:t>
            </w:r>
            <w:r>
              <w:rPr>
                <w:rFonts w:ascii="仿宋" w:hAnsi="仿宋" w:eastAsia="仿宋" w:cs="仿宋"/>
                <w:snapToGrid w:val="0"/>
                <w:color w:val="auto"/>
                <w:spacing w:val="-23"/>
                <w:kern w:val="0"/>
                <w:sz w:val="24"/>
                <w:szCs w:val="24"/>
                <w:highlight w:val="none"/>
                <w:lang w:val="en-US" w:eastAsia="en-US" w:bidi="ar-SA"/>
              </w:rPr>
              <w:t>个、电扶梯</w:t>
            </w:r>
            <w:r>
              <w:rPr>
                <w:rFonts w:ascii="仿宋" w:hAnsi="仿宋" w:eastAsia="仿宋" w:cs="仿宋"/>
                <w:snapToGrid w:val="0"/>
                <w:color w:val="auto"/>
                <w:spacing w:val="-64"/>
                <w:kern w:val="0"/>
                <w:sz w:val="24"/>
                <w:szCs w:val="24"/>
                <w:highlight w:val="none"/>
                <w:lang w:val="en-US" w:eastAsia="en-US" w:bidi="ar-SA"/>
              </w:rPr>
              <w:t xml:space="preserve"> </w:t>
            </w:r>
            <w:r>
              <w:rPr>
                <w:rFonts w:ascii="仿宋" w:hAnsi="仿宋" w:eastAsia="仿宋" w:cs="仿宋"/>
                <w:snapToGrid w:val="0"/>
                <w:color w:val="auto"/>
                <w:spacing w:val="-23"/>
                <w:kern w:val="0"/>
                <w:sz w:val="24"/>
                <w:szCs w:val="24"/>
                <w:highlight w:val="none"/>
                <w:lang w:val="en-US" w:eastAsia="en-US" w:bidi="ar-SA"/>
              </w:rPr>
              <w:t>1-2</w:t>
            </w:r>
            <w:r>
              <w:rPr>
                <w:rFonts w:ascii="仿宋" w:hAnsi="仿宋" w:eastAsia="仿宋" w:cs="仿宋"/>
                <w:snapToGrid w:val="0"/>
                <w:color w:val="auto"/>
                <w:spacing w:val="-60"/>
                <w:kern w:val="0"/>
                <w:sz w:val="24"/>
                <w:szCs w:val="24"/>
                <w:highlight w:val="none"/>
                <w:lang w:val="en-US" w:eastAsia="en-US" w:bidi="ar-SA"/>
              </w:rPr>
              <w:t xml:space="preserve"> </w:t>
            </w:r>
            <w:r>
              <w:rPr>
                <w:rFonts w:ascii="仿宋" w:hAnsi="仿宋" w:eastAsia="仿宋" w:cs="仿宋"/>
                <w:snapToGrid w:val="0"/>
                <w:color w:val="auto"/>
                <w:spacing w:val="-23"/>
                <w:kern w:val="0"/>
                <w:sz w:val="24"/>
                <w:szCs w:val="24"/>
                <w:highlight w:val="none"/>
                <w:lang w:val="en-US" w:eastAsia="en-US" w:bidi="ar-SA"/>
              </w:rPr>
              <w:t>楼、旋转</w:t>
            </w:r>
            <w:r>
              <w:rPr>
                <w:rFonts w:ascii="仿宋" w:hAnsi="仿宋" w:eastAsia="仿宋" w:cs="仿宋"/>
                <w:snapToGrid w:val="0"/>
                <w:color w:val="auto"/>
                <w:kern w:val="0"/>
                <w:sz w:val="24"/>
                <w:szCs w:val="24"/>
                <w:highlight w:val="none"/>
                <w:lang w:val="en-US" w:eastAsia="en-US" w:bidi="ar-SA"/>
              </w:rPr>
              <w:t xml:space="preserve"> </w:t>
            </w:r>
            <w:r>
              <w:rPr>
                <w:rFonts w:ascii="仿宋" w:hAnsi="仿宋" w:eastAsia="仿宋" w:cs="仿宋"/>
                <w:snapToGrid w:val="0"/>
                <w:color w:val="auto"/>
                <w:spacing w:val="-12"/>
                <w:kern w:val="0"/>
                <w:sz w:val="24"/>
                <w:szCs w:val="24"/>
                <w:highlight w:val="none"/>
                <w:lang w:val="en-US" w:eastAsia="en-US" w:bidi="ar-SA"/>
              </w:rPr>
              <w:t>步梯1-2楼(</w:t>
            </w:r>
            <w:r>
              <w:rPr>
                <w:rFonts w:hint="eastAsia" w:ascii="仿宋" w:hAnsi="仿宋" w:eastAsia="仿宋" w:cs="仿宋"/>
                <w:snapToGrid w:val="0"/>
                <w:color w:val="auto"/>
                <w:spacing w:val="-12"/>
                <w:kern w:val="0"/>
                <w:sz w:val="24"/>
                <w:szCs w:val="24"/>
                <w:highlight w:val="none"/>
                <w:lang w:val="en-US" w:eastAsia="zh-CN" w:bidi="ar-SA"/>
              </w:rPr>
              <w:t>1</w:t>
            </w:r>
            <w:r>
              <w:rPr>
                <w:rFonts w:ascii="仿宋" w:hAnsi="仿宋" w:eastAsia="仿宋" w:cs="仿宋"/>
                <w:snapToGrid w:val="0"/>
                <w:color w:val="auto"/>
                <w:spacing w:val="-12"/>
                <w:kern w:val="0"/>
                <w:sz w:val="24"/>
                <w:szCs w:val="24"/>
                <w:highlight w:val="none"/>
                <w:lang w:val="en-US" w:eastAsia="en-US" w:bidi="ar-SA"/>
              </w:rPr>
              <w:t>人)。</w:t>
            </w:r>
          </w:p>
        </w:tc>
        <w:tc>
          <w:tcPr>
            <w:tcW w:w="1402" w:type="dxa"/>
            <w:vAlign w:val="top"/>
          </w:tcPr>
          <w:p w14:paraId="6751D1B9">
            <w:pPr>
              <w:spacing w:line="252" w:lineRule="auto"/>
              <w:rPr>
                <w:rFonts w:ascii="Arial"/>
                <w:color w:val="auto"/>
                <w:sz w:val="21"/>
                <w:highlight w:val="none"/>
              </w:rPr>
            </w:pPr>
          </w:p>
          <w:p w14:paraId="639D6CD9">
            <w:pPr>
              <w:spacing w:line="252" w:lineRule="auto"/>
              <w:rPr>
                <w:rFonts w:ascii="Arial"/>
                <w:color w:val="auto"/>
                <w:sz w:val="21"/>
                <w:highlight w:val="none"/>
              </w:rPr>
            </w:pPr>
          </w:p>
          <w:p w14:paraId="4DABA141">
            <w:pPr>
              <w:kinsoku w:val="0"/>
              <w:autoSpaceDE w:val="0"/>
              <w:autoSpaceDN w:val="0"/>
              <w:adjustRightInd w:val="0"/>
              <w:snapToGrid w:val="0"/>
              <w:spacing w:before="78" w:line="222" w:lineRule="auto"/>
              <w:ind w:left="527"/>
              <w:jc w:val="left"/>
              <w:textAlignment w:val="baseline"/>
              <w:rPr>
                <w:rFonts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spacing w:val="-6"/>
                <w:kern w:val="0"/>
                <w:sz w:val="24"/>
                <w:szCs w:val="24"/>
                <w:highlight w:val="none"/>
                <w:lang w:val="en-US" w:eastAsia="zh-CN" w:bidi="ar-SA"/>
              </w:rPr>
              <w:t>1</w:t>
            </w:r>
            <w:r>
              <w:rPr>
                <w:rFonts w:ascii="仿宋" w:hAnsi="仿宋" w:eastAsia="仿宋" w:cs="仿宋"/>
                <w:snapToGrid w:val="0"/>
                <w:color w:val="auto"/>
                <w:spacing w:val="-6"/>
                <w:kern w:val="0"/>
                <w:sz w:val="24"/>
                <w:szCs w:val="24"/>
                <w:highlight w:val="none"/>
                <w:lang w:val="en-US" w:eastAsia="en-US" w:bidi="ar-SA"/>
              </w:rPr>
              <w:t>人</w:t>
            </w:r>
          </w:p>
        </w:tc>
      </w:tr>
      <w:tr w14:paraId="10D6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5" w:hRule="atLeast"/>
        </w:trPr>
        <w:tc>
          <w:tcPr>
            <w:tcW w:w="907" w:type="dxa"/>
            <w:vMerge w:val="continue"/>
            <w:tcBorders>
              <w:top w:val="nil"/>
              <w:bottom w:val="nil"/>
            </w:tcBorders>
            <w:vAlign w:val="top"/>
          </w:tcPr>
          <w:p w14:paraId="3340B1B7">
            <w:pPr>
              <w:rPr>
                <w:rFonts w:ascii="Arial"/>
                <w:color w:val="auto"/>
                <w:sz w:val="21"/>
              </w:rPr>
            </w:pPr>
          </w:p>
        </w:tc>
        <w:tc>
          <w:tcPr>
            <w:tcW w:w="1065" w:type="dxa"/>
            <w:vMerge w:val="continue"/>
            <w:tcBorders>
              <w:top w:val="nil"/>
              <w:bottom w:val="nil"/>
            </w:tcBorders>
            <w:vAlign w:val="top"/>
          </w:tcPr>
          <w:p w14:paraId="2B055E6D">
            <w:pPr>
              <w:rPr>
                <w:rFonts w:ascii="Arial"/>
                <w:color w:val="auto"/>
                <w:sz w:val="21"/>
              </w:rPr>
            </w:pPr>
          </w:p>
        </w:tc>
        <w:tc>
          <w:tcPr>
            <w:tcW w:w="914" w:type="dxa"/>
            <w:vMerge w:val="continue"/>
            <w:tcBorders>
              <w:top w:val="nil"/>
              <w:bottom w:val="nil"/>
            </w:tcBorders>
            <w:vAlign w:val="top"/>
          </w:tcPr>
          <w:p w14:paraId="2CC49DC1">
            <w:pPr>
              <w:rPr>
                <w:rFonts w:ascii="Arial"/>
                <w:color w:val="auto"/>
                <w:sz w:val="21"/>
              </w:rPr>
            </w:pPr>
          </w:p>
        </w:tc>
        <w:tc>
          <w:tcPr>
            <w:tcW w:w="974" w:type="dxa"/>
            <w:vAlign w:val="top"/>
          </w:tcPr>
          <w:p w14:paraId="2AC233FA">
            <w:pPr>
              <w:spacing w:line="245" w:lineRule="auto"/>
              <w:rPr>
                <w:rFonts w:ascii="Arial"/>
                <w:color w:val="auto"/>
                <w:sz w:val="21"/>
              </w:rPr>
            </w:pPr>
          </w:p>
          <w:p w14:paraId="0EAB2FCF">
            <w:pPr>
              <w:spacing w:line="246" w:lineRule="auto"/>
              <w:rPr>
                <w:rFonts w:ascii="Arial"/>
                <w:color w:val="auto"/>
                <w:sz w:val="21"/>
              </w:rPr>
            </w:pPr>
          </w:p>
          <w:p w14:paraId="6D3A0A63">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6"/>
                <w:kern w:val="0"/>
                <w:sz w:val="24"/>
                <w:szCs w:val="24"/>
                <w:lang w:val="en-US" w:eastAsia="en-US" w:bidi="ar-SA"/>
              </w:rPr>
              <w:t>3楼</w:t>
            </w:r>
          </w:p>
        </w:tc>
        <w:tc>
          <w:tcPr>
            <w:tcW w:w="4004" w:type="dxa"/>
            <w:vAlign w:val="top"/>
          </w:tcPr>
          <w:p w14:paraId="17B5919A">
            <w:pPr>
              <w:kinsoku w:val="0"/>
              <w:autoSpaceDE w:val="0"/>
              <w:autoSpaceDN w:val="0"/>
              <w:adjustRightInd w:val="0"/>
              <w:snapToGrid w:val="0"/>
              <w:spacing w:before="105" w:line="328" w:lineRule="auto"/>
              <w:ind w:left="106" w:right="54" w:firstLine="1"/>
              <w:jc w:val="both"/>
              <w:textAlignment w:val="baseline"/>
              <w:rPr>
                <w:rFonts w:ascii="仿宋" w:hAnsi="仿宋" w:eastAsia="仿宋" w:cs="仿宋"/>
                <w:snapToGrid w:val="0"/>
                <w:color w:val="auto"/>
                <w:kern w:val="0"/>
                <w:sz w:val="24"/>
                <w:szCs w:val="24"/>
                <w:highlight w:val="none"/>
                <w:lang w:val="en-US" w:eastAsia="en-US" w:bidi="ar-SA"/>
              </w:rPr>
            </w:pPr>
            <w:r>
              <w:rPr>
                <w:rFonts w:ascii="仿宋" w:hAnsi="仿宋" w:eastAsia="仿宋" w:cs="仿宋"/>
                <w:snapToGrid w:val="0"/>
                <w:color w:val="auto"/>
                <w:spacing w:val="-27"/>
                <w:kern w:val="0"/>
                <w:sz w:val="24"/>
                <w:szCs w:val="24"/>
                <w:highlight w:val="none"/>
                <w:lang w:val="en-US" w:eastAsia="en-US" w:bidi="ar-SA"/>
              </w:rPr>
              <w:t>大厅所有区域、卫生间、电梯间、2-3 楼</w:t>
            </w:r>
            <w:r>
              <w:rPr>
                <w:rFonts w:ascii="仿宋" w:hAnsi="仿宋" w:eastAsia="仿宋" w:cs="仿宋"/>
                <w:snapToGrid w:val="0"/>
                <w:color w:val="auto"/>
                <w:spacing w:val="14"/>
                <w:kern w:val="0"/>
                <w:sz w:val="24"/>
                <w:szCs w:val="24"/>
                <w:highlight w:val="none"/>
                <w:lang w:val="en-US" w:eastAsia="en-US" w:bidi="ar-SA"/>
              </w:rPr>
              <w:t xml:space="preserve"> </w:t>
            </w:r>
            <w:r>
              <w:rPr>
                <w:rFonts w:ascii="仿宋" w:hAnsi="仿宋" w:eastAsia="仿宋" w:cs="仿宋"/>
                <w:snapToGrid w:val="0"/>
                <w:color w:val="auto"/>
                <w:spacing w:val="-20"/>
                <w:kern w:val="0"/>
                <w:sz w:val="24"/>
                <w:szCs w:val="24"/>
                <w:highlight w:val="none"/>
                <w:lang w:val="en-US" w:eastAsia="en-US" w:bidi="ar-SA"/>
              </w:rPr>
              <w:t>所有消防步梯5</w:t>
            </w:r>
            <w:r>
              <w:rPr>
                <w:rFonts w:ascii="仿宋" w:hAnsi="仿宋" w:eastAsia="仿宋" w:cs="仿宋"/>
                <w:snapToGrid w:val="0"/>
                <w:color w:val="auto"/>
                <w:spacing w:val="-54"/>
                <w:kern w:val="0"/>
                <w:sz w:val="24"/>
                <w:szCs w:val="24"/>
                <w:highlight w:val="none"/>
                <w:lang w:val="en-US" w:eastAsia="en-US" w:bidi="ar-SA"/>
              </w:rPr>
              <w:t xml:space="preserve"> </w:t>
            </w:r>
            <w:r>
              <w:rPr>
                <w:rFonts w:ascii="仿宋" w:hAnsi="仿宋" w:eastAsia="仿宋" w:cs="仿宋"/>
                <w:snapToGrid w:val="0"/>
                <w:color w:val="auto"/>
                <w:spacing w:val="-20"/>
                <w:kern w:val="0"/>
                <w:sz w:val="24"/>
                <w:szCs w:val="24"/>
                <w:highlight w:val="none"/>
                <w:lang w:val="en-US" w:eastAsia="en-US" w:bidi="ar-SA"/>
              </w:rPr>
              <w:t>个、电扶梯2-3</w:t>
            </w:r>
            <w:r>
              <w:rPr>
                <w:rFonts w:ascii="仿宋" w:hAnsi="仿宋" w:eastAsia="仿宋" w:cs="仿宋"/>
                <w:snapToGrid w:val="0"/>
                <w:color w:val="auto"/>
                <w:spacing w:val="-60"/>
                <w:kern w:val="0"/>
                <w:sz w:val="24"/>
                <w:szCs w:val="24"/>
                <w:highlight w:val="none"/>
                <w:lang w:val="en-US" w:eastAsia="en-US" w:bidi="ar-SA"/>
              </w:rPr>
              <w:t xml:space="preserve"> </w:t>
            </w:r>
            <w:r>
              <w:rPr>
                <w:rFonts w:ascii="仿宋" w:hAnsi="仿宋" w:eastAsia="仿宋" w:cs="仿宋"/>
                <w:snapToGrid w:val="0"/>
                <w:color w:val="auto"/>
                <w:spacing w:val="-20"/>
                <w:kern w:val="0"/>
                <w:sz w:val="24"/>
                <w:szCs w:val="24"/>
                <w:highlight w:val="none"/>
                <w:lang w:val="en-US" w:eastAsia="en-US" w:bidi="ar-SA"/>
              </w:rPr>
              <w:t>楼、旋转</w:t>
            </w:r>
            <w:r>
              <w:rPr>
                <w:rFonts w:ascii="仿宋" w:hAnsi="仿宋" w:eastAsia="仿宋" w:cs="仿宋"/>
                <w:snapToGrid w:val="0"/>
                <w:color w:val="auto"/>
                <w:kern w:val="0"/>
                <w:sz w:val="24"/>
                <w:szCs w:val="24"/>
                <w:highlight w:val="none"/>
                <w:lang w:val="en-US" w:eastAsia="en-US" w:bidi="ar-SA"/>
              </w:rPr>
              <w:t xml:space="preserve"> </w:t>
            </w:r>
            <w:r>
              <w:rPr>
                <w:rFonts w:ascii="仿宋" w:hAnsi="仿宋" w:eastAsia="仿宋" w:cs="仿宋"/>
                <w:snapToGrid w:val="0"/>
                <w:color w:val="auto"/>
                <w:spacing w:val="-12"/>
                <w:kern w:val="0"/>
                <w:sz w:val="24"/>
                <w:szCs w:val="24"/>
                <w:highlight w:val="none"/>
                <w:lang w:val="en-US" w:eastAsia="en-US" w:bidi="ar-SA"/>
              </w:rPr>
              <w:t>步梯2-3楼(</w:t>
            </w:r>
            <w:r>
              <w:rPr>
                <w:rFonts w:hint="eastAsia" w:ascii="仿宋" w:hAnsi="仿宋" w:eastAsia="仿宋" w:cs="仿宋"/>
                <w:snapToGrid w:val="0"/>
                <w:color w:val="auto"/>
                <w:spacing w:val="-12"/>
                <w:kern w:val="0"/>
                <w:sz w:val="24"/>
                <w:szCs w:val="24"/>
                <w:highlight w:val="none"/>
                <w:lang w:val="en-US" w:eastAsia="zh-CN" w:bidi="ar-SA"/>
              </w:rPr>
              <w:t>1</w:t>
            </w:r>
            <w:r>
              <w:rPr>
                <w:rFonts w:ascii="仿宋" w:hAnsi="仿宋" w:eastAsia="仿宋" w:cs="仿宋"/>
                <w:snapToGrid w:val="0"/>
                <w:color w:val="auto"/>
                <w:spacing w:val="-12"/>
                <w:kern w:val="0"/>
                <w:sz w:val="24"/>
                <w:szCs w:val="24"/>
                <w:highlight w:val="none"/>
                <w:lang w:val="en-US" w:eastAsia="en-US" w:bidi="ar-SA"/>
              </w:rPr>
              <w:t>人)。</w:t>
            </w:r>
          </w:p>
        </w:tc>
        <w:tc>
          <w:tcPr>
            <w:tcW w:w="1402" w:type="dxa"/>
            <w:vAlign w:val="top"/>
          </w:tcPr>
          <w:p w14:paraId="2936A41C">
            <w:pPr>
              <w:spacing w:line="245" w:lineRule="auto"/>
              <w:rPr>
                <w:rFonts w:ascii="Arial"/>
                <w:color w:val="auto"/>
                <w:sz w:val="21"/>
                <w:highlight w:val="none"/>
              </w:rPr>
            </w:pPr>
          </w:p>
          <w:p w14:paraId="28763306">
            <w:pPr>
              <w:spacing w:line="246" w:lineRule="auto"/>
              <w:rPr>
                <w:rFonts w:ascii="Arial"/>
                <w:color w:val="auto"/>
                <w:sz w:val="21"/>
                <w:highlight w:val="none"/>
              </w:rPr>
            </w:pPr>
          </w:p>
          <w:p w14:paraId="342CD96E">
            <w:pPr>
              <w:kinsoku w:val="0"/>
              <w:autoSpaceDE w:val="0"/>
              <w:autoSpaceDN w:val="0"/>
              <w:adjustRightInd w:val="0"/>
              <w:snapToGrid w:val="0"/>
              <w:spacing w:before="78" w:line="222" w:lineRule="auto"/>
              <w:ind w:left="527"/>
              <w:jc w:val="left"/>
              <w:textAlignment w:val="baseline"/>
              <w:rPr>
                <w:rFonts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spacing w:val="-6"/>
                <w:kern w:val="0"/>
                <w:sz w:val="24"/>
                <w:szCs w:val="24"/>
                <w:highlight w:val="none"/>
                <w:lang w:val="en-US" w:eastAsia="zh-CN" w:bidi="ar-SA"/>
              </w:rPr>
              <w:t>1</w:t>
            </w:r>
            <w:r>
              <w:rPr>
                <w:rFonts w:ascii="仿宋" w:hAnsi="仿宋" w:eastAsia="仿宋" w:cs="仿宋"/>
                <w:snapToGrid w:val="0"/>
                <w:color w:val="auto"/>
                <w:spacing w:val="-6"/>
                <w:kern w:val="0"/>
                <w:sz w:val="24"/>
                <w:szCs w:val="24"/>
                <w:highlight w:val="none"/>
                <w:lang w:val="en-US" w:eastAsia="en-US" w:bidi="ar-SA"/>
              </w:rPr>
              <w:t>人</w:t>
            </w:r>
          </w:p>
        </w:tc>
      </w:tr>
      <w:tr w14:paraId="6820E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5" w:hRule="atLeast"/>
        </w:trPr>
        <w:tc>
          <w:tcPr>
            <w:tcW w:w="907" w:type="dxa"/>
            <w:vMerge w:val="continue"/>
            <w:tcBorders>
              <w:top w:val="nil"/>
              <w:bottom w:val="nil"/>
            </w:tcBorders>
            <w:vAlign w:val="top"/>
          </w:tcPr>
          <w:p w14:paraId="7DCEEA3D">
            <w:pPr>
              <w:rPr>
                <w:rFonts w:ascii="Arial"/>
                <w:color w:val="auto"/>
                <w:sz w:val="21"/>
              </w:rPr>
            </w:pPr>
          </w:p>
        </w:tc>
        <w:tc>
          <w:tcPr>
            <w:tcW w:w="1065" w:type="dxa"/>
            <w:vMerge w:val="continue"/>
            <w:tcBorders>
              <w:top w:val="nil"/>
              <w:bottom w:val="nil"/>
            </w:tcBorders>
            <w:vAlign w:val="top"/>
          </w:tcPr>
          <w:p w14:paraId="6C86754C">
            <w:pPr>
              <w:rPr>
                <w:rFonts w:ascii="Arial"/>
                <w:color w:val="auto"/>
                <w:sz w:val="21"/>
              </w:rPr>
            </w:pPr>
          </w:p>
        </w:tc>
        <w:tc>
          <w:tcPr>
            <w:tcW w:w="914" w:type="dxa"/>
            <w:vMerge w:val="continue"/>
            <w:tcBorders>
              <w:top w:val="nil"/>
            </w:tcBorders>
            <w:vAlign w:val="top"/>
          </w:tcPr>
          <w:p w14:paraId="2C08C5A8">
            <w:pPr>
              <w:rPr>
                <w:rFonts w:ascii="Arial"/>
                <w:color w:val="auto"/>
                <w:sz w:val="21"/>
              </w:rPr>
            </w:pPr>
          </w:p>
        </w:tc>
        <w:tc>
          <w:tcPr>
            <w:tcW w:w="974" w:type="dxa"/>
            <w:vAlign w:val="top"/>
          </w:tcPr>
          <w:p w14:paraId="789FCEA9">
            <w:pPr>
              <w:spacing w:line="246" w:lineRule="auto"/>
              <w:rPr>
                <w:rFonts w:ascii="Arial"/>
                <w:color w:val="auto"/>
                <w:sz w:val="21"/>
              </w:rPr>
            </w:pPr>
          </w:p>
          <w:p w14:paraId="0482044F">
            <w:pPr>
              <w:spacing w:line="246" w:lineRule="auto"/>
              <w:rPr>
                <w:rFonts w:ascii="Arial"/>
                <w:color w:val="auto"/>
                <w:sz w:val="21"/>
              </w:rPr>
            </w:pPr>
          </w:p>
          <w:p w14:paraId="069A9FE3">
            <w:pPr>
              <w:kinsoku w:val="0"/>
              <w:autoSpaceDE w:val="0"/>
              <w:autoSpaceDN w:val="0"/>
              <w:adjustRightInd w:val="0"/>
              <w:snapToGrid w:val="0"/>
              <w:spacing w:before="78" w:line="218" w:lineRule="auto"/>
              <w:ind w:left="214"/>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9"/>
                <w:kern w:val="0"/>
                <w:sz w:val="24"/>
                <w:szCs w:val="24"/>
                <w:lang w:val="en-US" w:eastAsia="en-US" w:bidi="ar-SA"/>
              </w:rPr>
              <w:t>4楼</w:t>
            </w:r>
          </w:p>
        </w:tc>
        <w:tc>
          <w:tcPr>
            <w:tcW w:w="4004" w:type="dxa"/>
            <w:vAlign w:val="top"/>
          </w:tcPr>
          <w:p w14:paraId="1AE3B0BF">
            <w:pPr>
              <w:kinsoku w:val="0"/>
              <w:autoSpaceDE w:val="0"/>
              <w:autoSpaceDN w:val="0"/>
              <w:adjustRightInd w:val="0"/>
              <w:snapToGrid w:val="0"/>
              <w:spacing w:before="106" w:line="307" w:lineRule="auto"/>
              <w:ind w:left="106" w:right="84"/>
              <w:jc w:val="left"/>
              <w:textAlignment w:val="baseline"/>
              <w:rPr>
                <w:rFonts w:ascii="仿宋" w:hAnsi="仿宋" w:eastAsia="仿宋" w:cs="仿宋"/>
                <w:snapToGrid w:val="0"/>
                <w:color w:val="auto"/>
                <w:kern w:val="0"/>
                <w:sz w:val="24"/>
                <w:szCs w:val="24"/>
                <w:highlight w:val="none"/>
                <w:lang w:val="en-US" w:eastAsia="en-US" w:bidi="ar-SA"/>
              </w:rPr>
            </w:pPr>
            <w:r>
              <w:rPr>
                <w:rFonts w:ascii="仿宋" w:hAnsi="仿宋" w:eastAsia="仿宋" w:cs="仿宋"/>
                <w:snapToGrid w:val="0"/>
                <w:color w:val="auto"/>
                <w:spacing w:val="-27"/>
                <w:kern w:val="0"/>
                <w:sz w:val="24"/>
                <w:szCs w:val="24"/>
                <w:highlight w:val="none"/>
                <w:lang w:val="en-US" w:eastAsia="en-US" w:bidi="ar-SA"/>
              </w:rPr>
              <w:t>所有公共区域、卫生间、电梯间、3-4 楼</w:t>
            </w:r>
            <w:r>
              <w:rPr>
                <w:rFonts w:ascii="仿宋" w:hAnsi="仿宋" w:eastAsia="仿宋" w:cs="仿宋"/>
                <w:snapToGrid w:val="0"/>
                <w:color w:val="auto"/>
                <w:spacing w:val="16"/>
                <w:kern w:val="0"/>
                <w:sz w:val="24"/>
                <w:szCs w:val="24"/>
                <w:highlight w:val="none"/>
                <w:lang w:val="en-US" w:eastAsia="en-US" w:bidi="ar-SA"/>
              </w:rPr>
              <w:t xml:space="preserve"> </w:t>
            </w:r>
            <w:r>
              <w:rPr>
                <w:rFonts w:ascii="仿宋" w:hAnsi="仿宋" w:eastAsia="仿宋" w:cs="仿宋"/>
                <w:snapToGrid w:val="0"/>
                <w:color w:val="auto"/>
                <w:spacing w:val="-17"/>
                <w:kern w:val="0"/>
                <w:sz w:val="24"/>
                <w:szCs w:val="24"/>
                <w:highlight w:val="none"/>
                <w:lang w:val="en-US" w:eastAsia="en-US" w:bidi="ar-SA"/>
              </w:rPr>
              <w:t>所有消防步梯3个(1</w:t>
            </w:r>
            <w:r>
              <w:rPr>
                <w:rFonts w:ascii="仿宋" w:hAnsi="仿宋" w:eastAsia="仿宋" w:cs="仿宋"/>
                <w:snapToGrid w:val="0"/>
                <w:color w:val="auto"/>
                <w:spacing w:val="-65"/>
                <w:kern w:val="0"/>
                <w:sz w:val="24"/>
                <w:szCs w:val="24"/>
                <w:highlight w:val="none"/>
                <w:lang w:val="en-US" w:eastAsia="en-US" w:bidi="ar-SA"/>
              </w:rPr>
              <w:t xml:space="preserve"> </w:t>
            </w:r>
            <w:r>
              <w:rPr>
                <w:rFonts w:ascii="仿宋" w:hAnsi="仿宋" w:eastAsia="仿宋" w:cs="仿宋"/>
                <w:snapToGrid w:val="0"/>
                <w:color w:val="auto"/>
                <w:spacing w:val="-17"/>
                <w:kern w:val="0"/>
                <w:sz w:val="24"/>
                <w:szCs w:val="24"/>
                <w:highlight w:val="none"/>
                <w:lang w:val="en-US" w:eastAsia="en-US" w:bidi="ar-SA"/>
              </w:rPr>
              <w:t>人)。</w:t>
            </w:r>
          </w:p>
        </w:tc>
        <w:tc>
          <w:tcPr>
            <w:tcW w:w="1402" w:type="dxa"/>
            <w:vAlign w:val="top"/>
          </w:tcPr>
          <w:p w14:paraId="0BE4A194">
            <w:pPr>
              <w:spacing w:line="269" w:lineRule="auto"/>
              <w:rPr>
                <w:rFonts w:ascii="Arial"/>
                <w:color w:val="auto"/>
                <w:sz w:val="21"/>
                <w:highlight w:val="none"/>
              </w:rPr>
            </w:pPr>
          </w:p>
          <w:p w14:paraId="70ADF1EC">
            <w:pPr>
              <w:kinsoku w:val="0"/>
              <w:autoSpaceDE w:val="0"/>
              <w:autoSpaceDN w:val="0"/>
              <w:adjustRightInd w:val="0"/>
              <w:snapToGrid w:val="0"/>
              <w:spacing w:before="78" w:line="222" w:lineRule="auto"/>
              <w:ind w:left="542"/>
              <w:jc w:val="left"/>
              <w:textAlignment w:val="baseline"/>
              <w:rPr>
                <w:rFonts w:ascii="仿宋" w:hAnsi="仿宋" w:eastAsia="仿宋" w:cs="仿宋"/>
                <w:snapToGrid w:val="0"/>
                <w:color w:val="auto"/>
                <w:kern w:val="0"/>
                <w:sz w:val="24"/>
                <w:szCs w:val="24"/>
                <w:highlight w:val="none"/>
                <w:lang w:val="en-US" w:eastAsia="en-US" w:bidi="ar-SA"/>
              </w:rPr>
            </w:pPr>
            <w:r>
              <w:rPr>
                <w:rFonts w:ascii="仿宋" w:hAnsi="仿宋" w:eastAsia="仿宋" w:cs="仿宋"/>
                <w:snapToGrid w:val="0"/>
                <w:color w:val="auto"/>
                <w:spacing w:val="11"/>
                <w:kern w:val="0"/>
                <w:sz w:val="24"/>
                <w:szCs w:val="24"/>
                <w:highlight w:val="none"/>
                <w:lang w:val="en-US" w:eastAsia="en-US" w:bidi="ar-SA"/>
              </w:rPr>
              <w:t>1人</w:t>
            </w:r>
          </w:p>
        </w:tc>
      </w:tr>
      <w:tr w14:paraId="56C74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0" w:hRule="atLeast"/>
        </w:trPr>
        <w:tc>
          <w:tcPr>
            <w:tcW w:w="907" w:type="dxa"/>
            <w:vMerge w:val="continue"/>
            <w:tcBorders>
              <w:top w:val="nil"/>
              <w:bottom w:val="nil"/>
            </w:tcBorders>
            <w:vAlign w:val="top"/>
          </w:tcPr>
          <w:p w14:paraId="43679001">
            <w:pPr>
              <w:rPr>
                <w:rFonts w:ascii="Arial"/>
                <w:color w:val="auto"/>
                <w:sz w:val="21"/>
              </w:rPr>
            </w:pPr>
          </w:p>
        </w:tc>
        <w:tc>
          <w:tcPr>
            <w:tcW w:w="1065" w:type="dxa"/>
            <w:vMerge w:val="continue"/>
            <w:tcBorders>
              <w:top w:val="nil"/>
              <w:bottom w:val="nil"/>
            </w:tcBorders>
            <w:vAlign w:val="top"/>
          </w:tcPr>
          <w:p w14:paraId="23B3DF00">
            <w:pPr>
              <w:rPr>
                <w:rFonts w:ascii="Arial"/>
                <w:color w:val="auto"/>
                <w:sz w:val="21"/>
              </w:rPr>
            </w:pPr>
          </w:p>
        </w:tc>
        <w:tc>
          <w:tcPr>
            <w:tcW w:w="914" w:type="dxa"/>
            <w:vAlign w:val="top"/>
          </w:tcPr>
          <w:p w14:paraId="75D6E1ED">
            <w:pPr>
              <w:spacing w:line="284" w:lineRule="auto"/>
              <w:rPr>
                <w:rFonts w:ascii="Arial"/>
                <w:color w:val="auto"/>
                <w:sz w:val="21"/>
              </w:rPr>
            </w:pPr>
          </w:p>
          <w:p w14:paraId="2F5E480F">
            <w:pPr>
              <w:kinsoku w:val="0"/>
              <w:autoSpaceDE w:val="0"/>
              <w:autoSpaceDN w:val="0"/>
              <w:adjustRightInd w:val="0"/>
              <w:snapToGrid w:val="0"/>
              <w:spacing w:before="78" w:line="217" w:lineRule="auto"/>
              <w:ind w:left="12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维修</w:t>
            </w:r>
          </w:p>
        </w:tc>
        <w:tc>
          <w:tcPr>
            <w:tcW w:w="974" w:type="dxa"/>
            <w:vAlign w:val="top"/>
          </w:tcPr>
          <w:p w14:paraId="005FB655">
            <w:pPr>
              <w:rPr>
                <w:rFonts w:ascii="Arial"/>
                <w:color w:val="auto"/>
                <w:sz w:val="21"/>
              </w:rPr>
            </w:pPr>
          </w:p>
        </w:tc>
        <w:tc>
          <w:tcPr>
            <w:tcW w:w="4004" w:type="dxa"/>
            <w:vAlign w:val="top"/>
          </w:tcPr>
          <w:p w14:paraId="26E96954">
            <w:pPr>
              <w:kinsoku w:val="0"/>
              <w:autoSpaceDE w:val="0"/>
              <w:autoSpaceDN w:val="0"/>
              <w:adjustRightInd w:val="0"/>
              <w:snapToGrid w:val="0"/>
              <w:spacing w:before="124" w:line="306" w:lineRule="auto"/>
              <w:ind w:left="107" w:right="8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博物馆、文广旅局、科技馆日常小修及设</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备正常运行。</w:t>
            </w:r>
          </w:p>
        </w:tc>
        <w:tc>
          <w:tcPr>
            <w:tcW w:w="1402" w:type="dxa"/>
            <w:vAlign w:val="top"/>
          </w:tcPr>
          <w:p w14:paraId="344B5CD7">
            <w:pPr>
              <w:spacing w:line="284" w:lineRule="auto"/>
              <w:rPr>
                <w:rFonts w:ascii="Arial"/>
                <w:color w:val="auto"/>
                <w:sz w:val="21"/>
              </w:rPr>
            </w:pPr>
          </w:p>
          <w:p w14:paraId="19B42E8A">
            <w:pPr>
              <w:kinsoku w:val="0"/>
              <w:autoSpaceDE w:val="0"/>
              <w:autoSpaceDN w:val="0"/>
              <w:adjustRightInd w:val="0"/>
              <w:snapToGrid w:val="0"/>
              <w:spacing w:before="78"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r w14:paraId="548B7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59" w:hRule="atLeast"/>
        </w:trPr>
        <w:tc>
          <w:tcPr>
            <w:tcW w:w="907" w:type="dxa"/>
            <w:vMerge w:val="continue"/>
            <w:tcBorders>
              <w:top w:val="nil"/>
            </w:tcBorders>
            <w:vAlign w:val="top"/>
          </w:tcPr>
          <w:p w14:paraId="2F564B16">
            <w:pPr>
              <w:rPr>
                <w:rFonts w:ascii="Arial"/>
                <w:color w:val="auto"/>
                <w:sz w:val="21"/>
              </w:rPr>
            </w:pPr>
          </w:p>
        </w:tc>
        <w:tc>
          <w:tcPr>
            <w:tcW w:w="1065" w:type="dxa"/>
            <w:vMerge w:val="continue"/>
            <w:tcBorders>
              <w:top w:val="nil"/>
            </w:tcBorders>
            <w:vAlign w:val="top"/>
          </w:tcPr>
          <w:p w14:paraId="76FFF8FD">
            <w:pPr>
              <w:rPr>
                <w:rFonts w:ascii="Arial"/>
                <w:color w:val="auto"/>
                <w:sz w:val="21"/>
              </w:rPr>
            </w:pPr>
          </w:p>
        </w:tc>
        <w:tc>
          <w:tcPr>
            <w:tcW w:w="914" w:type="dxa"/>
            <w:vAlign w:val="top"/>
          </w:tcPr>
          <w:p w14:paraId="2B6DF81C">
            <w:pPr>
              <w:spacing w:line="244" w:lineRule="auto"/>
              <w:rPr>
                <w:rFonts w:ascii="Arial"/>
                <w:color w:val="auto"/>
                <w:sz w:val="21"/>
              </w:rPr>
            </w:pPr>
          </w:p>
          <w:p w14:paraId="37CF3DBE">
            <w:pPr>
              <w:spacing w:line="244" w:lineRule="auto"/>
              <w:rPr>
                <w:rFonts w:ascii="Arial"/>
                <w:color w:val="auto"/>
                <w:sz w:val="21"/>
              </w:rPr>
            </w:pPr>
          </w:p>
          <w:p w14:paraId="6A9DA0A4">
            <w:pPr>
              <w:spacing w:line="244" w:lineRule="auto"/>
              <w:rPr>
                <w:rFonts w:ascii="Arial"/>
                <w:color w:val="auto"/>
                <w:sz w:val="21"/>
              </w:rPr>
            </w:pPr>
          </w:p>
          <w:p w14:paraId="478B497F">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42F157EE">
            <w:pPr>
              <w:rPr>
                <w:rFonts w:ascii="Arial"/>
                <w:color w:val="auto"/>
                <w:sz w:val="21"/>
              </w:rPr>
            </w:pPr>
          </w:p>
        </w:tc>
        <w:tc>
          <w:tcPr>
            <w:tcW w:w="4004" w:type="dxa"/>
            <w:vAlign w:val="top"/>
          </w:tcPr>
          <w:p w14:paraId="0DDA5A56">
            <w:pPr>
              <w:spacing w:line="254" w:lineRule="auto"/>
              <w:rPr>
                <w:rFonts w:ascii="Arial"/>
                <w:color w:val="auto"/>
                <w:sz w:val="21"/>
              </w:rPr>
            </w:pPr>
          </w:p>
          <w:p w14:paraId="236FE4B7">
            <w:pPr>
              <w:spacing w:line="254" w:lineRule="auto"/>
              <w:rPr>
                <w:rFonts w:ascii="Arial"/>
                <w:color w:val="auto"/>
                <w:sz w:val="21"/>
              </w:rPr>
            </w:pPr>
          </w:p>
          <w:p w14:paraId="147CB5CB">
            <w:pPr>
              <w:kinsoku w:val="0"/>
              <w:autoSpaceDE w:val="0"/>
              <w:autoSpaceDN w:val="0"/>
              <w:adjustRightInd w:val="0"/>
              <w:snapToGrid w:val="0"/>
              <w:spacing w:before="78" w:line="359" w:lineRule="auto"/>
              <w:ind w:left="105" w:right="84" w:firstLine="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0"/>
                <w:kern w:val="0"/>
                <w:sz w:val="24"/>
                <w:szCs w:val="24"/>
                <w:lang w:val="en-US" w:eastAsia="en-US" w:bidi="ar-SA"/>
              </w:rPr>
              <w:t>博物馆：西门设岗负责博物馆门口进出秩</w:t>
            </w:r>
            <w:r>
              <w:rPr>
                <w:rFonts w:ascii="仿宋" w:hAnsi="仿宋" w:eastAsia="仿宋" w:cs="仿宋"/>
                <w:snapToGrid w:val="0"/>
                <w:color w:val="auto"/>
                <w:spacing w:val="15"/>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序维护。</w:t>
            </w:r>
          </w:p>
        </w:tc>
        <w:tc>
          <w:tcPr>
            <w:tcW w:w="1402" w:type="dxa"/>
            <w:vAlign w:val="top"/>
          </w:tcPr>
          <w:p w14:paraId="710302CA">
            <w:pPr>
              <w:kinsoku w:val="0"/>
              <w:autoSpaceDE w:val="0"/>
              <w:autoSpaceDN w:val="0"/>
              <w:adjustRightInd w:val="0"/>
              <w:snapToGrid w:val="0"/>
              <w:spacing w:before="124" w:line="218" w:lineRule="auto"/>
              <w:ind w:left="12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7"/>
                <w:kern w:val="0"/>
                <w:sz w:val="24"/>
                <w:szCs w:val="24"/>
                <w:lang w:val="en-US" w:eastAsia="en-US" w:bidi="ar-SA"/>
              </w:rPr>
              <w:t>早班：2</w:t>
            </w:r>
            <w:r>
              <w:rPr>
                <w:rFonts w:ascii="仿宋" w:hAnsi="仿宋" w:eastAsia="仿宋" w:cs="仿宋"/>
                <w:snapToGrid w:val="0"/>
                <w:color w:val="auto"/>
                <w:spacing w:val="-66"/>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人，</w:t>
            </w:r>
          </w:p>
          <w:p w14:paraId="37D5B5C3">
            <w:pPr>
              <w:kinsoku w:val="0"/>
              <w:autoSpaceDE w:val="0"/>
              <w:autoSpaceDN w:val="0"/>
              <w:adjustRightInd w:val="0"/>
              <w:snapToGrid w:val="0"/>
              <w:spacing w:before="182" w:line="218" w:lineRule="auto"/>
              <w:ind w:left="1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1"/>
                <w:kern w:val="0"/>
                <w:sz w:val="24"/>
                <w:szCs w:val="24"/>
                <w:lang w:val="en-US" w:eastAsia="en-US" w:bidi="ar-SA"/>
              </w:rPr>
              <w:t>中班：2</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31"/>
                <w:kern w:val="0"/>
                <w:sz w:val="24"/>
                <w:szCs w:val="24"/>
                <w:lang w:val="en-US" w:eastAsia="en-US" w:bidi="ar-SA"/>
              </w:rPr>
              <w:t>人，</w:t>
            </w:r>
          </w:p>
          <w:p w14:paraId="56BFB22B">
            <w:pPr>
              <w:kinsoku w:val="0"/>
              <w:autoSpaceDE w:val="0"/>
              <w:autoSpaceDN w:val="0"/>
              <w:adjustRightInd w:val="0"/>
              <w:snapToGrid w:val="0"/>
              <w:spacing w:before="181" w:line="218" w:lineRule="auto"/>
              <w:ind w:left="12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2"/>
                <w:kern w:val="0"/>
                <w:sz w:val="24"/>
                <w:szCs w:val="24"/>
                <w:lang w:val="en-US" w:eastAsia="en-US" w:bidi="ar-SA"/>
              </w:rPr>
              <w:t>夜班：2</w:t>
            </w:r>
            <w:r>
              <w:rPr>
                <w:rFonts w:ascii="仿宋" w:hAnsi="仿宋" w:eastAsia="仿宋" w:cs="仿宋"/>
                <w:snapToGrid w:val="0"/>
                <w:color w:val="auto"/>
                <w:spacing w:val="-67"/>
                <w:kern w:val="0"/>
                <w:sz w:val="24"/>
                <w:szCs w:val="24"/>
                <w:lang w:val="en-US" w:eastAsia="en-US" w:bidi="ar-SA"/>
              </w:rPr>
              <w:t xml:space="preserve"> </w:t>
            </w:r>
            <w:r>
              <w:rPr>
                <w:rFonts w:ascii="仿宋" w:hAnsi="仿宋" w:eastAsia="仿宋" w:cs="仿宋"/>
                <w:snapToGrid w:val="0"/>
                <w:color w:val="auto"/>
                <w:spacing w:val="-22"/>
                <w:kern w:val="0"/>
                <w:sz w:val="24"/>
                <w:szCs w:val="24"/>
                <w:lang w:val="en-US" w:eastAsia="en-US" w:bidi="ar-SA"/>
              </w:rPr>
              <w:t>人</w:t>
            </w:r>
          </w:p>
          <w:p w14:paraId="17C578F2">
            <w:pPr>
              <w:kinsoku w:val="0"/>
              <w:autoSpaceDE w:val="0"/>
              <w:autoSpaceDN w:val="0"/>
              <w:adjustRightInd w:val="0"/>
              <w:snapToGrid w:val="0"/>
              <w:spacing w:before="182" w:line="218" w:lineRule="auto"/>
              <w:ind w:left="133"/>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3"/>
                <w:kern w:val="0"/>
                <w:sz w:val="24"/>
                <w:szCs w:val="24"/>
                <w:lang w:val="en-US" w:eastAsia="en-US" w:bidi="ar-SA"/>
              </w:rPr>
              <w:t>合计：6</w:t>
            </w:r>
            <w:r>
              <w:rPr>
                <w:rFonts w:ascii="仿宋" w:hAnsi="仿宋" w:eastAsia="仿宋" w:cs="仿宋"/>
                <w:snapToGrid w:val="0"/>
                <w:color w:val="auto"/>
                <w:spacing w:val="-68"/>
                <w:kern w:val="0"/>
                <w:sz w:val="24"/>
                <w:szCs w:val="24"/>
                <w:lang w:val="en-US" w:eastAsia="en-US" w:bidi="ar-SA"/>
              </w:rPr>
              <w:t xml:space="preserve"> </w:t>
            </w:r>
            <w:r>
              <w:rPr>
                <w:rFonts w:ascii="仿宋" w:hAnsi="仿宋" w:eastAsia="仿宋" w:cs="仿宋"/>
                <w:snapToGrid w:val="0"/>
                <w:color w:val="auto"/>
                <w:spacing w:val="-23"/>
                <w:kern w:val="0"/>
                <w:sz w:val="24"/>
                <w:szCs w:val="24"/>
                <w:lang w:val="en-US" w:eastAsia="en-US" w:bidi="ar-SA"/>
              </w:rPr>
              <w:t>人</w:t>
            </w:r>
          </w:p>
        </w:tc>
      </w:tr>
      <w:tr w14:paraId="04EC0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5" w:hRule="atLeast"/>
        </w:trPr>
        <w:tc>
          <w:tcPr>
            <w:tcW w:w="907" w:type="dxa"/>
            <w:vMerge w:val="restart"/>
            <w:tcBorders>
              <w:bottom w:val="nil"/>
            </w:tcBorders>
            <w:vAlign w:val="top"/>
          </w:tcPr>
          <w:p w14:paraId="77620AAE">
            <w:pPr>
              <w:spacing w:line="267" w:lineRule="auto"/>
              <w:rPr>
                <w:rFonts w:ascii="Arial"/>
                <w:color w:val="auto"/>
                <w:sz w:val="21"/>
              </w:rPr>
            </w:pPr>
          </w:p>
          <w:p w14:paraId="061AB6C9">
            <w:pPr>
              <w:spacing w:line="267" w:lineRule="auto"/>
              <w:rPr>
                <w:rFonts w:ascii="Arial"/>
                <w:color w:val="auto"/>
                <w:sz w:val="21"/>
              </w:rPr>
            </w:pPr>
          </w:p>
          <w:p w14:paraId="7F087597">
            <w:pPr>
              <w:spacing w:line="267" w:lineRule="auto"/>
              <w:rPr>
                <w:rFonts w:ascii="Arial"/>
                <w:color w:val="auto"/>
                <w:sz w:val="21"/>
              </w:rPr>
            </w:pPr>
          </w:p>
          <w:p w14:paraId="775D155B">
            <w:pPr>
              <w:spacing w:line="267" w:lineRule="auto"/>
              <w:rPr>
                <w:rFonts w:ascii="Arial"/>
                <w:color w:val="auto"/>
                <w:sz w:val="21"/>
              </w:rPr>
            </w:pPr>
          </w:p>
          <w:p w14:paraId="42C58F7B">
            <w:pPr>
              <w:spacing w:line="267" w:lineRule="auto"/>
              <w:rPr>
                <w:rFonts w:ascii="Arial"/>
                <w:color w:val="auto"/>
                <w:sz w:val="21"/>
              </w:rPr>
            </w:pPr>
          </w:p>
          <w:p w14:paraId="4D8A3059">
            <w:pPr>
              <w:spacing w:line="267" w:lineRule="auto"/>
              <w:rPr>
                <w:rFonts w:ascii="Arial"/>
                <w:color w:val="auto"/>
                <w:sz w:val="21"/>
              </w:rPr>
            </w:pPr>
          </w:p>
          <w:p w14:paraId="2DA5D9CF">
            <w:pPr>
              <w:spacing w:line="267" w:lineRule="auto"/>
              <w:rPr>
                <w:rFonts w:ascii="Arial"/>
                <w:color w:val="auto"/>
                <w:sz w:val="21"/>
              </w:rPr>
            </w:pPr>
          </w:p>
          <w:p w14:paraId="07ABC4E0">
            <w:pPr>
              <w:spacing w:line="268" w:lineRule="auto"/>
              <w:rPr>
                <w:rFonts w:ascii="Arial"/>
                <w:color w:val="auto"/>
                <w:sz w:val="21"/>
              </w:rPr>
            </w:pPr>
          </w:p>
          <w:p w14:paraId="4D864019">
            <w:pPr>
              <w:kinsoku w:val="0"/>
              <w:autoSpaceDE w:val="0"/>
              <w:autoSpaceDN w:val="0"/>
              <w:adjustRightInd w:val="0"/>
              <w:snapToGrid w:val="0"/>
              <w:spacing w:before="78" w:line="237" w:lineRule="auto"/>
              <w:ind w:left="53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5</w:t>
            </w:r>
          </w:p>
        </w:tc>
        <w:tc>
          <w:tcPr>
            <w:tcW w:w="1065" w:type="dxa"/>
            <w:vMerge w:val="restart"/>
            <w:tcBorders>
              <w:bottom w:val="nil"/>
            </w:tcBorders>
            <w:vAlign w:val="top"/>
          </w:tcPr>
          <w:p w14:paraId="18E59C2D">
            <w:pPr>
              <w:spacing w:line="267" w:lineRule="auto"/>
              <w:rPr>
                <w:rFonts w:ascii="Arial"/>
                <w:color w:val="auto"/>
                <w:sz w:val="21"/>
              </w:rPr>
            </w:pPr>
          </w:p>
          <w:p w14:paraId="0239F5D4">
            <w:pPr>
              <w:spacing w:line="267" w:lineRule="auto"/>
              <w:rPr>
                <w:rFonts w:ascii="Arial"/>
                <w:color w:val="auto"/>
                <w:sz w:val="21"/>
              </w:rPr>
            </w:pPr>
          </w:p>
          <w:p w14:paraId="4E798D97">
            <w:pPr>
              <w:spacing w:line="267" w:lineRule="auto"/>
              <w:rPr>
                <w:rFonts w:ascii="Arial"/>
                <w:color w:val="auto"/>
                <w:sz w:val="21"/>
              </w:rPr>
            </w:pPr>
          </w:p>
          <w:p w14:paraId="05E25086">
            <w:pPr>
              <w:spacing w:line="267" w:lineRule="auto"/>
              <w:rPr>
                <w:rFonts w:ascii="Arial"/>
                <w:color w:val="auto"/>
                <w:sz w:val="21"/>
              </w:rPr>
            </w:pPr>
          </w:p>
          <w:p w14:paraId="40B734DA">
            <w:pPr>
              <w:spacing w:line="267" w:lineRule="auto"/>
              <w:rPr>
                <w:rFonts w:ascii="Arial"/>
                <w:color w:val="auto"/>
                <w:sz w:val="21"/>
              </w:rPr>
            </w:pPr>
          </w:p>
          <w:p w14:paraId="71794E3B">
            <w:pPr>
              <w:spacing w:line="267" w:lineRule="auto"/>
              <w:rPr>
                <w:rFonts w:ascii="Arial"/>
                <w:color w:val="auto"/>
                <w:sz w:val="21"/>
              </w:rPr>
            </w:pPr>
          </w:p>
          <w:p w14:paraId="1EC04905">
            <w:pPr>
              <w:spacing w:line="268" w:lineRule="auto"/>
              <w:rPr>
                <w:rFonts w:ascii="Arial"/>
                <w:color w:val="auto"/>
                <w:sz w:val="21"/>
              </w:rPr>
            </w:pPr>
          </w:p>
          <w:p w14:paraId="1350EA29">
            <w:pPr>
              <w:spacing w:line="268" w:lineRule="auto"/>
              <w:rPr>
                <w:rFonts w:ascii="Arial"/>
                <w:color w:val="auto"/>
                <w:sz w:val="21"/>
              </w:rPr>
            </w:pPr>
          </w:p>
          <w:p w14:paraId="4CF0F658">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7"/>
                <w:kern w:val="0"/>
                <w:sz w:val="24"/>
                <w:szCs w:val="24"/>
                <w:lang w:val="en-US" w:eastAsia="en-US" w:bidi="ar-SA"/>
              </w:rPr>
              <w:t>科技馆</w:t>
            </w:r>
          </w:p>
        </w:tc>
        <w:tc>
          <w:tcPr>
            <w:tcW w:w="914" w:type="dxa"/>
            <w:vAlign w:val="top"/>
          </w:tcPr>
          <w:p w14:paraId="6403AF5B">
            <w:pPr>
              <w:spacing w:line="243" w:lineRule="auto"/>
              <w:rPr>
                <w:rFonts w:ascii="Arial"/>
                <w:color w:val="auto"/>
                <w:sz w:val="21"/>
              </w:rPr>
            </w:pPr>
          </w:p>
          <w:p w14:paraId="387F9F7F">
            <w:pPr>
              <w:spacing w:line="243" w:lineRule="auto"/>
              <w:rPr>
                <w:rFonts w:ascii="Arial"/>
                <w:color w:val="auto"/>
                <w:sz w:val="21"/>
              </w:rPr>
            </w:pPr>
          </w:p>
          <w:p w14:paraId="475A662C">
            <w:pPr>
              <w:spacing w:line="244" w:lineRule="auto"/>
              <w:rPr>
                <w:rFonts w:ascii="Arial"/>
                <w:color w:val="auto"/>
                <w:sz w:val="21"/>
              </w:rPr>
            </w:pPr>
          </w:p>
          <w:p w14:paraId="5FFC3669">
            <w:pPr>
              <w:spacing w:line="244" w:lineRule="auto"/>
              <w:rPr>
                <w:rFonts w:ascii="Arial"/>
                <w:color w:val="auto"/>
                <w:sz w:val="21"/>
              </w:rPr>
            </w:pPr>
          </w:p>
          <w:p w14:paraId="2F07C490">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533E9309">
            <w:pPr>
              <w:rPr>
                <w:rFonts w:ascii="Arial"/>
                <w:color w:val="auto"/>
                <w:sz w:val="21"/>
              </w:rPr>
            </w:pPr>
          </w:p>
        </w:tc>
        <w:tc>
          <w:tcPr>
            <w:tcW w:w="4004" w:type="dxa"/>
            <w:vAlign w:val="top"/>
          </w:tcPr>
          <w:p w14:paraId="6906D824">
            <w:pPr>
              <w:kinsoku w:val="0"/>
              <w:autoSpaceDE w:val="0"/>
              <w:autoSpaceDN w:val="0"/>
              <w:adjustRightInd w:val="0"/>
              <w:snapToGrid w:val="0"/>
              <w:spacing w:before="124" w:line="337" w:lineRule="auto"/>
              <w:ind w:left="106" w:right="54"/>
              <w:jc w:val="both"/>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1"/>
                <w:kern w:val="0"/>
                <w:sz w:val="24"/>
                <w:szCs w:val="24"/>
                <w:lang w:val="en-US" w:eastAsia="en-US" w:bidi="ar-SA"/>
              </w:rPr>
              <w:t>科技馆：1 楼入口进入场馆安全维护（1</w:t>
            </w:r>
            <w:r>
              <w:rPr>
                <w:rFonts w:ascii="仿宋" w:hAnsi="仿宋" w:eastAsia="仿宋" w:cs="仿宋"/>
                <w:snapToGrid w:val="0"/>
                <w:color w:val="auto"/>
                <w:spacing w:val="10"/>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人</w:t>
            </w:r>
            <w:r>
              <w:rPr>
                <w:rFonts w:ascii="仿宋" w:hAnsi="仿宋" w:eastAsia="仿宋" w:cs="仿宋"/>
                <w:snapToGrid w:val="0"/>
                <w:color w:val="auto"/>
                <w:spacing w:val="-56"/>
                <w:w w:val="84"/>
                <w:kern w:val="0"/>
                <w:sz w:val="24"/>
                <w:szCs w:val="24"/>
                <w:lang w:val="en-US" w:eastAsia="en-US" w:bidi="ar-SA"/>
              </w:rPr>
              <w:t>）；</w:t>
            </w:r>
            <w:r>
              <w:rPr>
                <w:rFonts w:ascii="仿宋" w:hAnsi="仿宋" w:eastAsia="仿宋" w:cs="仿宋"/>
                <w:snapToGrid w:val="0"/>
                <w:color w:val="auto"/>
                <w:spacing w:val="-26"/>
                <w:kern w:val="0"/>
                <w:sz w:val="24"/>
                <w:szCs w:val="24"/>
                <w:lang w:val="en-US" w:eastAsia="en-US" w:bidi="ar-SA"/>
              </w:rPr>
              <w:t>1楼道闸安排（1</w:t>
            </w:r>
            <w:r>
              <w:rPr>
                <w:rFonts w:ascii="仿宋" w:hAnsi="仿宋" w:eastAsia="仿宋" w:cs="仿宋"/>
                <w:snapToGrid w:val="0"/>
                <w:color w:val="auto"/>
                <w:spacing w:val="-61"/>
                <w:kern w:val="0"/>
                <w:sz w:val="24"/>
                <w:szCs w:val="24"/>
                <w:lang w:val="en-US" w:eastAsia="en-US" w:bidi="ar-SA"/>
              </w:rPr>
              <w:t xml:space="preserve"> </w:t>
            </w:r>
            <w:r>
              <w:rPr>
                <w:rFonts w:ascii="仿宋" w:hAnsi="仿宋" w:eastAsia="仿宋" w:cs="仿宋"/>
                <w:snapToGrid w:val="0"/>
                <w:color w:val="auto"/>
                <w:spacing w:val="-26"/>
                <w:kern w:val="0"/>
                <w:sz w:val="24"/>
                <w:szCs w:val="24"/>
                <w:lang w:val="en-US" w:eastAsia="en-US" w:bidi="ar-SA"/>
              </w:rPr>
              <w:t>人</w:t>
            </w:r>
            <w:r>
              <w:rPr>
                <w:rFonts w:ascii="仿宋" w:hAnsi="仿宋" w:eastAsia="仿宋" w:cs="仿宋"/>
                <w:snapToGrid w:val="0"/>
                <w:color w:val="auto"/>
                <w:spacing w:val="-56"/>
                <w:w w:val="84"/>
                <w:kern w:val="0"/>
                <w:sz w:val="24"/>
                <w:szCs w:val="24"/>
                <w:lang w:val="en-US" w:eastAsia="en-US" w:bidi="ar-SA"/>
              </w:rPr>
              <w:t>），</w:t>
            </w:r>
            <w:r>
              <w:rPr>
                <w:rFonts w:ascii="仿宋" w:hAnsi="仿宋" w:eastAsia="仿宋" w:cs="仿宋"/>
                <w:snapToGrid w:val="0"/>
                <w:color w:val="auto"/>
                <w:spacing w:val="-26"/>
                <w:kern w:val="0"/>
                <w:sz w:val="24"/>
                <w:szCs w:val="24"/>
                <w:lang w:val="en-US" w:eastAsia="en-US" w:bidi="ar-SA"/>
              </w:rPr>
              <w:t>协助科技馆人</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4"/>
                <w:kern w:val="0"/>
                <w:sz w:val="24"/>
                <w:szCs w:val="24"/>
                <w:lang w:val="en-US" w:eastAsia="en-US" w:bidi="ar-SA"/>
              </w:rPr>
              <w:t>员检票及维持秩序；1</w:t>
            </w:r>
            <w:r>
              <w:rPr>
                <w:rFonts w:ascii="仿宋" w:hAnsi="仿宋" w:eastAsia="仿宋" w:cs="仿宋"/>
                <w:snapToGrid w:val="0"/>
                <w:color w:val="auto"/>
                <w:spacing w:val="-42"/>
                <w:kern w:val="0"/>
                <w:sz w:val="24"/>
                <w:szCs w:val="24"/>
                <w:lang w:val="en-US" w:eastAsia="en-US" w:bidi="ar-SA"/>
              </w:rPr>
              <w:t xml:space="preserve"> </w:t>
            </w:r>
            <w:r>
              <w:rPr>
                <w:rFonts w:ascii="仿宋" w:hAnsi="仿宋" w:eastAsia="仿宋" w:cs="仿宋"/>
                <w:snapToGrid w:val="0"/>
                <w:color w:val="auto"/>
                <w:spacing w:val="-24"/>
                <w:kern w:val="0"/>
                <w:sz w:val="24"/>
                <w:szCs w:val="24"/>
                <w:lang w:val="en-US" w:eastAsia="en-US" w:bidi="ar-SA"/>
              </w:rPr>
              <w:t>楼展区（1人</w:t>
            </w:r>
            <w:r>
              <w:rPr>
                <w:rFonts w:ascii="仿宋" w:hAnsi="仿宋" w:eastAsia="仿宋" w:cs="仿宋"/>
                <w:snapToGrid w:val="0"/>
                <w:color w:val="auto"/>
                <w:spacing w:val="-61"/>
                <w:w w:val="91"/>
                <w:kern w:val="0"/>
                <w:sz w:val="24"/>
                <w:szCs w:val="24"/>
                <w:lang w:val="en-US" w:eastAsia="en-US" w:bidi="ar-SA"/>
              </w:rPr>
              <w:t>），</w:t>
            </w:r>
            <w:r>
              <w:rPr>
                <w:rFonts w:ascii="仿宋" w:hAnsi="仿宋" w:eastAsia="仿宋" w:cs="仿宋"/>
                <w:snapToGrid w:val="0"/>
                <w:color w:val="auto"/>
                <w:spacing w:val="-24"/>
                <w:kern w:val="0"/>
                <w:sz w:val="24"/>
                <w:szCs w:val="24"/>
                <w:lang w:val="en-US" w:eastAsia="en-US" w:bidi="ar-SA"/>
              </w:rPr>
              <w:t>负</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责维持大厅秩序；2</w:t>
            </w:r>
            <w:r>
              <w:rPr>
                <w:rFonts w:ascii="仿宋" w:hAnsi="仿宋" w:eastAsia="仿宋" w:cs="仿宋"/>
                <w:snapToGrid w:val="0"/>
                <w:color w:val="auto"/>
                <w:spacing w:val="-28"/>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楼大厅（1</w:t>
            </w:r>
            <w:r>
              <w:rPr>
                <w:rFonts w:ascii="仿宋" w:hAnsi="仿宋" w:eastAsia="仿宋" w:cs="仿宋"/>
                <w:snapToGrid w:val="0"/>
                <w:color w:val="auto"/>
                <w:spacing w:val="-25"/>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人</w:t>
            </w:r>
            <w:r>
              <w:rPr>
                <w:rFonts w:ascii="仿宋" w:hAnsi="仿宋" w:eastAsia="仿宋" w:cs="仿宋"/>
                <w:snapToGrid w:val="0"/>
                <w:color w:val="auto"/>
                <w:spacing w:val="-56"/>
                <w:w w:val="83"/>
                <w:kern w:val="0"/>
                <w:sz w:val="24"/>
                <w:szCs w:val="24"/>
                <w:lang w:val="en-US" w:eastAsia="en-US" w:bidi="ar-SA"/>
              </w:rPr>
              <w:t>）；</w:t>
            </w:r>
            <w:r>
              <w:rPr>
                <w:rFonts w:ascii="仿宋" w:hAnsi="仿宋" w:eastAsia="仿宋" w:cs="仿宋"/>
                <w:snapToGrid w:val="0"/>
                <w:color w:val="auto"/>
                <w:spacing w:val="-27"/>
                <w:kern w:val="0"/>
                <w:sz w:val="24"/>
                <w:szCs w:val="24"/>
                <w:lang w:val="en-US" w:eastAsia="en-US" w:bidi="ar-SA"/>
              </w:rPr>
              <w:t>3</w:t>
            </w:r>
            <w:r>
              <w:rPr>
                <w:rFonts w:ascii="仿宋" w:hAnsi="仿宋" w:eastAsia="仿宋" w:cs="仿宋"/>
                <w:snapToGrid w:val="0"/>
                <w:color w:val="auto"/>
                <w:spacing w:val="-29"/>
                <w:kern w:val="0"/>
                <w:sz w:val="24"/>
                <w:szCs w:val="24"/>
                <w:lang w:val="en-US" w:eastAsia="en-US" w:bidi="ar-SA"/>
              </w:rPr>
              <w:t xml:space="preserve"> </w:t>
            </w:r>
            <w:r>
              <w:rPr>
                <w:rFonts w:ascii="仿宋" w:hAnsi="仿宋" w:eastAsia="仿宋" w:cs="仿宋"/>
                <w:snapToGrid w:val="0"/>
                <w:color w:val="auto"/>
                <w:spacing w:val="-27"/>
                <w:kern w:val="0"/>
                <w:sz w:val="24"/>
                <w:szCs w:val="24"/>
                <w:lang w:val="en-US" w:eastAsia="en-US" w:bidi="ar-SA"/>
              </w:rPr>
              <w:t>楼</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42"/>
                <w:kern w:val="0"/>
                <w:sz w:val="24"/>
                <w:szCs w:val="24"/>
                <w:lang w:val="en-US" w:eastAsia="en-US" w:bidi="ar-SA"/>
              </w:rPr>
              <w:t>大厅（1</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42"/>
                <w:kern w:val="0"/>
                <w:sz w:val="24"/>
                <w:szCs w:val="24"/>
                <w:lang w:val="en-US" w:eastAsia="en-US" w:bidi="ar-SA"/>
              </w:rPr>
              <w:t>人）。</w:t>
            </w:r>
          </w:p>
        </w:tc>
        <w:tc>
          <w:tcPr>
            <w:tcW w:w="1402" w:type="dxa"/>
            <w:vAlign w:val="top"/>
          </w:tcPr>
          <w:p w14:paraId="7E3D4161">
            <w:pPr>
              <w:spacing w:line="243" w:lineRule="auto"/>
              <w:rPr>
                <w:rFonts w:ascii="Arial"/>
                <w:color w:val="auto"/>
                <w:sz w:val="21"/>
              </w:rPr>
            </w:pPr>
          </w:p>
          <w:p w14:paraId="7A08987E">
            <w:pPr>
              <w:spacing w:line="243" w:lineRule="auto"/>
              <w:rPr>
                <w:rFonts w:ascii="Arial"/>
                <w:color w:val="auto"/>
                <w:sz w:val="21"/>
              </w:rPr>
            </w:pPr>
          </w:p>
          <w:p w14:paraId="4C0D5336">
            <w:pPr>
              <w:spacing w:line="244" w:lineRule="auto"/>
              <w:rPr>
                <w:rFonts w:ascii="Arial"/>
                <w:color w:val="auto"/>
                <w:sz w:val="21"/>
              </w:rPr>
            </w:pPr>
          </w:p>
          <w:p w14:paraId="25344EFE">
            <w:pPr>
              <w:spacing w:line="244" w:lineRule="auto"/>
              <w:rPr>
                <w:rFonts w:ascii="Arial"/>
                <w:color w:val="auto"/>
                <w:sz w:val="21"/>
              </w:rPr>
            </w:pPr>
          </w:p>
          <w:p w14:paraId="0E179005">
            <w:pPr>
              <w:kinsoku w:val="0"/>
              <w:autoSpaceDE w:val="0"/>
              <w:autoSpaceDN w:val="0"/>
              <w:adjustRightInd w:val="0"/>
              <w:snapToGrid w:val="0"/>
              <w:spacing w:before="78" w:line="222" w:lineRule="auto"/>
              <w:ind w:left="52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7"/>
                <w:kern w:val="0"/>
                <w:sz w:val="24"/>
                <w:szCs w:val="24"/>
                <w:lang w:val="en-US" w:eastAsia="en-US" w:bidi="ar-SA"/>
              </w:rPr>
              <w:t>5</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7"/>
                <w:kern w:val="0"/>
                <w:sz w:val="24"/>
                <w:szCs w:val="24"/>
                <w:lang w:val="en-US" w:eastAsia="en-US" w:bidi="ar-SA"/>
              </w:rPr>
              <w:t>人</w:t>
            </w:r>
          </w:p>
        </w:tc>
      </w:tr>
      <w:tr w14:paraId="6447D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0" w:hRule="atLeast"/>
        </w:trPr>
        <w:tc>
          <w:tcPr>
            <w:tcW w:w="907" w:type="dxa"/>
            <w:vMerge w:val="continue"/>
            <w:tcBorders>
              <w:top w:val="nil"/>
              <w:bottom w:val="nil"/>
            </w:tcBorders>
            <w:vAlign w:val="top"/>
          </w:tcPr>
          <w:p w14:paraId="4E92216F">
            <w:pPr>
              <w:rPr>
                <w:rFonts w:ascii="Arial"/>
                <w:color w:val="auto"/>
                <w:sz w:val="21"/>
              </w:rPr>
            </w:pPr>
          </w:p>
        </w:tc>
        <w:tc>
          <w:tcPr>
            <w:tcW w:w="1065" w:type="dxa"/>
            <w:vMerge w:val="continue"/>
            <w:tcBorders>
              <w:top w:val="nil"/>
              <w:bottom w:val="nil"/>
            </w:tcBorders>
            <w:vAlign w:val="top"/>
          </w:tcPr>
          <w:p w14:paraId="4E7E2774">
            <w:pPr>
              <w:rPr>
                <w:rFonts w:ascii="Arial"/>
                <w:color w:val="auto"/>
                <w:sz w:val="21"/>
              </w:rPr>
            </w:pPr>
          </w:p>
        </w:tc>
        <w:tc>
          <w:tcPr>
            <w:tcW w:w="914" w:type="dxa"/>
            <w:vAlign w:val="top"/>
          </w:tcPr>
          <w:p w14:paraId="6180FB8C">
            <w:pPr>
              <w:spacing w:line="245" w:lineRule="auto"/>
              <w:rPr>
                <w:rFonts w:ascii="Arial"/>
                <w:color w:val="auto"/>
                <w:sz w:val="21"/>
              </w:rPr>
            </w:pPr>
          </w:p>
          <w:p w14:paraId="52DA7959">
            <w:pPr>
              <w:spacing w:line="245" w:lineRule="auto"/>
              <w:rPr>
                <w:rFonts w:ascii="Arial"/>
                <w:color w:val="auto"/>
                <w:sz w:val="21"/>
              </w:rPr>
            </w:pPr>
          </w:p>
          <w:p w14:paraId="054831AF">
            <w:pPr>
              <w:spacing w:line="246" w:lineRule="auto"/>
              <w:rPr>
                <w:rFonts w:ascii="Arial"/>
                <w:color w:val="auto"/>
                <w:sz w:val="21"/>
              </w:rPr>
            </w:pPr>
          </w:p>
          <w:p w14:paraId="7ABDF981">
            <w:pPr>
              <w:kinsoku w:val="0"/>
              <w:autoSpaceDE w:val="0"/>
              <w:autoSpaceDN w:val="0"/>
              <w:adjustRightInd w:val="0"/>
              <w:snapToGrid w:val="0"/>
              <w:spacing w:before="78" w:line="217"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保洁</w:t>
            </w:r>
          </w:p>
        </w:tc>
        <w:tc>
          <w:tcPr>
            <w:tcW w:w="974" w:type="dxa"/>
            <w:vAlign w:val="top"/>
          </w:tcPr>
          <w:p w14:paraId="7ACDF253">
            <w:pPr>
              <w:rPr>
                <w:rFonts w:ascii="Arial"/>
                <w:color w:val="auto"/>
                <w:sz w:val="21"/>
              </w:rPr>
            </w:pPr>
          </w:p>
        </w:tc>
        <w:tc>
          <w:tcPr>
            <w:tcW w:w="4004" w:type="dxa"/>
            <w:vAlign w:val="top"/>
          </w:tcPr>
          <w:p w14:paraId="7DBD879D">
            <w:pPr>
              <w:kinsoku w:val="0"/>
              <w:autoSpaceDE w:val="0"/>
              <w:autoSpaceDN w:val="0"/>
              <w:adjustRightInd w:val="0"/>
              <w:snapToGrid w:val="0"/>
              <w:spacing w:before="128" w:line="331" w:lineRule="auto"/>
              <w:ind w:left="105" w:right="69" w:firstLine="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东厅所有区域</w:t>
            </w:r>
            <w:r>
              <w:rPr>
                <w:rFonts w:hint="eastAsia" w:ascii="仿宋" w:hAnsi="仿宋" w:eastAsia="仿宋" w:cs="仿宋"/>
                <w:snapToGrid w:val="0"/>
                <w:color w:val="auto"/>
                <w:spacing w:val="-29"/>
                <w:kern w:val="0"/>
                <w:sz w:val="24"/>
                <w:szCs w:val="24"/>
                <w:lang w:val="en-US" w:eastAsia="zh-CN" w:bidi="ar-SA"/>
              </w:rPr>
              <w:t>、</w:t>
            </w:r>
            <w:r>
              <w:rPr>
                <w:rFonts w:ascii="仿宋" w:hAnsi="仿宋" w:eastAsia="仿宋" w:cs="仿宋"/>
                <w:snapToGrid w:val="0"/>
                <w:color w:val="auto"/>
                <w:spacing w:val="-29"/>
                <w:kern w:val="0"/>
                <w:sz w:val="24"/>
                <w:szCs w:val="24"/>
                <w:lang w:val="en-US" w:eastAsia="en-US" w:bidi="ar-SA"/>
              </w:rPr>
              <w:t>南厅所有区域、玻</w:t>
            </w:r>
            <w:r>
              <w:rPr>
                <w:rFonts w:ascii="仿宋" w:hAnsi="仿宋" w:eastAsia="仿宋" w:cs="仿宋"/>
                <w:snapToGrid w:val="0"/>
                <w:color w:val="auto"/>
                <w:spacing w:val="-26"/>
                <w:kern w:val="0"/>
                <w:sz w:val="24"/>
                <w:szCs w:val="24"/>
                <w:lang w:val="en-US" w:eastAsia="en-US" w:bidi="ar-SA"/>
              </w:rPr>
              <w:t>璃门内外、消防步梯(1 人)；西厅水系、</w:t>
            </w:r>
            <w:r>
              <w:rPr>
                <w:rFonts w:ascii="仿宋" w:hAnsi="仿宋" w:eastAsia="仿宋" w:cs="仿宋"/>
                <w:snapToGrid w:val="0"/>
                <w:color w:val="auto"/>
                <w:spacing w:val="-19"/>
                <w:kern w:val="0"/>
                <w:sz w:val="24"/>
                <w:szCs w:val="24"/>
                <w:lang w:val="en-US" w:eastAsia="en-US" w:bidi="ar-SA"/>
              </w:rPr>
              <w:t>卫生间、双室内步梯 1-2 楼所有区域(1</w:t>
            </w:r>
            <w:r>
              <w:rPr>
                <w:rFonts w:ascii="仿宋" w:hAnsi="仿宋" w:eastAsia="仿宋" w:cs="仿宋"/>
                <w:snapToGrid w:val="0"/>
                <w:color w:val="auto"/>
                <w:spacing w:val="12"/>
                <w:kern w:val="0"/>
                <w:sz w:val="24"/>
                <w:szCs w:val="24"/>
                <w:lang w:val="en-US" w:eastAsia="en-US" w:bidi="ar-SA"/>
              </w:rPr>
              <w:t xml:space="preserve"> </w:t>
            </w:r>
            <w:r>
              <w:rPr>
                <w:rFonts w:ascii="仿宋" w:hAnsi="仿宋" w:eastAsia="仿宋" w:cs="仿宋"/>
                <w:snapToGrid w:val="0"/>
                <w:color w:val="auto"/>
                <w:spacing w:val="-16"/>
                <w:kern w:val="0"/>
                <w:sz w:val="24"/>
                <w:szCs w:val="24"/>
                <w:lang w:val="en-US" w:eastAsia="en-US" w:bidi="ar-SA"/>
              </w:rPr>
              <w:t>人)。</w:t>
            </w:r>
          </w:p>
        </w:tc>
        <w:tc>
          <w:tcPr>
            <w:tcW w:w="1402" w:type="dxa"/>
            <w:vAlign w:val="top"/>
          </w:tcPr>
          <w:p w14:paraId="7FFFF6A4">
            <w:pPr>
              <w:spacing w:line="245" w:lineRule="auto"/>
              <w:rPr>
                <w:rFonts w:ascii="Arial"/>
                <w:color w:val="auto"/>
                <w:sz w:val="21"/>
              </w:rPr>
            </w:pPr>
          </w:p>
          <w:p w14:paraId="39020814">
            <w:pPr>
              <w:spacing w:line="246" w:lineRule="auto"/>
              <w:rPr>
                <w:rFonts w:ascii="Arial"/>
                <w:color w:val="auto"/>
                <w:sz w:val="21"/>
              </w:rPr>
            </w:pPr>
          </w:p>
          <w:p w14:paraId="63D3239F">
            <w:pPr>
              <w:spacing w:line="246" w:lineRule="auto"/>
              <w:rPr>
                <w:rFonts w:ascii="Arial"/>
                <w:color w:val="auto"/>
                <w:sz w:val="21"/>
              </w:rPr>
            </w:pPr>
          </w:p>
          <w:p w14:paraId="6D48D962">
            <w:pPr>
              <w:kinsoku w:val="0"/>
              <w:autoSpaceDE w:val="0"/>
              <w:autoSpaceDN w:val="0"/>
              <w:adjustRightInd w:val="0"/>
              <w:snapToGrid w:val="0"/>
              <w:spacing w:before="78" w:line="222" w:lineRule="auto"/>
              <w:ind w:left="529"/>
              <w:jc w:val="left"/>
              <w:textAlignment w:val="baseline"/>
              <w:rPr>
                <w:rFonts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spacing w:val="-7"/>
                <w:kern w:val="0"/>
                <w:sz w:val="24"/>
                <w:szCs w:val="24"/>
                <w:lang w:val="en-US" w:eastAsia="zh-CN" w:bidi="ar-SA"/>
              </w:rPr>
              <w:t>2</w:t>
            </w:r>
            <w:r>
              <w:rPr>
                <w:rFonts w:ascii="仿宋" w:hAnsi="仿宋" w:eastAsia="仿宋" w:cs="仿宋"/>
                <w:snapToGrid w:val="0"/>
                <w:color w:val="auto"/>
                <w:spacing w:val="-7"/>
                <w:kern w:val="0"/>
                <w:sz w:val="24"/>
                <w:szCs w:val="24"/>
                <w:lang w:val="en-US" w:eastAsia="en-US" w:bidi="ar-SA"/>
              </w:rPr>
              <w:t>人</w:t>
            </w:r>
          </w:p>
        </w:tc>
      </w:tr>
      <w:tr w14:paraId="480B2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907" w:type="dxa"/>
            <w:vMerge w:val="continue"/>
            <w:tcBorders>
              <w:top w:val="nil"/>
            </w:tcBorders>
            <w:vAlign w:val="top"/>
          </w:tcPr>
          <w:p w14:paraId="533AC425">
            <w:pPr>
              <w:rPr>
                <w:rFonts w:ascii="Arial"/>
                <w:color w:val="auto"/>
                <w:sz w:val="21"/>
              </w:rPr>
            </w:pPr>
          </w:p>
        </w:tc>
        <w:tc>
          <w:tcPr>
            <w:tcW w:w="1065" w:type="dxa"/>
            <w:vMerge w:val="continue"/>
            <w:tcBorders>
              <w:top w:val="nil"/>
            </w:tcBorders>
            <w:vAlign w:val="top"/>
          </w:tcPr>
          <w:p w14:paraId="00D40CBC">
            <w:pPr>
              <w:rPr>
                <w:rFonts w:ascii="Arial"/>
                <w:color w:val="auto"/>
                <w:sz w:val="21"/>
              </w:rPr>
            </w:pPr>
          </w:p>
        </w:tc>
        <w:tc>
          <w:tcPr>
            <w:tcW w:w="914" w:type="dxa"/>
            <w:vAlign w:val="top"/>
          </w:tcPr>
          <w:p w14:paraId="749DD2CF">
            <w:pPr>
              <w:kinsoku w:val="0"/>
              <w:autoSpaceDE w:val="0"/>
              <w:autoSpaceDN w:val="0"/>
              <w:adjustRightInd w:val="0"/>
              <w:snapToGrid w:val="0"/>
              <w:spacing w:before="131" w:line="217" w:lineRule="auto"/>
              <w:ind w:left="12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维修</w:t>
            </w:r>
          </w:p>
        </w:tc>
        <w:tc>
          <w:tcPr>
            <w:tcW w:w="974" w:type="dxa"/>
            <w:vAlign w:val="top"/>
          </w:tcPr>
          <w:p w14:paraId="2C68BBA9">
            <w:pPr>
              <w:rPr>
                <w:rFonts w:ascii="Arial"/>
                <w:color w:val="auto"/>
                <w:sz w:val="21"/>
              </w:rPr>
            </w:pPr>
          </w:p>
        </w:tc>
        <w:tc>
          <w:tcPr>
            <w:tcW w:w="4004" w:type="dxa"/>
            <w:vAlign w:val="top"/>
          </w:tcPr>
          <w:p w14:paraId="44A7D73A">
            <w:pPr>
              <w:kinsoku w:val="0"/>
              <w:autoSpaceDE w:val="0"/>
              <w:autoSpaceDN w:val="0"/>
              <w:adjustRightInd w:val="0"/>
              <w:snapToGrid w:val="0"/>
              <w:spacing w:before="130" w:line="218" w:lineRule="auto"/>
              <w:ind w:left="10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0"/>
                <w:kern w:val="0"/>
                <w:sz w:val="24"/>
                <w:szCs w:val="24"/>
                <w:lang w:val="en-US" w:eastAsia="en-US" w:bidi="ar-SA"/>
              </w:rPr>
              <w:t>所有区域</w:t>
            </w:r>
          </w:p>
        </w:tc>
        <w:tc>
          <w:tcPr>
            <w:tcW w:w="1402" w:type="dxa"/>
            <w:vAlign w:val="top"/>
          </w:tcPr>
          <w:p w14:paraId="12A4D568">
            <w:pPr>
              <w:kinsoku w:val="0"/>
              <w:autoSpaceDE w:val="0"/>
              <w:autoSpaceDN w:val="0"/>
              <w:adjustRightInd w:val="0"/>
              <w:snapToGrid w:val="0"/>
              <w:spacing w:before="131"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bl>
    <w:p w14:paraId="0D35DCA8">
      <w:pPr>
        <w:pStyle w:val="3"/>
        <w:rPr>
          <w:color w:val="auto"/>
        </w:rPr>
      </w:pPr>
    </w:p>
    <w:p w14:paraId="0B17A4EC">
      <w:pPr>
        <w:rPr>
          <w:color w:val="auto"/>
        </w:rPr>
        <w:sectPr>
          <w:footerReference r:id="rId35" w:type="default"/>
          <w:pgSz w:w="11910" w:h="16845"/>
          <w:pgMar w:top="990" w:right="1201" w:bottom="890" w:left="1397" w:header="675" w:footer="659" w:gutter="0"/>
          <w:cols w:space="720" w:num="1"/>
        </w:sectPr>
      </w:pPr>
    </w:p>
    <w:p w14:paraId="72FDBD99">
      <w:pPr>
        <w:spacing w:before="137"/>
        <w:rPr>
          <w:color w:val="auto"/>
        </w:rPr>
      </w:pPr>
    </w:p>
    <w:tbl>
      <w:tblPr>
        <w:tblStyle w:val="10"/>
        <w:tblW w:w="92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7"/>
        <w:gridCol w:w="1065"/>
        <w:gridCol w:w="914"/>
        <w:gridCol w:w="974"/>
        <w:gridCol w:w="4004"/>
        <w:gridCol w:w="1402"/>
      </w:tblGrid>
      <w:tr w14:paraId="4BB43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6" w:hRule="atLeast"/>
        </w:trPr>
        <w:tc>
          <w:tcPr>
            <w:tcW w:w="907" w:type="dxa"/>
            <w:vMerge w:val="restart"/>
            <w:tcBorders>
              <w:bottom w:val="nil"/>
            </w:tcBorders>
            <w:vAlign w:val="top"/>
          </w:tcPr>
          <w:p w14:paraId="1EC4265C">
            <w:pPr>
              <w:spacing w:line="274" w:lineRule="auto"/>
              <w:rPr>
                <w:rFonts w:ascii="Arial"/>
                <w:color w:val="auto"/>
                <w:sz w:val="21"/>
              </w:rPr>
            </w:pPr>
          </w:p>
          <w:p w14:paraId="02B7FC39">
            <w:pPr>
              <w:spacing w:line="274" w:lineRule="auto"/>
              <w:rPr>
                <w:rFonts w:ascii="Arial"/>
                <w:color w:val="auto"/>
                <w:sz w:val="21"/>
              </w:rPr>
            </w:pPr>
          </w:p>
          <w:p w14:paraId="2F22C90C">
            <w:pPr>
              <w:spacing w:line="275" w:lineRule="auto"/>
              <w:rPr>
                <w:rFonts w:ascii="Arial"/>
                <w:color w:val="auto"/>
                <w:sz w:val="21"/>
              </w:rPr>
            </w:pPr>
          </w:p>
          <w:p w14:paraId="31270143">
            <w:pPr>
              <w:spacing w:line="275" w:lineRule="auto"/>
              <w:rPr>
                <w:rFonts w:ascii="Arial"/>
                <w:color w:val="auto"/>
                <w:sz w:val="21"/>
              </w:rPr>
            </w:pPr>
          </w:p>
          <w:p w14:paraId="67D005B1">
            <w:pPr>
              <w:spacing w:line="275" w:lineRule="auto"/>
              <w:rPr>
                <w:rFonts w:ascii="Arial"/>
                <w:color w:val="auto"/>
                <w:sz w:val="21"/>
              </w:rPr>
            </w:pPr>
          </w:p>
          <w:p w14:paraId="6EBC664D">
            <w:pPr>
              <w:kinsoku w:val="0"/>
              <w:autoSpaceDE w:val="0"/>
              <w:autoSpaceDN w:val="0"/>
              <w:adjustRightInd w:val="0"/>
              <w:snapToGrid w:val="0"/>
              <w:spacing w:before="78" w:line="237" w:lineRule="auto"/>
              <w:ind w:left="53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6</w:t>
            </w:r>
          </w:p>
        </w:tc>
        <w:tc>
          <w:tcPr>
            <w:tcW w:w="1065" w:type="dxa"/>
            <w:vMerge w:val="restart"/>
            <w:tcBorders>
              <w:bottom w:val="nil"/>
            </w:tcBorders>
            <w:vAlign w:val="top"/>
          </w:tcPr>
          <w:p w14:paraId="1178F671">
            <w:pPr>
              <w:spacing w:line="283" w:lineRule="auto"/>
              <w:rPr>
                <w:rFonts w:ascii="Arial"/>
                <w:color w:val="auto"/>
                <w:sz w:val="21"/>
              </w:rPr>
            </w:pPr>
          </w:p>
          <w:p w14:paraId="09FC5C1E">
            <w:pPr>
              <w:spacing w:line="284" w:lineRule="auto"/>
              <w:rPr>
                <w:rFonts w:ascii="Arial"/>
                <w:color w:val="auto"/>
                <w:sz w:val="21"/>
              </w:rPr>
            </w:pPr>
          </w:p>
          <w:p w14:paraId="274F9A50">
            <w:pPr>
              <w:spacing w:line="284" w:lineRule="auto"/>
              <w:rPr>
                <w:rFonts w:ascii="Arial"/>
                <w:color w:val="auto"/>
                <w:sz w:val="21"/>
              </w:rPr>
            </w:pPr>
          </w:p>
          <w:p w14:paraId="4D5B1B70">
            <w:pPr>
              <w:spacing w:line="284" w:lineRule="auto"/>
              <w:rPr>
                <w:rFonts w:ascii="Arial"/>
                <w:color w:val="auto"/>
                <w:sz w:val="21"/>
              </w:rPr>
            </w:pPr>
          </w:p>
          <w:p w14:paraId="7021B826">
            <w:pPr>
              <w:kinsoku w:val="0"/>
              <w:autoSpaceDE w:val="0"/>
              <w:autoSpaceDN w:val="0"/>
              <w:adjustRightInd w:val="0"/>
              <w:snapToGrid w:val="0"/>
              <w:spacing w:before="78" w:line="360" w:lineRule="auto"/>
              <w:ind w:left="119" w:right="7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党校、党</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13"/>
                <w:kern w:val="0"/>
                <w:sz w:val="24"/>
                <w:szCs w:val="24"/>
                <w:lang w:val="en-US" w:eastAsia="en-US" w:bidi="ar-SA"/>
              </w:rPr>
              <w:t>史办</w:t>
            </w:r>
          </w:p>
        </w:tc>
        <w:tc>
          <w:tcPr>
            <w:tcW w:w="914" w:type="dxa"/>
            <w:vMerge w:val="restart"/>
            <w:tcBorders>
              <w:bottom w:val="nil"/>
            </w:tcBorders>
            <w:vAlign w:val="top"/>
          </w:tcPr>
          <w:p w14:paraId="4A1188EC">
            <w:pPr>
              <w:spacing w:line="283" w:lineRule="auto"/>
              <w:rPr>
                <w:rFonts w:ascii="Arial"/>
                <w:color w:val="auto"/>
                <w:sz w:val="21"/>
              </w:rPr>
            </w:pPr>
          </w:p>
          <w:p w14:paraId="33FC92DB">
            <w:pPr>
              <w:spacing w:line="283" w:lineRule="auto"/>
              <w:rPr>
                <w:rFonts w:ascii="Arial"/>
                <w:color w:val="auto"/>
                <w:sz w:val="21"/>
              </w:rPr>
            </w:pPr>
          </w:p>
          <w:p w14:paraId="29650390">
            <w:pPr>
              <w:spacing w:line="284" w:lineRule="auto"/>
              <w:rPr>
                <w:rFonts w:ascii="Arial"/>
                <w:color w:val="auto"/>
                <w:sz w:val="21"/>
              </w:rPr>
            </w:pPr>
          </w:p>
          <w:p w14:paraId="22933AF9">
            <w:pPr>
              <w:spacing w:line="284" w:lineRule="auto"/>
              <w:rPr>
                <w:rFonts w:ascii="Arial"/>
                <w:color w:val="auto"/>
                <w:sz w:val="21"/>
              </w:rPr>
            </w:pPr>
          </w:p>
          <w:p w14:paraId="23249EB0">
            <w:pPr>
              <w:kinsoku w:val="0"/>
              <w:autoSpaceDE w:val="0"/>
              <w:autoSpaceDN w:val="0"/>
              <w:adjustRightInd w:val="0"/>
              <w:snapToGrid w:val="0"/>
              <w:spacing w:before="78" w:line="217"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保洁</w:t>
            </w:r>
          </w:p>
        </w:tc>
        <w:tc>
          <w:tcPr>
            <w:tcW w:w="974" w:type="dxa"/>
            <w:vAlign w:val="top"/>
          </w:tcPr>
          <w:p w14:paraId="6B3AF5C4">
            <w:pPr>
              <w:spacing w:line="246" w:lineRule="auto"/>
              <w:rPr>
                <w:rFonts w:ascii="Arial"/>
                <w:color w:val="auto"/>
                <w:sz w:val="21"/>
              </w:rPr>
            </w:pPr>
          </w:p>
          <w:p w14:paraId="02645F7E">
            <w:pPr>
              <w:spacing w:line="247" w:lineRule="auto"/>
              <w:rPr>
                <w:rFonts w:ascii="Arial"/>
                <w:color w:val="auto"/>
                <w:sz w:val="21"/>
              </w:rPr>
            </w:pPr>
          </w:p>
          <w:p w14:paraId="35A06405">
            <w:pPr>
              <w:kinsoku w:val="0"/>
              <w:autoSpaceDE w:val="0"/>
              <w:autoSpaceDN w:val="0"/>
              <w:adjustRightInd w:val="0"/>
              <w:snapToGrid w:val="0"/>
              <w:spacing w:before="78" w:line="218" w:lineRule="auto"/>
              <w:ind w:left="10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9"/>
                <w:kern w:val="0"/>
                <w:sz w:val="24"/>
                <w:szCs w:val="24"/>
                <w:lang w:val="en-US" w:eastAsia="en-US" w:bidi="ar-SA"/>
              </w:rPr>
              <w:t>4楼</w:t>
            </w:r>
          </w:p>
        </w:tc>
        <w:tc>
          <w:tcPr>
            <w:tcW w:w="4004" w:type="dxa"/>
            <w:vAlign w:val="top"/>
          </w:tcPr>
          <w:p w14:paraId="47A28925">
            <w:pPr>
              <w:kinsoku w:val="0"/>
              <w:autoSpaceDE w:val="0"/>
              <w:autoSpaceDN w:val="0"/>
              <w:adjustRightInd w:val="0"/>
              <w:snapToGrid w:val="0"/>
              <w:spacing w:before="108" w:line="325" w:lineRule="auto"/>
              <w:ind w:left="105" w:right="54" w:firstLine="1"/>
              <w:jc w:val="both"/>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8"/>
                <w:kern w:val="0"/>
                <w:sz w:val="24"/>
                <w:szCs w:val="24"/>
                <w:lang w:val="en-US" w:eastAsia="en-US" w:bidi="ar-SA"/>
              </w:rPr>
              <w:t>所有公共区域、卫生间、茶水间</w:t>
            </w:r>
            <w:r>
              <w:rPr>
                <w:rFonts w:ascii="仿宋" w:hAnsi="仿宋" w:eastAsia="仿宋" w:cs="仿宋"/>
                <w:snapToGrid w:val="0"/>
                <w:color w:val="auto"/>
                <w:spacing w:val="-37"/>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1-4</w:t>
            </w:r>
            <w:r>
              <w:rPr>
                <w:rFonts w:ascii="仿宋" w:hAnsi="仿宋" w:eastAsia="仿宋" w:cs="仿宋"/>
                <w:snapToGrid w:val="0"/>
                <w:color w:val="auto"/>
                <w:spacing w:val="-45"/>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楼安</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5"/>
                <w:kern w:val="0"/>
                <w:sz w:val="24"/>
                <w:szCs w:val="24"/>
                <w:lang w:val="en-US" w:eastAsia="en-US" w:bidi="ar-SA"/>
              </w:rPr>
              <w:t>全步梯(3个)、1楼电梯间、公共区域、玻</w:t>
            </w:r>
            <w:r>
              <w:rPr>
                <w:rFonts w:ascii="仿宋" w:hAnsi="仿宋" w:eastAsia="仿宋" w:cs="仿宋"/>
                <w:snapToGrid w:val="0"/>
                <w:color w:val="auto"/>
                <w:spacing w:val="8"/>
                <w:kern w:val="0"/>
                <w:sz w:val="24"/>
                <w:szCs w:val="24"/>
                <w:lang w:val="en-US" w:eastAsia="en-US" w:bidi="ar-SA"/>
              </w:rPr>
              <w:t xml:space="preserve"> </w:t>
            </w:r>
            <w:r>
              <w:rPr>
                <w:rFonts w:ascii="仿宋" w:hAnsi="仿宋" w:eastAsia="仿宋" w:cs="仿宋"/>
                <w:snapToGrid w:val="0"/>
                <w:color w:val="auto"/>
                <w:spacing w:val="-28"/>
                <w:kern w:val="0"/>
                <w:sz w:val="24"/>
                <w:szCs w:val="24"/>
                <w:lang w:val="en-US" w:eastAsia="en-US" w:bidi="ar-SA"/>
              </w:rPr>
              <w:t>璃门内外保洁。</w:t>
            </w:r>
          </w:p>
        </w:tc>
        <w:tc>
          <w:tcPr>
            <w:tcW w:w="1402" w:type="dxa"/>
            <w:vAlign w:val="top"/>
          </w:tcPr>
          <w:p w14:paraId="6E015973">
            <w:pPr>
              <w:spacing w:line="247" w:lineRule="auto"/>
              <w:rPr>
                <w:rFonts w:ascii="Arial"/>
                <w:color w:val="auto"/>
                <w:sz w:val="21"/>
              </w:rPr>
            </w:pPr>
          </w:p>
          <w:p w14:paraId="136D9829">
            <w:pPr>
              <w:spacing w:line="247" w:lineRule="auto"/>
              <w:rPr>
                <w:rFonts w:ascii="Arial"/>
                <w:color w:val="auto"/>
                <w:sz w:val="21"/>
              </w:rPr>
            </w:pPr>
          </w:p>
          <w:p w14:paraId="655D33BE">
            <w:pPr>
              <w:kinsoku w:val="0"/>
              <w:autoSpaceDE w:val="0"/>
              <w:autoSpaceDN w:val="0"/>
              <w:adjustRightInd w:val="0"/>
              <w:snapToGrid w:val="0"/>
              <w:spacing w:before="78"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r w14:paraId="0834B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3" w:hRule="atLeast"/>
        </w:trPr>
        <w:tc>
          <w:tcPr>
            <w:tcW w:w="907" w:type="dxa"/>
            <w:vMerge w:val="continue"/>
            <w:tcBorders>
              <w:top w:val="nil"/>
              <w:bottom w:val="nil"/>
            </w:tcBorders>
            <w:vAlign w:val="top"/>
          </w:tcPr>
          <w:p w14:paraId="01F1806A">
            <w:pPr>
              <w:rPr>
                <w:rFonts w:ascii="Arial"/>
                <w:color w:val="auto"/>
                <w:sz w:val="21"/>
              </w:rPr>
            </w:pPr>
          </w:p>
        </w:tc>
        <w:tc>
          <w:tcPr>
            <w:tcW w:w="1065" w:type="dxa"/>
            <w:vMerge w:val="continue"/>
            <w:tcBorders>
              <w:top w:val="nil"/>
              <w:bottom w:val="nil"/>
            </w:tcBorders>
            <w:vAlign w:val="top"/>
          </w:tcPr>
          <w:p w14:paraId="24ECC3D1">
            <w:pPr>
              <w:rPr>
                <w:rFonts w:ascii="Arial"/>
                <w:color w:val="auto"/>
                <w:sz w:val="21"/>
              </w:rPr>
            </w:pPr>
          </w:p>
        </w:tc>
        <w:tc>
          <w:tcPr>
            <w:tcW w:w="914" w:type="dxa"/>
            <w:vMerge w:val="continue"/>
            <w:tcBorders>
              <w:top w:val="nil"/>
            </w:tcBorders>
            <w:vAlign w:val="top"/>
          </w:tcPr>
          <w:p w14:paraId="46574B45">
            <w:pPr>
              <w:rPr>
                <w:rFonts w:ascii="Arial"/>
                <w:color w:val="auto"/>
                <w:sz w:val="21"/>
              </w:rPr>
            </w:pPr>
          </w:p>
        </w:tc>
        <w:tc>
          <w:tcPr>
            <w:tcW w:w="974" w:type="dxa"/>
            <w:vAlign w:val="top"/>
          </w:tcPr>
          <w:p w14:paraId="07053B8A">
            <w:pPr>
              <w:kinsoku w:val="0"/>
              <w:autoSpaceDE w:val="0"/>
              <w:autoSpaceDN w:val="0"/>
              <w:adjustRightInd w:val="0"/>
              <w:snapToGrid w:val="0"/>
              <w:spacing w:before="283" w:line="360" w:lineRule="auto"/>
              <w:ind w:left="141" w:right="75" w:hanging="18"/>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党校外</w:t>
            </w:r>
            <w:r>
              <w:rPr>
                <w:rFonts w:ascii="仿宋" w:hAnsi="仿宋" w:eastAsia="仿宋" w:cs="仿宋"/>
                <w:snapToGrid w:val="0"/>
                <w:color w:val="auto"/>
                <w:kern w:val="0"/>
                <w:sz w:val="24"/>
                <w:szCs w:val="24"/>
                <w:lang w:val="en-US" w:eastAsia="en-US" w:bidi="ar-SA"/>
              </w:rPr>
              <w:t xml:space="preserve"> 围</w:t>
            </w:r>
          </w:p>
        </w:tc>
        <w:tc>
          <w:tcPr>
            <w:tcW w:w="4004" w:type="dxa"/>
            <w:vAlign w:val="top"/>
          </w:tcPr>
          <w:p w14:paraId="296672EB">
            <w:pPr>
              <w:spacing w:line="443" w:lineRule="auto"/>
              <w:rPr>
                <w:rFonts w:ascii="Arial"/>
                <w:color w:val="auto"/>
                <w:sz w:val="21"/>
              </w:rPr>
            </w:pPr>
          </w:p>
          <w:p w14:paraId="7B72E6C8">
            <w:pPr>
              <w:kinsoku w:val="0"/>
              <w:autoSpaceDE w:val="0"/>
              <w:autoSpaceDN w:val="0"/>
              <w:adjustRightInd w:val="0"/>
              <w:snapToGrid w:val="0"/>
              <w:spacing w:before="78" w:line="217" w:lineRule="auto"/>
              <w:ind w:left="11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0"/>
                <w:kern w:val="0"/>
                <w:sz w:val="24"/>
                <w:szCs w:val="24"/>
                <w:lang w:val="en-US" w:eastAsia="en-US" w:bidi="ar-SA"/>
              </w:rPr>
              <w:t>党校门口石材地面及沥青地面卫生保洁。</w:t>
            </w:r>
          </w:p>
        </w:tc>
        <w:tc>
          <w:tcPr>
            <w:tcW w:w="1402" w:type="dxa"/>
            <w:vAlign w:val="top"/>
          </w:tcPr>
          <w:p w14:paraId="0D4A424B">
            <w:pPr>
              <w:spacing w:line="444" w:lineRule="auto"/>
              <w:rPr>
                <w:rFonts w:ascii="Arial"/>
                <w:color w:val="auto"/>
                <w:sz w:val="21"/>
              </w:rPr>
            </w:pPr>
          </w:p>
          <w:p w14:paraId="1DEA8C64">
            <w:pPr>
              <w:kinsoku w:val="0"/>
              <w:autoSpaceDE w:val="0"/>
              <w:autoSpaceDN w:val="0"/>
              <w:adjustRightInd w:val="0"/>
              <w:snapToGrid w:val="0"/>
              <w:spacing w:before="78"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r w14:paraId="7078A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0" w:hRule="atLeast"/>
        </w:trPr>
        <w:tc>
          <w:tcPr>
            <w:tcW w:w="907" w:type="dxa"/>
            <w:vMerge w:val="continue"/>
            <w:tcBorders>
              <w:top w:val="nil"/>
            </w:tcBorders>
            <w:vAlign w:val="top"/>
          </w:tcPr>
          <w:p w14:paraId="2B443910">
            <w:pPr>
              <w:rPr>
                <w:rFonts w:ascii="Arial"/>
                <w:color w:val="auto"/>
                <w:sz w:val="21"/>
              </w:rPr>
            </w:pPr>
          </w:p>
        </w:tc>
        <w:tc>
          <w:tcPr>
            <w:tcW w:w="1065" w:type="dxa"/>
            <w:vMerge w:val="continue"/>
            <w:tcBorders>
              <w:top w:val="nil"/>
            </w:tcBorders>
            <w:vAlign w:val="top"/>
          </w:tcPr>
          <w:p w14:paraId="1CB627E1">
            <w:pPr>
              <w:rPr>
                <w:rFonts w:ascii="Arial"/>
                <w:color w:val="auto"/>
                <w:sz w:val="21"/>
              </w:rPr>
            </w:pPr>
          </w:p>
        </w:tc>
        <w:tc>
          <w:tcPr>
            <w:tcW w:w="914" w:type="dxa"/>
            <w:vAlign w:val="top"/>
          </w:tcPr>
          <w:p w14:paraId="12D976CD">
            <w:pPr>
              <w:kinsoku w:val="0"/>
              <w:autoSpaceDE w:val="0"/>
              <w:autoSpaceDN w:val="0"/>
              <w:adjustRightInd w:val="0"/>
              <w:snapToGrid w:val="0"/>
              <w:spacing w:before="108" w:line="217" w:lineRule="auto"/>
              <w:ind w:left="12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3"/>
                <w:kern w:val="0"/>
                <w:sz w:val="24"/>
                <w:szCs w:val="24"/>
                <w:lang w:val="en-US" w:eastAsia="en-US" w:bidi="ar-SA"/>
              </w:rPr>
              <w:t>维修</w:t>
            </w:r>
          </w:p>
        </w:tc>
        <w:tc>
          <w:tcPr>
            <w:tcW w:w="974" w:type="dxa"/>
            <w:vAlign w:val="top"/>
          </w:tcPr>
          <w:p w14:paraId="6536882E">
            <w:pPr>
              <w:rPr>
                <w:rFonts w:ascii="Arial"/>
                <w:color w:val="auto"/>
                <w:sz w:val="21"/>
              </w:rPr>
            </w:pPr>
          </w:p>
        </w:tc>
        <w:tc>
          <w:tcPr>
            <w:tcW w:w="4004" w:type="dxa"/>
            <w:vAlign w:val="top"/>
          </w:tcPr>
          <w:p w14:paraId="57D5B32C">
            <w:pPr>
              <w:kinsoku w:val="0"/>
              <w:autoSpaceDE w:val="0"/>
              <w:autoSpaceDN w:val="0"/>
              <w:adjustRightInd w:val="0"/>
              <w:snapToGrid w:val="0"/>
              <w:spacing w:before="107" w:line="218" w:lineRule="auto"/>
              <w:ind w:left="106"/>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7"/>
                <w:kern w:val="0"/>
                <w:sz w:val="24"/>
                <w:szCs w:val="24"/>
                <w:lang w:val="en-US" w:eastAsia="en-US" w:bidi="ar-SA"/>
              </w:rPr>
              <w:t>所有区域。</w:t>
            </w:r>
          </w:p>
        </w:tc>
        <w:tc>
          <w:tcPr>
            <w:tcW w:w="1402" w:type="dxa"/>
            <w:vAlign w:val="top"/>
          </w:tcPr>
          <w:p w14:paraId="72F38732">
            <w:pPr>
              <w:kinsoku w:val="0"/>
              <w:autoSpaceDE w:val="0"/>
              <w:autoSpaceDN w:val="0"/>
              <w:adjustRightInd w:val="0"/>
              <w:snapToGrid w:val="0"/>
              <w:spacing w:before="108"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r w14:paraId="7305F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3" w:hRule="atLeast"/>
        </w:trPr>
        <w:tc>
          <w:tcPr>
            <w:tcW w:w="907" w:type="dxa"/>
            <w:vAlign w:val="top"/>
          </w:tcPr>
          <w:p w14:paraId="271B3D86">
            <w:pPr>
              <w:spacing w:line="253" w:lineRule="auto"/>
              <w:rPr>
                <w:rFonts w:ascii="Arial"/>
                <w:color w:val="auto"/>
                <w:sz w:val="21"/>
              </w:rPr>
            </w:pPr>
          </w:p>
          <w:p w14:paraId="00F15F5D">
            <w:pPr>
              <w:spacing w:line="253" w:lineRule="auto"/>
              <w:rPr>
                <w:rFonts w:ascii="Arial"/>
                <w:color w:val="auto"/>
                <w:sz w:val="21"/>
              </w:rPr>
            </w:pPr>
          </w:p>
          <w:p w14:paraId="4E3E68D0">
            <w:pPr>
              <w:kinsoku w:val="0"/>
              <w:autoSpaceDE w:val="0"/>
              <w:autoSpaceDN w:val="0"/>
              <w:adjustRightInd w:val="0"/>
              <w:snapToGrid w:val="0"/>
              <w:spacing w:before="78" w:line="237" w:lineRule="auto"/>
              <w:ind w:left="53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7</w:t>
            </w:r>
          </w:p>
        </w:tc>
        <w:tc>
          <w:tcPr>
            <w:tcW w:w="1065" w:type="dxa"/>
            <w:vAlign w:val="top"/>
          </w:tcPr>
          <w:p w14:paraId="3325004D">
            <w:pPr>
              <w:spacing w:line="253" w:lineRule="auto"/>
              <w:rPr>
                <w:rFonts w:ascii="Arial"/>
                <w:color w:val="auto"/>
                <w:sz w:val="21"/>
              </w:rPr>
            </w:pPr>
          </w:p>
          <w:p w14:paraId="7CBAE44A">
            <w:pPr>
              <w:spacing w:line="253" w:lineRule="auto"/>
              <w:rPr>
                <w:rFonts w:ascii="Arial"/>
                <w:color w:val="auto"/>
                <w:sz w:val="21"/>
              </w:rPr>
            </w:pPr>
          </w:p>
          <w:p w14:paraId="4AC2595A">
            <w:pPr>
              <w:kinsoku w:val="0"/>
              <w:autoSpaceDE w:val="0"/>
              <w:autoSpaceDN w:val="0"/>
              <w:adjustRightInd w:val="0"/>
              <w:snapToGrid w:val="0"/>
              <w:spacing w:before="78" w:line="219" w:lineRule="auto"/>
              <w:ind w:left="11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8"/>
                <w:kern w:val="0"/>
                <w:sz w:val="24"/>
                <w:szCs w:val="24"/>
                <w:lang w:val="en-US" w:eastAsia="en-US" w:bidi="ar-SA"/>
              </w:rPr>
              <w:t>游动岗</w:t>
            </w:r>
          </w:p>
        </w:tc>
        <w:tc>
          <w:tcPr>
            <w:tcW w:w="914" w:type="dxa"/>
            <w:vAlign w:val="top"/>
          </w:tcPr>
          <w:p w14:paraId="1FA7C8F5">
            <w:pPr>
              <w:spacing w:line="253" w:lineRule="auto"/>
              <w:rPr>
                <w:rFonts w:ascii="Arial"/>
                <w:color w:val="auto"/>
                <w:sz w:val="21"/>
              </w:rPr>
            </w:pPr>
          </w:p>
          <w:p w14:paraId="1E39FF4E">
            <w:pPr>
              <w:spacing w:line="254" w:lineRule="auto"/>
              <w:rPr>
                <w:rFonts w:ascii="Arial"/>
                <w:color w:val="auto"/>
                <w:sz w:val="21"/>
              </w:rPr>
            </w:pPr>
          </w:p>
          <w:p w14:paraId="566B9DA8">
            <w:pPr>
              <w:kinsoku w:val="0"/>
              <w:autoSpaceDE w:val="0"/>
              <w:autoSpaceDN w:val="0"/>
              <w:adjustRightInd w:val="0"/>
              <w:snapToGrid w:val="0"/>
              <w:spacing w:before="78"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664B5322">
            <w:pPr>
              <w:rPr>
                <w:rFonts w:ascii="Arial"/>
                <w:color w:val="auto"/>
                <w:sz w:val="21"/>
              </w:rPr>
            </w:pPr>
          </w:p>
        </w:tc>
        <w:tc>
          <w:tcPr>
            <w:tcW w:w="4004" w:type="dxa"/>
            <w:vAlign w:val="top"/>
          </w:tcPr>
          <w:p w14:paraId="316DA4AC">
            <w:pPr>
              <w:kinsoku w:val="0"/>
              <w:autoSpaceDE w:val="0"/>
              <w:autoSpaceDN w:val="0"/>
              <w:adjustRightInd w:val="0"/>
              <w:snapToGrid w:val="0"/>
              <w:spacing w:before="123" w:line="323" w:lineRule="auto"/>
              <w:ind w:left="106" w:right="82" w:firstLine="1"/>
              <w:jc w:val="both"/>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西侧游动岗：负责维持规划馆各入驻单位</w:t>
            </w:r>
            <w:r>
              <w:rPr>
                <w:rFonts w:ascii="仿宋" w:hAnsi="仿宋" w:eastAsia="仿宋" w:cs="仿宋"/>
                <w:snapToGrid w:val="0"/>
                <w:color w:val="auto"/>
                <w:kern w:val="0"/>
                <w:sz w:val="24"/>
                <w:szCs w:val="24"/>
                <w:lang w:val="en-US" w:eastAsia="en-US" w:bidi="ar-SA"/>
              </w:rPr>
              <w:t xml:space="preserve"> </w:t>
            </w:r>
            <w:r>
              <w:rPr>
                <w:rFonts w:ascii="仿宋" w:hAnsi="仿宋" w:eastAsia="仿宋" w:cs="仿宋"/>
                <w:snapToGrid w:val="0"/>
                <w:color w:val="auto"/>
                <w:spacing w:val="-29"/>
                <w:kern w:val="0"/>
                <w:sz w:val="24"/>
                <w:szCs w:val="24"/>
                <w:lang w:val="en-US" w:eastAsia="en-US" w:bidi="ar-SA"/>
              </w:rPr>
              <w:t>及办事人员车辆地面及地下停车场有序停</w:t>
            </w:r>
            <w:r>
              <w:rPr>
                <w:rFonts w:ascii="仿宋" w:hAnsi="仿宋" w:eastAsia="仿宋" w:cs="仿宋"/>
                <w:snapToGrid w:val="0"/>
                <w:color w:val="auto"/>
                <w:spacing w:val="1"/>
                <w:kern w:val="0"/>
                <w:sz w:val="24"/>
                <w:szCs w:val="24"/>
                <w:lang w:val="en-US" w:eastAsia="en-US" w:bidi="ar-SA"/>
              </w:rPr>
              <w:t xml:space="preserve"> </w:t>
            </w:r>
            <w:r>
              <w:rPr>
                <w:rFonts w:ascii="仿宋" w:hAnsi="仿宋" w:eastAsia="仿宋" w:cs="仿宋"/>
                <w:snapToGrid w:val="0"/>
                <w:color w:val="auto"/>
                <w:spacing w:val="-20"/>
                <w:kern w:val="0"/>
                <w:sz w:val="24"/>
                <w:szCs w:val="24"/>
                <w:lang w:val="en-US" w:eastAsia="en-US" w:bidi="ar-SA"/>
              </w:rPr>
              <w:t>放。</w:t>
            </w:r>
          </w:p>
        </w:tc>
        <w:tc>
          <w:tcPr>
            <w:tcW w:w="1402" w:type="dxa"/>
            <w:vAlign w:val="top"/>
          </w:tcPr>
          <w:p w14:paraId="6D35F587">
            <w:pPr>
              <w:spacing w:line="253" w:lineRule="auto"/>
              <w:rPr>
                <w:rFonts w:ascii="Arial"/>
                <w:color w:val="auto"/>
                <w:sz w:val="21"/>
              </w:rPr>
            </w:pPr>
          </w:p>
          <w:p w14:paraId="4D380D82">
            <w:pPr>
              <w:spacing w:line="254" w:lineRule="auto"/>
              <w:rPr>
                <w:rFonts w:ascii="Arial"/>
                <w:color w:val="auto"/>
                <w:sz w:val="21"/>
              </w:rPr>
            </w:pPr>
          </w:p>
          <w:p w14:paraId="12D9837C">
            <w:pPr>
              <w:kinsoku w:val="0"/>
              <w:autoSpaceDE w:val="0"/>
              <w:autoSpaceDN w:val="0"/>
              <w:adjustRightInd w:val="0"/>
              <w:snapToGrid w:val="0"/>
              <w:spacing w:before="78" w:line="222" w:lineRule="auto"/>
              <w:ind w:left="54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6"/>
                <w:kern w:val="0"/>
                <w:sz w:val="24"/>
                <w:szCs w:val="24"/>
                <w:lang w:val="en-US" w:eastAsia="en-US" w:bidi="ar-SA"/>
              </w:rPr>
              <w:t>6</w:t>
            </w:r>
            <w:r>
              <w:rPr>
                <w:rFonts w:ascii="仿宋" w:hAnsi="仿宋" w:eastAsia="仿宋" w:cs="仿宋"/>
                <w:snapToGrid w:val="0"/>
                <w:color w:val="auto"/>
                <w:spacing w:val="-70"/>
                <w:kern w:val="0"/>
                <w:sz w:val="24"/>
                <w:szCs w:val="24"/>
                <w:lang w:val="en-US" w:eastAsia="en-US" w:bidi="ar-SA"/>
              </w:rPr>
              <w:t xml:space="preserve"> </w:t>
            </w:r>
            <w:r>
              <w:rPr>
                <w:rFonts w:ascii="仿宋" w:hAnsi="仿宋" w:eastAsia="仿宋" w:cs="仿宋"/>
                <w:snapToGrid w:val="0"/>
                <w:color w:val="auto"/>
                <w:spacing w:val="-6"/>
                <w:kern w:val="0"/>
                <w:sz w:val="24"/>
                <w:szCs w:val="24"/>
                <w:lang w:val="en-US" w:eastAsia="en-US" w:bidi="ar-SA"/>
              </w:rPr>
              <w:t>人</w:t>
            </w:r>
          </w:p>
        </w:tc>
      </w:tr>
      <w:tr w14:paraId="2C8A3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07" w:type="dxa"/>
            <w:vAlign w:val="top"/>
          </w:tcPr>
          <w:p w14:paraId="58AE9EE8">
            <w:pPr>
              <w:kinsoku w:val="0"/>
              <w:autoSpaceDE w:val="0"/>
              <w:autoSpaceDN w:val="0"/>
              <w:adjustRightInd w:val="0"/>
              <w:snapToGrid w:val="0"/>
              <w:spacing w:before="126" w:line="237" w:lineRule="auto"/>
              <w:ind w:left="534"/>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8</w:t>
            </w:r>
          </w:p>
        </w:tc>
        <w:tc>
          <w:tcPr>
            <w:tcW w:w="1065" w:type="dxa"/>
            <w:vAlign w:val="top"/>
          </w:tcPr>
          <w:p w14:paraId="1FDA8493">
            <w:pPr>
              <w:kinsoku w:val="0"/>
              <w:autoSpaceDE w:val="0"/>
              <w:autoSpaceDN w:val="0"/>
              <w:adjustRightInd w:val="0"/>
              <w:snapToGrid w:val="0"/>
              <w:spacing w:before="126" w:line="217" w:lineRule="auto"/>
              <w:ind w:left="120"/>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8"/>
                <w:kern w:val="0"/>
                <w:sz w:val="24"/>
                <w:szCs w:val="24"/>
                <w:lang w:val="en-US" w:eastAsia="en-US" w:bidi="ar-SA"/>
              </w:rPr>
              <w:t>东门岗</w:t>
            </w:r>
          </w:p>
        </w:tc>
        <w:tc>
          <w:tcPr>
            <w:tcW w:w="914" w:type="dxa"/>
            <w:vAlign w:val="top"/>
          </w:tcPr>
          <w:p w14:paraId="135B0618">
            <w:pPr>
              <w:kinsoku w:val="0"/>
              <w:autoSpaceDE w:val="0"/>
              <w:autoSpaceDN w:val="0"/>
              <w:adjustRightInd w:val="0"/>
              <w:snapToGrid w:val="0"/>
              <w:spacing w:before="126" w:line="218"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2"/>
                <w:kern w:val="0"/>
                <w:sz w:val="24"/>
                <w:szCs w:val="24"/>
                <w:lang w:val="en-US" w:eastAsia="en-US" w:bidi="ar-SA"/>
              </w:rPr>
              <w:t>秩序</w:t>
            </w:r>
          </w:p>
        </w:tc>
        <w:tc>
          <w:tcPr>
            <w:tcW w:w="974" w:type="dxa"/>
            <w:vAlign w:val="top"/>
          </w:tcPr>
          <w:p w14:paraId="34375AF3">
            <w:pPr>
              <w:rPr>
                <w:rFonts w:ascii="Arial"/>
                <w:color w:val="auto"/>
                <w:sz w:val="21"/>
              </w:rPr>
            </w:pPr>
          </w:p>
        </w:tc>
        <w:tc>
          <w:tcPr>
            <w:tcW w:w="4004" w:type="dxa"/>
            <w:vAlign w:val="top"/>
          </w:tcPr>
          <w:p w14:paraId="693BF286">
            <w:pPr>
              <w:kinsoku w:val="0"/>
              <w:autoSpaceDE w:val="0"/>
              <w:autoSpaceDN w:val="0"/>
              <w:adjustRightInd w:val="0"/>
              <w:snapToGrid w:val="0"/>
              <w:spacing w:before="126" w:line="217" w:lineRule="auto"/>
              <w:ind w:left="11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负责东门岗日常执勤。</w:t>
            </w:r>
          </w:p>
        </w:tc>
        <w:tc>
          <w:tcPr>
            <w:tcW w:w="1402" w:type="dxa"/>
            <w:vAlign w:val="top"/>
          </w:tcPr>
          <w:p w14:paraId="70058943">
            <w:pPr>
              <w:kinsoku w:val="0"/>
              <w:autoSpaceDE w:val="0"/>
              <w:autoSpaceDN w:val="0"/>
              <w:adjustRightInd w:val="0"/>
              <w:snapToGrid w:val="0"/>
              <w:spacing w:before="126" w:line="222" w:lineRule="auto"/>
              <w:ind w:left="53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4"/>
                <w:kern w:val="0"/>
                <w:sz w:val="24"/>
                <w:szCs w:val="24"/>
                <w:lang w:val="en-US" w:eastAsia="en-US" w:bidi="ar-SA"/>
              </w:rPr>
              <w:t>4</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4"/>
                <w:kern w:val="0"/>
                <w:sz w:val="24"/>
                <w:szCs w:val="24"/>
                <w:lang w:val="en-US" w:eastAsia="en-US" w:bidi="ar-SA"/>
              </w:rPr>
              <w:t>人</w:t>
            </w:r>
          </w:p>
        </w:tc>
      </w:tr>
      <w:tr w14:paraId="03755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9" w:hRule="atLeast"/>
        </w:trPr>
        <w:tc>
          <w:tcPr>
            <w:tcW w:w="907" w:type="dxa"/>
            <w:vAlign w:val="top"/>
          </w:tcPr>
          <w:p w14:paraId="11D907F6">
            <w:pPr>
              <w:kinsoku w:val="0"/>
              <w:autoSpaceDE w:val="0"/>
              <w:autoSpaceDN w:val="0"/>
              <w:adjustRightInd w:val="0"/>
              <w:snapToGrid w:val="0"/>
              <w:spacing w:before="277" w:line="237" w:lineRule="auto"/>
              <w:ind w:left="534"/>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kern w:val="0"/>
                <w:sz w:val="24"/>
                <w:szCs w:val="24"/>
                <w:lang w:val="en-US" w:eastAsia="en-US" w:bidi="ar-SA"/>
              </w:rPr>
              <w:t>9</w:t>
            </w:r>
          </w:p>
        </w:tc>
        <w:tc>
          <w:tcPr>
            <w:tcW w:w="1065" w:type="dxa"/>
            <w:vAlign w:val="top"/>
          </w:tcPr>
          <w:p w14:paraId="6BBD3A5A">
            <w:pPr>
              <w:kinsoku w:val="0"/>
              <w:autoSpaceDE w:val="0"/>
              <w:autoSpaceDN w:val="0"/>
              <w:adjustRightInd w:val="0"/>
              <w:snapToGrid w:val="0"/>
              <w:spacing w:before="277" w:line="218" w:lineRule="auto"/>
              <w:ind w:left="115"/>
              <w:jc w:val="left"/>
              <w:textAlignment w:val="baseline"/>
              <w:rPr>
                <w:rFonts w:hint="default" w:ascii="仿宋" w:hAnsi="仿宋" w:eastAsia="仿宋" w:cs="仿宋"/>
                <w:snapToGrid w:val="0"/>
                <w:color w:val="auto"/>
                <w:kern w:val="0"/>
                <w:sz w:val="24"/>
                <w:szCs w:val="24"/>
                <w:lang w:val="en-US" w:eastAsia="zh-CN" w:bidi="ar-SA"/>
              </w:rPr>
            </w:pPr>
            <w:r>
              <w:rPr>
                <w:rFonts w:hint="eastAsia" w:ascii="仿宋" w:hAnsi="仿宋" w:eastAsia="仿宋" w:cs="仿宋"/>
                <w:snapToGrid w:val="0"/>
                <w:color w:val="auto"/>
                <w:kern w:val="0"/>
                <w:sz w:val="24"/>
                <w:szCs w:val="24"/>
                <w:lang w:val="en-US" w:eastAsia="zh-CN" w:bidi="ar-SA"/>
              </w:rPr>
              <w:t>管理人员</w:t>
            </w:r>
          </w:p>
        </w:tc>
        <w:tc>
          <w:tcPr>
            <w:tcW w:w="914" w:type="dxa"/>
            <w:vAlign w:val="top"/>
          </w:tcPr>
          <w:p w14:paraId="6CD2BC1F">
            <w:pPr>
              <w:rPr>
                <w:rFonts w:ascii="Arial"/>
                <w:color w:val="auto"/>
                <w:sz w:val="21"/>
              </w:rPr>
            </w:pPr>
          </w:p>
        </w:tc>
        <w:tc>
          <w:tcPr>
            <w:tcW w:w="974" w:type="dxa"/>
            <w:vAlign w:val="top"/>
          </w:tcPr>
          <w:p w14:paraId="5DBCBB09">
            <w:pPr>
              <w:rPr>
                <w:rFonts w:ascii="Arial"/>
                <w:color w:val="auto"/>
                <w:sz w:val="21"/>
              </w:rPr>
            </w:pPr>
          </w:p>
        </w:tc>
        <w:tc>
          <w:tcPr>
            <w:tcW w:w="4004" w:type="dxa"/>
            <w:vAlign w:val="top"/>
          </w:tcPr>
          <w:p w14:paraId="52B294B0">
            <w:pPr>
              <w:kinsoku w:val="0"/>
              <w:autoSpaceDE w:val="0"/>
              <w:autoSpaceDN w:val="0"/>
              <w:adjustRightInd w:val="0"/>
              <w:snapToGrid w:val="0"/>
              <w:spacing w:before="277" w:line="217" w:lineRule="auto"/>
              <w:ind w:left="11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30"/>
                <w:kern w:val="0"/>
                <w:sz w:val="24"/>
                <w:szCs w:val="24"/>
                <w:lang w:val="en-US" w:eastAsia="en-US" w:bidi="ar-SA"/>
              </w:rPr>
              <w:t>负责管理保洁、秩序、维修。</w:t>
            </w:r>
          </w:p>
        </w:tc>
        <w:tc>
          <w:tcPr>
            <w:tcW w:w="1402" w:type="dxa"/>
            <w:vAlign w:val="top"/>
          </w:tcPr>
          <w:p w14:paraId="3DB1AC6C">
            <w:pPr>
              <w:kinsoku w:val="0"/>
              <w:autoSpaceDE w:val="0"/>
              <w:autoSpaceDN w:val="0"/>
              <w:adjustRightInd w:val="0"/>
              <w:snapToGrid w:val="0"/>
              <w:spacing w:before="278" w:line="222" w:lineRule="auto"/>
              <w:ind w:left="539"/>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4"/>
                <w:kern w:val="0"/>
                <w:sz w:val="24"/>
                <w:szCs w:val="24"/>
                <w:lang w:val="en-US" w:eastAsia="en-US" w:bidi="ar-SA"/>
              </w:rPr>
              <w:t>4</w:t>
            </w:r>
            <w:r>
              <w:rPr>
                <w:rFonts w:ascii="仿宋" w:hAnsi="仿宋" w:eastAsia="仿宋" w:cs="仿宋"/>
                <w:snapToGrid w:val="0"/>
                <w:color w:val="auto"/>
                <w:spacing w:val="-71"/>
                <w:kern w:val="0"/>
                <w:sz w:val="24"/>
                <w:szCs w:val="24"/>
                <w:lang w:val="en-US" w:eastAsia="en-US" w:bidi="ar-SA"/>
              </w:rPr>
              <w:t xml:space="preserve"> </w:t>
            </w:r>
            <w:r>
              <w:rPr>
                <w:rFonts w:ascii="仿宋" w:hAnsi="仿宋" w:eastAsia="仿宋" w:cs="仿宋"/>
                <w:snapToGrid w:val="0"/>
                <w:color w:val="auto"/>
                <w:spacing w:val="-4"/>
                <w:kern w:val="0"/>
                <w:sz w:val="24"/>
                <w:szCs w:val="24"/>
                <w:lang w:val="en-US" w:eastAsia="en-US" w:bidi="ar-SA"/>
              </w:rPr>
              <w:t>人</w:t>
            </w:r>
          </w:p>
        </w:tc>
      </w:tr>
      <w:tr w14:paraId="342CE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4" w:hRule="atLeast"/>
        </w:trPr>
        <w:tc>
          <w:tcPr>
            <w:tcW w:w="907" w:type="dxa"/>
            <w:vAlign w:val="top"/>
          </w:tcPr>
          <w:p w14:paraId="759FE777">
            <w:pPr>
              <w:kinsoku w:val="0"/>
              <w:autoSpaceDE w:val="0"/>
              <w:autoSpaceDN w:val="0"/>
              <w:adjustRightInd w:val="0"/>
              <w:snapToGrid w:val="0"/>
              <w:spacing w:before="294" w:line="237" w:lineRule="auto"/>
              <w:ind w:left="551"/>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10</w:t>
            </w:r>
          </w:p>
        </w:tc>
        <w:tc>
          <w:tcPr>
            <w:tcW w:w="1065" w:type="dxa"/>
            <w:vAlign w:val="top"/>
          </w:tcPr>
          <w:p w14:paraId="3ED44E36">
            <w:pPr>
              <w:kinsoku w:val="0"/>
              <w:autoSpaceDE w:val="0"/>
              <w:autoSpaceDN w:val="0"/>
              <w:adjustRightInd w:val="0"/>
              <w:snapToGrid w:val="0"/>
              <w:spacing w:before="294" w:line="220" w:lineRule="auto"/>
              <w:ind w:left="115"/>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0"/>
                <w:kern w:val="0"/>
                <w:sz w:val="24"/>
                <w:szCs w:val="24"/>
                <w:lang w:val="en-US" w:eastAsia="en-US" w:bidi="ar-SA"/>
              </w:rPr>
              <w:t>项目经理</w:t>
            </w:r>
          </w:p>
        </w:tc>
        <w:tc>
          <w:tcPr>
            <w:tcW w:w="914" w:type="dxa"/>
            <w:vAlign w:val="top"/>
          </w:tcPr>
          <w:p w14:paraId="05ACBB95">
            <w:pPr>
              <w:rPr>
                <w:rFonts w:ascii="Arial"/>
                <w:color w:val="auto"/>
                <w:sz w:val="21"/>
              </w:rPr>
            </w:pPr>
          </w:p>
        </w:tc>
        <w:tc>
          <w:tcPr>
            <w:tcW w:w="974" w:type="dxa"/>
            <w:vAlign w:val="top"/>
          </w:tcPr>
          <w:p w14:paraId="1406F06D">
            <w:pPr>
              <w:rPr>
                <w:rFonts w:ascii="Arial"/>
                <w:color w:val="auto"/>
                <w:sz w:val="21"/>
              </w:rPr>
            </w:pPr>
          </w:p>
        </w:tc>
        <w:tc>
          <w:tcPr>
            <w:tcW w:w="4004" w:type="dxa"/>
            <w:vAlign w:val="top"/>
          </w:tcPr>
          <w:p w14:paraId="57559503">
            <w:pPr>
              <w:kinsoku w:val="0"/>
              <w:autoSpaceDE w:val="0"/>
              <w:autoSpaceDN w:val="0"/>
              <w:adjustRightInd w:val="0"/>
              <w:snapToGrid w:val="0"/>
              <w:spacing w:before="294" w:line="218" w:lineRule="auto"/>
              <w:ind w:left="112"/>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29"/>
                <w:kern w:val="0"/>
                <w:sz w:val="24"/>
                <w:szCs w:val="24"/>
                <w:lang w:val="en-US" w:eastAsia="en-US" w:bidi="ar-SA"/>
              </w:rPr>
              <w:t>负责日常项目日常管理。</w:t>
            </w:r>
          </w:p>
        </w:tc>
        <w:tc>
          <w:tcPr>
            <w:tcW w:w="1402" w:type="dxa"/>
            <w:vAlign w:val="top"/>
          </w:tcPr>
          <w:p w14:paraId="541A940A">
            <w:pPr>
              <w:kinsoku w:val="0"/>
              <w:autoSpaceDE w:val="0"/>
              <w:autoSpaceDN w:val="0"/>
              <w:adjustRightInd w:val="0"/>
              <w:snapToGrid w:val="0"/>
              <w:spacing w:before="295" w:line="222" w:lineRule="auto"/>
              <w:ind w:left="55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1"/>
                <w:kern w:val="0"/>
                <w:sz w:val="24"/>
                <w:szCs w:val="24"/>
                <w:lang w:val="en-US" w:eastAsia="en-US" w:bidi="ar-SA"/>
              </w:rPr>
              <w:t>1人</w:t>
            </w:r>
          </w:p>
        </w:tc>
      </w:tr>
      <w:tr w14:paraId="1B7F4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864" w:type="dxa"/>
            <w:gridSpan w:val="5"/>
            <w:vAlign w:val="top"/>
          </w:tcPr>
          <w:p w14:paraId="087F7DC5">
            <w:pPr>
              <w:kinsoku w:val="0"/>
              <w:autoSpaceDE w:val="0"/>
              <w:autoSpaceDN w:val="0"/>
              <w:adjustRightInd w:val="0"/>
              <w:snapToGrid w:val="0"/>
              <w:spacing w:before="146" w:line="218" w:lineRule="auto"/>
              <w:ind w:left="3747"/>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14"/>
                <w:kern w:val="0"/>
                <w:sz w:val="24"/>
                <w:szCs w:val="24"/>
                <w:lang w:val="en-US" w:eastAsia="en-US" w:bidi="ar-SA"/>
              </w:rPr>
              <w:t>合计</w:t>
            </w:r>
          </w:p>
        </w:tc>
        <w:tc>
          <w:tcPr>
            <w:tcW w:w="1402" w:type="dxa"/>
            <w:vAlign w:val="top"/>
          </w:tcPr>
          <w:p w14:paraId="4A37A0EC">
            <w:pPr>
              <w:kinsoku w:val="0"/>
              <w:autoSpaceDE w:val="0"/>
              <w:autoSpaceDN w:val="0"/>
              <w:adjustRightInd w:val="0"/>
              <w:snapToGrid w:val="0"/>
              <w:spacing w:before="146" w:line="222" w:lineRule="auto"/>
              <w:ind w:left="540"/>
              <w:jc w:val="left"/>
              <w:textAlignment w:val="baseline"/>
              <w:rPr>
                <w:rFonts w:ascii="仿宋" w:hAnsi="仿宋" w:eastAsia="仿宋" w:cs="仿宋"/>
                <w:snapToGrid w:val="0"/>
                <w:color w:val="auto"/>
                <w:kern w:val="0"/>
                <w:sz w:val="24"/>
                <w:szCs w:val="24"/>
                <w:lang w:val="en-US" w:eastAsia="en-US" w:bidi="ar-SA"/>
              </w:rPr>
            </w:pPr>
            <w:r>
              <w:rPr>
                <w:rFonts w:ascii="仿宋" w:hAnsi="仿宋" w:eastAsia="仿宋" w:cs="仿宋"/>
                <w:snapToGrid w:val="0"/>
                <w:color w:val="auto"/>
                <w:spacing w:val="-9"/>
                <w:kern w:val="0"/>
                <w:sz w:val="24"/>
                <w:szCs w:val="24"/>
                <w:lang w:val="en-US" w:eastAsia="en-US" w:bidi="ar-SA"/>
              </w:rPr>
              <w:t>91</w:t>
            </w:r>
            <w:r>
              <w:rPr>
                <w:rFonts w:ascii="仿宋" w:hAnsi="仿宋" w:eastAsia="仿宋" w:cs="仿宋"/>
                <w:snapToGrid w:val="0"/>
                <w:color w:val="auto"/>
                <w:spacing w:val="-69"/>
                <w:kern w:val="0"/>
                <w:sz w:val="24"/>
                <w:szCs w:val="24"/>
                <w:lang w:val="en-US" w:eastAsia="en-US" w:bidi="ar-SA"/>
              </w:rPr>
              <w:t xml:space="preserve"> </w:t>
            </w:r>
            <w:r>
              <w:rPr>
                <w:rFonts w:ascii="仿宋" w:hAnsi="仿宋" w:eastAsia="仿宋" w:cs="仿宋"/>
                <w:snapToGrid w:val="0"/>
                <w:color w:val="auto"/>
                <w:spacing w:val="-9"/>
                <w:kern w:val="0"/>
                <w:sz w:val="24"/>
                <w:szCs w:val="24"/>
                <w:lang w:val="en-US" w:eastAsia="en-US" w:bidi="ar-SA"/>
              </w:rPr>
              <w:t>人</w:t>
            </w:r>
          </w:p>
        </w:tc>
      </w:tr>
    </w:tbl>
    <w:p w14:paraId="6B205644">
      <w:pPr>
        <w:rPr>
          <w:rFonts w:ascii="仿宋" w:hAnsi="仿宋" w:eastAsia="仿宋" w:cs="仿宋"/>
          <w:b/>
          <w:bCs/>
          <w:color w:val="auto"/>
          <w:spacing w:val="-23"/>
          <w:sz w:val="35"/>
          <w:szCs w:val="35"/>
        </w:rPr>
      </w:pPr>
    </w:p>
    <w:p w14:paraId="6E79D74D">
      <w:pPr>
        <w:spacing w:before="124" w:line="218" w:lineRule="auto"/>
        <w:ind w:left="463"/>
        <w:rPr>
          <w:rFonts w:ascii="仿宋" w:hAnsi="仿宋" w:eastAsia="仿宋" w:cs="仿宋"/>
          <w:color w:val="auto"/>
          <w:sz w:val="24"/>
          <w:szCs w:val="24"/>
        </w:rPr>
      </w:pPr>
      <w:r>
        <w:rPr>
          <w:rFonts w:ascii="仿宋" w:hAnsi="仿宋" w:eastAsia="仿宋" w:cs="仿宋"/>
          <w:color w:val="auto"/>
          <w:spacing w:val="-25"/>
          <w:sz w:val="24"/>
          <w:szCs w:val="24"/>
        </w:rPr>
        <w:t>3、人员管理要求</w:t>
      </w:r>
    </w:p>
    <w:p w14:paraId="6D25629C">
      <w:pPr>
        <w:spacing w:before="181" w:line="217" w:lineRule="auto"/>
        <w:ind w:left="466"/>
        <w:rPr>
          <w:rFonts w:ascii="仿宋" w:hAnsi="仿宋" w:eastAsia="仿宋" w:cs="仿宋"/>
          <w:color w:val="auto"/>
          <w:sz w:val="24"/>
          <w:szCs w:val="24"/>
        </w:rPr>
      </w:pPr>
      <w:r>
        <w:rPr>
          <w:rFonts w:ascii="仿宋" w:hAnsi="仿宋" w:eastAsia="仿宋" w:cs="仿宋"/>
          <w:color w:val="auto"/>
          <w:spacing w:val="-26"/>
          <w:sz w:val="24"/>
          <w:szCs w:val="24"/>
        </w:rPr>
        <w:t>（1）中标人必须对所聘用人员按《劳动法》办理各</w:t>
      </w:r>
      <w:r>
        <w:rPr>
          <w:rFonts w:ascii="仿宋" w:hAnsi="仿宋" w:eastAsia="仿宋" w:cs="仿宋"/>
          <w:color w:val="auto"/>
          <w:spacing w:val="-27"/>
          <w:sz w:val="24"/>
          <w:szCs w:val="24"/>
        </w:rPr>
        <w:t>种用工手续。</w:t>
      </w:r>
    </w:p>
    <w:p w14:paraId="4666972E">
      <w:pPr>
        <w:spacing w:before="183" w:line="216" w:lineRule="auto"/>
        <w:ind w:left="466"/>
        <w:rPr>
          <w:rFonts w:ascii="仿宋" w:hAnsi="仿宋" w:eastAsia="仿宋" w:cs="仿宋"/>
          <w:color w:val="auto"/>
          <w:sz w:val="24"/>
          <w:szCs w:val="24"/>
        </w:rPr>
      </w:pPr>
      <w:r>
        <w:rPr>
          <w:rFonts w:ascii="仿宋" w:hAnsi="仿宋" w:eastAsia="仿宋" w:cs="仿宋"/>
          <w:color w:val="auto"/>
          <w:spacing w:val="-29"/>
          <w:sz w:val="24"/>
          <w:szCs w:val="24"/>
        </w:rPr>
        <w:t>（2）新招聘人员必须组织岗前培训教育，经培训、考试及体检合格才能上岗。</w:t>
      </w:r>
    </w:p>
    <w:p w14:paraId="6FBA5CDF">
      <w:pPr>
        <w:spacing w:before="184" w:line="287" w:lineRule="auto"/>
        <w:ind w:left="45" w:right="122" w:firstLine="421"/>
        <w:rPr>
          <w:rFonts w:ascii="仿宋" w:hAnsi="仿宋" w:eastAsia="仿宋" w:cs="仿宋"/>
          <w:color w:val="auto"/>
          <w:sz w:val="24"/>
          <w:szCs w:val="24"/>
        </w:rPr>
      </w:pPr>
      <w:r>
        <w:rPr>
          <w:rFonts w:ascii="仿宋" w:hAnsi="仿宋" w:eastAsia="仿宋" w:cs="仿宋"/>
          <w:color w:val="auto"/>
          <w:spacing w:val="-29"/>
          <w:sz w:val="24"/>
          <w:szCs w:val="24"/>
        </w:rPr>
        <w:t>（3）严格执行国家的法律、法规，自觉遵守采购</w:t>
      </w:r>
      <w:r>
        <w:rPr>
          <w:rFonts w:ascii="仿宋" w:hAnsi="仿宋" w:eastAsia="仿宋" w:cs="仿宋"/>
          <w:color w:val="auto"/>
          <w:spacing w:val="-30"/>
          <w:sz w:val="24"/>
          <w:szCs w:val="24"/>
        </w:rPr>
        <w:t>人的各项管理制度，按照服务方案认真组织实</w:t>
      </w:r>
      <w:r>
        <w:rPr>
          <w:rFonts w:ascii="仿宋" w:hAnsi="仿宋" w:eastAsia="仿宋" w:cs="仿宋"/>
          <w:color w:val="auto"/>
          <w:sz w:val="24"/>
          <w:szCs w:val="24"/>
        </w:rPr>
        <w:t xml:space="preserve"> </w:t>
      </w:r>
      <w:r>
        <w:rPr>
          <w:rFonts w:ascii="仿宋" w:hAnsi="仿宋" w:eastAsia="仿宋" w:cs="仿宋"/>
          <w:color w:val="auto"/>
          <w:spacing w:val="-29"/>
          <w:sz w:val="24"/>
          <w:szCs w:val="24"/>
        </w:rPr>
        <w:t>施物业服务工作，合法经营。</w:t>
      </w:r>
    </w:p>
    <w:p w14:paraId="5CDB91E3">
      <w:pPr>
        <w:spacing w:before="200" w:line="288" w:lineRule="auto"/>
        <w:ind w:left="76" w:right="150" w:firstLine="389"/>
        <w:rPr>
          <w:rFonts w:ascii="仿宋" w:hAnsi="仿宋" w:eastAsia="仿宋" w:cs="仿宋"/>
          <w:color w:val="auto"/>
          <w:sz w:val="24"/>
          <w:szCs w:val="24"/>
        </w:rPr>
      </w:pPr>
      <w:r>
        <w:rPr>
          <w:rFonts w:ascii="仿宋" w:hAnsi="仿宋" w:eastAsia="仿宋" w:cs="仿宋"/>
          <w:color w:val="auto"/>
          <w:spacing w:val="-30"/>
          <w:sz w:val="24"/>
          <w:szCs w:val="24"/>
        </w:rPr>
        <w:t>（4）对采购人的整改要及时组织实施。若中标人不能够立即整改或未在规定时</w:t>
      </w:r>
      <w:r>
        <w:rPr>
          <w:rFonts w:ascii="仿宋" w:hAnsi="仿宋" w:eastAsia="仿宋" w:cs="仿宋"/>
          <w:color w:val="auto"/>
          <w:spacing w:val="-31"/>
          <w:sz w:val="24"/>
          <w:szCs w:val="24"/>
        </w:rPr>
        <w:t>间内整改到位，</w:t>
      </w:r>
      <w:r>
        <w:rPr>
          <w:rFonts w:ascii="仿宋" w:hAnsi="仿宋" w:eastAsia="仿宋" w:cs="仿宋"/>
          <w:color w:val="auto"/>
          <w:sz w:val="24"/>
          <w:szCs w:val="24"/>
        </w:rPr>
        <w:t xml:space="preserve"> </w:t>
      </w:r>
      <w:r>
        <w:rPr>
          <w:rFonts w:ascii="仿宋" w:hAnsi="仿宋" w:eastAsia="仿宋" w:cs="仿宋"/>
          <w:color w:val="auto"/>
          <w:spacing w:val="-31"/>
          <w:sz w:val="24"/>
          <w:szCs w:val="24"/>
        </w:rPr>
        <w:t>中标人承担违约责任。采购人有权解除合同。</w:t>
      </w:r>
    </w:p>
    <w:p w14:paraId="5949D881">
      <w:pPr>
        <w:spacing w:before="183" w:line="311" w:lineRule="auto"/>
        <w:ind w:left="46" w:right="101" w:firstLine="419"/>
        <w:rPr>
          <w:rFonts w:ascii="仿宋" w:hAnsi="仿宋" w:eastAsia="仿宋" w:cs="仿宋"/>
          <w:color w:val="auto"/>
          <w:sz w:val="24"/>
          <w:szCs w:val="24"/>
        </w:rPr>
      </w:pPr>
      <w:r>
        <w:rPr>
          <w:rFonts w:ascii="仿宋" w:hAnsi="仿宋" w:eastAsia="仿宋" w:cs="仿宋"/>
          <w:color w:val="auto"/>
          <w:spacing w:val="-29"/>
          <w:sz w:val="24"/>
          <w:szCs w:val="24"/>
        </w:rPr>
        <w:t>（5）加强员工思想教育和安全教育，对有资质要求的岗位必须</w:t>
      </w:r>
      <w:r>
        <w:rPr>
          <w:rFonts w:ascii="仿宋" w:hAnsi="仿宋" w:eastAsia="仿宋" w:cs="仿宋"/>
          <w:color w:val="auto"/>
          <w:spacing w:val="-30"/>
          <w:sz w:val="24"/>
          <w:szCs w:val="24"/>
        </w:rPr>
        <w:t>选用具备上岗证、资格证并经培</w:t>
      </w:r>
      <w:r>
        <w:rPr>
          <w:rFonts w:ascii="仿宋" w:hAnsi="仿宋" w:eastAsia="仿宋" w:cs="仿宋"/>
          <w:color w:val="auto"/>
          <w:sz w:val="24"/>
          <w:szCs w:val="24"/>
        </w:rPr>
        <w:t xml:space="preserve"> </w:t>
      </w:r>
      <w:r>
        <w:rPr>
          <w:rFonts w:ascii="仿宋" w:hAnsi="仿宋" w:eastAsia="仿宋" w:cs="仿宋"/>
          <w:color w:val="auto"/>
          <w:spacing w:val="-32"/>
          <w:sz w:val="24"/>
          <w:szCs w:val="24"/>
        </w:rPr>
        <w:t>训合格的熟练人员，并定期对各类服务人员进行技术知识、安全常识等培训和考核，保证向采购人提</w:t>
      </w:r>
      <w:r>
        <w:rPr>
          <w:rFonts w:ascii="仿宋" w:hAnsi="仿宋" w:eastAsia="仿宋" w:cs="仿宋"/>
          <w:color w:val="auto"/>
          <w:spacing w:val="10"/>
          <w:sz w:val="24"/>
          <w:szCs w:val="24"/>
        </w:rPr>
        <w:t xml:space="preserve"> </w:t>
      </w:r>
      <w:r>
        <w:rPr>
          <w:rFonts w:ascii="仿宋" w:hAnsi="仿宋" w:eastAsia="仿宋" w:cs="仿宋"/>
          <w:color w:val="auto"/>
          <w:spacing w:val="-28"/>
          <w:sz w:val="24"/>
          <w:szCs w:val="24"/>
        </w:rPr>
        <w:t>供优质服务。</w:t>
      </w:r>
    </w:p>
    <w:p w14:paraId="59B06040">
      <w:pPr>
        <w:spacing w:before="183" w:line="311" w:lineRule="auto"/>
        <w:ind w:left="49" w:right="101" w:firstLine="416"/>
        <w:rPr>
          <w:rFonts w:ascii="仿宋" w:hAnsi="仿宋" w:eastAsia="仿宋" w:cs="仿宋"/>
          <w:color w:val="auto"/>
          <w:sz w:val="24"/>
          <w:szCs w:val="24"/>
        </w:rPr>
      </w:pPr>
      <w:r>
        <w:rPr>
          <w:rFonts w:ascii="仿宋" w:hAnsi="仿宋" w:eastAsia="仿宋" w:cs="仿宋"/>
          <w:color w:val="auto"/>
          <w:spacing w:val="-29"/>
          <w:sz w:val="24"/>
          <w:szCs w:val="24"/>
        </w:rPr>
        <w:t>（6）中标人应建立健全劳动安全、卫生制度、工作流程、安全</w:t>
      </w:r>
      <w:r>
        <w:rPr>
          <w:rFonts w:ascii="仿宋" w:hAnsi="仿宋" w:eastAsia="仿宋" w:cs="仿宋"/>
          <w:color w:val="auto"/>
          <w:spacing w:val="-30"/>
          <w:sz w:val="24"/>
          <w:szCs w:val="24"/>
        </w:rPr>
        <w:t>操作守则等规章制度，若因中标</w:t>
      </w:r>
      <w:r>
        <w:rPr>
          <w:rFonts w:ascii="仿宋" w:hAnsi="仿宋" w:eastAsia="仿宋" w:cs="仿宋"/>
          <w:color w:val="auto"/>
          <w:sz w:val="24"/>
          <w:szCs w:val="24"/>
        </w:rPr>
        <w:t xml:space="preserve"> </w:t>
      </w:r>
      <w:r>
        <w:rPr>
          <w:rFonts w:ascii="仿宋" w:hAnsi="仿宋" w:eastAsia="仿宋" w:cs="仿宋"/>
          <w:color w:val="auto"/>
          <w:spacing w:val="-32"/>
          <w:sz w:val="24"/>
          <w:szCs w:val="24"/>
        </w:rPr>
        <w:t>人工作失误造成事故、人身伤亡等，一切法律责任及经济损失由中标人承担，中标人人员的人身安全</w:t>
      </w:r>
      <w:r>
        <w:rPr>
          <w:rFonts w:ascii="仿宋" w:hAnsi="仿宋" w:eastAsia="仿宋" w:cs="仿宋"/>
          <w:color w:val="auto"/>
          <w:spacing w:val="7"/>
          <w:sz w:val="24"/>
          <w:szCs w:val="24"/>
        </w:rPr>
        <w:t xml:space="preserve"> </w:t>
      </w:r>
      <w:r>
        <w:rPr>
          <w:rFonts w:ascii="仿宋" w:hAnsi="仿宋" w:eastAsia="仿宋" w:cs="仿宋"/>
          <w:color w:val="auto"/>
          <w:spacing w:val="-29"/>
          <w:sz w:val="24"/>
          <w:szCs w:val="24"/>
        </w:rPr>
        <w:t>由中标人负全责。</w:t>
      </w:r>
    </w:p>
    <w:p w14:paraId="4E77A0F6">
      <w:pPr>
        <w:spacing w:before="181" w:line="217" w:lineRule="auto"/>
        <w:ind w:left="466"/>
        <w:rPr>
          <w:rFonts w:ascii="仿宋" w:hAnsi="仿宋" w:eastAsia="仿宋" w:cs="仿宋"/>
          <w:color w:val="auto"/>
          <w:sz w:val="24"/>
          <w:szCs w:val="24"/>
        </w:rPr>
      </w:pPr>
      <w:r>
        <w:rPr>
          <w:rFonts w:ascii="仿宋" w:hAnsi="仿宋" w:eastAsia="仿宋" w:cs="仿宋"/>
          <w:color w:val="auto"/>
          <w:spacing w:val="-29"/>
          <w:sz w:val="24"/>
          <w:szCs w:val="24"/>
        </w:rPr>
        <w:t>（7）中标人教育员工爱护采购人各种设施设备，节约水电资源，杜绝各种浪费行为。不经采购</w:t>
      </w:r>
    </w:p>
    <w:p w14:paraId="55541448">
      <w:pPr>
        <w:spacing w:line="217" w:lineRule="auto"/>
        <w:rPr>
          <w:rFonts w:ascii="仿宋" w:hAnsi="仿宋" w:eastAsia="仿宋" w:cs="仿宋"/>
          <w:color w:val="auto"/>
          <w:sz w:val="24"/>
          <w:szCs w:val="24"/>
        </w:rPr>
        <w:sectPr>
          <w:headerReference r:id="rId36" w:type="default"/>
          <w:footerReference r:id="rId37" w:type="default"/>
          <w:pgSz w:w="11910" w:h="16845"/>
          <w:pgMar w:top="1047" w:right="1201" w:bottom="890" w:left="1397" w:header="649" w:footer="659" w:gutter="0"/>
          <w:pgNumType w:fmt="decimal"/>
          <w:cols w:space="720" w:num="1"/>
        </w:sectPr>
      </w:pPr>
    </w:p>
    <w:p w14:paraId="19850555">
      <w:pPr>
        <w:pStyle w:val="3"/>
        <w:spacing w:line="422" w:lineRule="auto"/>
        <w:rPr>
          <w:color w:val="auto"/>
        </w:rPr>
      </w:pPr>
    </w:p>
    <w:p w14:paraId="65574DC7">
      <w:pPr>
        <w:spacing w:before="78" w:line="358" w:lineRule="auto"/>
        <w:ind w:left="45" w:right="99" w:firstLine="4"/>
        <w:jc w:val="both"/>
        <w:rPr>
          <w:rFonts w:ascii="仿宋" w:hAnsi="仿宋" w:eastAsia="仿宋" w:cs="仿宋"/>
          <w:color w:val="auto"/>
          <w:sz w:val="24"/>
          <w:szCs w:val="24"/>
        </w:rPr>
      </w:pPr>
      <w:r>
        <w:rPr>
          <w:rFonts w:ascii="仿宋" w:hAnsi="仿宋" w:eastAsia="仿宋" w:cs="仿宋"/>
          <w:color w:val="auto"/>
          <w:spacing w:val="-32"/>
          <w:sz w:val="24"/>
          <w:szCs w:val="24"/>
        </w:rPr>
        <w:t>人同意，严禁随意调整、私下借用、使用采购人的设施设备、办公家具等固定资产，一经发现，要主</w:t>
      </w:r>
      <w:r>
        <w:rPr>
          <w:rFonts w:ascii="仿宋" w:hAnsi="仿宋" w:eastAsia="仿宋" w:cs="仿宋"/>
          <w:color w:val="auto"/>
          <w:spacing w:val="8"/>
          <w:sz w:val="24"/>
          <w:szCs w:val="24"/>
        </w:rPr>
        <w:t xml:space="preserve"> </w:t>
      </w:r>
      <w:r>
        <w:rPr>
          <w:rFonts w:ascii="仿宋" w:hAnsi="仿宋" w:eastAsia="仿宋" w:cs="仿宋"/>
          <w:color w:val="auto"/>
          <w:spacing w:val="-32"/>
          <w:sz w:val="24"/>
          <w:szCs w:val="24"/>
        </w:rPr>
        <w:t>动接受采购人的处罚，如因中标人原因造成采购人设施设备、家具损坏或水电浪费等财产损失的由中</w:t>
      </w:r>
      <w:r>
        <w:rPr>
          <w:rFonts w:ascii="仿宋" w:hAnsi="仿宋" w:eastAsia="仿宋" w:cs="仿宋"/>
          <w:color w:val="auto"/>
          <w:spacing w:val="11"/>
          <w:sz w:val="24"/>
          <w:szCs w:val="24"/>
        </w:rPr>
        <w:t xml:space="preserve"> </w:t>
      </w:r>
      <w:r>
        <w:rPr>
          <w:rFonts w:ascii="仿宋" w:hAnsi="仿宋" w:eastAsia="仿宋" w:cs="仿宋"/>
          <w:color w:val="auto"/>
          <w:spacing w:val="-29"/>
          <w:sz w:val="24"/>
          <w:szCs w:val="24"/>
        </w:rPr>
        <w:t>标人承担全部经济责任。</w:t>
      </w:r>
    </w:p>
    <w:p w14:paraId="6F58471A">
      <w:pPr>
        <w:spacing w:before="2" w:line="286" w:lineRule="auto"/>
        <w:ind w:left="60" w:right="100" w:firstLine="406"/>
        <w:rPr>
          <w:rFonts w:ascii="仿宋" w:hAnsi="仿宋" w:eastAsia="仿宋" w:cs="仿宋"/>
          <w:color w:val="auto"/>
          <w:sz w:val="24"/>
          <w:szCs w:val="24"/>
        </w:rPr>
      </w:pPr>
      <w:r>
        <w:rPr>
          <w:rFonts w:ascii="仿宋" w:hAnsi="仿宋" w:eastAsia="仿宋" w:cs="仿宋"/>
          <w:color w:val="auto"/>
          <w:spacing w:val="-29"/>
          <w:sz w:val="24"/>
          <w:szCs w:val="24"/>
        </w:rPr>
        <w:t>（8）中标人应当依法为员工缴纳各项社会保险。合同期间如产生涉及中标人为采购人提供服务</w:t>
      </w:r>
      <w:r>
        <w:rPr>
          <w:rFonts w:ascii="仿宋" w:hAnsi="仿宋" w:eastAsia="仿宋" w:cs="仿宋"/>
          <w:color w:val="auto"/>
          <w:spacing w:val="2"/>
          <w:sz w:val="24"/>
          <w:szCs w:val="24"/>
        </w:rPr>
        <w:t xml:space="preserve"> </w:t>
      </w:r>
      <w:r>
        <w:rPr>
          <w:rFonts w:ascii="仿宋" w:hAnsi="仿宋" w:eastAsia="仿宋" w:cs="仿宋"/>
          <w:color w:val="auto"/>
          <w:spacing w:val="-30"/>
          <w:sz w:val="24"/>
          <w:szCs w:val="24"/>
        </w:rPr>
        <w:t>的工作人员的劳务纠纷由中标人自行解决。</w:t>
      </w:r>
    </w:p>
    <w:p w14:paraId="0CD24F51">
      <w:pPr>
        <w:spacing w:before="183" w:line="311" w:lineRule="auto"/>
        <w:ind w:left="46" w:right="99" w:firstLine="419"/>
        <w:rPr>
          <w:rFonts w:ascii="仿宋" w:hAnsi="仿宋" w:eastAsia="仿宋" w:cs="仿宋"/>
          <w:color w:val="auto"/>
          <w:sz w:val="24"/>
          <w:szCs w:val="24"/>
        </w:rPr>
      </w:pPr>
      <w:r>
        <w:rPr>
          <w:rFonts w:ascii="仿宋" w:hAnsi="仿宋" w:eastAsia="仿宋" w:cs="仿宋"/>
          <w:color w:val="auto"/>
          <w:spacing w:val="-29"/>
          <w:sz w:val="24"/>
          <w:szCs w:val="24"/>
        </w:rPr>
        <w:t>（9）中标人员工工作时应统一着装，佩带胸卡，保证按采购人确定的人数足额上岗。根据采购</w:t>
      </w:r>
      <w:r>
        <w:rPr>
          <w:rFonts w:ascii="仿宋" w:hAnsi="仿宋" w:eastAsia="仿宋" w:cs="仿宋"/>
          <w:color w:val="auto"/>
          <w:spacing w:val="1"/>
          <w:sz w:val="24"/>
          <w:szCs w:val="24"/>
        </w:rPr>
        <w:t xml:space="preserve"> </w:t>
      </w:r>
      <w:r>
        <w:rPr>
          <w:rFonts w:ascii="仿宋" w:hAnsi="仿宋" w:eastAsia="仿宋" w:cs="仿宋"/>
          <w:color w:val="auto"/>
          <w:spacing w:val="-32"/>
          <w:sz w:val="24"/>
          <w:szCs w:val="24"/>
        </w:rPr>
        <w:t>人需要，如实提供所有工作、服务人员的相关身份、资质证明和其它相关登记材料。人员变动及调换</w:t>
      </w:r>
      <w:r>
        <w:rPr>
          <w:rFonts w:ascii="仿宋" w:hAnsi="仿宋" w:eastAsia="仿宋" w:cs="仿宋"/>
          <w:color w:val="auto"/>
          <w:spacing w:val="11"/>
          <w:sz w:val="24"/>
          <w:szCs w:val="24"/>
        </w:rPr>
        <w:t xml:space="preserve"> </w:t>
      </w:r>
      <w:r>
        <w:rPr>
          <w:rFonts w:ascii="仿宋" w:hAnsi="仿宋" w:eastAsia="仿宋" w:cs="仿宋"/>
          <w:color w:val="auto"/>
          <w:spacing w:val="-29"/>
          <w:sz w:val="24"/>
          <w:szCs w:val="24"/>
        </w:rPr>
        <w:t>须事先告知采购人并经同意，未经采购人书面批准，不</w:t>
      </w:r>
      <w:r>
        <w:rPr>
          <w:rFonts w:ascii="仿宋" w:hAnsi="仿宋" w:eastAsia="仿宋" w:cs="仿宋"/>
          <w:color w:val="auto"/>
          <w:spacing w:val="-30"/>
          <w:sz w:val="24"/>
          <w:szCs w:val="24"/>
        </w:rPr>
        <w:t>得擅自调整或借用人员。</w:t>
      </w:r>
    </w:p>
    <w:p w14:paraId="1D51DA72">
      <w:pPr>
        <w:spacing w:before="184" w:line="217" w:lineRule="auto"/>
        <w:ind w:left="466"/>
        <w:rPr>
          <w:rFonts w:ascii="仿宋" w:hAnsi="仿宋" w:eastAsia="仿宋" w:cs="仿宋"/>
          <w:color w:val="auto"/>
          <w:sz w:val="24"/>
          <w:szCs w:val="24"/>
        </w:rPr>
      </w:pPr>
      <w:r>
        <w:rPr>
          <w:rFonts w:ascii="仿宋" w:hAnsi="仿宋" w:eastAsia="仿宋" w:cs="仿宋"/>
          <w:color w:val="auto"/>
          <w:spacing w:val="-28"/>
          <w:sz w:val="24"/>
          <w:szCs w:val="24"/>
        </w:rPr>
        <w:t>（10）人工费用应包含工资、社保、福利、</w:t>
      </w:r>
      <w:r>
        <w:rPr>
          <w:rFonts w:ascii="仿宋" w:hAnsi="仿宋" w:eastAsia="仿宋" w:cs="仿宋"/>
          <w:color w:val="auto"/>
          <w:spacing w:val="-29"/>
          <w:sz w:val="24"/>
          <w:szCs w:val="24"/>
        </w:rPr>
        <w:t>工装、日常办公培训等费用。</w:t>
      </w:r>
    </w:p>
    <w:p w14:paraId="45014494">
      <w:pPr>
        <w:spacing w:before="183" w:line="218" w:lineRule="auto"/>
        <w:ind w:left="494"/>
        <w:rPr>
          <w:rFonts w:ascii="仿宋" w:hAnsi="仿宋" w:eastAsia="仿宋" w:cs="仿宋"/>
          <w:color w:val="auto"/>
          <w:sz w:val="24"/>
          <w:szCs w:val="24"/>
        </w:rPr>
      </w:pPr>
      <w:r>
        <w:rPr>
          <w:rFonts w:ascii="仿宋" w:hAnsi="仿宋" w:eastAsia="仿宋" w:cs="仿宋"/>
          <w:b/>
          <w:bCs/>
          <w:color w:val="auto"/>
          <w:spacing w:val="-25"/>
          <w:sz w:val="24"/>
          <w:szCs w:val="24"/>
        </w:rPr>
        <w:t>四、总体服务要求</w:t>
      </w:r>
    </w:p>
    <w:p w14:paraId="741B9BAE">
      <w:pPr>
        <w:spacing w:before="181" w:line="217" w:lineRule="auto"/>
        <w:ind w:left="476"/>
        <w:rPr>
          <w:rFonts w:ascii="仿宋" w:hAnsi="仿宋" w:eastAsia="仿宋" w:cs="仿宋"/>
          <w:color w:val="auto"/>
          <w:sz w:val="24"/>
          <w:szCs w:val="24"/>
        </w:rPr>
      </w:pPr>
      <w:r>
        <w:rPr>
          <w:rFonts w:ascii="仿宋" w:hAnsi="仿宋" w:eastAsia="仿宋" w:cs="仿宋"/>
          <w:color w:val="auto"/>
          <w:spacing w:val="-29"/>
          <w:sz w:val="24"/>
          <w:szCs w:val="24"/>
        </w:rPr>
        <w:t>1、做好物业管理区域内等建筑物和附属建筑物的管理和维</w:t>
      </w:r>
      <w:r>
        <w:rPr>
          <w:rFonts w:ascii="仿宋" w:hAnsi="仿宋" w:eastAsia="仿宋" w:cs="仿宋"/>
          <w:color w:val="auto"/>
          <w:spacing w:val="-30"/>
          <w:sz w:val="24"/>
          <w:szCs w:val="24"/>
        </w:rPr>
        <w:t>护。</w:t>
      </w:r>
    </w:p>
    <w:p w14:paraId="792C33D7">
      <w:pPr>
        <w:spacing w:before="185" w:line="287" w:lineRule="auto"/>
        <w:ind w:left="47" w:right="123" w:firstLine="414"/>
        <w:rPr>
          <w:rFonts w:ascii="仿宋" w:hAnsi="仿宋" w:eastAsia="仿宋" w:cs="仿宋"/>
          <w:color w:val="auto"/>
          <w:sz w:val="24"/>
          <w:szCs w:val="24"/>
        </w:rPr>
      </w:pPr>
      <w:r>
        <w:rPr>
          <w:rFonts w:ascii="仿宋" w:hAnsi="仿宋" w:eastAsia="仿宋" w:cs="仿宋"/>
          <w:color w:val="auto"/>
          <w:spacing w:val="-29"/>
          <w:sz w:val="24"/>
          <w:szCs w:val="24"/>
        </w:rPr>
        <w:t>2、做好物业管理区域内供水、供电、暖通、给排水、中</w:t>
      </w:r>
      <w:r>
        <w:rPr>
          <w:rFonts w:ascii="仿宋" w:hAnsi="仿宋" w:eastAsia="仿宋" w:cs="仿宋"/>
          <w:color w:val="auto"/>
          <w:spacing w:val="-30"/>
          <w:sz w:val="24"/>
          <w:szCs w:val="24"/>
        </w:rPr>
        <w:t>央空调、电梯、机械车位等设备设施的</w:t>
      </w:r>
      <w:r>
        <w:rPr>
          <w:rFonts w:ascii="仿宋" w:hAnsi="仿宋" w:eastAsia="仿宋" w:cs="仿宋"/>
          <w:color w:val="auto"/>
          <w:sz w:val="24"/>
          <w:szCs w:val="24"/>
        </w:rPr>
        <w:t xml:space="preserve"> </w:t>
      </w:r>
      <w:r>
        <w:rPr>
          <w:rFonts w:ascii="仿宋" w:hAnsi="仿宋" w:eastAsia="仿宋" w:cs="仿宋"/>
          <w:color w:val="auto"/>
          <w:spacing w:val="-29"/>
          <w:sz w:val="24"/>
          <w:szCs w:val="24"/>
        </w:rPr>
        <w:t>运行管理和维护。</w:t>
      </w:r>
    </w:p>
    <w:p w14:paraId="731FEA93">
      <w:pPr>
        <w:spacing w:before="183" w:line="217" w:lineRule="auto"/>
        <w:ind w:left="463"/>
        <w:rPr>
          <w:rFonts w:ascii="仿宋" w:hAnsi="仿宋" w:eastAsia="仿宋" w:cs="仿宋"/>
          <w:color w:val="auto"/>
          <w:sz w:val="24"/>
          <w:szCs w:val="24"/>
        </w:rPr>
      </w:pPr>
      <w:r>
        <w:rPr>
          <w:rFonts w:ascii="仿宋" w:hAnsi="仿宋" w:eastAsia="仿宋" w:cs="仿宋"/>
          <w:color w:val="auto"/>
          <w:spacing w:val="-29"/>
          <w:sz w:val="24"/>
          <w:szCs w:val="24"/>
        </w:rPr>
        <w:t>3、做好物业管理区域内公共秩序和内外部环境卫生的维护。</w:t>
      </w:r>
    </w:p>
    <w:p w14:paraId="2DAA4448">
      <w:pPr>
        <w:spacing w:before="184" w:line="215" w:lineRule="auto"/>
        <w:ind w:left="457"/>
        <w:rPr>
          <w:rFonts w:ascii="仿宋" w:hAnsi="仿宋" w:eastAsia="仿宋" w:cs="仿宋"/>
          <w:color w:val="auto"/>
          <w:sz w:val="24"/>
          <w:szCs w:val="24"/>
        </w:rPr>
      </w:pPr>
      <w:r>
        <w:rPr>
          <w:rFonts w:ascii="仿宋" w:hAnsi="仿宋" w:eastAsia="仿宋" w:cs="仿宋"/>
          <w:color w:val="auto"/>
          <w:spacing w:val="-29"/>
          <w:sz w:val="24"/>
          <w:szCs w:val="24"/>
        </w:rPr>
        <w:t>4、做好物业管理区域内车辆（机动车和非机动车）行驶、停放及所管理。</w:t>
      </w:r>
    </w:p>
    <w:p w14:paraId="0A17D432">
      <w:pPr>
        <w:spacing w:before="200" w:line="288" w:lineRule="auto"/>
        <w:ind w:left="45" w:right="115" w:firstLine="417"/>
        <w:rPr>
          <w:rFonts w:ascii="仿宋" w:hAnsi="仿宋" w:eastAsia="仿宋" w:cs="仿宋"/>
          <w:color w:val="auto"/>
          <w:sz w:val="24"/>
          <w:szCs w:val="24"/>
        </w:rPr>
      </w:pPr>
      <w:r>
        <w:rPr>
          <w:rFonts w:ascii="仿宋" w:hAnsi="仿宋" w:eastAsia="仿宋" w:cs="仿宋"/>
          <w:color w:val="auto"/>
          <w:spacing w:val="-29"/>
          <w:sz w:val="24"/>
          <w:szCs w:val="24"/>
        </w:rPr>
        <w:t>5、做好物业管理区域内消防、监控设施的值班及日常检查维护。建</w:t>
      </w:r>
      <w:r>
        <w:rPr>
          <w:rFonts w:ascii="仿宋" w:hAnsi="仿宋" w:eastAsia="仿宋" w:cs="仿宋"/>
          <w:color w:val="auto"/>
          <w:spacing w:val="-30"/>
          <w:sz w:val="24"/>
          <w:szCs w:val="24"/>
        </w:rPr>
        <w:t>立消防管理制度，制订火灾</w:t>
      </w:r>
      <w:r>
        <w:rPr>
          <w:rFonts w:ascii="仿宋" w:hAnsi="仿宋" w:eastAsia="仿宋" w:cs="仿宋"/>
          <w:color w:val="auto"/>
          <w:sz w:val="24"/>
          <w:szCs w:val="24"/>
        </w:rPr>
        <w:t xml:space="preserve"> </w:t>
      </w:r>
      <w:r>
        <w:rPr>
          <w:rFonts w:ascii="仿宋" w:hAnsi="仿宋" w:eastAsia="仿宋" w:cs="仿宋"/>
          <w:color w:val="auto"/>
          <w:spacing w:val="-29"/>
          <w:sz w:val="24"/>
          <w:szCs w:val="24"/>
        </w:rPr>
        <w:t>应急预案，定期组织消防演练。</w:t>
      </w:r>
    </w:p>
    <w:p w14:paraId="42086D1F">
      <w:pPr>
        <w:spacing w:before="183" w:line="216" w:lineRule="auto"/>
        <w:ind w:left="460"/>
        <w:rPr>
          <w:rFonts w:ascii="仿宋" w:hAnsi="仿宋" w:eastAsia="仿宋" w:cs="仿宋"/>
          <w:color w:val="auto"/>
          <w:sz w:val="24"/>
          <w:szCs w:val="24"/>
        </w:rPr>
      </w:pPr>
      <w:r>
        <w:rPr>
          <w:rFonts w:ascii="仿宋" w:hAnsi="仿宋" w:eastAsia="仿宋" w:cs="仿宋"/>
          <w:color w:val="auto"/>
          <w:spacing w:val="-29"/>
          <w:sz w:val="24"/>
          <w:szCs w:val="24"/>
        </w:rPr>
        <w:t>6、乙方做好员工反恐反间谍等涉及安全的教育保密培训。配合甲方做好其他相关安全工作。</w:t>
      </w:r>
    </w:p>
    <w:p w14:paraId="679965A8">
      <w:pPr>
        <w:spacing w:before="184" w:line="217" w:lineRule="auto"/>
        <w:ind w:left="464"/>
        <w:rPr>
          <w:rFonts w:ascii="仿宋" w:hAnsi="仿宋" w:eastAsia="仿宋" w:cs="仿宋"/>
          <w:color w:val="auto"/>
          <w:sz w:val="24"/>
          <w:szCs w:val="24"/>
        </w:rPr>
      </w:pPr>
      <w:r>
        <w:rPr>
          <w:rFonts w:ascii="仿宋" w:hAnsi="仿宋" w:eastAsia="仿宋" w:cs="仿宋"/>
          <w:color w:val="auto"/>
          <w:spacing w:val="-28"/>
          <w:sz w:val="24"/>
          <w:szCs w:val="24"/>
        </w:rPr>
        <w:t>7、做好物业管理区域内公共绿地的养护及管理，</w:t>
      </w:r>
      <w:r>
        <w:rPr>
          <w:rFonts w:ascii="仿宋" w:hAnsi="仿宋" w:eastAsia="仿宋" w:cs="仿宋"/>
          <w:color w:val="auto"/>
          <w:spacing w:val="-29"/>
          <w:sz w:val="24"/>
          <w:szCs w:val="24"/>
        </w:rPr>
        <w:t>垃圾的收集分类及清运,排污管道的清理。</w:t>
      </w:r>
    </w:p>
    <w:p w14:paraId="08B783DF">
      <w:pPr>
        <w:spacing w:before="183" w:line="287" w:lineRule="auto"/>
        <w:ind w:left="52" w:right="124" w:firstLine="407"/>
        <w:rPr>
          <w:rFonts w:ascii="仿宋" w:hAnsi="仿宋" w:eastAsia="仿宋" w:cs="仿宋"/>
          <w:color w:val="auto"/>
          <w:sz w:val="24"/>
          <w:szCs w:val="24"/>
        </w:rPr>
      </w:pPr>
      <w:r>
        <w:rPr>
          <w:rFonts w:ascii="仿宋" w:hAnsi="仿宋" w:eastAsia="仿宋" w:cs="仿宋"/>
          <w:color w:val="auto"/>
          <w:spacing w:val="-29"/>
          <w:sz w:val="24"/>
          <w:szCs w:val="24"/>
        </w:rPr>
        <w:t>8、做好物业管理区域内的安全保障，做好应急突发事件的</w:t>
      </w:r>
      <w:r>
        <w:rPr>
          <w:rFonts w:ascii="仿宋" w:hAnsi="仿宋" w:eastAsia="仿宋" w:cs="仿宋"/>
          <w:color w:val="auto"/>
          <w:spacing w:val="-30"/>
          <w:sz w:val="24"/>
          <w:szCs w:val="24"/>
        </w:rPr>
        <w:t>工作预案。发生安全事故，及时向有</w:t>
      </w:r>
      <w:r>
        <w:rPr>
          <w:rFonts w:ascii="仿宋" w:hAnsi="仿宋" w:eastAsia="仿宋" w:cs="仿宋"/>
          <w:color w:val="auto"/>
          <w:sz w:val="24"/>
          <w:szCs w:val="24"/>
        </w:rPr>
        <w:t xml:space="preserve"> </w:t>
      </w:r>
      <w:r>
        <w:rPr>
          <w:rFonts w:ascii="仿宋" w:hAnsi="仿宋" w:eastAsia="仿宋" w:cs="仿宋"/>
          <w:color w:val="auto"/>
          <w:spacing w:val="-30"/>
          <w:sz w:val="24"/>
          <w:szCs w:val="24"/>
        </w:rPr>
        <w:t>关部门报告，采取相应措施，协助做好救助工作。</w:t>
      </w:r>
    </w:p>
    <w:p w14:paraId="248835FB">
      <w:pPr>
        <w:spacing w:before="185" w:line="287" w:lineRule="auto"/>
        <w:ind w:left="46" w:right="123" w:firstLine="413"/>
        <w:rPr>
          <w:rFonts w:ascii="仿宋" w:hAnsi="仿宋" w:eastAsia="仿宋" w:cs="仿宋"/>
          <w:color w:val="auto"/>
          <w:sz w:val="24"/>
          <w:szCs w:val="24"/>
        </w:rPr>
      </w:pPr>
      <w:r>
        <w:rPr>
          <w:rFonts w:ascii="仿宋" w:hAnsi="仿宋" w:eastAsia="仿宋" w:cs="仿宋"/>
          <w:color w:val="auto"/>
          <w:spacing w:val="-29"/>
          <w:sz w:val="24"/>
          <w:szCs w:val="24"/>
        </w:rPr>
        <w:t>9、做好市政、供电、燃气等专业单位在物业区域内对相关管</w:t>
      </w:r>
      <w:r>
        <w:rPr>
          <w:rFonts w:ascii="仿宋" w:hAnsi="仿宋" w:eastAsia="仿宋" w:cs="仿宋"/>
          <w:color w:val="auto"/>
          <w:spacing w:val="-30"/>
          <w:sz w:val="24"/>
          <w:szCs w:val="24"/>
        </w:rPr>
        <w:t>线、设施维修养护时，进行必要的</w:t>
      </w:r>
      <w:r>
        <w:rPr>
          <w:rFonts w:ascii="仿宋" w:hAnsi="仿宋" w:eastAsia="仿宋" w:cs="仿宋"/>
          <w:color w:val="auto"/>
          <w:sz w:val="24"/>
          <w:szCs w:val="24"/>
        </w:rPr>
        <w:t xml:space="preserve"> </w:t>
      </w:r>
      <w:r>
        <w:rPr>
          <w:rFonts w:ascii="仿宋" w:hAnsi="仿宋" w:eastAsia="仿宋" w:cs="仿宋"/>
          <w:color w:val="auto"/>
          <w:spacing w:val="-28"/>
          <w:sz w:val="24"/>
          <w:szCs w:val="24"/>
        </w:rPr>
        <w:t>协调和管理工作。</w:t>
      </w:r>
    </w:p>
    <w:p w14:paraId="76DCA11D">
      <w:pPr>
        <w:spacing w:before="185" w:line="217" w:lineRule="auto"/>
        <w:ind w:left="476"/>
        <w:rPr>
          <w:rFonts w:ascii="仿宋" w:hAnsi="仿宋" w:eastAsia="仿宋" w:cs="仿宋"/>
          <w:color w:val="auto"/>
          <w:sz w:val="24"/>
          <w:szCs w:val="24"/>
        </w:rPr>
      </w:pPr>
      <w:r>
        <w:rPr>
          <w:rFonts w:ascii="仿宋" w:hAnsi="仿宋" w:eastAsia="仿宋" w:cs="仿宋"/>
          <w:color w:val="auto"/>
          <w:spacing w:val="-29"/>
          <w:sz w:val="24"/>
          <w:szCs w:val="24"/>
        </w:rPr>
        <w:t>10、做好法律法规政策以及物业行规规定的由物业服务企业提供的其它物业管理事项。</w:t>
      </w:r>
    </w:p>
    <w:p w14:paraId="404B6C85">
      <w:pPr>
        <w:spacing w:before="182" w:line="323" w:lineRule="auto"/>
        <w:ind w:left="46" w:right="103" w:firstLine="429"/>
        <w:rPr>
          <w:rFonts w:ascii="仿宋" w:hAnsi="仿宋" w:eastAsia="仿宋" w:cs="仿宋"/>
          <w:color w:val="auto"/>
          <w:sz w:val="24"/>
          <w:szCs w:val="24"/>
        </w:rPr>
      </w:pPr>
      <w:r>
        <w:rPr>
          <w:rFonts w:ascii="仿宋" w:hAnsi="仿宋" w:eastAsia="仿宋" w:cs="仿宋"/>
          <w:color w:val="auto"/>
          <w:spacing w:val="-30"/>
          <w:sz w:val="24"/>
          <w:szCs w:val="24"/>
        </w:rPr>
        <w:t>11、投标人一旦中标，必须实行</w:t>
      </w:r>
      <w:r>
        <w:rPr>
          <w:rFonts w:ascii="仿宋" w:hAnsi="仿宋" w:eastAsia="仿宋" w:cs="仿宋"/>
          <w:color w:val="auto"/>
          <w:spacing w:val="-32"/>
          <w:sz w:val="24"/>
          <w:szCs w:val="24"/>
        </w:rPr>
        <w:t xml:space="preserve"> </w:t>
      </w:r>
      <w:r>
        <w:rPr>
          <w:rFonts w:ascii="仿宋" w:hAnsi="仿宋" w:eastAsia="仿宋" w:cs="仿宋"/>
          <w:color w:val="auto"/>
          <w:spacing w:val="-30"/>
          <w:sz w:val="24"/>
          <w:szCs w:val="24"/>
        </w:rPr>
        <w:t>24</w:t>
      </w:r>
      <w:r>
        <w:rPr>
          <w:rFonts w:ascii="仿宋" w:hAnsi="仿宋" w:eastAsia="仿宋" w:cs="仿宋"/>
          <w:color w:val="auto"/>
          <w:spacing w:val="-29"/>
          <w:sz w:val="24"/>
          <w:szCs w:val="24"/>
        </w:rPr>
        <w:t xml:space="preserve"> </w:t>
      </w:r>
      <w:r>
        <w:rPr>
          <w:rFonts w:ascii="仿宋" w:hAnsi="仿宋" w:eastAsia="仿宋" w:cs="仿宋"/>
          <w:color w:val="auto"/>
          <w:spacing w:val="-30"/>
          <w:sz w:val="24"/>
          <w:szCs w:val="24"/>
        </w:rPr>
        <w:t>小时轮班工作制，按照招标人的上下班时间与作息制度，必</w:t>
      </w:r>
      <w:r>
        <w:rPr>
          <w:rFonts w:ascii="仿宋" w:hAnsi="仿宋" w:eastAsia="仿宋" w:cs="仿宋"/>
          <w:color w:val="auto"/>
          <w:sz w:val="24"/>
          <w:szCs w:val="24"/>
        </w:rPr>
        <w:t xml:space="preserve"> </w:t>
      </w:r>
      <w:r>
        <w:rPr>
          <w:rFonts w:ascii="仿宋" w:hAnsi="仿宋" w:eastAsia="仿宋" w:cs="仿宋"/>
          <w:color w:val="auto"/>
          <w:spacing w:val="-32"/>
          <w:sz w:val="24"/>
          <w:szCs w:val="24"/>
        </w:rPr>
        <w:t>须确保环境整洁，积极营造整洁、优美、安全、舒适、文明的公共服务环境，确保物业管理区域的公</w:t>
      </w:r>
      <w:r>
        <w:rPr>
          <w:rFonts w:ascii="仿宋" w:hAnsi="仿宋" w:eastAsia="仿宋" w:cs="仿宋"/>
          <w:color w:val="auto"/>
          <w:spacing w:val="8"/>
          <w:sz w:val="24"/>
          <w:szCs w:val="24"/>
        </w:rPr>
        <w:t xml:space="preserve"> </w:t>
      </w:r>
      <w:r>
        <w:rPr>
          <w:rFonts w:ascii="仿宋" w:hAnsi="仿宋" w:eastAsia="仿宋" w:cs="仿宋"/>
          <w:color w:val="auto"/>
          <w:spacing w:val="-28"/>
          <w:sz w:val="24"/>
          <w:szCs w:val="24"/>
        </w:rPr>
        <w:t>共安全卫生。按照国家建筑物业环境设施设备项目等级指导标准和物业服务等级指导标准的相关规</w:t>
      </w:r>
      <w:r>
        <w:rPr>
          <w:rFonts w:ascii="仿宋" w:hAnsi="仿宋" w:eastAsia="仿宋" w:cs="仿宋"/>
          <w:color w:val="auto"/>
          <w:spacing w:val="17"/>
          <w:sz w:val="24"/>
          <w:szCs w:val="24"/>
        </w:rPr>
        <w:t xml:space="preserve"> </w:t>
      </w:r>
      <w:r>
        <w:rPr>
          <w:rFonts w:ascii="仿宋" w:hAnsi="仿宋" w:eastAsia="仿宋" w:cs="仿宋"/>
          <w:color w:val="auto"/>
          <w:spacing w:val="-29"/>
          <w:sz w:val="24"/>
          <w:szCs w:val="24"/>
        </w:rPr>
        <w:t>定，对本大楼物业的环境设施设备和物业服务提出</w:t>
      </w:r>
      <w:r>
        <w:rPr>
          <w:rFonts w:ascii="仿宋" w:hAnsi="仿宋" w:eastAsia="仿宋" w:cs="仿宋"/>
          <w:color w:val="auto"/>
          <w:spacing w:val="-30"/>
          <w:sz w:val="24"/>
          <w:szCs w:val="24"/>
        </w:rPr>
        <w:t>具体技术规范和要求。</w:t>
      </w:r>
    </w:p>
    <w:p w14:paraId="27F23EE0">
      <w:pPr>
        <w:spacing w:before="183" w:line="287" w:lineRule="auto"/>
        <w:ind w:left="76" w:right="75" w:firstLine="399"/>
        <w:rPr>
          <w:rFonts w:ascii="仿宋" w:hAnsi="仿宋" w:eastAsia="仿宋" w:cs="仿宋"/>
          <w:color w:val="auto"/>
          <w:sz w:val="24"/>
          <w:szCs w:val="24"/>
        </w:rPr>
      </w:pPr>
      <w:r>
        <w:rPr>
          <w:rFonts w:ascii="仿宋" w:hAnsi="仿宋" w:eastAsia="仿宋" w:cs="仿宋"/>
          <w:color w:val="auto"/>
          <w:spacing w:val="-31"/>
          <w:sz w:val="24"/>
          <w:szCs w:val="24"/>
        </w:rPr>
        <w:t>12、根据现场需要，完成广场各项相关活动的保洁任务；如果有市定迎检任务或其他重要活动，</w:t>
      </w:r>
      <w:r>
        <w:rPr>
          <w:rFonts w:ascii="仿宋" w:hAnsi="仿宋" w:eastAsia="仿宋" w:cs="仿宋"/>
          <w:color w:val="auto"/>
          <w:spacing w:val="10"/>
          <w:sz w:val="24"/>
          <w:szCs w:val="24"/>
        </w:rPr>
        <w:t xml:space="preserve"> </w:t>
      </w:r>
      <w:r>
        <w:rPr>
          <w:rFonts w:ascii="仿宋" w:hAnsi="仿宋" w:eastAsia="仿宋" w:cs="仿宋"/>
          <w:color w:val="auto"/>
          <w:spacing w:val="-31"/>
          <w:sz w:val="24"/>
          <w:szCs w:val="24"/>
        </w:rPr>
        <w:t>中标单位需根据工作需求增派人员，做好相关工作。</w:t>
      </w:r>
    </w:p>
    <w:p w14:paraId="67822293">
      <w:pPr>
        <w:spacing w:line="287" w:lineRule="auto"/>
        <w:rPr>
          <w:rFonts w:ascii="仿宋" w:hAnsi="仿宋" w:eastAsia="仿宋" w:cs="仿宋"/>
          <w:color w:val="auto"/>
          <w:sz w:val="24"/>
          <w:szCs w:val="24"/>
        </w:rPr>
        <w:sectPr>
          <w:footerReference r:id="rId38" w:type="default"/>
          <w:pgSz w:w="11910" w:h="16845"/>
          <w:pgMar w:top="1047" w:right="1201" w:bottom="890" w:left="1397" w:header="649" w:footer="659" w:gutter="0"/>
          <w:pgNumType w:fmt="decimal"/>
          <w:cols w:space="720" w:num="1"/>
        </w:sectPr>
      </w:pPr>
    </w:p>
    <w:p w14:paraId="23295821">
      <w:pPr>
        <w:pStyle w:val="3"/>
        <w:spacing w:line="422" w:lineRule="auto"/>
        <w:rPr>
          <w:color w:val="auto"/>
        </w:rPr>
      </w:pPr>
    </w:p>
    <w:p w14:paraId="558C2C53">
      <w:pPr>
        <w:spacing w:before="78" w:line="354" w:lineRule="auto"/>
        <w:ind w:left="45" w:right="37" w:firstLine="430"/>
        <w:jc w:val="both"/>
        <w:rPr>
          <w:rFonts w:ascii="仿宋" w:hAnsi="仿宋" w:eastAsia="仿宋" w:cs="仿宋"/>
          <w:color w:val="auto"/>
          <w:sz w:val="24"/>
          <w:szCs w:val="24"/>
        </w:rPr>
      </w:pPr>
      <w:r>
        <w:rPr>
          <w:rFonts w:ascii="仿宋" w:hAnsi="仿宋" w:eastAsia="仿宋" w:cs="仿宋"/>
          <w:color w:val="auto"/>
          <w:spacing w:val="-31"/>
          <w:sz w:val="24"/>
          <w:szCs w:val="24"/>
        </w:rPr>
        <w:t>13、文博艺术中心的石材保养、玻璃幕墙及外立面清洗、绿化</w:t>
      </w:r>
      <w:r>
        <w:rPr>
          <w:rFonts w:ascii="仿宋" w:hAnsi="仿宋" w:eastAsia="仿宋" w:cs="仿宋"/>
          <w:color w:val="auto"/>
          <w:spacing w:val="-32"/>
          <w:sz w:val="24"/>
          <w:szCs w:val="24"/>
        </w:rPr>
        <w:t>养护、电梯、消防、监控、中央空</w:t>
      </w:r>
      <w:r>
        <w:rPr>
          <w:rFonts w:ascii="仿宋" w:hAnsi="仿宋" w:eastAsia="仿宋" w:cs="仿宋"/>
          <w:color w:val="auto"/>
          <w:sz w:val="24"/>
          <w:szCs w:val="24"/>
        </w:rPr>
        <w:t xml:space="preserve"> </w:t>
      </w:r>
      <w:r>
        <w:rPr>
          <w:rFonts w:ascii="仿宋" w:hAnsi="仿宋" w:eastAsia="仿宋" w:cs="仿宋"/>
          <w:color w:val="auto"/>
          <w:spacing w:val="-35"/>
          <w:sz w:val="24"/>
          <w:szCs w:val="24"/>
        </w:rPr>
        <w:t>调系统、供水、供电、中央水系、照明设施、道闸系统等各种设备、设施的保养、维护、检测、维修、</w:t>
      </w:r>
      <w:r>
        <w:rPr>
          <w:rFonts w:ascii="仿宋" w:hAnsi="仿宋" w:eastAsia="仿宋" w:cs="仿宋"/>
          <w:color w:val="auto"/>
          <w:spacing w:val="2"/>
          <w:sz w:val="24"/>
          <w:szCs w:val="24"/>
        </w:rPr>
        <w:t xml:space="preserve"> </w:t>
      </w:r>
      <w:r>
        <w:rPr>
          <w:rFonts w:ascii="仿宋" w:hAnsi="仿宋" w:eastAsia="仿宋" w:cs="仿宋"/>
          <w:color w:val="auto"/>
          <w:spacing w:val="-29"/>
          <w:sz w:val="24"/>
          <w:szCs w:val="24"/>
        </w:rPr>
        <w:t>除锈等由中标人负责。</w:t>
      </w:r>
    </w:p>
    <w:p w14:paraId="76AFFEEC">
      <w:pPr>
        <w:spacing w:line="217" w:lineRule="auto"/>
        <w:ind w:left="530"/>
        <w:rPr>
          <w:rFonts w:ascii="仿宋" w:hAnsi="仿宋" w:eastAsia="仿宋" w:cs="仿宋"/>
          <w:color w:val="auto"/>
          <w:sz w:val="24"/>
          <w:szCs w:val="24"/>
        </w:rPr>
      </w:pPr>
      <w:r>
        <w:rPr>
          <w:rFonts w:ascii="仿宋" w:hAnsi="仿宋" w:eastAsia="仿宋" w:cs="仿宋"/>
          <w:b/>
          <w:bCs/>
          <w:color w:val="auto"/>
          <w:spacing w:val="-18"/>
          <w:sz w:val="24"/>
          <w:szCs w:val="24"/>
        </w:rPr>
        <w:t>五、其他内容</w:t>
      </w:r>
    </w:p>
    <w:p w14:paraId="78C8C979">
      <w:pPr>
        <w:spacing w:before="123" w:line="288" w:lineRule="auto"/>
        <w:ind w:left="74" w:right="101" w:firstLine="402"/>
        <w:rPr>
          <w:rFonts w:ascii="仿宋" w:hAnsi="仿宋" w:eastAsia="仿宋" w:cs="仿宋"/>
          <w:color w:val="auto"/>
          <w:sz w:val="24"/>
          <w:szCs w:val="24"/>
        </w:rPr>
      </w:pPr>
      <w:r>
        <w:rPr>
          <w:rFonts w:ascii="仿宋" w:hAnsi="仿宋" w:eastAsia="仿宋" w:cs="仿宋"/>
          <w:color w:val="auto"/>
          <w:spacing w:val="-29"/>
          <w:sz w:val="24"/>
          <w:szCs w:val="24"/>
        </w:rPr>
        <w:t>1、服务期满一年后，若中标人服务良好，获得采购人的认可，采购人可</w:t>
      </w:r>
      <w:r>
        <w:rPr>
          <w:rFonts w:ascii="仿宋" w:hAnsi="仿宋" w:eastAsia="仿宋" w:cs="仿宋"/>
          <w:color w:val="auto"/>
          <w:spacing w:val="-30"/>
          <w:sz w:val="24"/>
          <w:szCs w:val="24"/>
        </w:rPr>
        <w:t>以与中标人续签一年合</w:t>
      </w:r>
      <w:r>
        <w:rPr>
          <w:rFonts w:ascii="仿宋" w:hAnsi="仿宋" w:eastAsia="仿宋" w:cs="仿宋"/>
          <w:color w:val="auto"/>
          <w:sz w:val="24"/>
          <w:szCs w:val="24"/>
        </w:rPr>
        <w:t xml:space="preserve"> </w:t>
      </w:r>
      <w:r>
        <w:rPr>
          <w:rFonts w:ascii="仿宋" w:hAnsi="仿宋" w:eastAsia="仿宋" w:cs="仿宋"/>
          <w:color w:val="auto"/>
          <w:spacing w:val="-31"/>
          <w:sz w:val="24"/>
          <w:szCs w:val="24"/>
        </w:rPr>
        <w:t>同，最多可续签两次。</w:t>
      </w:r>
    </w:p>
    <w:p w14:paraId="4F80E13B">
      <w:pPr>
        <w:spacing w:before="197" w:line="218" w:lineRule="auto"/>
        <w:ind w:left="461"/>
        <w:rPr>
          <w:rFonts w:ascii="仿宋" w:hAnsi="仿宋" w:eastAsia="仿宋" w:cs="仿宋"/>
          <w:color w:val="auto"/>
          <w:sz w:val="24"/>
          <w:szCs w:val="24"/>
        </w:rPr>
      </w:pPr>
      <w:r>
        <w:rPr>
          <w:rFonts w:ascii="仿宋" w:hAnsi="仿宋" w:eastAsia="仿宋" w:cs="仿宋"/>
          <w:color w:val="auto"/>
          <w:spacing w:val="-26"/>
          <w:sz w:val="24"/>
          <w:szCs w:val="24"/>
        </w:rPr>
        <w:t>2、采购人的权利与义务</w:t>
      </w:r>
    </w:p>
    <w:p w14:paraId="6C6B47E6">
      <w:pPr>
        <w:spacing w:before="181" w:line="216" w:lineRule="auto"/>
        <w:ind w:left="255"/>
        <w:rPr>
          <w:rFonts w:ascii="仿宋" w:hAnsi="仿宋" w:eastAsia="仿宋" w:cs="仿宋"/>
          <w:color w:val="auto"/>
          <w:sz w:val="24"/>
          <w:szCs w:val="24"/>
        </w:rPr>
      </w:pPr>
      <w:r>
        <w:rPr>
          <w:rFonts w:ascii="仿宋" w:hAnsi="仿宋" w:eastAsia="仿宋" w:cs="仿宋"/>
          <w:color w:val="auto"/>
          <w:spacing w:val="-29"/>
          <w:sz w:val="24"/>
          <w:szCs w:val="24"/>
        </w:rPr>
        <w:t>（1）采购人有权检查监督中标人管理工作的实施及制度的执行情况。</w:t>
      </w:r>
    </w:p>
    <w:p w14:paraId="7C6264F0">
      <w:pPr>
        <w:spacing w:before="184" w:line="216" w:lineRule="auto"/>
        <w:ind w:left="255"/>
        <w:rPr>
          <w:rFonts w:ascii="仿宋" w:hAnsi="仿宋" w:eastAsia="仿宋" w:cs="仿宋"/>
          <w:color w:val="auto"/>
          <w:sz w:val="24"/>
          <w:szCs w:val="24"/>
        </w:rPr>
      </w:pPr>
      <w:r>
        <w:rPr>
          <w:rFonts w:ascii="仿宋" w:hAnsi="仿宋" w:eastAsia="仿宋" w:cs="仿宋"/>
          <w:color w:val="auto"/>
          <w:spacing w:val="-29"/>
          <w:sz w:val="24"/>
          <w:szCs w:val="24"/>
        </w:rPr>
        <w:t>（2）积极支持指导并配合中标人开展工作，共同提高管理水平和质量。</w:t>
      </w:r>
    </w:p>
    <w:p w14:paraId="690648A6">
      <w:pPr>
        <w:spacing w:before="185" w:line="216" w:lineRule="auto"/>
        <w:ind w:left="255"/>
        <w:rPr>
          <w:rFonts w:ascii="仿宋" w:hAnsi="仿宋" w:eastAsia="仿宋" w:cs="仿宋"/>
          <w:color w:val="auto"/>
          <w:sz w:val="24"/>
          <w:szCs w:val="24"/>
        </w:rPr>
      </w:pPr>
      <w:r>
        <w:rPr>
          <w:rFonts w:ascii="仿宋" w:hAnsi="仿宋" w:eastAsia="仿宋" w:cs="仿宋"/>
          <w:color w:val="auto"/>
          <w:spacing w:val="-29"/>
          <w:sz w:val="24"/>
          <w:szCs w:val="24"/>
        </w:rPr>
        <w:t>（3）采购人有权对中标人指派人员不符合合同要求的情况下，要求中标人重新指派工作人员。</w:t>
      </w:r>
    </w:p>
    <w:p w14:paraId="5B7EF31D">
      <w:pPr>
        <w:spacing w:before="185" w:line="215" w:lineRule="auto"/>
        <w:ind w:left="255"/>
        <w:rPr>
          <w:rFonts w:ascii="仿宋" w:hAnsi="仿宋" w:eastAsia="仿宋" w:cs="仿宋"/>
          <w:color w:val="auto"/>
          <w:sz w:val="24"/>
          <w:szCs w:val="24"/>
        </w:rPr>
      </w:pPr>
      <w:r>
        <w:rPr>
          <w:rFonts w:ascii="仿宋" w:hAnsi="仿宋" w:eastAsia="仿宋" w:cs="仿宋"/>
          <w:color w:val="auto"/>
          <w:spacing w:val="-29"/>
          <w:sz w:val="24"/>
          <w:szCs w:val="24"/>
        </w:rPr>
        <w:t>（4）采购人不得干涉中标人在合同范围内的正常生产、经营活动。</w:t>
      </w:r>
    </w:p>
    <w:p w14:paraId="61E65175">
      <w:pPr>
        <w:spacing w:before="185" w:line="216" w:lineRule="auto"/>
        <w:ind w:left="255"/>
        <w:rPr>
          <w:rFonts w:ascii="仿宋" w:hAnsi="仿宋" w:eastAsia="仿宋" w:cs="仿宋"/>
          <w:color w:val="auto"/>
          <w:spacing w:val="-29"/>
          <w:sz w:val="24"/>
          <w:szCs w:val="24"/>
        </w:rPr>
      </w:pPr>
      <w:r>
        <w:rPr>
          <w:rFonts w:ascii="仿宋" w:hAnsi="仿宋" w:eastAsia="仿宋" w:cs="仿宋"/>
          <w:color w:val="auto"/>
          <w:spacing w:val="-29"/>
          <w:sz w:val="24"/>
          <w:szCs w:val="24"/>
        </w:rPr>
        <w:t>（5）采购人应当按约定向中标人支付服务费。</w:t>
      </w:r>
    </w:p>
    <w:p w14:paraId="3E60B91A">
      <w:pPr>
        <w:spacing w:before="185" w:line="216" w:lineRule="auto"/>
        <w:ind w:left="255"/>
        <w:rPr>
          <w:rFonts w:ascii="仿宋" w:hAnsi="仿宋" w:eastAsia="仿宋" w:cs="仿宋"/>
          <w:color w:val="auto"/>
          <w:spacing w:val="-29"/>
          <w:sz w:val="24"/>
          <w:szCs w:val="24"/>
        </w:rPr>
      </w:pPr>
      <w:r>
        <w:rPr>
          <w:rFonts w:ascii="仿宋" w:hAnsi="仿宋" w:eastAsia="仿宋" w:cs="仿宋"/>
          <w:color w:val="auto"/>
          <w:spacing w:val="-29"/>
          <w:sz w:val="24"/>
          <w:szCs w:val="24"/>
        </w:rPr>
        <w:t>（6）采购人对场馆内配置的机械设备具有支配权。</w:t>
      </w:r>
    </w:p>
    <w:p w14:paraId="1EA072B1">
      <w:pPr>
        <w:spacing w:before="185" w:line="216" w:lineRule="auto"/>
        <w:ind w:left="255"/>
        <w:rPr>
          <w:rFonts w:ascii="仿宋" w:hAnsi="仿宋" w:eastAsia="仿宋" w:cs="仿宋"/>
          <w:color w:val="auto"/>
          <w:spacing w:val="-29"/>
          <w:sz w:val="24"/>
          <w:szCs w:val="24"/>
        </w:rPr>
      </w:pPr>
      <w:r>
        <w:rPr>
          <w:rFonts w:ascii="仿宋" w:hAnsi="仿宋" w:eastAsia="仿宋" w:cs="仿宋"/>
          <w:color w:val="auto"/>
          <w:spacing w:val="-29"/>
          <w:sz w:val="24"/>
          <w:szCs w:val="24"/>
        </w:rPr>
        <w:br w:type="page"/>
      </w:r>
    </w:p>
    <w:p w14:paraId="5E4EC1F6">
      <w:pPr>
        <w:spacing w:before="114" w:line="228" w:lineRule="auto"/>
        <w:ind w:left="3361"/>
        <w:outlineLvl w:val="0"/>
        <w:rPr>
          <w:rFonts w:ascii="仿宋" w:hAnsi="仿宋" w:eastAsia="仿宋" w:cs="仿宋"/>
          <w:color w:val="auto"/>
          <w:sz w:val="35"/>
          <w:szCs w:val="35"/>
        </w:rPr>
      </w:pPr>
      <w:bookmarkStart w:id="11" w:name="_Toc29631"/>
      <w:r>
        <w:rPr>
          <w:rFonts w:ascii="仿宋" w:hAnsi="仿宋" w:eastAsia="仿宋" w:cs="仿宋"/>
          <w:b/>
          <w:bCs/>
          <w:color w:val="auto"/>
          <w:spacing w:val="-23"/>
          <w:sz w:val="35"/>
          <w:szCs w:val="35"/>
        </w:rPr>
        <w:t>第四章</w:t>
      </w:r>
      <w:r>
        <w:rPr>
          <w:rFonts w:ascii="仿宋" w:hAnsi="仿宋" w:eastAsia="仿宋" w:cs="仿宋"/>
          <w:color w:val="auto"/>
          <w:spacing w:val="74"/>
          <w:sz w:val="35"/>
          <w:szCs w:val="35"/>
        </w:rPr>
        <w:t xml:space="preserve">  </w:t>
      </w:r>
      <w:r>
        <w:rPr>
          <w:rFonts w:ascii="仿宋" w:hAnsi="仿宋" w:eastAsia="仿宋" w:cs="仿宋"/>
          <w:b/>
          <w:bCs/>
          <w:color w:val="auto"/>
          <w:spacing w:val="-23"/>
          <w:sz w:val="35"/>
          <w:szCs w:val="35"/>
        </w:rPr>
        <w:t>合</w:t>
      </w:r>
      <w:r>
        <w:rPr>
          <w:rFonts w:ascii="仿宋" w:hAnsi="仿宋" w:eastAsia="仿宋" w:cs="仿宋"/>
          <w:color w:val="auto"/>
          <w:spacing w:val="10"/>
          <w:sz w:val="35"/>
          <w:szCs w:val="35"/>
        </w:rPr>
        <w:t xml:space="preserve">  </w:t>
      </w:r>
      <w:r>
        <w:rPr>
          <w:rFonts w:ascii="仿宋" w:hAnsi="仿宋" w:eastAsia="仿宋" w:cs="仿宋"/>
          <w:b/>
          <w:bCs/>
          <w:color w:val="auto"/>
          <w:spacing w:val="-23"/>
          <w:sz w:val="35"/>
          <w:szCs w:val="35"/>
        </w:rPr>
        <w:t>同</w:t>
      </w:r>
      <w:bookmarkEnd w:id="11"/>
    </w:p>
    <w:p w14:paraId="204FAD6D">
      <w:pPr>
        <w:pStyle w:val="3"/>
        <w:spacing w:line="284" w:lineRule="auto"/>
        <w:rPr>
          <w:color w:val="auto"/>
        </w:rPr>
      </w:pPr>
    </w:p>
    <w:p w14:paraId="118E931F">
      <w:pPr>
        <w:pStyle w:val="3"/>
        <w:spacing w:line="285" w:lineRule="auto"/>
        <w:rPr>
          <w:color w:val="auto"/>
        </w:rPr>
      </w:pPr>
    </w:p>
    <w:p w14:paraId="1C560F67">
      <w:pPr>
        <w:pStyle w:val="3"/>
        <w:spacing w:line="285" w:lineRule="auto"/>
        <w:rPr>
          <w:color w:val="auto"/>
        </w:rPr>
      </w:pPr>
    </w:p>
    <w:p w14:paraId="063EA5AC">
      <w:pPr>
        <w:spacing w:before="66" w:line="229" w:lineRule="auto"/>
        <w:ind w:left="507"/>
        <w:rPr>
          <w:rFonts w:ascii="仿宋" w:hAnsi="仿宋" w:eastAsia="仿宋" w:cs="仿宋"/>
          <w:color w:val="auto"/>
          <w:sz w:val="20"/>
          <w:szCs w:val="20"/>
        </w:rPr>
      </w:pPr>
      <w:r>
        <w:rPr>
          <w:rFonts w:ascii="仿宋" w:hAnsi="仿宋" w:eastAsia="仿宋" w:cs="仿宋"/>
          <w:color w:val="auto"/>
          <w:spacing w:val="-22"/>
          <w:sz w:val="20"/>
          <w:szCs w:val="20"/>
        </w:rPr>
        <w:t>双方应根据招标文件、中标通知书、中标人</w:t>
      </w:r>
      <w:r>
        <w:rPr>
          <w:rFonts w:ascii="仿宋" w:hAnsi="仿宋" w:eastAsia="仿宋" w:cs="仿宋"/>
          <w:color w:val="auto"/>
          <w:spacing w:val="-23"/>
          <w:sz w:val="20"/>
          <w:szCs w:val="20"/>
        </w:rPr>
        <w:t>的投标文件（包括澄清说明</w:t>
      </w:r>
      <w:r>
        <w:rPr>
          <w:rFonts w:ascii="仿宋" w:hAnsi="仿宋" w:eastAsia="仿宋" w:cs="仿宋"/>
          <w:color w:val="auto"/>
          <w:spacing w:val="-46"/>
          <w:sz w:val="20"/>
          <w:szCs w:val="20"/>
        </w:rPr>
        <w:t>），</w:t>
      </w:r>
      <w:r>
        <w:rPr>
          <w:rFonts w:ascii="仿宋" w:hAnsi="仿宋" w:eastAsia="仿宋" w:cs="仿宋"/>
          <w:color w:val="auto"/>
          <w:spacing w:val="-23"/>
          <w:sz w:val="20"/>
          <w:szCs w:val="20"/>
        </w:rPr>
        <w:t>以及与本项目</w:t>
      </w:r>
      <w:r>
        <w:rPr>
          <w:rFonts w:ascii="仿宋" w:hAnsi="仿宋" w:eastAsia="仿宋" w:cs="仿宋"/>
          <w:color w:val="auto"/>
          <w:spacing w:val="-31"/>
          <w:sz w:val="20"/>
          <w:szCs w:val="20"/>
        </w:rPr>
        <w:t xml:space="preserve"> </w:t>
      </w:r>
      <w:r>
        <w:rPr>
          <w:rFonts w:ascii="仿宋" w:hAnsi="仿宋" w:eastAsia="仿宋" w:cs="仿宋"/>
          <w:color w:val="auto"/>
          <w:spacing w:val="-23"/>
          <w:sz w:val="20"/>
          <w:szCs w:val="20"/>
        </w:rPr>
        <w:t>招标相关的资料、图</w:t>
      </w:r>
    </w:p>
    <w:p w14:paraId="5112D09D">
      <w:pPr>
        <w:pStyle w:val="3"/>
        <w:spacing w:line="425" w:lineRule="auto"/>
        <w:rPr>
          <w:color w:val="auto"/>
        </w:rPr>
      </w:pPr>
    </w:p>
    <w:p w14:paraId="67B6558F">
      <w:pPr>
        <w:spacing w:before="66" w:line="229" w:lineRule="auto"/>
        <w:ind w:left="31"/>
        <w:rPr>
          <w:rFonts w:ascii="仿宋" w:hAnsi="仿宋" w:eastAsia="仿宋" w:cs="仿宋"/>
          <w:color w:val="auto"/>
          <w:sz w:val="20"/>
          <w:szCs w:val="20"/>
        </w:rPr>
      </w:pPr>
      <w:r>
        <w:rPr>
          <w:rFonts w:ascii="仿宋" w:hAnsi="仿宋" w:eastAsia="仿宋" w:cs="仿宋"/>
          <w:color w:val="auto"/>
          <w:spacing w:val="-18"/>
          <w:sz w:val="20"/>
          <w:szCs w:val="20"/>
        </w:rPr>
        <w:t>纸（如有）签订采购合同。所签订的合同不得背离招标文件的实质性内容 要求和投标</w:t>
      </w:r>
      <w:r>
        <w:rPr>
          <w:rFonts w:ascii="仿宋" w:hAnsi="仿宋" w:eastAsia="仿宋" w:cs="仿宋"/>
          <w:color w:val="auto"/>
          <w:spacing w:val="-19"/>
          <w:sz w:val="20"/>
          <w:szCs w:val="20"/>
        </w:rPr>
        <w:t>文件的承诺。</w:t>
      </w:r>
    </w:p>
    <w:p w14:paraId="551527A8">
      <w:pPr>
        <w:pStyle w:val="3"/>
        <w:spacing w:line="449" w:lineRule="auto"/>
        <w:rPr>
          <w:color w:val="auto"/>
        </w:rPr>
      </w:pPr>
    </w:p>
    <w:p w14:paraId="3FF5D8FF">
      <w:pPr>
        <w:spacing w:before="66" w:line="231" w:lineRule="auto"/>
        <w:ind w:left="13"/>
        <w:rPr>
          <w:rFonts w:ascii="仿宋" w:hAnsi="仿宋" w:eastAsia="仿宋" w:cs="仿宋"/>
          <w:color w:val="auto"/>
          <w:sz w:val="20"/>
          <w:szCs w:val="20"/>
        </w:rPr>
      </w:pPr>
      <w:r>
        <w:rPr>
          <w:rFonts w:ascii="仿宋" w:hAnsi="仿宋" w:eastAsia="仿宋" w:cs="仿宋"/>
          <w:color w:val="auto"/>
          <w:spacing w:val="1"/>
          <w:sz w:val="20"/>
          <w:szCs w:val="20"/>
        </w:rPr>
        <w:t>《</w:t>
      </w:r>
      <w:r>
        <w:rPr>
          <w:rFonts w:ascii="仿宋" w:hAnsi="仿宋" w:eastAsia="仿宋" w:cs="仿宋"/>
          <w:color w:val="auto"/>
          <w:spacing w:val="-20"/>
          <w:sz w:val="20"/>
          <w:szCs w:val="20"/>
        </w:rPr>
        <w:t xml:space="preserve"> </w:t>
      </w:r>
      <w:r>
        <w:rPr>
          <w:rFonts w:ascii="仿宋" w:hAnsi="仿宋" w:eastAsia="仿宋" w:cs="仿宋"/>
          <w:color w:val="auto"/>
          <w:spacing w:val="1"/>
          <w:sz w:val="20"/>
          <w:szCs w:val="20"/>
        </w:rPr>
        <w:t>洛</w:t>
      </w:r>
      <w:r>
        <w:rPr>
          <w:rFonts w:ascii="仿宋" w:hAnsi="仿宋" w:eastAsia="仿宋" w:cs="仿宋"/>
          <w:color w:val="auto"/>
          <w:spacing w:val="-50"/>
          <w:sz w:val="20"/>
          <w:szCs w:val="20"/>
        </w:rPr>
        <w:t xml:space="preserve"> </w:t>
      </w:r>
      <w:r>
        <w:rPr>
          <w:rFonts w:ascii="仿宋" w:hAnsi="仿宋" w:eastAsia="仿宋" w:cs="仿宋"/>
          <w:color w:val="auto"/>
          <w:spacing w:val="1"/>
          <w:sz w:val="20"/>
          <w:szCs w:val="20"/>
        </w:rPr>
        <w:t>阳</w:t>
      </w:r>
      <w:r>
        <w:rPr>
          <w:rFonts w:ascii="仿宋" w:hAnsi="仿宋" w:eastAsia="仿宋" w:cs="仿宋"/>
          <w:color w:val="auto"/>
          <w:spacing w:val="-54"/>
          <w:sz w:val="20"/>
          <w:szCs w:val="20"/>
        </w:rPr>
        <w:t xml:space="preserve"> </w:t>
      </w:r>
      <w:r>
        <w:rPr>
          <w:rFonts w:ascii="仿宋" w:hAnsi="仿宋" w:eastAsia="仿宋" w:cs="仿宋"/>
          <w:color w:val="auto"/>
          <w:spacing w:val="1"/>
          <w:sz w:val="20"/>
          <w:szCs w:val="20"/>
        </w:rPr>
        <w:t>市</w:t>
      </w:r>
      <w:r>
        <w:rPr>
          <w:rFonts w:ascii="仿宋" w:hAnsi="仿宋" w:eastAsia="仿宋" w:cs="仿宋"/>
          <w:color w:val="auto"/>
          <w:spacing w:val="-57"/>
          <w:sz w:val="20"/>
          <w:szCs w:val="20"/>
        </w:rPr>
        <w:t xml:space="preserve"> </w:t>
      </w:r>
      <w:r>
        <w:rPr>
          <w:rFonts w:ascii="仿宋" w:hAnsi="仿宋" w:eastAsia="仿宋" w:cs="仿宋"/>
          <w:color w:val="auto"/>
          <w:spacing w:val="1"/>
          <w:sz w:val="20"/>
          <w:szCs w:val="20"/>
        </w:rPr>
        <w:t>市</w:t>
      </w:r>
      <w:r>
        <w:rPr>
          <w:rFonts w:ascii="仿宋" w:hAnsi="仿宋" w:eastAsia="仿宋" w:cs="仿宋"/>
          <w:color w:val="auto"/>
          <w:spacing w:val="-57"/>
          <w:sz w:val="20"/>
          <w:szCs w:val="20"/>
        </w:rPr>
        <w:t xml:space="preserve"> </w:t>
      </w:r>
      <w:r>
        <w:rPr>
          <w:rFonts w:ascii="仿宋" w:hAnsi="仿宋" w:eastAsia="仿宋" w:cs="仿宋"/>
          <w:color w:val="auto"/>
          <w:spacing w:val="1"/>
          <w:sz w:val="20"/>
          <w:szCs w:val="20"/>
        </w:rPr>
        <w:t>级政</w:t>
      </w:r>
      <w:r>
        <w:rPr>
          <w:rFonts w:ascii="仿宋" w:hAnsi="仿宋" w:eastAsia="仿宋" w:cs="仿宋"/>
          <w:color w:val="auto"/>
          <w:spacing w:val="-60"/>
          <w:sz w:val="20"/>
          <w:szCs w:val="20"/>
        </w:rPr>
        <w:t xml:space="preserve"> </w:t>
      </w:r>
      <w:r>
        <w:rPr>
          <w:rFonts w:ascii="仿宋" w:hAnsi="仿宋" w:eastAsia="仿宋" w:cs="仿宋"/>
          <w:color w:val="auto"/>
          <w:spacing w:val="1"/>
          <w:sz w:val="20"/>
          <w:szCs w:val="20"/>
        </w:rPr>
        <w:t>府服</w:t>
      </w:r>
      <w:r>
        <w:rPr>
          <w:rFonts w:ascii="仿宋" w:hAnsi="仿宋" w:eastAsia="仿宋" w:cs="仿宋"/>
          <w:color w:val="auto"/>
          <w:spacing w:val="-54"/>
          <w:sz w:val="20"/>
          <w:szCs w:val="20"/>
        </w:rPr>
        <w:t xml:space="preserve"> </w:t>
      </w:r>
      <w:r>
        <w:rPr>
          <w:rFonts w:ascii="仿宋" w:hAnsi="仿宋" w:eastAsia="仿宋" w:cs="仿宋"/>
          <w:color w:val="auto"/>
          <w:spacing w:val="1"/>
          <w:sz w:val="20"/>
          <w:szCs w:val="20"/>
        </w:rPr>
        <w:t>务</w:t>
      </w:r>
      <w:r>
        <w:rPr>
          <w:rFonts w:ascii="仿宋" w:hAnsi="仿宋" w:eastAsia="仿宋" w:cs="仿宋"/>
          <w:color w:val="auto"/>
          <w:spacing w:val="-60"/>
          <w:sz w:val="20"/>
          <w:szCs w:val="20"/>
        </w:rPr>
        <w:t xml:space="preserve"> </w:t>
      </w:r>
      <w:r>
        <w:rPr>
          <w:rFonts w:ascii="仿宋" w:hAnsi="仿宋" w:eastAsia="仿宋" w:cs="仿宋"/>
          <w:color w:val="auto"/>
          <w:spacing w:val="1"/>
          <w:sz w:val="20"/>
          <w:szCs w:val="20"/>
        </w:rPr>
        <w:t>类</w:t>
      </w:r>
      <w:r>
        <w:rPr>
          <w:rFonts w:ascii="仿宋" w:hAnsi="仿宋" w:eastAsia="仿宋" w:cs="仿宋"/>
          <w:color w:val="auto"/>
          <w:spacing w:val="-58"/>
          <w:sz w:val="20"/>
          <w:szCs w:val="20"/>
        </w:rPr>
        <w:t xml:space="preserve"> </w:t>
      </w:r>
      <w:r>
        <w:rPr>
          <w:rFonts w:ascii="仿宋" w:hAnsi="仿宋" w:eastAsia="仿宋" w:cs="仿宋"/>
          <w:color w:val="auto"/>
          <w:spacing w:val="1"/>
          <w:sz w:val="20"/>
          <w:szCs w:val="20"/>
        </w:rPr>
        <w:t>采购</w:t>
      </w:r>
      <w:r>
        <w:rPr>
          <w:rFonts w:ascii="仿宋" w:hAnsi="仿宋" w:eastAsia="仿宋" w:cs="仿宋"/>
          <w:color w:val="auto"/>
          <w:spacing w:val="-57"/>
          <w:sz w:val="20"/>
          <w:szCs w:val="20"/>
        </w:rPr>
        <w:t xml:space="preserve"> </w:t>
      </w:r>
      <w:r>
        <w:rPr>
          <w:rFonts w:ascii="仿宋" w:hAnsi="仿宋" w:eastAsia="仿宋" w:cs="仿宋"/>
          <w:color w:val="auto"/>
          <w:spacing w:val="1"/>
          <w:sz w:val="20"/>
          <w:szCs w:val="20"/>
        </w:rPr>
        <w:t>合</w:t>
      </w:r>
      <w:r>
        <w:rPr>
          <w:rFonts w:ascii="仿宋" w:hAnsi="仿宋" w:eastAsia="仿宋" w:cs="仿宋"/>
          <w:color w:val="auto"/>
          <w:spacing w:val="-35"/>
          <w:sz w:val="20"/>
          <w:szCs w:val="20"/>
        </w:rPr>
        <w:t xml:space="preserve"> </w:t>
      </w:r>
      <w:r>
        <w:rPr>
          <w:rFonts w:ascii="仿宋" w:hAnsi="仿宋" w:eastAsia="仿宋" w:cs="仿宋"/>
          <w:color w:val="auto"/>
          <w:spacing w:val="1"/>
          <w:sz w:val="20"/>
          <w:szCs w:val="20"/>
        </w:rPr>
        <w:t>同</w:t>
      </w:r>
      <w:r>
        <w:rPr>
          <w:rFonts w:ascii="仿宋" w:hAnsi="仿宋" w:eastAsia="仿宋" w:cs="仿宋"/>
          <w:color w:val="auto"/>
          <w:spacing w:val="-51"/>
          <w:sz w:val="20"/>
          <w:szCs w:val="20"/>
        </w:rPr>
        <w:t xml:space="preserve"> </w:t>
      </w:r>
      <w:r>
        <w:rPr>
          <w:rFonts w:ascii="仿宋" w:hAnsi="仿宋" w:eastAsia="仿宋" w:cs="仿宋"/>
          <w:color w:val="auto"/>
          <w:spacing w:val="1"/>
          <w:sz w:val="20"/>
          <w:szCs w:val="20"/>
        </w:rPr>
        <w:t>范</w:t>
      </w:r>
      <w:r>
        <w:rPr>
          <w:rFonts w:ascii="仿宋" w:hAnsi="仿宋" w:eastAsia="仿宋" w:cs="仿宋"/>
          <w:color w:val="auto"/>
          <w:spacing w:val="-59"/>
          <w:sz w:val="20"/>
          <w:szCs w:val="20"/>
        </w:rPr>
        <w:t xml:space="preserve"> </w:t>
      </w:r>
      <w:r>
        <w:rPr>
          <w:rFonts w:ascii="仿宋" w:hAnsi="仿宋" w:eastAsia="仿宋" w:cs="仿宋"/>
          <w:color w:val="auto"/>
          <w:spacing w:val="1"/>
          <w:sz w:val="20"/>
          <w:szCs w:val="20"/>
        </w:rPr>
        <w:t>本</w:t>
      </w:r>
      <w:r>
        <w:rPr>
          <w:rFonts w:ascii="仿宋" w:hAnsi="仿宋" w:eastAsia="仿宋" w:cs="仿宋"/>
          <w:color w:val="auto"/>
          <w:spacing w:val="-57"/>
          <w:sz w:val="20"/>
          <w:szCs w:val="20"/>
        </w:rPr>
        <w:t xml:space="preserve"> </w:t>
      </w:r>
      <w:r>
        <w:rPr>
          <w:rFonts w:ascii="仿宋" w:hAnsi="仿宋" w:eastAsia="仿宋" w:cs="仿宋"/>
          <w:color w:val="auto"/>
          <w:spacing w:val="1"/>
          <w:sz w:val="20"/>
          <w:szCs w:val="20"/>
        </w:rPr>
        <w:t>》</w:t>
      </w:r>
      <w:r>
        <w:rPr>
          <w:rFonts w:ascii="仿宋" w:hAnsi="仿宋" w:eastAsia="仿宋" w:cs="仿宋"/>
          <w:color w:val="auto"/>
          <w:spacing w:val="-51"/>
          <w:sz w:val="20"/>
          <w:szCs w:val="20"/>
        </w:rPr>
        <w:t xml:space="preserve"> </w:t>
      </w:r>
      <w:r>
        <w:rPr>
          <w:rFonts w:ascii="仿宋" w:hAnsi="仿宋" w:eastAsia="仿宋" w:cs="仿宋"/>
          <w:color w:val="auto"/>
          <w:spacing w:val="1"/>
          <w:sz w:val="20"/>
          <w:szCs w:val="20"/>
        </w:rPr>
        <w:t>下载</w:t>
      </w:r>
      <w:r>
        <w:rPr>
          <w:rFonts w:ascii="仿宋" w:hAnsi="仿宋" w:eastAsia="仿宋" w:cs="仿宋"/>
          <w:color w:val="auto"/>
          <w:spacing w:val="-59"/>
          <w:sz w:val="20"/>
          <w:szCs w:val="20"/>
        </w:rPr>
        <w:t xml:space="preserve"> </w:t>
      </w:r>
      <w:r>
        <w:rPr>
          <w:rFonts w:ascii="仿宋" w:hAnsi="仿宋" w:eastAsia="仿宋" w:cs="仿宋"/>
          <w:color w:val="auto"/>
          <w:spacing w:val="1"/>
          <w:sz w:val="20"/>
          <w:szCs w:val="20"/>
        </w:rPr>
        <w:t>地</w:t>
      </w:r>
      <w:r>
        <w:rPr>
          <w:rFonts w:ascii="仿宋" w:hAnsi="仿宋" w:eastAsia="仿宋" w:cs="仿宋"/>
          <w:color w:val="auto"/>
          <w:spacing w:val="-58"/>
          <w:sz w:val="20"/>
          <w:szCs w:val="20"/>
        </w:rPr>
        <w:t xml:space="preserve"> </w:t>
      </w:r>
      <w:r>
        <w:rPr>
          <w:rFonts w:ascii="仿宋" w:hAnsi="仿宋" w:eastAsia="仿宋" w:cs="仿宋"/>
          <w:color w:val="auto"/>
          <w:spacing w:val="1"/>
          <w:sz w:val="20"/>
          <w:szCs w:val="20"/>
        </w:rPr>
        <w:t>址：</w:t>
      </w:r>
      <w:r>
        <w:rPr>
          <w:rFonts w:ascii="仿宋" w:hAnsi="仿宋" w:eastAsia="仿宋" w:cs="仿宋"/>
          <w:color w:val="auto"/>
          <w:spacing w:val="-30"/>
          <w:sz w:val="20"/>
          <w:szCs w:val="20"/>
        </w:rPr>
        <w:t xml:space="preserve"> </w:t>
      </w:r>
      <w:r>
        <w:rPr>
          <w:rFonts w:ascii="仿宋" w:hAnsi="仿宋" w:eastAsia="仿宋" w:cs="仿宋"/>
          <w:color w:val="auto"/>
          <w:spacing w:val="1"/>
          <w:sz w:val="20"/>
          <w:szCs w:val="20"/>
        </w:rPr>
        <w:t>洛</w:t>
      </w:r>
      <w:r>
        <w:rPr>
          <w:rFonts w:ascii="仿宋" w:hAnsi="仿宋" w:eastAsia="仿宋" w:cs="仿宋"/>
          <w:color w:val="auto"/>
          <w:spacing w:val="-50"/>
          <w:sz w:val="20"/>
          <w:szCs w:val="20"/>
        </w:rPr>
        <w:t xml:space="preserve"> </w:t>
      </w:r>
      <w:r>
        <w:rPr>
          <w:rFonts w:ascii="仿宋" w:hAnsi="仿宋" w:eastAsia="仿宋" w:cs="仿宋"/>
          <w:color w:val="auto"/>
          <w:spacing w:val="1"/>
          <w:sz w:val="20"/>
          <w:szCs w:val="20"/>
        </w:rPr>
        <w:t>阳</w:t>
      </w:r>
      <w:r>
        <w:rPr>
          <w:rFonts w:ascii="仿宋" w:hAnsi="仿宋" w:eastAsia="仿宋" w:cs="仿宋"/>
          <w:color w:val="auto"/>
          <w:spacing w:val="-57"/>
          <w:sz w:val="20"/>
          <w:szCs w:val="20"/>
        </w:rPr>
        <w:t xml:space="preserve"> </w:t>
      </w:r>
      <w:r>
        <w:rPr>
          <w:rFonts w:ascii="仿宋" w:hAnsi="仿宋" w:eastAsia="仿宋" w:cs="仿宋"/>
          <w:color w:val="auto"/>
          <w:spacing w:val="1"/>
          <w:sz w:val="20"/>
          <w:szCs w:val="20"/>
        </w:rPr>
        <w:t>市政府采购网</w:t>
      </w:r>
      <w:r>
        <w:rPr>
          <w:color w:val="auto"/>
        </w:rPr>
        <w:fldChar w:fldCharType="begin"/>
      </w:r>
      <w:r>
        <w:rPr>
          <w:color w:val="auto"/>
        </w:rPr>
        <w:instrText xml:space="preserve"> HYPERLINK "http://luoyang.hngp.gov.cn/" </w:instrText>
      </w:r>
      <w:r>
        <w:rPr>
          <w:color w:val="auto"/>
        </w:rPr>
        <w:fldChar w:fldCharType="separate"/>
      </w:r>
      <w:r>
        <w:rPr>
          <w:rFonts w:ascii="仿宋" w:hAnsi="仿宋" w:eastAsia="仿宋" w:cs="仿宋"/>
          <w:color w:val="auto"/>
          <w:spacing w:val="-14"/>
          <w:sz w:val="20"/>
          <w:szCs w:val="20"/>
        </w:rPr>
        <w:t>（http://luoyang.hng</w:t>
      </w:r>
      <w:r>
        <w:rPr>
          <w:rFonts w:ascii="仿宋" w:hAnsi="仿宋" w:eastAsia="仿宋" w:cs="仿宋"/>
          <w:color w:val="auto"/>
          <w:spacing w:val="-15"/>
          <w:sz w:val="20"/>
          <w:szCs w:val="20"/>
        </w:rPr>
        <w:t>p.gov.cn/</w:t>
      </w:r>
      <w:r>
        <w:rPr>
          <w:rFonts w:ascii="仿宋" w:hAnsi="仿宋" w:eastAsia="仿宋" w:cs="仿宋"/>
          <w:color w:val="auto"/>
          <w:spacing w:val="-15"/>
          <w:sz w:val="20"/>
          <w:szCs w:val="20"/>
        </w:rPr>
        <w:fldChar w:fldCharType="end"/>
      </w:r>
      <w:r>
        <w:rPr>
          <w:rFonts w:ascii="仿宋" w:hAnsi="仿宋" w:eastAsia="仿宋" w:cs="仿宋"/>
          <w:color w:val="auto"/>
          <w:spacing w:val="-15"/>
          <w:sz w:val="20"/>
          <w:szCs w:val="20"/>
        </w:rPr>
        <w:t>）首页“文件下载”栏。</w:t>
      </w:r>
    </w:p>
    <w:p w14:paraId="086F4290">
      <w:pPr>
        <w:pStyle w:val="3"/>
        <w:spacing w:line="279" w:lineRule="auto"/>
        <w:rPr>
          <w:color w:val="auto"/>
        </w:rPr>
      </w:pPr>
    </w:p>
    <w:p w14:paraId="7FE2A59F">
      <w:pPr>
        <w:pStyle w:val="3"/>
        <w:spacing w:line="280" w:lineRule="auto"/>
        <w:rPr>
          <w:color w:val="auto"/>
        </w:rPr>
      </w:pPr>
    </w:p>
    <w:p w14:paraId="0C38E219">
      <w:pPr>
        <w:pStyle w:val="3"/>
        <w:spacing w:line="280" w:lineRule="auto"/>
        <w:rPr>
          <w:color w:val="auto"/>
        </w:rPr>
      </w:pPr>
    </w:p>
    <w:p w14:paraId="21326CB7">
      <w:pPr>
        <w:spacing w:before="65" w:line="231" w:lineRule="auto"/>
        <w:ind w:left="2413"/>
        <w:rPr>
          <w:rFonts w:ascii="仿宋" w:hAnsi="仿宋" w:eastAsia="仿宋" w:cs="仿宋"/>
          <w:color w:val="auto"/>
          <w:sz w:val="20"/>
          <w:szCs w:val="20"/>
        </w:rPr>
      </w:pPr>
      <w:r>
        <w:rPr>
          <w:rFonts w:ascii="仿宋" w:hAnsi="仿宋" w:eastAsia="仿宋" w:cs="仿宋"/>
          <w:color w:val="auto"/>
          <w:spacing w:val="-23"/>
          <w:sz w:val="20"/>
          <w:szCs w:val="20"/>
        </w:rPr>
        <w:t>洛阳市政府采购合同融资政策告知函</w:t>
      </w:r>
    </w:p>
    <w:p w14:paraId="7E47F989">
      <w:pPr>
        <w:pStyle w:val="3"/>
        <w:spacing w:line="256" w:lineRule="auto"/>
        <w:rPr>
          <w:color w:val="auto"/>
        </w:rPr>
      </w:pPr>
    </w:p>
    <w:p w14:paraId="666EB8B6">
      <w:pPr>
        <w:pStyle w:val="3"/>
        <w:spacing w:line="256" w:lineRule="auto"/>
        <w:rPr>
          <w:color w:val="auto"/>
        </w:rPr>
      </w:pPr>
    </w:p>
    <w:p w14:paraId="4C28C4EC">
      <w:pPr>
        <w:pStyle w:val="3"/>
        <w:spacing w:line="256" w:lineRule="auto"/>
        <w:rPr>
          <w:color w:val="auto"/>
        </w:rPr>
      </w:pPr>
    </w:p>
    <w:p w14:paraId="080707FD">
      <w:pPr>
        <w:pStyle w:val="3"/>
        <w:spacing w:line="257" w:lineRule="auto"/>
        <w:rPr>
          <w:color w:val="auto"/>
        </w:rPr>
      </w:pPr>
    </w:p>
    <w:p w14:paraId="2542A97B">
      <w:pPr>
        <w:pStyle w:val="3"/>
        <w:spacing w:line="257" w:lineRule="auto"/>
        <w:rPr>
          <w:color w:val="auto"/>
        </w:rPr>
      </w:pPr>
    </w:p>
    <w:p w14:paraId="15EC5698">
      <w:pPr>
        <w:spacing w:before="65" w:line="231" w:lineRule="auto"/>
        <w:ind w:left="29"/>
        <w:rPr>
          <w:rFonts w:ascii="仿宋" w:hAnsi="仿宋" w:eastAsia="仿宋" w:cs="仿宋"/>
          <w:color w:val="auto"/>
          <w:sz w:val="20"/>
          <w:szCs w:val="20"/>
        </w:rPr>
      </w:pPr>
      <w:r>
        <w:rPr>
          <w:rFonts w:ascii="仿宋" w:hAnsi="仿宋" w:eastAsia="仿宋" w:cs="仿宋"/>
          <w:color w:val="auto"/>
          <w:spacing w:val="-18"/>
          <w:sz w:val="20"/>
          <w:szCs w:val="20"/>
        </w:rPr>
        <w:t>各投标人：</w:t>
      </w:r>
    </w:p>
    <w:p w14:paraId="6A9143C4">
      <w:pPr>
        <w:pStyle w:val="3"/>
        <w:spacing w:line="349" w:lineRule="auto"/>
        <w:rPr>
          <w:color w:val="auto"/>
        </w:rPr>
      </w:pPr>
    </w:p>
    <w:p w14:paraId="207D830D">
      <w:pPr>
        <w:spacing w:before="65" w:line="231" w:lineRule="auto"/>
        <w:ind w:left="405"/>
        <w:rPr>
          <w:rFonts w:ascii="仿宋" w:hAnsi="仿宋" w:eastAsia="仿宋" w:cs="仿宋"/>
          <w:color w:val="auto"/>
          <w:sz w:val="20"/>
          <w:szCs w:val="20"/>
        </w:rPr>
      </w:pPr>
      <w:r>
        <w:rPr>
          <w:rFonts w:ascii="仿宋" w:hAnsi="仿宋" w:eastAsia="仿宋" w:cs="仿宋"/>
          <w:color w:val="auto"/>
          <w:spacing w:val="-21"/>
          <w:sz w:val="20"/>
          <w:szCs w:val="20"/>
        </w:rPr>
        <w:t>欢迎贵公司参与河南省政府采购活动！</w:t>
      </w:r>
    </w:p>
    <w:p w14:paraId="39B83FB0">
      <w:pPr>
        <w:pStyle w:val="3"/>
        <w:spacing w:line="479" w:lineRule="auto"/>
        <w:rPr>
          <w:color w:val="auto"/>
        </w:rPr>
      </w:pPr>
    </w:p>
    <w:p w14:paraId="527422FB">
      <w:pPr>
        <w:spacing w:before="65" w:line="229" w:lineRule="auto"/>
        <w:ind w:left="406"/>
        <w:rPr>
          <w:rFonts w:ascii="仿宋" w:hAnsi="仿宋" w:eastAsia="仿宋" w:cs="仿宋"/>
          <w:color w:val="auto"/>
          <w:sz w:val="20"/>
          <w:szCs w:val="20"/>
        </w:rPr>
      </w:pPr>
      <w:r>
        <w:rPr>
          <w:rFonts w:ascii="仿宋" w:hAnsi="仿宋" w:eastAsia="仿宋" w:cs="仿宋"/>
          <w:color w:val="auto"/>
          <w:spacing w:val="-17"/>
          <w:sz w:val="20"/>
          <w:szCs w:val="20"/>
        </w:rPr>
        <w:t>政府采购合同融资是洛阳市财政局联合人民银行洛阳</w:t>
      </w:r>
      <w:r>
        <w:rPr>
          <w:rFonts w:ascii="仿宋" w:hAnsi="仿宋" w:eastAsia="仿宋" w:cs="仿宋"/>
          <w:color w:val="auto"/>
          <w:spacing w:val="-18"/>
          <w:sz w:val="20"/>
          <w:szCs w:val="20"/>
        </w:rPr>
        <w:t>市中心支行支持中小微企业发展，针对参与政府采购活动</w:t>
      </w:r>
    </w:p>
    <w:p w14:paraId="742D860A">
      <w:pPr>
        <w:pStyle w:val="3"/>
        <w:spacing w:line="413" w:lineRule="auto"/>
        <w:rPr>
          <w:color w:val="auto"/>
        </w:rPr>
      </w:pPr>
    </w:p>
    <w:p w14:paraId="42AAE558">
      <w:pPr>
        <w:spacing w:before="65" w:line="231" w:lineRule="auto"/>
        <w:ind w:left="43"/>
        <w:rPr>
          <w:rFonts w:ascii="仿宋" w:hAnsi="仿宋" w:eastAsia="仿宋" w:cs="仿宋"/>
          <w:color w:val="auto"/>
          <w:sz w:val="20"/>
          <w:szCs w:val="20"/>
        </w:rPr>
      </w:pPr>
      <w:r>
        <w:rPr>
          <w:rFonts w:ascii="仿宋" w:hAnsi="仿宋" w:eastAsia="仿宋" w:cs="仿宋"/>
          <w:color w:val="auto"/>
          <w:spacing w:val="-21"/>
          <w:sz w:val="20"/>
          <w:szCs w:val="20"/>
        </w:rPr>
        <w:t>的投标人融资难、融资贵问题推出的一项融资政策。贵公司若成为本次政府采购项目的中标人，可持政府采购合同向</w:t>
      </w:r>
    </w:p>
    <w:p w14:paraId="102E3CDA">
      <w:pPr>
        <w:pStyle w:val="3"/>
        <w:spacing w:line="414" w:lineRule="auto"/>
        <w:rPr>
          <w:color w:val="auto"/>
        </w:rPr>
      </w:pPr>
    </w:p>
    <w:p w14:paraId="0FE35274">
      <w:pPr>
        <w:spacing w:before="65" w:line="229" w:lineRule="auto"/>
        <w:ind w:left="30"/>
        <w:rPr>
          <w:rFonts w:ascii="仿宋" w:hAnsi="仿宋" w:eastAsia="仿宋" w:cs="仿宋"/>
          <w:color w:val="auto"/>
          <w:sz w:val="20"/>
          <w:szCs w:val="20"/>
        </w:rPr>
      </w:pPr>
      <w:r>
        <w:rPr>
          <w:rFonts w:ascii="仿宋" w:hAnsi="仿宋" w:eastAsia="仿宋" w:cs="仿宋"/>
          <w:color w:val="auto"/>
          <w:spacing w:val="-24"/>
          <w:sz w:val="20"/>
          <w:szCs w:val="20"/>
        </w:rPr>
        <w:t>金融机构申请贷款，无需抵押、担保，金融机构将根据《洛阳市财政局、·中国人民银行洛阳市</w:t>
      </w:r>
      <w:r>
        <w:rPr>
          <w:rFonts w:ascii="仿宋" w:hAnsi="仿宋" w:eastAsia="仿宋" w:cs="仿宋"/>
          <w:color w:val="auto"/>
          <w:spacing w:val="-25"/>
          <w:sz w:val="20"/>
          <w:szCs w:val="20"/>
        </w:rPr>
        <w:t>中心支行关于印发深入</w:t>
      </w:r>
    </w:p>
    <w:p w14:paraId="3A05FC07">
      <w:pPr>
        <w:pStyle w:val="3"/>
        <w:spacing w:line="413" w:lineRule="auto"/>
        <w:rPr>
          <w:color w:val="auto"/>
        </w:rPr>
      </w:pPr>
    </w:p>
    <w:p w14:paraId="000A311A">
      <w:pPr>
        <w:spacing w:before="66" w:line="229" w:lineRule="auto"/>
        <w:ind w:left="32"/>
        <w:rPr>
          <w:rFonts w:ascii="仿宋" w:hAnsi="仿宋" w:eastAsia="仿宋" w:cs="仿宋"/>
          <w:color w:val="auto"/>
          <w:sz w:val="20"/>
          <w:szCs w:val="20"/>
        </w:rPr>
      </w:pPr>
      <w:r>
        <w:rPr>
          <w:rFonts w:ascii="仿宋" w:hAnsi="仿宋" w:eastAsia="仿宋" w:cs="仿宋"/>
          <w:color w:val="auto"/>
          <w:spacing w:val="-21"/>
          <w:sz w:val="20"/>
          <w:szCs w:val="20"/>
        </w:rPr>
        <w:t>推进政府采购合同融资工作实施方案》(洛财购(2021)4·号)，按照双方自愿的原则提供便捷、优惠的贷款服务。贷款</w:t>
      </w:r>
    </w:p>
    <w:p w14:paraId="22C8B3CC">
      <w:pPr>
        <w:pStyle w:val="3"/>
        <w:spacing w:line="414" w:lineRule="auto"/>
        <w:rPr>
          <w:color w:val="auto"/>
        </w:rPr>
      </w:pPr>
    </w:p>
    <w:p w14:paraId="4A84D064">
      <w:pPr>
        <w:spacing w:before="65" w:line="228" w:lineRule="auto"/>
        <w:ind w:left="37"/>
        <w:rPr>
          <w:rFonts w:ascii="仿宋" w:hAnsi="仿宋" w:eastAsia="仿宋" w:cs="仿宋"/>
          <w:color w:val="auto"/>
          <w:sz w:val="20"/>
          <w:szCs w:val="20"/>
        </w:rPr>
      </w:pPr>
      <w:r>
        <w:rPr>
          <w:rFonts w:ascii="仿宋" w:hAnsi="仿宋" w:eastAsia="仿宋" w:cs="仿宋"/>
          <w:color w:val="auto"/>
          <w:spacing w:val="-21"/>
          <w:sz w:val="20"/>
          <w:szCs w:val="20"/>
        </w:rPr>
        <w:t>渠道和提供贷款…的金融机构，可在河南省政府采购网“河南省政府采购合同融资平台”或洛阳市政府采购网“政府</w:t>
      </w:r>
    </w:p>
    <w:p w14:paraId="3DDFB45C">
      <w:pPr>
        <w:pStyle w:val="3"/>
        <w:spacing w:line="414" w:lineRule="auto"/>
        <w:rPr>
          <w:color w:val="auto"/>
        </w:rPr>
      </w:pPr>
    </w:p>
    <w:p w14:paraId="1B1F3473">
      <w:pPr>
        <w:spacing w:before="66" w:line="231" w:lineRule="auto"/>
        <w:ind w:left="32"/>
        <w:rPr>
          <w:rFonts w:ascii="仿宋" w:hAnsi="仿宋" w:eastAsia="仿宋" w:cs="仿宋"/>
          <w:color w:val="auto"/>
          <w:sz w:val="20"/>
          <w:szCs w:val="20"/>
        </w:rPr>
      </w:pPr>
      <w:r>
        <w:rPr>
          <w:rFonts w:ascii="仿宋" w:hAnsi="仿宋" w:eastAsia="仿宋" w:cs="仿宋"/>
          <w:color w:val="auto"/>
          <w:spacing w:val="-21"/>
          <w:sz w:val="20"/>
          <w:szCs w:val="20"/>
        </w:rPr>
        <w:t>采购合同融资业务入口”查询联系。</w:t>
      </w:r>
    </w:p>
    <w:p w14:paraId="2D043535">
      <w:pPr>
        <w:spacing w:line="231" w:lineRule="auto"/>
        <w:rPr>
          <w:rFonts w:ascii="仿宋" w:hAnsi="仿宋" w:eastAsia="仿宋" w:cs="仿宋"/>
          <w:color w:val="auto"/>
          <w:sz w:val="20"/>
          <w:szCs w:val="20"/>
        </w:rPr>
        <w:sectPr>
          <w:headerReference r:id="rId39" w:type="default"/>
          <w:footerReference r:id="rId40" w:type="default"/>
          <w:pgSz w:w="11906" w:h="16839"/>
          <w:pgMar w:top="999" w:right="1246" w:bottom="844" w:left="1418" w:header="698" w:footer="682" w:gutter="0"/>
          <w:pgNumType w:fmt="decimal"/>
          <w:cols w:space="720" w:num="1"/>
        </w:sectPr>
      </w:pPr>
    </w:p>
    <w:p w14:paraId="73976228">
      <w:pPr>
        <w:pStyle w:val="3"/>
        <w:spacing w:line="270" w:lineRule="auto"/>
        <w:rPr>
          <w:color w:val="auto"/>
        </w:rPr>
      </w:pPr>
    </w:p>
    <w:p w14:paraId="5147248D">
      <w:pPr>
        <w:pStyle w:val="3"/>
        <w:spacing w:line="271" w:lineRule="auto"/>
        <w:rPr>
          <w:color w:val="auto"/>
        </w:rPr>
      </w:pPr>
    </w:p>
    <w:p w14:paraId="47497E83">
      <w:pPr>
        <w:spacing w:before="97" w:line="219" w:lineRule="auto"/>
        <w:ind w:left="12"/>
        <w:rPr>
          <w:rFonts w:ascii="宋体" w:hAnsi="宋体" w:eastAsia="宋体" w:cs="宋体"/>
          <w:color w:val="auto"/>
          <w:sz w:val="30"/>
          <w:szCs w:val="30"/>
        </w:rPr>
      </w:pPr>
      <w:r>
        <w:rPr>
          <w:rFonts w:ascii="宋体" w:hAnsi="宋体" w:eastAsia="宋体" w:cs="宋体"/>
          <w:color w:val="auto"/>
          <w:spacing w:val="-15"/>
          <w:sz w:val="30"/>
          <w:szCs w:val="30"/>
        </w:rPr>
        <w:t>服务类</w:t>
      </w:r>
    </w:p>
    <w:p w14:paraId="0AA93329">
      <w:pPr>
        <w:pStyle w:val="3"/>
        <w:spacing w:line="251" w:lineRule="auto"/>
        <w:rPr>
          <w:color w:val="auto"/>
        </w:rPr>
      </w:pPr>
    </w:p>
    <w:p w14:paraId="00AC72CB">
      <w:pPr>
        <w:pStyle w:val="3"/>
        <w:spacing w:line="251" w:lineRule="auto"/>
        <w:rPr>
          <w:color w:val="auto"/>
        </w:rPr>
      </w:pPr>
    </w:p>
    <w:p w14:paraId="78F3E472">
      <w:pPr>
        <w:pStyle w:val="3"/>
        <w:spacing w:line="251" w:lineRule="auto"/>
        <w:rPr>
          <w:color w:val="auto"/>
        </w:rPr>
      </w:pPr>
    </w:p>
    <w:p w14:paraId="2A953820">
      <w:pPr>
        <w:spacing w:before="117" w:line="218" w:lineRule="auto"/>
        <w:ind w:left="3133"/>
        <w:rPr>
          <w:rFonts w:ascii="仿宋" w:hAnsi="仿宋" w:eastAsia="仿宋" w:cs="仿宋"/>
          <w:color w:val="auto"/>
          <w:sz w:val="36"/>
          <w:szCs w:val="36"/>
        </w:rPr>
      </w:pPr>
      <w:r>
        <w:rPr>
          <w:rFonts w:ascii="仿宋" w:hAnsi="仿宋" w:eastAsia="仿宋" w:cs="仿宋"/>
          <w:b/>
          <w:bCs/>
          <w:color w:val="auto"/>
          <w:spacing w:val="-21"/>
          <w:sz w:val="36"/>
          <w:szCs w:val="36"/>
        </w:rPr>
        <w:t>政</w:t>
      </w:r>
      <w:r>
        <w:rPr>
          <w:rFonts w:ascii="仿宋" w:hAnsi="仿宋" w:eastAsia="仿宋" w:cs="仿宋"/>
          <w:color w:val="auto"/>
          <w:spacing w:val="10"/>
          <w:sz w:val="36"/>
          <w:szCs w:val="36"/>
        </w:rPr>
        <w:t xml:space="preserve"> </w:t>
      </w:r>
      <w:r>
        <w:rPr>
          <w:rFonts w:ascii="仿宋" w:hAnsi="仿宋" w:eastAsia="仿宋" w:cs="仿宋"/>
          <w:b/>
          <w:bCs/>
          <w:color w:val="auto"/>
          <w:spacing w:val="-21"/>
          <w:sz w:val="36"/>
          <w:szCs w:val="36"/>
        </w:rPr>
        <w:t>府</w:t>
      </w:r>
      <w:r>
        <w:rPr>
          <w:rFonts w:ascii="仿宋" w:hAnsi="仿宋" w:eastAsia="仿宋" w:cs="仿宋"/>
          <w:color w:val="auto"/>
          <w:spacing w:val="12"/>
          <w:sz w:val="36"/>
          <w:szCs w:val="36"/>
        </w:rPr>
        <w:t xml:space="preserve"> </w:t>
      </w:r>
      <w:r>
        <w:rPr>
          <w:rFonts w:ascii="仿宋" w:hAnsi="仿宋" w:eastAsia="仿宋" w:cs="仿宋"/>
          <w:b/>
          <w:bCs/>
          <w:color w:val="auto"/>
          <w:spacing w:val="-21"/>
          <w:sz w:val="36"/>
          <w:szCs w:val="36"/>
        </w:rPr>
        <w:t>采</w:t>
      </w:r>
      <w:r>
        <w:rPr>
          <w:rFonts w:ascii="仿宋" w:hAnsi="仿宋" w:eastAsia="仿宋" w:cs="仿宋"/>
          <w:color w:val="auto"/>
          <w:spacing w:val="-21"/>
          <w:sz w:val="36"/>
          <w:szCs w:val="36"/>
        </w:rPr>
        <w:t xml:space="preserve"> </w:t>
      </w:r>
      <w:r>
        <w:rPr>
          <w:rFonts w:ascii="仿宋" w:hAnsi="仿宋" w:eastAsia="仿宋" w:cs="仿宋"/>
          <w:b/>
          <w:bCs/>
          <w:color w:val="auto"/>
          <w:spacing w:val="-21"/>
          <w:sz w:val="36"/>
          <w:szCs w:val="36"/>
        </w:rPr>
        <w:t>购</w:t>
      </w:r>
      <w:r>
        <w:rPr>
          <w:rFonts w:ascii="仿宋" w:hAnsi="仿宋" w:eastAsia="仿宋" w:cs="仿宋"/>
          <w:color w:val="auto"/>
          <w:spacing w:val="19"/>
          <w:sz w:val="36"/>
          <w:szCs w:val="36"/>
        </w:rPr>
        <w:t xml:space="preserve"> </w:t>
      </w:r>
      <w:r>
        <w:rPr>
          <w:rFonts w:ascii="仿宋" w:hAnsi="仿宋" w:eastAsia="仿宋" w:cs="仿宋"/>
          <w:b/>
          <w:bCs/>
          <w:color w:val="auto"/>
          <w:spacing w:val="-21"/>
          <w:sz w:val="36"/>
          <w:szCs w:val="36"/>
        </w:rPr>
        <w:t>合</w:t>
      </w:r>
      <w:r>
        <w:rPr>
          <w:rFonts w:ascii="仿宋" w:hAnsi="仿宋" w:eastAsia="仿宋" w:cs="仿宋"/>
          <w:color w:val="auto"/>
          <w:spacing w:val="52"/>
          <w:sz w:val="36"/>
          <w:szCs w:val="36"/>
        </w:rPr>
        <w:t xml:space="preserve"> </w:t>
      </w:r>
      <w:r>
        <w:rPr>
          <w:rFonts w:ascii="仿宋" w:hAnsi="仿宋" w:eastAsia="仿宋" w:cs="仿宋"/>
          <w:b/>
          <w:bCs/>
          <w:color w:val="auto"/>
          <w:spacing w:val="-21"/>
          <w:sz w:val="36"/>
          <w:szCs w:val="36"/>
        </w:rPr>
        <w:t>同</w:t>
      </w:r>
    </w:p>
    <w:p w14:paraId="717258C4">
      <w:pPr>
        <w:pStyle w:val="3"/>
        <w:spacing w:line="263" w:lineRule="auto"/>
        <w:rPr>
          <w:color w:val="auto"/>
        </w:rPr>
      </w:pPr>
    </w:p>
    <w:p w14:paraId="19EE2F9D">
      <w:pPr>
        <w:pStyle w:val="3"/>
        <w:spacing w:line="263" w:lineRule="auto"/>
        <w:rPr>
          <w:color w:val="auto"/>
        </w:rPr>
      </w:pPr>
    </w:p>
    <w:p w14:paraId="1D8CDC28">
      <w:pPr>
        <w:pStyle w:val="3"/>
        <w:spacing w:line="263" w:lineRule="auto"/>
        <w:rPr>
          <w:color w:val="auto"/>
        </w:rPr>
      </w:pPr>
    </w:p>
    <w:p w14:paraId="52193EEA">
      <w:pPr>
        <w:pStyle w:val="3"/>
        <w:spacing w:line="263" w:lineRule="auto"/>
        <w:rPr>
          <w:color w:val="auto"/>
        </w:rPr>
      </w:pPr>
    </w:p>
    <w:p w14:paraId="06E8EE7D">
      <w:pPr>
        <w:pStyle w:val="3"/>
        <w:spacing w:line="264" w:lineRule="auto"/>
        <w:rPr>
          <w:color w:val="auto"/>
        </w:rPr>
      </w:pPr>
    </w:p>
    <w:p w14:paraId="440B35CF">
      <w:pPr>
        <w:pStyle w:val="3"/>
        <w:spacing w:line="264" w:lineRule="auto"/>
        <w:rPr>
          <w:color w:val="auto"/>
        </w:rPr>
      </w:pPr>
    </w:p>
    <w:p w14:paraId="5F7E51B2">
      <w:pPr>
        <w:pStyle w:val="3"/>
        <w:spacing w:line="264" w:lineRule="auto"/>
        <w:rPr>
          <w:color w:val="auto"/>
        </w:rPr>
      </w:pPr>
    </w:p>
    <w:p w14:paraId="5DB5ABCA">
      <w:pPr>
        <w:pStyle w:val="3"/>
        <w:spacing w:line="264" w:lineRule="auto"/>
        <w:rPr>
          <w:color w:val="auto"/>
        </w:rPr>
      </w:pPr>
    </w:p>
    <w:p w14:paraId="43522132">
      <w:pPr>
        <w:spacing w:before="78" w:line="217" w:lineRule="auto"/>
        <w:ind w:left="2134"/>
        <w:rPr>
          <w:rFonts w:ascii="仿宋" w:hAnsi="仿宋" w:eastAsia="仿宋" w:cs="仿宋"/>
          <w:color w:val="auto"/>
          <w:sz w:val="24"/>
          <w:szCs w:val="24"/>
        </w:rPr>
      </w:pPr>
      <w:r>
        <w:rPr>
          <w:rFonts w:ascii="仿宋" w:hAnsi="仿宋" w:eastAsia="仿宋" w:cs="仿宋"/>
          <w:color w:val="auto"/>
          <w:spacing w:val="-29"/>
          <w:sz w:val="24"/>
          <w:szCs w:val="24"/>
        </w:rPr>
        <w:t>项目名称：</w:t>
      </w:r>
      <w:r>
        <w:rPr>
          <w:rFonts w:ascii="仿宋" w:hAnsi="仿宋" w:eastAsia="仿宋" w:cs="仿宋"/>
          <w:color w:val="auto"/>
          <w:spacing w:val="-29"/>
          <w:sz w:val="24"/>
          <w:szCs w:val="24"/>
          <w:u w:val="single" w:color="auto"/>
        </w:rPr>
        <w:t xml:space="preserve"> </w:t>
      </w:r>
      <w:r>
        <w:rPr>
          <w:rFonts w:hint="eastAsia" w:ascii="仿宋" w:hAnsi="仿宋" w:eastAsia="仿宋" w:cs="仿宋"/>
          <w:color w:val="auto"/>
          <w:spacing w:val="-29"/>
          <w:sz w:val="24"/>
          <w:szCs w:val="24"/>
          <w:u w:val="single" w:color="auto"/>
          <w:lang w:eastAsia="zh-CN"/>
        </w:rPr>
        <w:t>洛阳市孟津区机关事务服务中心文博艺术中心后勤服务项目</w:t>
      </w:r>
      <w:r>
        <w:rPr>
          <w:rFonts w:ascii="仿宋" w:hAnsi="仿宋" w:eastAsia="仿宋" w:cs="仿宋"/>
          <w:color w:val="auto"/>
          <w:spacing w:val="3"/>
          <w:sz w:val="24"/>
          <w:szCs w:val="24"/>
          <w:u w:val="single" w:color="auto"/>
        </w:rPr>
        <w:t xml:space="preserve">  </w:t>
      </w:r>
    </w:p>
    <w:p w14:paraId="6C10C639">
      <w:pPr>
        <w:spacing w:before="183" w:line="220" w:lineRule="auto"/>
        <w:ind w:left="2134"/>
        <w:rPr>
          <w:rFonts w:ascii="仿宋" w:hAnsi="仿宋" w:eastAsia="仿宋" w:cs="仿宋"/>
          <w:color w:val="auto"/>
          <w:sz w:val="24"/>
          <w:szCs w:val="24"/>
        </w:rPr>
      </w:pPr>
      <w:r>
        <w:rPr>
          <w:rFonts w:ascii="仿宋" w:hAnsi="仿宋" w:eastAsia="仿宋" w:cs="仿宋"/>
          <w:color w:val="auto"/>
          <w:spacing w:val="-34"/>
          <w:sz w:val="24"/>
          <w:szCs w:val="24"/>
        </w:rPr>
        <w:t>项目编号：</w:t>
      </w:r>
      <w:r>
        <w:rPr>
          <w:rFonts w:ascii="仿宋" w:hAnsi="仿宋" w:eastAsia="仿宋" w:cs="仿宋"/>
          <w:color w:val="auto"/>
          <w:sz w:val="24"/>
          <w:szCs w:val="24"/>
          <w:u w:val="single" w:color="auto"/>
        </w:rPr>
        <w:t xml:space="preserve">                              </w:t>
      </w:r>
    </w:p>
    <w:p w14:paraId="5F34BB30">
      <w:pPr>
        <w:spacing w:before="180" w:line="218" w:lineRule="auto"/>
        <w:ind w:left="2165"/>
        <w:rPr>
          <w:rFonts w:ascii="仿宋" w:hAnsi="仿宋" w:eastAsia="仿宋" w:cs="仿宋"/>
          <w:color w:val="auto"/>
          <w:sz w:val="24"/>
          <w:szCs w:val="24"/>
        </w:rPr>
      </w:pPr>
      <w:r>
        <w:rPr>
          <w:rFonts w:ascii="仿宋" w:hAnsi="仿宋" w:eastAsia="仿宋" w:cs="仿宋"/>
          <w:color w:val="auto"/>
          <w:spacing w:val="-37"/>
          <w:sz w:val="24"/>
          <w:szCs w:val="24"/>
        </w:rPr>
        <w:t>甲方合同编号：</w:t>
      </w:r>
      <w:r>
        <w:rPr>
          <w:rFonts w:ascii="仿宋" w:hAnsi="仿宋" w:eastAsia="仿宋" w:cs="仿宋"/>
          <w:color w:val="auto"/>
          <w:sz w:val="24"/>
          <w:szCs w:val="24"/>
          <w:u w:val="single" w:color="auto"/>
        </w:rPr>
        <w:t xml:space="preserve">                           </w:t>
      </w:r>
    </w:p>
    <w:p w14:paraId="5A397C26">
      <w:pPr>
        <w:spacing w:before="181" w:line="218" w:lineRule="auto"/>
        <w:ind w:left="2165"/>
        <w:rPr>
          <w:rFonts w:ascii="仿宋" w:hAnsi="仿宋" w:eastAsia="仿宋" w:cs="仿宋"/>
          <w:color w:val="auto"/>
          <w:sz w:val="24"/>
          <w:szCs w:val="24"/>
        </w:rPr>
      </w:pPr>
      <w:r>
        <w:rPr>
          <w:rFonts w:ascii="仿宋" w:hAnsi="仿宋" w:eastAsia="仿宋" w:cs="仿宋"/>
          <w:color w:val="auto"/>
          <w:spacing w:val="-46"/>
          <w:sz w:val="24"/>
          <w:szCs w:val="24"/>
        </w:rPr>
        <w:t>甲方：</w:t>
      </w:r>
      <w:r>
        <w:rPr>
          <w:rFonts w:ascii="仿宋" w:hAnsi="仿宋" w:eastAsia="仿宋" w:cs="仿宋"/>
          <w:color w:val="auto"/>
          <w:sz w:val="24"/>
          <w:szCs w:val="24"/>
          <w:u w:val="single" w:color="auto"/>
        </w:rPr>
        <w:t xml:space="preserve">                                  </w:t>
      </w:r>
    </w:p>
    <w:p w14:paraId="7E1094AA">
      <w:pPr>
        <w:spacing w:before="197" w:line="220" w:lineRule="auto"/>
        <w:ind w:left="2150"/>
        <w:rPr>
          <w:rFonts w:ascii="仿宋" w:hAnsi="仿宋" w:eastAsia="仿宋" w:cs="仿宋"/>
          <w:color w:val="auto"/>
          <w:sz w:val="24"/>
          <w:szCs w:val="24"/>
        </w:rPr>
      </w:pPr>
      <w:r>
        <w:rPr>
          <w:rFonts w:ascii="仿宋" w:hAnsi="仿宋" w:eastAsia="仿宋" w:cs="仿宋"/>
          <w:color w:val="auto"/>
          <w:spacing w:val="-41"/>
          <w:sz w:val="24"/>
          <w:szCs w:val="24"/>
        </w:rPr>
        <w:t>乙方：</w:t>
      </w:r>
      <w:r>
        <w:rPr>
          <w:rFonts w:ascii="仿宋" w:hAnsi="仿宋" w:eastAsia="仿宋" w:cs="仿宋"/>
          <w:color w:val="auto"/>
          <w:sz w:val="24"/>
          <w:szCs w:val="24"/>
          <w:u w:val="single" w:color="auto"/>
        </w:rPr>
        <w:t xml:space="preserve">                                  </w:t>
      </w:r>
    </w:p>
    <w:p w14:paraId="6CEEE895">
      <w:pPr>
        <w:spacing w:before="180" w:line="217" w:lineRule="auto"/>
        <w:ind w:left="2165"/>
        <w:rPr>
          <w:rFonts w:ascii="仿宋" w:hAnsi="仿宋" w:eastAsia="仿宋" w:cs="仿宋"/>
          <w:color w:val="auto"/>
          <w:sz w:val="24"/>
          <w:szCs w:val="24"/>
        </w:rPr>
      </w:pPr>
      <w:r>
        <w:rPr>
          <w:rFonts w:ascii="仿宋" w:hAnsi="仿宋" w:eastAsia="仿宋" w:cs="仿宋"/>
          <w:color w:val="auto"/>
          <w:spacing w:val="-35"/>
          <w:sz w:val="24"/>
          <w:szCs w:val="24"/>
        </w:rPr>
        <w:t>甲方合同法律审核部门：</w:t>
      </w:r>
      <w:r>
        <w:rPr>
          <w:rFonts w:ascii="仿宋" w:hAnsi="仿宋" w:eastAsia="仿宋" w:cs="仿宋"/>
          <w:color w:val="auto"/>
          <w:sz w:val="24"/>
          <w:szCs w:val="24"/>
          <w:u w:val="single" w:color="auto"/>
        </w:rPr>
        <w:t xml:space="preserve">                    </w:t>
      </w:r>
    </w:p>
    <w:p w14:paraId="0E009A95">
      <w:pPr>
        <w:pStyle w:val="3"/>
        <w:spacing w:line="244" w:lineRule="auto"/>
        <w:rPr>
          <w:color w:val="auto"/>
        </w:rPr>
      </w:pPr>
    </w:p>
    <w:p w14:paraId="4A3248D5">
      <w:pPr>
        <w:pStyle w:val="3"/>
        <w:spacing w:line="244" w:lineRule="auto"/>
        <w:rPr>
          <w:color w:val="auto"/>
        </w:rPr>
      </w:pPr>
    </w:p>
    <w:p w14:paraId="2F761B1A">
      <w:pPr>
        <w:pStyle w:val="3"/>
        <w:spacing w:line="244" w:lineRule="auto"/>
        <w:rPr>
          <w:color w:val="auto"/>
        </w:rPr>
      </w:pPr>
    </w:p>
    <w:p w14:paraId="06BD7E2E">
      <w:pPr>
        <w:pStyle w:val="3"/>
        <w:spacing w:line="244" w:lineRule="auto"/>
        <w:rPr>
          <w:color w:val="auto"/>
        </w:rPr>
      </w:pPr>
    </w:p>
    <w:p w14:paraId="18123D3A">
      <w:pPr>
        <w:pStyle w:val="3"/>
        <w:spacing w:line="244" w:lineRule="auto"/>
        <w:rPr>
          <w:color w:val="auto"/>
        </w:rPr>
      </w:pPr>
    </w:p>
    <w:p w14:paraId="5BAAEAD3">
      <w:pPr>
        <w:pStyle w:val="3"/>
        <w:spacing w:line="244" w:lineRule="auto"/>
        <w:rPr>
          <w:color w:val="auto"/>
        </w:rPr>
      </w:pPr>
    </w:p>
    <w:p w14:paraId="75CF22BD">
      <w:pPr>
        <w:pStyle w:val="3"/>
        <w:spacing w:line="245" w:lineRule="auto"/>
        <w:rPr>
          <w:color w:val="auto"/>
        </w:rPr>
      </w:pPr>
    </w:p>
    <w:p w14:paraId="65F64F67">
      <w:pPr>
        <w:pStyle w:val="3"/>
        <w:spacing w:line="245" w:lineRule="auto"/>
        <w:rPr>
          <w:color w:val="auto"/>
        </w:rPr>
      </w:pPr>
    </w:p>
    <w:p w14:paraId="1E6D4EDD">
      <w:pPr>
        <w:spacing w:before="78" w:line="218" w:lineRule="auto"/>
        <w:ind w:left="2770"/>
        <w:rPr>
          <w:rFonts w:ascii="仿宋" w:hAnsi="仿宋" w:eastAsia="仿宋" w:cs="仿宋"/>
          <w:color w:val="auto"/>
          <w:sz w:val="24"/>
          <w:szCs w:val="24"/>
        </w:rPr>
      </w:pPr>
      <w:r>
        <w:rPr>
          <w:rFonts w:ascii="仿宋" w:hAnsi="仿宋" w:eastAsia="仿宋" w:cs="仿宋"/>
          <w:color w:val="auto"/>
          <w:spacing w:val="-24"/>
          <w:sz w:val="24"/>
          <w:szCs w:val="24"/>
        </w:rPr>
        <w:t>签订时间：</w:t>
      </w:r>
      <w:r>
        <w:rPr>
          <w:rFonts w:ascii="仿宋" w:hAnsi="仿宋" w:eastAsia="仿宋" w:cs="仿宋"/>
          <w:color w:val="auto"/>
          <w:spacing w:val="1"/>
          <w:sz w:val="24"/>
          <w:szCs w:val="24"/>
        </w:rPr>
        <w:t xml:space="preserve">     </w:t>
      </w:r>
      <w:r>
        <w:rPr>
          <w:rFonts w:ascii="仿宋" w:hAnsi="仿宋" w:eastAsia="仿宋" w:cs="仿宋"/>
          <w:color w:val="auto"/>
          <w:spacing w:val="-24"/>
          <w:sz w:val="24"/>
          <w:szCs w:val="24"/>
        </w:rPr>
        <w:t>年</w:t>
      </w:r>
      <w:r>
        <w:rPr>
          <w:rFonts w:ascii="仿宋" w:hAnsi="仿宋" w:eastAsia="仿宋" w:cs="仿宋"/>
          <w:color w:val="auto"/>
          <w:spacing w:val="20"/>
          <w:sz w:val="24"/>
          <w:szCs w:val="24"/>
        </w:rPr>
        <w:t xml:space="preserve">   </w:t>
      </w:r>
      <w:r>
        <w:rPr>
          <w:rFonts w:ascii="仿宋" w:hAnsi="仿宋" w:eastAsia="仿宋" w:cs="仿宋"/>
          <w:color w:val="auto"/>
          <w:spacing w:val="-24"/>
          <w:sz w:val="24"/>
          <w:szCs w:val="24"/>
        </w:rPr>
        <w:t>月</w:t>
      </w:r>
      <w:r>
        <w:rPr>
          <w:rFonts w:ascii="仿宋" w:hAnsi="仿宋" w:eastAsia="仿宋" w:cs="仿宋"/>
          <w:color w:val="auto"/>
          <w:spacing w:val="33"/>
          <w:sz w:val="24"/>
          <w:szCs w:val="24"/>
        </w:rPr>
        <w:t xml:space="preserve">   </w:t>
      </w:r>
      <w:r>
        <w:rPr>
          <w:rFonts w:ascii="仿宋" w:hAnsi="仿宋" w:eastAsia="仿宋" w:cs="仿宋"/>
          <w:color w:val="auto"/>
          <w:spacing w:val="-24"/>
          <w:sz w:val="24"/>
          <w:szCs w:val="24"/>
        </w:rPr>
        <w:t>日</w:t>
      </w:r>
    </w:p>
    <w:p w14:paraId="1F866CA4">
      <w:pPr>
        <w:spacing w:line="218" w:lineRule="auto"/>
        <w:rPr>
          <w:rFonts w:ascii="仿宋" w:hAnsi="仿宋" w:eastAsia="仿宋" w:cs="仿宋"/>
          <w:color w:val="auto"/>
          <w:sz w:val="24"/>
          <w:szCs w:val="24"/>
        </w:rPr>
        <w:sectPr>
          <w:footerReference r:id="rId41" w:type="default"/>
          <w:pgSz w:w="11910" w:h="16845"/>
          <w:pgMar w:top="1047" w:right="1201" w:bottom="890" w:left="1397" w:header="649" w:footer="659" w:gutter="0"/>
          <w:pgNumType w:fmt="decimal"/>
          <w:cols w:space="720" w:num="1"/>
        </w:sectPr>
      </w:pPr>
    </w:p>
    <w:p w14:paraId="56779DC9">
      <w:pPr>
        <w:pStyle w:val="3"/>
        <w:spacing w:line="419" w:lineRule="auto"/>
        <w:rPr>
          <w:color w:val="auto"/>
        </w:rPr>
      </w:pPr>
    </w:p>
    <w:p w14:paraId="4F15A84A">
      <w:pPr>
        <w:spacing w:before="78" w:line="359" w:lineRule="auto"/>
        <w:ind w:left="45" w:right="98" w:firstLine="527"/>
        <w:jc w:val="both"/>
        <w:rPr>
          <w:rFonts w:ascii="仿宋" w:hAnsi="仿宋" w:eastAsia="仿宋" w:cs="仿宋"/>
          <w:color w:val="auto"/>
          <w:sz w:val="24"/>
          <w:szCs w:val="24"/>
        </w:rPr>
      </w:pPr>
      <w:r>
        <w:rPr>
          <w:rFonts w:ascii="仿宋" w:hAnsi="仿宋" w:eastAsia="仿宋" w:cs="仿宋"/>
          <w:color w:val="auto"/>
          <w:spacing w:val="-29"/>
          <w:sz w:val="24"/>
          <w:szCs w:val="24"/>
          <w:u w:val="single" w:color="auto"/>
        </w:rPr>
        <w:t>洛阳市孟津区机关事务服务中心（甲方）</w:t>
      </w:r>
      <w:r>
        <w:rPr>
          <w:rFonts w:ascii="仿宋" w:hAnsi="仿宋" w:eastAsia="仿宋" w:cs="仿宋"/>
          <w:color w:val="auto"/>
          <w:spacing w:val="-29"/>
          <w:sz w:val="24"/>
          <w:szCs w:val="24"/>
        </w:rPr>
        <w:t>所需</w:t>
      </w:r>
      <w:r>
        <w:rPr>
          <w:rFonts w:hint="eastAsia" w:ascii="仿宋" w:hAnsi="仿宋" w:eastAsia="仿宋" w:cs="仿宋"/>
          <w:color w:val="auto"/>
          <w:spacing w:val="-29"/>
          <w:sz w:val="24"/>
          <w:szCs w:val="24"/>
          <w:u w:val="single"/>
          <w:lang w:eastAsia="zh-CN"/>
        </w:rPr>
        <w:t>洛阳市孟津区机关事务服务中心文博艺术中心后勤服务项目</w:t>
      </w:r>
      <w:r>
        <w:rPr>
          <w:rFonts w:ascii="仿宋" w:hAnsi="仿宋" w:eastAsia="仿宋" w:cs="仿宋"/>
          <w:color w:val="auto"/>
          <w:spacing w:val="-32"/>
          <w:sz w:val="24"/>
          <w:szCs w:val="24"/>
        </w:rPr>
        <w:t>（项目名称）委托</w:t>
      </w:r>
      <w:r>
        <w:rPr>
          <w:rFonts w:hint="eastAsia" w:ascii="仿宋" w:hAnsi="仿宋" w:eastAsia="仿宋" w:cs="仿宋"/>
          <w:color w:val="auto"/>
          <w:spacing w:val="-32"/>
          <w:sz w:val="24"/>
          <w:szCs w:val="24"/>
          <w:u w:val="single" w:color="auto"/>
          <w:lang w:eastAsia="zh-CN"/>
        </w:rPr>
        <w:t>洛阳市华达工程管理有限公司</w:t>
      </w:r>
      <w:r>
        <w:rPr>
          <w:rFonts w:ascii="仿宋" w:hAnsi="仿宋" w:eastAsia="仿宋" w:cs="仿宋"/>
          <w:color w:val="auto"/>
          <w:spacing w:val="-32"/>
          <w:sz w:val="24"/>
          <w:szCs w:val="24"/>
          <w:u w:val="single" w:color="auto"/>
        </w:rPr>
        <w:t>（代理机构名称）</w:t>
      </w:r>
      <w:r>
        <w:rPr>
          <w:rFonts w:ascii="仿宋" w:hAnsi="仿宋" w:eastAsia="仿宋" w:cs="仿宋"/>
          <w:color w:val="auto"/>
          <w:spacing w:val="-32"/>
          <w:sz w:val="24"/>
          <w:szCs w:val="24"/>
        </w:rPr>
        <w:t>以公开招标方式进行采</w:t>
      </w:r>
      <w:r>
        <w:rPr>
          <w:rFonts w:ascii="仿宋" w:hAnsi="仿宋" w:eastAsia="仿宋" w:cs="仿宋"/>
          <w:color w:val="auto"/>
          <w:spacing w:val="8"/>
          <w:sz w:val="24"/>
          <w:szCs w:val="24"/>
        </w:rPr>
        <w:t xml:space="preserve"> </w:t>
      </w:r>
      <w:r>
        <w:rPr>
          <w:rFonts w:ascii="仿宋" w:hAnsi="仿宋" w:eastAsia="仿宋" w:cs="仿宋"/>
          <w:color w:val="auto"/>
          <w:spacing w:val="-27"/>
          <w:sz w:val="24"/>
          <w:szCs w:val="24"/>
        </w:rPr>
        <w:t>购。经评标委员会(或甲方)确定</w:t>
      </w:r>
      <w:r>
        <w:rPr>
          <w:rFonts w:ascii="仿宋" w:hAnsi="仿宋" w:eastAsia="仿宋" w:cs="仿宋"/>
          <w:color w:val="auto"/>
          <w:spacing w:val="-27"/>
          <w:sz w:val="24"/>
          <w:szCs w:val="24"/>
          <w:u w:val="single" w:color="auto"/>
        </w:rPr>
        <w:t xml:space="preserve">     </w:t>
      </w:r>
      <w:r>
        <w:rPr>
          <w:rFonts w:hint="eastAsia" w:ascii="仿宋" w:hAnsi="仿宋" w:eastAsia="仿宋" w:cs="仿宋"/>
          <w:color w:val="auto"/>
          <w:spacing w:val="-27"/>
          <w:sz w:val="24"/>
          <w:szCs w:val="24"/>
          <w:u w:val="single" w:color="auto"/>
          <w:lang w:val="en-US" w:eastAsia="zh-CN"/>
        </w:rPr>
        <w:t xml:space="preserve">  </w:t>
      </w:r>
      <w:r>
        <w:rPr>
          <w:rFonts w:ascii="仿宋" w:hAnsi="仿宋" w:eastAsia="仿宋" w:cs="仿宋"/>
          <w:color w:val="auto"/>
          <w:spacing w:val="-27"/>
          <w:sz w:val="24"/>
          <w:szCs w:val="24"/>
          <w:u w:val="single" w:color="auto"/>
        </w:rPr>
        <w:t xml:space="preserve">  </w:t>
      </w:r>
      <w:r>
        <w:rPr>
          <w:rFonts w:ascii="仿宋" w:hAnsi="仿宋" w:eastAsia="仿宋" w:cs="仿宋"/>
          <w:color w:val="auto"/>
          <w:spacing w:val="-27"/>
          <w:sz w:val="24"/>
          <w:szCs w:val="24"/>
        </w:rPr>
        <w:t>（乙方）为中标人。甲、乙双方根据《中华人民共和国政府</w:t>
      </w:r>
      <w:r>
        <w:rPr>
          <w:rFonts w:ascii="仿宋" w:hAnsi="仿宋" w:eastAsia="仿宋" w:cs="仿宋"/>
          <w:color w:val="auto"/>
          <w:spacing w:val="17"/>
          <w:sz w:val="24"/>
          <w:szCs w:val="24"/>
        </w:rPr>
        <w:t xml:space="preserve"> </w:t>
      </w:r>
      <w:r>
        <w:rPr>
          <w:rFonts w:ascii="仿宋" w:hAnsi="仿宋" w:eastAsia="仿宋" w:cs="仿宋"/>
          <w:color w:val="auto"/>
          <w:spacing w:val="-36"/>
          <w:sz w:val="24"/>
          <w:szCs w:val="24"/>
        </w:rPr>
        <w:t>采购法》、《中华人民共和国民法典》等相关法律以及本项目招标文件</w:t>
      </w:r>
      <w:r>
        <w:rPr>
          <w:rFonts w:ascii="仿宋" w:hAnsi="仿宋" w:eastAsia="仿宋" w:cs="仿宋"/>
          <w:color w:val="auto"/>
          <w:spacing w:val="-37"/>
          <w:sz w:val="24"/>
          <w:szCs w:val="24"/>
        </w:rPr>
        <w:t>的规定，经平等协商达成合同如</w:t>
      </w:r>
      <w:r>
        <w:rPr>
          <w:rFonts w:ascii="仿宋" w:hAnsi="仿宋" w:eastAsia="仿宋" w:cs="仿宋"/>
          <w:color w:val="auto"/>
          <w:spacing w:val="-25"/>
          <w:sz w:val="24"/>
          <w:szCs w:val="24"/>
        </w:rPr>
        <w:t>下：</w:t>
      </w:r>
    </w:p>
    <w:p w14:paraId="79125171">
      <w:pPr>
        <w:spacing w:before="101" w:line="218" w:lineRule="auto"/>
        <w:ind w:left="476"/>
        <w:rPr>
          <w:rFonts w:ascii="仿宋" w:hAnsi="仿宋" w:eastAsia="仿宋" w:cs="仿宋"/>
          <w:color w:val="auto"/>
          <w:sz w:val="24"/>
          <w:szCs w:val="24"/>
        </w:rPr>
      </w:pPr>
      <w:r>
        <w:rPr>
          <w:rFonts w:ascii="仿宋" w:hAnsi="仿宋" w:eastAsia="仿宋" w:cs="仿宋"/>
          <w:b/>
          <w:bCs/>
          <w:color w:val="auto"/>
          <w:spacing w:val="-22"/>
          <w:sz w:val="24"/>
          <w:szCs w:val="24"/>
        </w:rPr>
        <w:t>第一条</w:t>
      </w:r>
      <w:r>
        <w:rPr>
          <w:rFonts w:ascii="仿宋" w:hAnsi="仿宋" w:eastAsia="仿宋" w:cs="仿宋"/>
          <w:color w:val="auto"/>
          <w:spacing w:val="34"/>
          <w:sz w:val="24"/>
          <w:szCs w:val="24"/>
        </w:rPr>
        <w:t xml:space="preserve">  </w:t>
      </w:r>
      <w:r>
        <w:rPr>
          <w:rFonts w:ascii="仿宋" w:hAnsi="仿宋" w:eastAsia="仿宋" w:cs="仿宋"/>
          <w:b/>
          <w:bCs/>
          <w:color w:val="auto"/>
          <w:spacing w:val="-22"/>
          <w:sz w:val="24"/>
          <w:szCs w:val="24"/>
        </w:rPr>
        <w:t>合同文件</w:t>
      </w:r>
    </w:p>
    <w:p w14:paraId="16D9F56F">
      <w:pPr>
        <w:spacing w:before="301" w:line="364" w:lineRule="auto"/>
        <w:ind w:left="46" w:right="102" w:firstLine="420"/>
        <w:rPr>
          <w:rFonts w:ascii="仿宋" w:hAnsi="仿宋" w:eastAsia="仿宋" w:cs="仿宋"/>
          <w:color w:val="auto"/>
          <w:sz w:val="24"/>
          <w:szCs w:val="24"/>
        </w:rPr>
      </w:pPr>
      <w:r>
        <w:rPr>
          <w:rFonts w:ascii="仿宋" w:hAnsi="仿宋" w:eastAsia="仿宋" w:cs="仿宋"/>
          <w:color w:val="auto"/>
          <w:spacing w:val="-32"/>
          <w:sz w:val="24"/>
          <w:szCs w:val="24"/>
        </w:rPr>
        <w:t>本合同所附下列文件是构成本合同不可分割的部分，与本合同具有同等法律效力，这些文件包括</w:t>
      </w:r>
      <w:r>
        <w:rPr>
          <w:rFonts w:ascii="仿宋" w:hAnsi="仿宋" w:eastAsia="仿宋" w:cs="仿宋"/>
          <w:color w:val="auto"/>
          <w:spacing w:val="4"/>
          <w:sz w:val="24"/>
          <w:szCs w:val="24"/>
        </w:rPr>
        <w:t xml:space="preserve"> </w:t>
      </w:r>
      <w:r>
        <w:rPr>
          <w:rFonts w:ascii="仿宋" w:hAnsi="仿宋" w:eastAsia="仿宋" w:cs="仿宋"/>
          <w:color w:val="auto"/>
          <w:spacing w:val="-31"/>
          <w:sz w:val="24"/>
          <w:szCs w:val="24"/>
        </w:rPr>
        <w:t>但不限于：</w:t>
      </w:r>
    </w:p>
    <w:p w14:paraId="7237D1F6">
      <w:pPr>
        <w:spacing w:line="218" w:lineRule="auto"/>
        <w:ind w:left="476"/>
        <w:rPr>
          <w:rFonts w:ascii="仿宋" w:hAnsi="仿宋" w:eastAsia="仿宋" w:cs="仿宋"/>
          <w:color w:val="auto"/>
          <w:sz w:val="24"/>
          <w:szCs w:val="24"/>
        </w:rPr>
      </w:pPr>
      <w:r>
        <w:rPr>
          <w:rFonts w:ascii="仿宋" w:hAnsi="仿宋" w:eastAsia="仿宋" w:cs="仿宋"/>
          <w:color w:val="auto"/>
          <w:spacing w:val="-23"/>
          <w:sz w:val="24"/>
          <w:szCs w:val="24"/>
        </w:rPr>
        <w:t>1.本项目招标文件</w:t>
      </w:r>
    </w:p>
    <w:p w14:paraId="34166E8D">
      <w:pPr>
        <w:spacing w:before="182" w:line="218" w:lineRule="auto"/>
        <w:ind w:left="461"/>
        <w:rPr>
          <w:rFonts w:ascii="仿宋" w:hAnsi="仿宋" w:eastAsia="仿宋" w:cs="仿宋"/>
          <w:color w:val="auto"/>
          <w:sz w:val="24"/>
          <w:szCs w:val="24"/>
        </w:rPr>
      </w:pPr>
      <w:r>
        <w:rPr>
          <w:rFonts w:ascii="仿宋" w:hAnsi="仿宋" w:eastAsia="仿宋" w:cs="仿宋"/>
          <w:color w:val="auto"/>
          <w:spacing w:val="-21"/>
          <w:sz w:val="24"/>
          <w:szCs w:val="24"/>
        </w:rPr>
        <w:t>2.中标人投标文件</w:t>
      </w:r>
    </w:p>
    <w:p w14:paraId="5DDCD577">
      <w:pPr>
        <w:spacing w:before="182" w:line="215" w:lineRule="auto"/>
        <w:ind w:left="463"/>
        <w:rPr>
          <w:rFonts w:ascii="仿宋" w:hAnsi="仿宋" w:eastAsia="仿宋" w:cs="仿宋"/>
          <w:color w:val="auto"/>
          <w:sz w:val="24"/>
          <w:szCs w:val="24"/>
        </w:rPr>
      </w:pPr>
      <w:r>
        <w:rPr>
          <w:rFonts w:ascii="仿宋" w:hAnsi="仿宋" w:eastAsia="仿宋" w:cs="仿宋"/>
          <w:color w:val="auto"/>
          <w:spacing w:val="-24"/>
          <w:sz w:val="24"/>
          <w:szCs w:val="24"/>
        </w:rPr>
        <w:t>3.乙方在投标时的书面承诺</w:t>
      </w:r>
    </w:p>
    <w:p w14:paraId="3FD496A9">
      <w:pPr>
        <w:spacing w:before="185" w:line="218" w:lineRule="auto"/>
        <w:ind w:left="457"/>
        <w:rPr>
          <w:rFonts w:ascii="仿宋" w:hAnsi="仿宋" w:eastAsia="仿宋" w:cs="仿宋"/>
          <w:color w:val="auto"/>
          <w:sz w:val="24"/>
          <w:szCs w:val="24"/>
        </w:rPr>
      </w:pPr>
      <w:r>
        <w:rPr>
          <w:rFonts w:ascii="仿宋" w:hAnsi="仿宋" w:eastAsia="仿宋" w:cs="仿宋"/>
          <w:color w:val="auto"/>
          <w:spacing w:val="-18"/>
          <w:sz w:val="24"/>
          <w:szCs w:val="24"/>
        </w:rPr>
        <w:t>4.中标通知书</w:t>
      </w:r>
    </w:p>
    <w:p w14:paraId="7F0B845A">
      <w:pPr>
        <w:spacing w:before="182" w:line="217" w:lineRule="auto"/>
        <w:ind w:left="463"/>
        <w:rPr>
          <w:rFonts w:ascii="仿宋" w:hAnsi="仿宋" w:eastAsia="仿宋" w:cs="仿宋"/>
          <w:color w:val="auto"/>
          <w:sz w:val="24"/>
          <w:szCs w:val="24"/>
        </w:rPr>
      </w:pPr>
      <w:r>
        <w:rPr>
          <w:rFonts w:ascii="仿宋" w:hAnsi="仿宋" w:eastAsia="仿宋" w:cs="仿宋"/>
          <w:color w:val="auto"/>
          <w:spacing w:val="-23"/>
          <w:sz w:val="24"/>
          <w:szCs w:val="24"/>
        </w:rPr>
        <w:t>5.合同补充条款或说明</w:t>
      </w:r>
    </w:p>
    <w:p w14:paraId="0428CF65">
      <w:pPr>
        <w:spacing w:before="183" w:line="217" w:lineRule="auto"/>
        <w:ind w:left="460"/>
        <w:rPr>
          <w:rFonts w:ascii="仿宋" w:hAnsi="仿宋" w:eastAsia="仿宋" w:cs="仿宋"/>
          <w:color w:val="auto"/>
          <w:sz w:val="24"/>
          <w:szCs w:val="24"/>
        </w:rPr>
      </w:pPr>
      <w:r>
        <w:rPr>
          <w:rFonts w:ascii="仿宋" w:hAnsi="仿宋" w:eastAsia="仿宋" w:cs="仿宋"/>
          <w:color w:val="auto"/>
          <w:spacing w:val="-22"/>
          <w:sz w:val="24"/>
          <w:szCs w:val="24"/>
        </w:rPr>
        <w:t>6.保密协议或条款</w:t>
      </w:r>
    </w:p>
    <w:p w14:paraId="2E5B97C7">
      <w:pPr>
        <w:spacing w:before="183" w:line="216" w:lineRule="auto"/>
        <w:ind w:left="464"/>
        <w:rPr>
          <w:rFonts w:ascii="仿宋" w:hAnsi="仿宋" w:eastAsia="仿宋" w:cs="仿宋"/>
          <w:color w:val="auto"/>
          <w:sz w:val="24"/>
          <w:szCs w:val="24"/>
        </w:rPr>
      </w:pPr>
      <w:r>
        <w:rPr>
          <w:rFonts w:ascii="仿宋" w:hAnsi="仿宋" w:eastAsia="仿宋" w:cs="仿宋"/>
          <w:color w:val="auto"/>
          <w:spacing w:val="-24"/>
          <w:sz w:val="24"/>
          <w:szCs w:val="24"/>
        </w:rPr>
        <w:t>7.相关附件及电子版资料</w:t>
      </w:r>
    </w:p>
    <w:p w14:paraId="0701FB37">
      <w:pPr>
        <w:spacing w:before="290" w:line="218" w:lineRule="auto"/>
        <w:ind w:left="536"/>
        <w:rPr>
          <w:rFonts w:ascii="仿宋" w:hAnsi="仿宋" w:eastAsia="仿宋" w:cs="仿宋"/>
          <w:color w:val="auto"/>
          <w:sz w:val="24"/>
          <w:szCs w:val="24"/>
        </w:rPr>
      </w:pPr>
      <w:r>
        <w:rPr>
          <w:rFonts w:ascii="仿宋" w:hAnsi="仿宋" w:eastAsia="仿宋" w:cs="仿宋"/>
          <w:b/>
          <w:bCs/>
          <w:color w:val="auto"/>
          <w:spacing w:val="-20"/>
          <w:sz w:val="24"/>
          <w:szCs w:val="24"/>
        </w:rPr>
        <w:t>第二条</w:t>
      </w:r>
      <w:r>
        <w:rPr>
          <w:rFonts w:ascii="仿宋" w:hAnsi="仿宋" w:eastAsia="仿宋" w:cs="仿宋"/>
          <w:color w:val="auto"/>
          <w:spacing w:val="82"/>
          <w:sz w:val="24"/>
          <w:szCs w:val="24"/>
        </w:rPr>
        <w:t xml:space="preserve"> </w:t>
      </w:r>
      <w:r>
        <w:rPr>
          <w:rFonts w:ascii="仿宋" w:hAnsi="仿宋" w:eastAsia="仿宋" w:cs="仿宋"/>
          <w:b/>
          <w:bCs/>
          <w:color w:val="auto"/>
          <w:spacing w:val="-20"/>
          <w:sz w:val="24"/>
          <w:szCs w:val="24"/>
        </w:rPr>
        <w:t>合同内容</w:t>
      </w:r>
    </w:p>
    <w:p w14:paraId="34504C69">
      <w:pPr>
        <w:spacing w:before="317" w:line="217" w:lineRule="auto"/>
        <w:ind w:left="465"/>
        <w:rPr>
          <w:rFonts w:ascii="仿宋" w:hAnsi="仿宋" w:eastAsia="仿宋" w:cs="仿宋"/>
          <w:color w:val="auto"/>
          <w:sz w:val="24"/>
          <w:szCs w:val="24"/>
        </w:rPr>
      </w:pPr>
      <w:r>
        <w:rPr>
          <w:rFonts w:ascii="仿宋" w:hAnsi="仿宋" w:eastAsia="仿宋" w:cs="仿宋"/>
          <w:color w:val="auto"/>
          <w:spacing w:val="-28"/>
          <w:sz w:val="24"/>
          <w:szCs w:val="24"/>
        </w:rPr>
        <w:t>服务名称：详见合同附件中《服务一览表》</w:t>
      </w:r>
    </w:p>
    <w:p w14:paraId="2B593C06">
      <w:pPr>
        <w:spacing w:before="289" w:line="218" w:lineRule="auto"/>
        <w:ind w:left="536"/>
        <w:rPr>
          <w:rFonts w:ascii="仿宋" w:hAnsi="仿宋" w:eastAsia="仿宋" w:cs="仿宋"/>
          <w:color w:val="auto"/>
          <w:sz w:val="24"/>
          <w:szCs w:val="24"/>
        </w:rPr>
      </w:pPr>
      <w:r>
        <w:rPr>
          <w:rFonts w:ascii="仿宋" w:hAnsi="仿宋" w:eastAsia="仿宋" w:cs="仿宋"/>
          <w:b/>
          <w:bCs/>
          <w:color w:val="auto"/>
          <w:spacing w:val="-22"/>
          <w:sz w:val="24"/>
          <w:szCs w:val="24"/>
        </w:rPr>
        <w:t>第三条</w:t>
      </w:r>
      <w:r>
        <w:rPr>
          <w:rFonts w:ascii="仿宋" w:hAnsi="仿宋" w:eastAsia="仿宋" w:cs="仿宋"/>
          <w:color w:val="auto"/>
          <w:spacing w:val="86"/>
          <w:sz w:val="24"/>
          <w:szCs w:val="24"/>
        </w:rPr>
        <w:t xml:space="preserve"> </w:t>
      </w:r>
      <w:r>
        <w:rPr>
          <w:rFonts w:ascii="仿宋" w:hAnsi="仿宋" w:eastAsia="仿宋" w:cs="仿宋"/>
          <w:b/>
          <w:bCs/>
          <w:color w:val="auto"/>
          <w:spacing w:val="-22"/>
          <w:sz w:val="24"/>
          <w:szCs w:val="24"/>
        </w:rPr>
        <w:t>合同总金额</w:t>
      </w:r>
    </w:p>
    <w:p w14:paraId="4430C712">
      <w:pPr>
        <w:pStyle w:val="3"/>
        <w:spacing w:line="252" w:lineRule="auto"/>
        <w:rPr>
          <w:color w:val="auto"/>
        </w:rPr>
      </w:pPr>
    </w:p>
    <w:p w14:paraId="7F89482B">
      <w:pPr>
        <w:spacing w:before="78" w:line="217" w:lineRule="auto"/>
        <w:ind w:left="467"/>
        <w:rPr>
          <w:rFonts w:ascii="仿宋" w:hAnsi="仿宋" w:eastAsia="仿宋" w:cs="仿宋"/>
          <w:color w:val="auto"/>
          <w:sz w:val="24"/>
          <w:szCs w:val="24"/>
        </w:rPr>
      </w:pPr>
      <w:r>
        <w:rPr>
          <w:rFonts w:ascii="仿宋" w:hAnsi="仿宋" w:eastAsia="仿宋" w:cs="仿宋"/>
          <w:color w:val="auto"/>
          <w:spacing w:val="-22"/>
          <w:sz w:val="24"/>
          <w:szCs w:val="24"/>
        </w:rPr>
        <w:t>本合同金额为人民币</w:t>
      </w:r>
      <w:r>
        <w:rPr>
          <w:rFonts w:ascii="仿宋" w:hAnsi="仿宋" w:eastAsia="仿宋" w:cs="仿宋"/>
          <w:color w:val="auto"/>
          <w:spacing w:val="-22"/>
          <w:sz w:val="24"/>
          <w:szCs w:val="24"/>
          <w:u w:val="single" w:color="auto"/>
        </w:rPr>
        <w:t xml:space="preserve">           </w:t>
      </w:r>
      <w:r>
        <w:rPr>
          <w:rFonts w:ascii="仿宋" w:hAnsi="仿宋" w:eastAsia="仿宋" w:cs="仿宋"/>
          <w:color w:val="auto"/>
          <w:spacing w:val="-100"/>
          <w:sz w:val="24"/>
          <w:szCs w:val="24"/>
        </w:rPr>
        <w:t xml:space="preserve"> </w:t>
      </w:r>
      <w:r>
        <w:rPr>
          <w:rFonts w:ascii="仿宋" w:hAnsi="仿宋" w:eastAsia="仿宋" w:cs="仿宋"/>
          <w:color w:val="auto"/>
          <w:spacing w:val="-22"/>
          <w:sz w:val="24"/>
          <w:szCs w:val="24"/>
        </w:rPr>
        <w:t>元，大写</w:t>
      </w:r>
      <w:r>
        <w:rPr>
          <w:rFonts w:ascii="仿宋" w:hAnsi="仿宋" w:eastAsia="仿宋" w:cs="仿宋"/>
          <w:color w:val="auto"/>
          <w:spacing w:val="-31"/>
          <w:sz w:val="24"/>
          <w:szCs w:val="24"/>
        </w:rPr>
        <w:t>：</w:t>
      </w:r>
      <w:r>
        <w:rPr>
          <w:rFonts w:ascii="仿宋" w:hAnsi="仿宋" w:eastAsia="仿宋" w:cs="仿宋"/>
          <w:color w:val="auto"/>
          <w:spacing w:val="1"/>
          <w:sz w:val="24"/>
          <w:szCs w:val="24"/>
          <w:u w:val="single" w:color="auto"/>
        </w:rPr>
        <w:t xml:space="preserve">            </w:t>
      </w:r>
      <w:r>
        <w:rPr>
          <w:rFonts w:ascii="仿宋" w:hAnsi="仿宋" w:eastAsia="仿宋" w:cs="仿宋"/>
          <w:color w:val="auto"/>
          <w:spacing w:val="-31"/>
          <w:sz w:val="24"/>
          <w:szCs w:val="24"/>
        </w:rPr>
        <w:t>（</w:t>
      </w:r>
      <w:r>
        <w:rPr>
          <w:rFonts w:ascii="仿宋" w:hAnsi="仿宋" w:eastAsia="仿宋" w:cs="仿宋"/>
          <w:color w:val="auto"/>
          <w:spacing w:val="-22"/>
          <w:sz w:val="24"/>
          <w:szCs w:val="24"/>
        </w:rPr>
        <w:t>分项</w:t>
      </w:r>
      <w:r>
        <w:rPr>
          <w:rFonts w:ascii="仿宋" w:hAnsi="仿宋" w:eastAsia="仿宋" w:cs="仿宋"/>
          <w:color w:val="auto"/>
          <w:spacing w:val="-23"/>
          <w:sz w:val="24"/>
          <w:szCs w:val="24"/>
        </w:rPr>
        <w:t>价格详见服务一览表）</w:t>
      </w:r>
    </w:p>
    <w:p w14:paraId="07352E93">
      <w:pPr>
        <w:spacing w:before="243" w:line="217" w:lineRule="auto"/>
        <w:ind w:left="536"/>
        <w:rPr>
          <w:rFonts w:ascii="仿宋" w:hAnsi="仿宋" w:eastAsia="仿宋" w:cs="仿宋"/>
          <w:color w:val="auto"/>
          <w:sz w:val="24"/>
          <w:szCs w:val="24"/>
        </w:rPr>
      </w:pPr>
      <w:r>
        <w:rPr>
          <w:rFonts w:ascii="仿宋" w:hAnsi="仿宋" w:eastAsia="仿宋" w:cs="仿宋"/>
          <w:b/>
          <w:bCs/>
          <w:color w:val="auto"/>
          <w:spacing w:val="-25"/>
          <w:sz w:val="24"/>
          <w:szCs w:val="24"/>
        </w:rPr>
        <w:t>第四条</w:t>
      </w:r>
      <w:r>
        <w:rPr>
          <w:rFonts w:ascii="仿宋" w:hAnsi="仿宋" w:eastAsia="仿宋" w:cs="仿宋"/>
          <w:color w:val="auto"/>
          <w:spacing w:val="82"/>
          <w:sz w:val="24"/>
          <w:szCs w:val="24"/>
        </w:rPr>
        <w:t xml:space="preserve"> </w:t>
      </w:r>
      <w:r>
        <w:rPr>
          <w:rFonts w:ascii="仿宋" w:hAnsi="仿宋" w:eastAsia="仿宋" w:cs="仿宋"/>
          <w:b/>
          <w:bCs/>
          <w:color w:val="auto"/>
          <w:spacing w:val="-25"/>
          <w:sz w:val="24"/>
          <w:szCs w:val="24"/>
        </w:rPr>
        <w:t>权利义务和质量保证</w:t>
      </w:r>
    </w:p>
    <w:p w14:paraId="63C2555C">
      <w:pPr>
        <w:pStyle w:val="3"/>
        <w:spacing w:line="254" w:lineRule="auto"/>
        <w:rPr>
          <w:color w:val="auto"/>
        </w:rPr>
      </w:pPr>
    </w:p>
    <w:p w14:paraId="3647E54B">
      <w:pPr>
        <w:spacing w:before="79" w:line="308" w:lineRule="auto"/>
        <w:ind w:left="51" w:right="147" w:firstLine="425"/>
        <w:rPr>
          <w:rFonts w:ascii="仿宋" w:hAnsi="仿宋" w:eastAsia="仿宋" w:cs="仿宋"/>
          <w:color w:val="auto"/>
          <w:sz w:val="24"/>
          <w:szCs w:val="24"/>
        </w:rPr>
      </w:pPr>
      <w:r>
        <w:rPr>
          <w:rFonts w:ascii="仿宋" w:hAnsi="仿宋" w:eastAsia="仿宋" w:cs="仿宋"/>
          <w:color w:val="auto"/>
          <w:spacing w:val="-27"/>
          <w:sz w:val="24"/>
          <w:szCs w:val="24"/>
        </w:rPr>
        <w:t>1.甲方保证服务期间，对乙方工作给予支持，</w:t>
      </w:r>
      <w:r>
        <w:rPr>
          <w:rFonts w:ascii="仿宋" w:hAnsi="仿宋" w:eastAsia="仿宋" w:cs="仿宋"/>
          <w:color w:val="auto"/>
          <w:spacing w:val="-28"/>
          <w:sz w:val="24"/>
          <w:szCs w:val="24"/>
        </w:rPr>
        <w:t>提供水、电、场地等必须的基础工作条件。如乙</w:t>
      </w:r>
      <w:r>
        <w:rPr>
          <w:rFonts w:ascii="仿宋" w:hAnsi="仿宋" w:eastAsia="仿宋" w:cs="仿宋"/>
          <w:color w:val="auto"/>
          <w:sz w:val="24"/>
          <w:szCs w:val="24"/>
        </w:rPr>
        <w:t xml:space="preserve"> </w:t>
      </w:r>
      <w:r>
        <w:rPr>
          <w:rFonts w:ascii="仿宋" w:hAnsi="仿宋" w:eastAsia="仿宋" w:cs="仿宋"/>
          <w:color w:val="auto"/>
          <w:spacing w:val="-28"/>
          <w:sz w:val="24"/>
          <w:szCs w:val="24"/>
        </w:rPr>
        <w:t>方有需要，还应提供履行合同所必需的有关图纸、数据、资料等。没有甲方事先同意</w:t>
      </w:r>
      <w:r>
        <w:rPr>
          <w:rFonts w:ascii="仿宋" w:hAnsi="仿宋" w:eastAsia="仿宋" w:cs="仿宋"/>
          <w:color w:val="auto"/>
          <w:spacing w:val="-29"/>
          <w:sz w:val="24"/>
          <w:szCs w:val="24"/>
        </w:rPr>
        <w:t>，乙方不得将</w:t>
      </w:r>
      <w:r>
        <w:rPr>
          <w:rFonts w:ascii="仿宋" w:hAnsi="仿宋" w:eastAsia="仿宋" w:cs="仿宋"/>
          <w:color w:val="auto"/>
          <w:sz w:val="24"/>
          <w:szCs w:val="24"/>
        </w:rPr>
        <w:t xml:space="preserve"> </w:t>
      </w:r>
      <w:r>
        <w:rPr>
          <w:rFonts w:ascii="仿宋" w:hAnsi="仿宋" w:eastAsia="仿宋" w:cs="仿宋"/>
          <w:color w:val="auto"/>
          <w:spacing w:val="-28"/>
          <w:sz w:val="24"/>
          <w:szCs w:val="24"/>
        </w:rPr>
        <w:t>甲方资料提供给与履行本合同无关的任何其他人。即使向履行本合同有关的人员提</w:t>
      </w:r>
      <w:r>
        <w:rPr>
          <w:rFonts w:ascii="仿宋" w:hAnsi="仿宋" w:eastAsia="仿宋" w:cs="仿宋"/>
          <w:color w:val="auto"/>
          <w:spacing w:val="-29"/>
          <w:sz w:val="24"/>
          <w:szCs w:val="24"/>
        </w:rPr>
        <w:t>供，也应注意保</w:t>
      </w:r>
      <w:r>
        <w:rPr>
          <w:rFonts w:ascii="仿宋" w:hAnsi="仿宋" w:eastAsia="仿宋" w:cs="仿宋"/>
          <w:color w:val="auto"/>
          <w:sz w:val="24"/>
          <w:szCs w:val="24"/>
        </w:rPr>
        <w:t xml:space="preserve"> </w:t>
      </w:r>
      <w:r>
        <w:rPr>
          <w:rFonts w:ascii="仿宋" w:hAnsi="仿宋" w:eastAsia="仿宋" w:cs="仿宋"/>
          <w:color w:val="auto"/>
          <w:spacing w:val="-30"/>
          <w:sz w:val="24"/>
          <w:szCs w:val="24"/>
        </w:rPr>
        <w:t>密并限于履行合同的必需范围内。</w:t>
      </w:r>
    </w:p>
    <w:p w14:paraId="59712023">
      <w:pPr>
        <w:spacing w:before="168" w:line="309" w:lineRule="auto"/>
        <w:ind w:left="47" w:right="130" w:firstLine="414"/>
        <w:rPr>
          <w:rFonts w:ascii="仿宋" w:hAnsi="仿宋" w:eastAsia="仿宋" w:cs="仿宋"/>
          <w:color w:val="auto"/>
          <w:sz w:val="24"/>
          <w:szCs w:val="24"/>
        </w:rPr>
      </w:pPr>
      <w:r>
        <w:rPr>
          <w:rFonts w:ascii="仿宋" w:hAnsi="仿宋" w:eastAsia="仿宋" w:cs="仿宋"/>
          <w:color w:val="auto"/>
          <w:spacing w:val="-27"/>
          <w:sz w:val="24"/>
          <w:szCs w:val="24"/>
        </w:rPr>
        <w:t>2.乙方保证所提供的服务或其任何一部分均不会侵犯任何第三方的专利权、商标权或著作权。</w:t>
      </w:r>
      <w:r>
        <w:rPr>
          <w:rFonts w:ascii="仿宋" w:hAnsi="仿宋" w:eastAsia="仿宋" w:cs="仿宋"/>
          <w:color w:val="auto"/>
          <w:spacing w:val="12"/>
          <w:sz w:val="24"/>
          <w:szCs w:val="24"/>
        </w:rPr>
        <w:t xml:space="preserve"> </w:t>
      </w:r>
      <w:r>
        <w:rPr>
          <w:rFonts w:ascii="仿宋" w:hAnsi="仿宋" w:eastAsia="仿宋" w:cs="仿宋"/>
          <w:color w:val="auto"/>
          <w:spacing w:val="-28"/>
          <w:sz w:val="24"/>
          <w:szCs w:val="24"/>
        </w:rPr>
        <w:t>一旦出现侵权，索赔或诉讼，乙方应承担全部责任。乙方保证服务不存在危及人身及财产安全的隐</w:t>
      </w:r>
      <w:r>
        <w:rPr>
          <w:rFonts w:ascii="仿宋" w:hAnsi="仿宋" w:eastAsia="仿宋" w:cs="仿宋"/>
          <w:color w:val="auto"/>
          <w:spacing w:val="15"/>
          <w:sz w:val="24"/>
          <w:szCs w:val="24"/>
        </w:rPr>
        <w:t xml:space="preserve"> </w:t>
      </w:r>
      <w:r>
        <w:rPr>
          <w:rFonts w:ascii="仿宋" w:hAnsi="仿宋" w:eastAsia="仿宋" w:cs="仿宋"/>
          <w:color w:val="auto"/>
          <w:spacing w:val="-28"/>
          <w:sz w:val="24"/>
          <w:szCs w:val="24"/>
        </w:rPr>
        <w:t>患，不存在违反国家法规、法令、法律以及行业规范所要求的有关安全条款，否则应承担全部法律</w:t>
      </w:r>
      <w:r>
        <w:rPr>
          <w:rFonts w:ascii="仿宋" w:hAnsi="仿宋" w:eastAsia="仿宋" w:cs="仿宋"/>
          <w:color w:val="auto"/>
          <w:spacing w:val="16"/>
          <w:sz w:val="24"/>
          <w:szCs w:val="24"/>
        </w:rPr>
        <w:t xml:space="preserve"> </w:t>
      </w:r>
      <w:r>
        <w:rPr>
          <w:rFonts w:ascii="仿宋" w:hAnsi="仿宋" w:eastAsia="仿宋" w:cs="仿宋"/>
          <w:color w:val="auto"/>
          <w:spacing w:val="-25"/>
          <w:sz w:val="24"/>
          <w:szCs w:val="24"/>
        </w:rPr>
        <w:t>责任。</w:t>
      </w:r>
    </w:p>
    <w:p w14:paraId="0DDBC68F">
      <w:pPr>
        <w:spacing w:line="309" w:lineRule="auto"/>
        <w:rPr>
          <w:rFonts w:ascii="仿宋" w:hAnsi="仿宋" w:eastAsia="仿宋" w:cs="仿宋"/>
          <w:color w:val="auto"/>
          <w:sz w:val="24"/>
          <w:szCs w:val="24"/>
        </w:rPr>
        <w:sectPr>
          <w:footerReference r:id="rId42" w:type="default"/>
          <w:pgSz w:w="11910" w:h="16845"/>
          <w:pgMar w:top="1047" w:right="1201" w:bottom="890" w:left="1397" w:header="649" w:footer="658" w:gutter="0"/>
          <w:pgNumType w:fmt="decimal"/>
          <w:cols w:space="720" w:num="1"/>
        </w:sectPr>
      </w:pPr>
    </w:p>
    <w:p w14:paraId="08BF32BF">
      <w:pPr>
        <w:pStyle w:val="3"/>
        <w:spacing w:line="263" w:lineRule="auto"/>
        <w:rPr>
          <w:color w:val="auto"/>
        </w:rPr>
      </w:pPr>
    </w:p>
    <w:p w14:paraId="5574F678">
      <w:pPr>
        <w:pStyle w:val="3"/>
        <w:spacing w:line="263" w:lineRule="auto"/>
        <w:rPr>
          <w:color w:val="auto"/>
        </w:rPr>
      </w:pPr>
    </w:p>
    <w:p w14:paraId="1C3C6E82">
      <w:pPr>
        <w:spacing w:before="78" w:line="218" w:lineRule="auto"/>
        <w:ind w:left="536"/>
        <w:rPr>
          <w:rFonts w:ascii="仿宋" w:hAnsi="仿宋" w:eastAsia="仿宋" w:cs="仿宋"/>
          <w:color w:val="auto"/>
          <w:sz w:val="24"/>
          <w:szCs w:val="24"/>
        </w:rPr>
      </w:pPr>
      <w:r>
        <w:rPr>
          <w:rFonts w:ascii="仿宋" w:hAnsi="仿宋" w:eastAsia="仿宋" w:cs="仿宋"/>
          <w:b/>
          <w:bCs/>
          <w:color w:val="auto"/>
          <w:spacing w:val="-19"/>
          <w:sz w:val="24"/>
          <w:szCs w:val="24"/>
        </w:rPr>
        <w:t>第五条</w:t>
      </w:r>
      <w:r>
        <w:rPr>
          <w:rFonts w:ascii="仿宋" w:hAnsi="仿宋" w:eastAsia="仿宋" w:cs="仿宋"/>
          <w:color w:val="auto"/>
          <w:spacing w:val="75"/>
          <w:sz w:val="24"/>
          <w:szCs w:val="24"/>
        </w:rPr>
        <w:t xml:space="preserve"> </w:t>
      </w:r>
      <w:r>
        <w:rPr>
          <w:rFonts w:ascii="仿宋" w:hAnsi="仿宋" w:eastAsia="仿宋" w:cs="仿宋"/>
          <w:b/>
          <w:bCs/>
          <w:color w:val="auto"/>
          <w:spacing w:val="-19"/>
          <w:sz w:val="24"/>
          <w:szCs w:val="24"/>
        </w:rPr>
        <w:t>付款方式</w:t>
      </w:r>
    </w:p>
    <w:p w14:paraId="2EB4857B">
      <w:pPr>
        <w:pStyle w:val="3"/>
        <w:spacing w:line="252" w:lineRule="auto"/>
        <w:rPr>
          <w:color w:val="auto"/>
        </w:rPr>
      </w:pPr>
    </w:p>
    <w:p w14:paraId="4B65A9CF">
      <w:pPr>
        <w:spacing w:before="78" w:line="218" w:lineRule="auto"/>
        <w:ind w:left="476"/>
        <w:rPr>
          <w:rFonts w:ascii="仿宋" w:hAnsi="仿宋" w:eastAsia="仿宋" w:cs="仿宋"/>
          <w:color w:val="auto"/>
          <w:sz w:val="24"/>
          <w:szCs w:val="24"/>
        </w:rPr>
      </w:pPr>
      <w:r>
        <w:rPr>
          <w:rFonts w:ascii="仿宋" w:hAnsi="仿宋" w:eastAsia="仿宋" w:cs="仿宋"/>
          <w:color w:val="auto"/>
          <w:spacing w:val="-28"/>
          <w:sz w:val="24"/>
          <w:szCs w:val="24"/>
        </w:rPr>
        <w:t>1.本合同项下所有款项均以人民币支付。</w:t>
      </w:r>
    </w:p>
    <w:p w14:paraId="21829626">
      <w:pPr>
        <w:spacing w:before="152" w:line="218" w:lineRule="auto"/>
        <w:ind w:left="461"/>
        <w:rPr>
          <w:rFonts w:ascii="仿宋" w:hAnsi="仿宋" w:eastAsia="仿宋" w:cs="仿宋"/>
          <w:color w:val="auto"/>
          <w:sz w:val="24"/>
          <w:szCs w:val="24"/>
        </w:rPr>
      </w:pPr>
      <w:r>
        <w:rPr>
          <w:rFonts w:ascii="仿宋" w:hAnsi="仿宋" w:eastAsia="仿宋" w:cs="仿宋"/>
          <w:color w:val="auto"/>
          <w:spacing w:val="-30"/>
          <w:sz w:val="24"/>
          <w:szCs w:val="24"/>
        </w:rPr>
        <w:t>2.付款方式：</w:t>
      </w:r>
      <w:r>
        <w:rPr>
          <w:rFonts w:ascii="仿宋" w:hAnsi="仿宋" w:eastAsia="仿宋" w:cs="仿宋"/>
          <w:color w:val="auto"/>
          <w:spacing w:val="38"/>
          <w:sz w:val="24"/>
          <w:szCs w:val="24"/>
          <w:u w:val="single" w:color="auto"/>
        </w:rPr>
        <w:t xml:space="preserve"> </w:t>
      </w:r>
      <w:r>
        <w:rPr>
          <w:rFonts w:ascii="仿宋" w:hAnsi="仿宋" w:eastAsia="仿宋" w:cs="仿宋"/>
          <w:color w:val="auto"/>
          <w:spacing w:val="-30"/>
          <w:sz w:val="24"/>
          <w:szCs w:val="24"/>
          <w:u w:val="single" w:color="auto"/>
        </w:rPr>
        <w:t>由采购人付款。按月支付。</w:t>
      </w:r>
      <w:r>
        <w:rPr>
          <w:rFonts w:ascii="仿宋" w:hAnsi="仿宋" w:eastAsia="仿宋" w:cs="仿宋"/>
          <w:color w:val="auto"/>
          <w:sz w:val="24"/>
          <w:szCs w:val="24"/>
          <w:u w:val="single" w:color="auto"/>
        </w:rPr>
        <w:t xml:space="preserve">  </w:t>
      </w:r>
    </w:p>
    <w:p w14:paraId="29FE2BF3">
      <w:pPr>
        <w:spacing w:before="166" w:line="216" w:lineRule="auto"/>
        <w:ind w:left="463"/>
        <w:rPr>
          <w:rFonts w:ascii="仿宋" w:hAnsi="仿宋" w:eastAsia="仿宋" w:cs="仿宋"/>
          <w:color w:val="auto"/>
          <w:sz w:val="24"/>
          <w:szCs w:val="24"/>
        </w:rPr>
      </w:pPr>
      <w:r>
        <w:rPr>
          <w:rFonts w:ascii="仿宋" w:hAnsi="仿宋" w:eastAsia="仿宋" w:cs="仿宋"/>
          <w:color w:val="auto"/>
          <w:spacing w:val="-29"/>
          <w:sz w:val="24"/>
          <w:szCs w:val="24"/>
        </w:rPr>
        <w:t>3.乙方向甲方提交下列文件材料，经甲方审核无误后支付：</w:t>
      </w:r>
    </w:p>
    <w:p w14:paraId="282DCFAC">
      <w:pPr>
        <w:spacing w:before="155" w:line="218" w:lineRule="auto"/>
        <w:ind w:left="466"/>
        <w:rPr>
          <w:rFonts w:ascii="仿宋" w:hAnsi="仿宋" w:eastAsia="仿宋" w:cs="仿宋"/>
          <w:color w:val="auto"/>
          <w:sz w:val="24"/>
          <w:szCs w:val="24"/>
        </w:rPr>
      </w:pPr>
      <w:r>
        <w:rPr>
          <w:rFonts w:ascii="仿宋" w:hAnsi="仿宋" w:eastAsia="仿宋" w:cs="仿宋"/>
          <w:color w:val="auto"/>
          <w:spacing w:val="-27"/>
          <w:sz w:val="24"/>
          <w:szCs w:val="24"/>
        </w:rPr>
        <w:t>（1）经甲方确认的发票。</w:t>
      </w:r>
    </w:p>
    <w:p w14:paraId="424664C9">
      <w:pPr>
        <w:spacing w:before="151" w:line="216" w:lineRule="auto"/>
        <w:ind w:left="466"/>
        <w:rPr>
          <w:rFonts w:ascii="仿宋" w:hAnsi="仿宋" w:eastAsia="仿宋" w:cs="仿宋"/>
          <w:color w:val="auto"/>
          <w:sz w:val="24"/>
          <w:szCs w:val="24"/>
        </w:rPr>
      </w:pPr>
      <w:r>
        <w:rPr>
          <w:rFonts w:ascii="仿宋" w:hAnsi="仿宋" w:eastAsia="仿宋" w:cs="仿宋"/>
          <w:color w:val="auto"/>
          <w:spacing w:val="-27"/>
          <w:sz w:val="24"/>
          <w:szCs w:val="24"/>
        </w:rPr>
        <w:t>（2）其他材料。</w:t>
      </w:r>
    </w:p>
    <w:p w14:paraId="13CA6369">
      <w:pPr>
        <w:spacing w:before="170" w:line="218" w:lineRule="auto"/>
        <w:ind w:left="483"/>
        <w:rPr>
          <w:rFonts w:ascii="仿宋" w:hAnsi="仿宋" w:eastAsia="仿宋" w:cs="仿宋"/>
          <w:color w:val="auto"/>
          <w:sz w:val="24"/>
          <w:szCs w:val="24"/>
        </w:rPr>
      </w:pPr>
      <w:r>
        <w:rPr>
          <w:rFonts w:ascii="仿宋" w:hAnsi="仿宋" w:eastAsia="仿宋" w:cs="仿宋"/>
          <w:color w:val="auto"/>
          <w:spacing w:val="-32"/>
          <w:sz w:val="24"/>
          <w:szCs w:val="24"/>
        </w:rPr>
        <w:t>乙方收款账户如下：</w:t>
      </w:r>
    </w:p>
    <w:p w14:paraId="01EBB183">
      <w:pPr>
        <w:spacing w:before="152" w:line="219" w:lineRule="auto"/>
        <w:ind w:left="466"/>
        <w:rPr>
          <w:rFonts w:ascii="仿宋" w:hAnsi="仿宋" w:eastAsia="仿宋" w:cs="仿宋"/>
          <w:color w:val="auto"/>
          <w:sz w:val="24"/>
          <w:szCs w:val="24"/>
        </w:rPr>
      </w:pPr>
      <w:r>
        <w:rPr>
          <w:rFonts w:ascii="仿宋" w:hAnsi="仿宋" w:eastAsia="仿宋" w:cs="仿宋"/>
          <w:color w:val="auto"/>
          <w:spacing w:val="-29"/>
          <w:sz w:val="24"/>
          <w:szCs w:val="24"/>
        </w:rPr>
        <w:t>户名：</w:t>
      </w:r>
    </w:p>
    <w:p w14:paraId="0B568636">
      <w:pPr>
        <w:spacing w:before="150" w:line="217" w:lineRule="auto"/>
        <w:ind w:left="466"/>
        <w:rPr>
          <w:rFonts w:ascii="仿宋" w:hAnsi="仿宋" w:eastAsia="仿宋" w:cs="仿宋"/>
          <w:color w:val="auto"/>
          <w:sz w:val="24"/>
          <w:szCs w:val="24"/>
        </w:rPr>
      </w:pPr>
      <w:r>
        <w:rPr>
          <w:rFonts w:ascii="仿宋" w:hAnsi="仿宋" w:eastAsia="仿宋" w:cs="仿宋"/>
          <w:color w:val="auto"/>
          <w:spacing w:val="-30"/>
          <w:sz w:val="24"/>
          <w:szCs w:val="24"/>
        </w:rPr>
        <w:t>开户行：</w:t>
      </w:r>
    </w:p>
    <w:p w14:paraId="77A43460">
      <w:pPr>
        <w:spacing w:before="169" w:line="220" w:lineRule="auto"/>
        <w:ind w:left="463"/>
        <w:rPr>
          <w:rFonts w:ascii="仿宋" w:hAnsi="仿宋" w:eastAsia="仿宋" w:cs="仿宋"/>
          <w:color w:val="auto"/>
          <w:sz w:val="24"/>
          <w:szCs w:val="24"/>
        </w:rPr>
      </w:pPr>
      <w:r>
        <w:rPr>
          <w:rFonts w:ascii="仿宋" w:hAnsi="仿宋" w:eastAsia="仿宋" w:cs="仿宋"/>
          <w:color w:val="auto"/>
          <w:spacing w:val="-28"/>
          <w:sz w:val="24"/>
          <w:szCs w:val="24"/>
        </w:rPr>
        <w:t>账号：</w:t>
      </w:r>
    </w:p>
    <w:p w14:paraId="240E10B2">
      <w:pPr>
        <w:spacing w:before="224" w:line="217" w:lineRule="auto"/>
        <w:ind w:left="536"/>
        <w:rPr>
          <w:rFonts w:ascii="仿宋" w:hAnsi="仿宋" w:eastAsia="仿宋" w:cs="仿宋"/>
          <w:color w:val="auto"/>
          <w:sz w:val="24"/>
          <w:szCs w:val="24"/>
        </w:rPr>
      </w:pPr>
      <w:r>
        <w:rPr>
          <w:rFonts w:ascii="仿宋" w:hAnsi="仿宋" w:eastAsia="仿宋" w:cs="仿宋"/>
          <w:b/>
          <w:bCs/>
          <w:color w:val="auto"/>
          <w:spacing w:val="-22"/>
          <w:sz w:val="24"/>
          <w:szCs w:val="24"/>
        </w:rPr>
        <w:t>第六条</w:t>
      </w:r>
      <w:r>
        <w:rPr>
          <w:rFonts w:ascii="仿宋" w:hAnsi="仿宋" w:eastAsia="仿宋" w:cs="仿宋"/>
          <w:color w:val="auto"/>
          <w:spacing w:val="86"/>
          <w:sz w:val="24"/>
          <w:szCs w:val="24"/>
        </w:rPr>
        <w:t xml:space="preserve"> </w:t>
      </w:r>
      <w:r>
        <w:rPr>
          <w:rFonts w:ascii="仿宋" w:hAnsi="仿宋" w:eastAsia="仿宋" w:cs="仿宋"/>
          <w:b/>
          <w:bCs/>
          <w:color w:val="auto"/>
          <w:spacing w:val="-22"/>
          <w:sz w:val="24"/>
          <w:szCs w:val="24"/>
        </w:rPr>
        <w:t>履约保证金</w:t>
      </w:r>
    </w:p>
    <w:p w14:paraId="1961AAD9">
      <w:pPr>
        <w:spacing w:before="318" w:line="217" w:lineRule="auto"/>
        <w:ind w:left="527"/>
        <w:rPr>
          <w:rFonts w:ascii="仿宋" w:hAnsi="仿宋" w:eastAsia="仿宋" w:cs="仿宋"/>
          <w:color w:val="auto"/>
          <w:sz w:val="24"/>
          <w:szCs w:val="24"/>
        </w:rPr>
      </w:pPr>
      <w:r>
        <w:rPr>
          <w:rFonts w:ascii="仿宋" w:hAnsi="仿宋" w:eastAsia="仿宋" w:cs="仿宋"/>
          <w:color w:val="auto"/>
          <w:spacing w:val="-29"/>
          <w:sz w:val="24"/>
          <w:szCs w:val="24"/>
        </w:rPr>
        <w:t>本项目免收履约保证金。</w:t>
      </w:r>
    </w:p>
    <w:p w14:paraId="4006C17C">
      <w:pPr>
        <w:spacing w:before="289" w:line="218" w:lineRule="auto"/>
        <w:ind w:left="536"/>
        <w:rPr>
          <w:rFonts w:ascii="仿宋" w:hAnsi="仿宋" w:eastAsia="仿宋" w:cs="仿宋"/>
          <w:color w:val="auto"/>
          <w:sz w:val="24"/>
          <w:szCs w:val="24"/>
        </w:rPr>
      </w:pPr>
      <w:r>
        <w:rPr>
          <w:rFonts w:ascii="仿宋" w:hAnsi="仿宋" w:eastAsia="仿宋" w:cs="仿宋"/>
          <w:b/>
          <w:bCs/>
          <w:color w:val="auto"/>
          <w:spacing w:val="-17"/>
          <w:sz w:val="24"/>
          <w:szCs w:val="24"/>
        </w:rPr>
        <w:t>第七条</w:t>
      </w:r>
      <w:r>
        <w:rPr>
          <w:rFonts w:ascii="仿宋" w:hAnsi="仿宋" w:eastAsia="仿宋" w:cs="仿宋"/>
          <w:color w:val="auto"/>
          <w:spacing w:val="76"/>
          <w:sz w:val="24"/>
          <w:szCs w:val="24"/>
        </w:rPr>
        <w:t xml:space="preserve"> </w:t>
      </w:r>
      <w:r>
        <w:rPr>
          <w:rFonts w:ascii="仿宋" w:hAnsi="仿宋" w:eastAsia="仿宋" w:cs="仿宋"/>
          <w:b/>
          <w:bCs/>
          <w:color w:val="auto"/>
          <w:spacing w:val="-17"/>
          <w:sz w:val="24"/>
          <w:szCs w:val="24"/>
        </w:rPr>
        <w:t>验收</w:t>
      </w:r>
    </w:p>
    <w:p w14:paraId="4028108F">
      <w:pPr>
        <w:pStyle w:val="3"/>
        <w:spacing w:line="252" w:lineRule="auto"/>
        <w:rPr>
          <w:color w:val="auto"/>
        </w:rPr>
      </w:pPr>
    </w:p>
    <w:p w14:paraId="1A7FC520">
      <w:pPr>
        <w:spacing w:before="79" w:line="218" w:lineRule="auto"/>
        <w:ind w:left="476"/>
        <w:rPr>
          <w:rFonts w:ascii="仿宋" w:hAnsi="仿宋" w:eastAsia="仿宋" w:cs="仿宋"/>
          <w:color w:val="auto"/>
          <w:sz w:val="24"/>
          <w:szCs w:val="24"/>
        </w:rPr>
      </w:pPr>
      <w:r>
        <w:rPr>
          <w:rFonts w:ascii="仿宋" w:hAnsi="仿宋" w:eastAsia="仿宋" w:cs="仿宋"/>
          <w:color w:val="auto"/>
          <w:spacing w:val="-25"/>
          <w:sz w:val="24"/>
          <w:szCs w:val="24"/>
        </w:rPr>
        <w:t>1.服务期：</w:t>
      </w:r>
      <w:r>
        <w:rPr>
          <w:rFonts w:hint="eastAsia" w:ascii="仿宋" w:hAnsi="仿宋" w:eastAsia="仿宋" w:cs="仿宋"/>
          <w:color w:val="auto"/>
          <w:spacing w:val="-25"/>
          <w:sz w:val="24"/>
          <w:szCs w:val="24"/>
        </w:rPr>
        <w:t>本项目服务期为三年</w:t>
      </w:r>
      <w:r>
        <w:rPr>
          <w:rFonts w:hint="eastAsia" w:ascii="仿宋" w:hAnsi="仿宋" w:eastAsia="仿宋" w:cs="仿宋"/>
          <w:color w:val="auto"/>
          <w:spacing w:val="-25"/>
          <w:sz w:val="24"/>
          <w:szCs w:val="24"/>
          <w:lang w:val="en-US" w:eastAsia="zh-CN"/>
        </w:rPr>
        <w:t>（2026年9月至2029年8月）</w:t>
      </w:r>
      <w:r>
        <w:rPr>
          <w:rFonts w:hint="eastAsia" w:ascii="仿宋" w:hAnsi="仿宋" w:eastAsia="仿宋" w:cs="仿宋"/>
          <w:color w:val="auto"/>
          <w:spacing w:val="-25"/>
          <w:sz w:val="24"/>
          <w:szCs w:val="24"/>
        </w:rPr>
        <w:t>，合同采取一年一签的方式。首年合同期满后，可续签下一年度合同，每次续签一年，累计续签不超过两次。</w:t>
      </w:r>
    </w:p>
    <w:p w14:paraId="4885F6AD">
      <w:pPr>
        <w:spacing w:before="167" w:line="215" w:lineRule="auto"/>
        <w:ind w:left="461"/>
        <w:rPr>
          <w:rFonts w:ascii="仿宋" w:hAnsi="仿宋" w:eastAsia="仿宋" w:cs="仿宋"/>
          <w:color w:val="auto"/>
          <w:sz w:val="24"/>
          <w:szCs w:val="24"/>
        </w:rPr>
      </w:pPr>
      <w:r>
        <w:rPr>
          <w:rFonts w:ascii="仿宋" w:hAnsi="仿宋" w:eastAsia="仿宋" w:cs="仿宋"/>
          <w:color w:val="auto"/>
          <w:spacing w:val="-28"/>
          <w:sz w:val="24"/>
          <w:szCs w:val="24"/>
        </w:rPr>
        <w:t>2.服务地点：采购人所在地，具体地点为采购人指定地点。</w:t>
      </w:r>
    </w:p>
    <w:p w14:paraId="541662BC">
      <w:pPr>
        <w:spacing w:before="155" w:line="276" w:lineRule="auto"/>
        <w:ind w:left="46" w:right="102" w:firstLine="416"/>
        <w:rPr>
          <w:rFonts w:ascii="仿宋" w:hAnsi="仿宋" w:eastAsia="仿宋" w:cs="仿宋"/>
          <w:color w:val="auto"/>
          <w:sz w:val="24"/>
          <w:szCs w:val="24"/>
        </w:rPr>
      </w:pPr>
      <w:r>
        <w:rPr>
          <w:rFonts w:ascii="仿宋" w:hAnsi="仿宋" w:eastAsia="仿宋" w:cs="仿宋"/>
          <w:color w:val="auto"/>
          <w:spacing w:val="-31"/>
          <w:sz w:val="24"/>
          <w:szCs w:val="24"/>
        </w:rPr>
        <w:t>3.乙方应对提供的服务成果作出全面自查和整理，并列出清单，作为甲方验收和使用的</w:t>
      </w:r>
      <w:r>
        <w:rPr>
          <w:rFonts w:ascii="仿宋" w:hAnsi="仿宋" w:eastAsia="仿宋" w:cs="仿宋"/>
          <w:color w:val="auto"/>
          <w:spacing w:val="-32"/>
          <w:sz w:val="24"/>
          <w:szCs w:val="24"/>
        </w:rPr>
        <w:t>服务条件</w:t>
      </w:r>
      <w:r>
        <w:rPr>
          <w:rFonts w:ascii="仿宋" w:hAnsi="仿宋" w:eastAsia="仿宋" w:cs="仿宋"/>
          <w:color w:val="auto"/>
          <w:sz w:val="24"/>
          <w:szCs w:val="24"/>
        </w:rPr>
        <w:t xml:space="preserve"> </w:t>
      </w:r>
      <w:r>
        <w:rPr>
          <w:rFonts w:ascii="仿宋" w:hAnsi="仿宋" w:eastAsia="仿宋" w:cs="仿宋"/>
          <w:color w:val="auto"/>
          <w:spacing w:val="-28"/>
          <w:sz w:val="24"/>
          <w:szCs w:val="24"/>
        </w:rPr>
        <w:t>依据，清单应随提供的服务成果交给甲方。</w:t>
      </w:r>
    </w:p>
    <w:p w14:paraId="6572B0F1">
      <w:pPr>
        <w:spacing w:before="169" w:line="308" w:lineRule="auto"/>
        <w:ind w:left="50" w:right="97" w:firstLine="407"/>
        <w:rPr>
          <w:rFonts w:ascii="仿宋" w:hAnsi="仿宋" w:eastAsia="仿宋" w:cs="仿宋"/>
          <w:color w:val="auto"/>
          <w:sz w:val="24"/>
          <w:szCs w:val="24"/>
        </w:rPr>
      </w:pPr>
      <w:r>
        <w:rPr>
          <w:rFonts w:ascii="仿宋" w:hAnsi="仿宋" w:eastAsia="仿宋" w:cs="仿宋"/>
          <w:color w:val="auto"/>
          <w:spacing w:val="-31"/>
          <w:sz w:val="24"/>
          <w:szCs w:val="24"/>
        </w:rPr>
        <w:t>4.验收时，甲乙双方必须同时在场，乙方所提供的服务不符合合同内容规定的，甲方有权拒绝验</w:t>
      </w:r>
      <w:r>
        <w:rPr>
          <w:rFonts w:ascii="仿宋" w:hAnsi="仿宋" w:eastAsia="仿宋" w:cs="仿宋"/>
          <w:color w:val="auto"/>
          <w:spacing w:val="6"/>
          <w:sz w:val="24"/>
          <w:szCs w:val="24"/>
        </w:rPr>
        <w:t xml:space="preserve"> </w:t>
      </w:r>
      <w:r>
        <w:rPr>
          <w:rFonts w:ascii="仿宋" w:hAnsi="仿宋" w:eastAsia="仿宋" w:cs="仿宋"/>
          <w:color w:val="auto"/>
          <w:spacing w:val="-32"/>
          <w:sz w:val="24"/>
          <w:szCs w:val="24"/>
        </w:rPr>
        <w:t>收。乙方应及时按本合同内容规定和甲方要求免费进行整改，直至验收合格，方视为乙方按本合同规</w:t>
      </w:r>
      <w:r>
        <w:rPr>
          <w:rFonts w:ascii="仿宋" w:hAnsi="仿宋" w:eastAsia="仿宋" w:cs="仿宋"/>
          <w:color w:val="auto"/>
          <w:spacing w:val="9"/>
          <w:sz w:val="24"/>
          <w:szCs w:val="24"/>
        </w:rPr>
        <w:t xml:space="preserve"> </w:t>
      </w:r>
      <w:r>
        <w:rPr>
          <w:rFonts w:ascii="仿宋" w:hAnsi="仿宋" w:eastAsia="仿宋" w:cs="仿宋"/>
          <w:color w:val="auto"/>
          <w:spacing w:val="-32"/>
          <w:sz w:val="24"/>
          <w:szCs w:val="24"/>
        </w:rPr>
        <w:t>定完成服务。验收合格的，由双方共同签署《验收报告》。在经过两次限期整改后，服</w:t>
      </w:r>
      <w:r>
        <w:rPr>
          <w:rFonts w:ascii="仿宋" w:hAnsi="仿宋" w:eastAsia="仿宋" w:cs="仿宋"/>
          <w:color w:val="auto"/>
          <w:spacing w:val="-33"/>
          <w:sz w:val="24"/>
          <w:szCs w:val="24"/>
        </w:rPr>
        <w:t>务仍达不到合</w:t>
      </w:r>
      <w:r>
        <w:rPr>
          <w:rFonts w:ascii="仿宋" w:hAnsi="仿宋" w:eastAsia="仿宋" w:cs="仿宋"/>
          <w:color w:val="auto"/>
          <w:sz w:val="24"/>
          <w:szCs w:val="24"/>
        </w:rPr>
        <w:t xml:space="preserve"> </w:t>
      </w:r>
      <w:r>
        <w:rPr>
          <w:rFonts w:ascii="仿宋" w:hAnsi="仿宋" w:eastAsia="仿宋" w:cs="仿宋"/>
          <w:color w:val="auto"/>
          <w:spacing w:val="-29"/>
          <w:sz w:val="24"/>
          <w:szCs w:val="24"/>
        </w:rPr>
        <w:t>同文件规定内容的，甲方有权拒收，并可以解除合同</w:t>
      </w:r>
      <w:r>
        <w:rPr>
          <w:rFonts w:ascii="仿宋" w:hAnsi="仿宋" w:eastAsia="仿宋" w:cs="仿宋"/>
          <w:color w:val="auto"/>
          <w:spacing w:val="-30"/>
          <w:sz w:val="24"/>
          <w:szCs w:val="24"/>
        </w:rPr>
        <w:t>；由此引起甲方损失及赔偿责任由乙方承担。</w:t>
      </w:r>
    </w:p>
    <w:p w14:paraId="133688EF">
      <w:pPr>
        <w:spacing w:before="156" w:line="275" w:lineRule="auto"/>
        <w:ind w:left="75" w:right="102" w:firstLine="388"/>
        <w:rPr>
          <w:rFonts w:ascii="仿宋" w:hAnsi="仿宋" w:eastAsia="仿宋" w:cs="仿宋"/>
          <w:color w:val="auto"/>
          <w:sz w:val="24"/>
          <w:szCs w:val="24"/>
        </w:rPr>
      </w:pPr>
      <w:r>
        <w:rPr>
          <w:rFonts w:ascii="仿宋" w:hAnsi="仿宋" w:eastAsia="仿宋" w:cs="仿宋"/>
          <w:color w:val="auto"/>
          <w:spacing w:val="-31"/>
          <w:sz w:val="24"/>
          <w:szCs w:val="24"/>
        </w:rPr>
        <w:t>5.甲方可以视项目规模或复杂情况聘请专业人员参与验收，大型或复杂项目，以及涉及</w:t>
      </w:r>
      <w:r>
        <w:rPr>
          <w:rFonts w:ascii="仿宋" w:hAnsi="仿宋" w:eastAsia="仿宋" w:cs="仿宋"/>
          <w:color w:val="auto"/>
          <w:spacing w:val="-32"/>
          <w:sz w:val="24"/>
          <w:szCs w:val="24"/>
        </w:rPr>
        <w:t>专业服务</w:t>
      </w:r>
      <w:r>
        <w:rPr>
          <w:rFonts w:ascii="仿宋" w:hAnsi="仿宋" w:eastAsia="仿宋" w:cs="仿宋"/>
          <w:color w:val="auto"/>
          <w:sz w:val="24"/>
          <w:szCs w:val="24"/>
        </w:rPr>
        <w:t xml:space="preserve"> </w:t>
      </w:r>
      <w:r>
        <w:rPr>
          <w:rFonts w:ascii="仿宋" w:hAnsi="仿宋" w:eastAsia="仿宋" w:cs="仿宋"/>
          <w:color w:val="auto"/>
          <w:spacing w:val="-30"/>
          <w:sz w:val="24"/>
          <w:szCs w:val="24"/>
        </w:rPr>
        <w:t>内容的应当邀请国家认可的第三方质量检测</w:t>
      </w:r>
      <w:r>
        <w:rPr>
          <w:rFonts w:ascii="仿宋" w:hAnsi="仿宋" w:eastAsia="仿宋" w:cs="仿宋"/>
          <w:color w:val="auto"/>
          <w:spacing w:val="-31"/>
          <w:sz w:val="24"/>
          <w:szCs w:val="24"/>
        </w:rPr>
        <w:t>机构参与验收。</w:t>
      </w:r>
    </w:p>
    <w:p w14:paraId="7A0858FD">
      <w:pPr>
        <w:spacing w:before="169" w:line="217" w:lineRule="auto"/>
        <w:ind w:left="460"/>
        <w:rPr>
          <w:rFonts w:ascii="仿宋" w:hAnsi="仿宋" w:eastAsia="仿宋" w:cs="仿宋"/>
          <w:color w:val="auto"/>
          <w:sz w:val="24"/>
          <w:szCs w:val="24"/>
        </w:rPr>
      </w:pPr>
      <w:r>
        <w:rPr>
          <w:rFonts w:ascii="仿宋" w:hAnsi="仿宋" w:eastAsia="仿宋" w:cs="仿宋"/>
          <w:color w:val="auto"/>
          <w:spacing w:val="-31"/>
          <w:sz w:val="24"/>
          <w:szCs w:val="24"/>
        </w:rPr>
        <w:t>6.如根据项目实施情况需要分阶段验收，则双方分阶段签署《</w:t>
      </w:r>
      <w:r>
        <w:rPr>
          <w:rFonts w:ascii="仿宋" w:hAnsi="仿宋" w:eastAsia="仿宋" w:cs="仿宋"/>
          <w:color w:val="auto"/>
          <w:spacing w:val="-32"/>
          <w:sz w:val="24"/>
          <w:szCs w:val="24"/>
        </w:rPr>
        <w:t>验收报告》。</w:t>
      </w:r>
    </w:p>
    <w:p w14:paraId="13203F56">
      <w:pPr>
        <w:spacing w:before="155" w:line="275" w:lineRule="auto"/>
        <w:ind w:left="77" w:right="104" w:firstLine="386"/>
        <w:rPr>
          <w:rFonts w:ascii="仿宋" w:hAnsi="仿宋" w:eastAsia="仿宋" w:cs="仿宋"/>
          <w:color w:val="auto"/>
          <w:sz w:val="24"/>
          <w:szCs w:val="24"/>
        </w:rPr>
      </w:pPr>
      <w:r>
        <w:rPr>
          <w:rFonts w:ascii="仿宋" w:hAnsi="仿宋" w:eastAsia="仿宋" w:cs="仿宋"/>
          <w:color w:val="auto"/>
          <w:spacing w:val="-28"/>
          <w:sz w:val="24"/>
          <w:szCs w:val="24"/>
        </w:rPr>
        <w:t>7.如果合同双方对《验收报告》有分歧，双方须于出现分歧后</w:t>
      </w:r>
      <w:r>
        <w:rPr>
          <w:rFonts w:ascii="仿宋" w:hAnsi="仿宋" w:eastAsia="仿宋" w:cs="仿宋"/>
          <w:color w:val="auto"/>
          <w:spacing w:val="-28"/>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28"/>
          <w:sz w:val="24"/>
          <w:szCs w:val="24"/>
        </w:rPr>
        <w:t>天内给对方书面声明</w:t>
      </w:r>
      <w:r>
        <w:rPr>
          <w:rFonts w:ascii="仿宋" w:hAnsi="仿宋" w:eastAsia="仿宋" w:cs="仿宋"/>
          <w:color w:val="auto"/>
          <w:spacing w:val="-29"/>
          <w:sz w:val="24"/>
          <w:szCs w:val="24"/>
        </w:rPr>
        <w:t>，以陈述</w:t>
      </w:r>
      <w:r>
        <w:rPr>
          <w:rFonts w:ascii="仿宋" w:hAnsi="仿宋" w:eastAsia="仿宋" w:cs="仿宋"/>
          <w:color w:val="auto"/>
          <w:sz w:val="24"/>
          <w:szCs w:val="24"/>
        </w:rPr>
        <w:t xml:space="preserve"> </w:t>
      </w:r>
      <w:r>
        <w:rPr>
          <w:rFonts w:ascii="仿宋" w:hAnsi="仿宋" w:eastAsia="仿宋" w:cs="仿宋"/>
          <w:color w:val="auto"/>
          <w:spacing w:val="-31"/>
          <w:sz w:val="24"/>
          <w:szCs w:val="24"/>
        </w:rPr>
        <w:t>己方的理由及要求，并附有关证据。分歧应通过协商解决。</w:t>
      </w:r>
    </w:p>
    <w:p w14:paraId="13B808EC">
      <w:pPr>
        <w:spacing w:before="170" w:line="218" w:lineRule="auto"/>
        <w:ind w:left="536"/>
        <w:rPr>
          <w:rFonts w:ascii="仿宋" w:hAnsi="仿宋" w:eastAsia="仿宋" w:cs="仿宋"/>
          <w:color w:val="auto"/>
          <w:sz w:val="24"/>
          <w:szCs w:val="24"/>
        </w:rPr>
      </w:pPr>
      <w:r>
        <w:rPr>
          <w:rFonts w:ascii="仿宋" w:hAnsi="仿宋" w:eastAsia="仿宋" w:cs="仿宋"/>
          <w:b/>
          <w:bCs/>
          <w:color w:val="auto"/>
          <w:spacing w:val="-22"/>
          <w:sz w:val="24"/>
          <w:szCs w:val="24"/>
        </w:rPr>
        <w:t>第八条</w:t>
      </w:r>
      <w:r>
        <w:rPr>
          <w:rFonts w:ascii="仿宋" w:hAnsi="仿宋" w:eastAsia="仿宋" w:cs="仿宋"/>
          <w:color w:val="auto"/>
          <w:spacing w:val="76"/>
          <w:sz w:val="24"/>
          <w:szCs w:val="24"/>
        </w:rPr>
        <w:t xml:space="preserve"> </w:t>
      </w:r>
      <w:r>
        <w:rPr>
          <w:rFonts w:ascii="仿宋" w:hAnsi="仿宋" w:eastAsia="仿宋" w:cs="仿宋"/>
          <w:b/>
          <w:bCs/>
          <w:color w:val="auto"/>
          <w:spacing w:val="-22"/>
          <w:sz w:val="24"/>
          <w:szCs w:val="24"/>
        </w:rPr>
        <w:t>项目管理服务</w:t>
      </w:r>
    </w:p>
    <w:p w14:paraId="70A39841">
      <w:pPr>
        <w:spacing w:before="152" w:line="335" w:lineRule="auto"/>
        <w:ind w:left="57" w:right="102" w:firstLine="426"/>
        <w:rPr>
          <w:rFonts w:ascii="仿宋" w:hAnsi="仿宋" w:eastAsia="仿宋" w:cs="仿宋"/>
          <w:color w:val="auto"/>
          <w:sz w:val="24"/>
          <w:szCs w:val="24"/>
        </w:rPr>
      </w:pPr>
      <w:r>
        <w:rPr>
          <w:rFonts w:ascii="仿宋" w:hAnsi="仿宋" w:eastAsia="仿宋" w:cs="仿宋"/>
          <w:color w:val="auto"/>
          <w:spacing w:val="-29"/>
          <w:sz w:val="24"/>
          <w:szCs w:val="24"/>
        </w:rPr>
        <w:t>乙方应组建技术熟练、称职的团队全面履行合同,并指</w:t>
      </w:r>
      <w:r>
        <w:rPr>
          <w:rFonts w:ascii="仿宋" w:hAnsi="仿宋" w:eastAsia="仿宋" w:cs="仿宋"/>
          <w:color w:val="auto"/>
          <w:spacing w:val="-30"/>
          <w:sz w:val="24"/>
          <w:szCs w:val="24"/>
        </w:rPr>
        <w:t>定不少于一人全权全程负责本项目服务的</w:t>
      </w:r>
      <w:r>
        <w:rPr>
          <w:rFonts w:ascii="仿宋" w:hAnsi="仿宋" w:eastAsia="仿宋" w:cs="仿宋"/>
          <w:color w:val="auto"/>
          <w:sz w:val="24"/>
          <w:szCs w:val="24"/>
        </w:rPr>
        <w:t xml:space="preserve"> </w:t>
      </w:r>
      <w:r>
        <w:rPr>
          <w:rFonts w:ascii="仿宋" w:hAnsi="仿宋" w:eastAsia="仿宋" w:cs="仿宋"/>
          <w:color w:val="auto"/>
          <w:spacing w:val="-30"/>
          <w:sz w:val="24"/>
          <w:szCs w:val="24"/>
        </w:rPr>
        <w:t>落实，包括服务的咨询、执行和后续工作。</w:t>
      </w:r>
    </w:p>
    <w:p w14:paraId="4001EF42">
      <w:pPr>
        <w:spacing w:line="335" w:lineRule="auto"/>
        <w:rPr>
          <w:rFonts w:ascii="仿宋" w:hAnsi="仿宋" w:eastAsia="仿宋" w:cs="仿宋"/>
          <w:color w:val="auto"/>
          <w:sz w:val="24"/>
          <w:szCs w:val="24"/>
        </w:rPr>
        <w:sectPr>
          <w:footerReference r:id="rId43" w:type="default"/>
          <w:pgSz w:w="11910" w:h="16845"/>
          <w:pgMar w:top="1047" w:right="1201" w:bottom="890" w:left="1397" w:header="649" w:footer="659" w:gutter="0"/>
          <w:pgNumType w:fmt="decimal"/>
          <w:cols w:space="720" w:num="1"/>
        </w:sectPr>
      </w:pPr>
    </w:p>
    <w:p w14:paraId="73A6BC60">
      <w:pPr>
        <w:pStyle w:val="3"/>
        <w:spacing w:line="452" w:lineRule="auto"/>
        <w:rPr>
          <w:color w:val="auto"/>
        </w:rPr>
      </w:pPr>
    </w:p>
    <w:p w14:paraId="63DE6504">
      <w:pPr>
        <w:spacing w:before="78" w:line="218" w:lineRule="auto"/>
        <w:ind w:left="527"/>
        <w:rPr>
          <w:rFonts w:ascii="仿宋" w:hAnsi="仿宋" w:eastAsia="仿宋" w:cs="仿宋"/>
          <w:color w:val="auto"/>
          <w:sz w:val="24"/>
          <w:szCs w:val="24"/>
        </w:rPr>
      </w:pPr>
      <w:r>
        <w:rPr>
          <w:rFonts w:ascii="仿宋" w:hAnsi="仿宋" w:eastAsia="仿宋" w:cs="仿宋"/>
          <w:color w:val="auto"/>
          <w:spacing w:val="-28"/>
          <w:sz w:val="24"/>
          <w:szCs w:val="24"/>
        </w:rPr>
        <w:t>项目负责人姓名</w:t>
      </w:r>
      <w:r>
        <w:rPr>
          <w:rFonts w:ascii="仿宋" w:hAnsi="仿宋" w:eastAsia="仿宋" w:cs="仿宋"/>
          <w:color w:val="auto"/>
          <w:spacing w:val="-29"/>
          <w:sz w:val="24"/>
          <w:szCs w:val="24"/>
        </w:rPr>
        <w:t>：</w:t>
      </w:r>
      <w:r>
        <w:rPr>
          <w:rFonts w:ascii="仿宋" w:hAnsi="仿宋" w:eastAsia="仿宋" w:cs="仿宋"/>
          <w:color w:val="auto"/>
          <w:spacing w:val="-59"/>
          <w:sz w:val="24"/>
          <w:szCs w:val="24"/>
        </w:rPr>
        <w:t xml:space="preserve"> </w:t>
      </w:r>
      <w:r>
        <w:rPr>
          <w:rFonts w:ascii="仿宋" w:hAnsi="仿宋" w:eastAsia="仿宋" w:cs="仿宋"/>
          <w:color w:val="auto"/>
          <w:spacing w:val="2"/>
          <w:sz w:val="24"/>
          <w:szCs w:val="24"/>
          <w:u w:val="single" w:color="auto"/>
        </w:rPr>
        <w:t xml:space="preserve">            </w:t>
      </w:r>
      <w:r>
        <w:rPr>
          <w:rFonts w:ascii="仿宋" w:hAnsi="仿宋" w:eastAsia="仿宋" w:cs="仿宋"/>
          <w:color w:val="auto"/>
          <w:spacing w:val="-79"/>
          <w:sz w:val="24"/>
          <w:szCs w:val="24"/>
        </w:rPr>
        <w:t xml:space="preserve"> </w:t>
      </w:r>
      <w:r>
        <w:rPr>
          <w:rFonts w:ascii="仿宋" w:hAnsi="仿宋" w:eastAsia="仿宋" w:cs="仿宋"/>
          <w:color w:val="auto"/>
          <w:spacing w:val="-29"/>
          <w:sz w:val="24"/>
          <w:szCs w:val="24"/>
        </w:rPr>
        <w:t>；</w:t>
      </w:r>
      <w:r>
        <w:rPr>
          <w:rFonts w:ascii="仿宋" w:hAnsi="仿宋" w:eastAsia="仿宋" w:cs="仿宋"/>
          <w:color w:val="auto"/>
          <w:spacing w:val="-31"/>
          <w:sz w:val="24"/>
          <w:szCs w:val="24"/>
        </w:rPr>
        <w:t xml:space="preserve"> </w:t>
      </w:r>
      <w:r>
        <w:rPr>
          <w:rFonts w:ascii="仿宋" w:hAnsi="仿宋" w:eastAsia="仿宋" w:cs="仿宋"/>
          <w:color w:val="auto"/>
          <w:spacing w:val="-28"/>
          <w:sz w:val="24"/>
          <w:szCs w:val="24"/>
        </w:rPr>
        <w:t>联系电话：</w:t>
      </w:r>
      <w:r>
        <w:rPr>
          <w:rFonts w:ascii="仿宋" w:hAnsi="仿宋" w:eastAsia="仿宋" w:cs="仿宋"/>
          <w:color w:val="auto"/>
          <w:sz w:val="24"/>
          <w:szCs w:val="24"/>
          <w:u w:val="single" w:color="auto"/>
        </w:rPr>
        <w:t xml:space="preserve">                   </w:t>
      </w:r>
      <w:r>
        <w:rPr>
          <w:rFonts w:ascii="仿宋" w:hAnsi="仿宋" w:eastAsia="仿宋" w:cs="仿宋"/>
          <w:color w:val="auto"/>
          <w:spacing w:val="-28"/>
          <w:sz w:val="24"/>
          <w:szCs w:val="24"/>
        </w:rPr>
        <w:t>。</w:t>
      </w:r>
    </w:p>
    <w:p w14:paraId="331D9994">
      <w:pPr>
        <w:spacing w:before="226" w:line="217" w:lineRule="auto"/>
        <w:ind w:left="461"/>
        <w:rPr>
          <w:rFonts w:ascii="仿宋" w:hAnsi="仿宋" w:eastAsia="仿宋" w:cs="仿宋"/>
          <w:color w:val="auto"/>
          <w:sz w:val="24"/>
          <w:szCs w:val="24"/>
        </w:rPr>
      </w:pPr>
      <w:r>
        <w:rPr>
          <w:rFonts w:ascii="仿宋" w:hAnsi="仿宋" w:eastAsia="仿宋" w:cs="仿宋"/>
          <w:b/>
          <w:bCs/>
          <w:color w:val="auto"/>
          <w:spacing w:val="-21"/>
          <w:sz w:val="24"/>
          <w:szCs w:val="24"/>
        </w:rPr>
        <w:t>第九条</w:t>
      </w:r>
      <w:r>
        <w:rPr>
          <w:rFonts w:ascii="仿宋" w:hAnsi="仿宋" w:eastAsia="仿宋" w:cs="仿宋"/>
          <w:color w:val="auto"/>
          <w:spacing w:val="89"/>
          <w:sz w:val="24"/>
          <w:szCs w:val="24"/>
        </w:rPr>
        <w:t xml:space="preserve"> </w:t>
      </w:r>
      <w:r>
        <w:rPr>
          <w:rFonts w:ascii="仿宋" w:hAnsi="仿宋" w:eastAsia="仿宋" w:cs="仿宋"/>
          <w:b/>
          <w:bCs/>
          <w:color w:val="auto"/>
          <w:spacing w:val="-21"/>
          <w:sz w:val="24"/>
          <w:szCs w:val="24"/>
        </w:rPr>
        <w:t>售后服务</w:t>
      </w:r>
    </w:p>
    <w:p w14:paraId="15F15228">
      <w:pPr>
        <w:pStyle w:val="3"/>
        <w:spacing w:line="253" w:lineRule="auto"/>
        <w:rPr>
          <w:color w:val="auto"/>
        </w:rPr>
      </w:pPr>
    </w:p>
    <w:p w14:paraId="52E8D77C">
      <w:pPr>
        <w:spacing w:before="78" w:line="282" w:lineRule="auto"/>
        <w:ind w:left="46" w:right="103" w:firstLine="429"/>
        <w:rPr>
          <w:rFonts w:ascii="仿宋" w:hAnsi="仿宋" w:eastAsia="仿宋" w:cs="仿宋"/>
          <w:color w:val="auto"/>
          <w:sz w:val="24"/>
          <w:szCs w:val="24"/>
        </w:rPr>
      </w:pPr>
      <w:r>
        <w:rPr>
          <w:rFonts w:ascii="仿宋" w:hAnsi="仿宋" w:eastAsia="仿宋" w:cs="仿宋"/>
          <w:color w:val="auto"/>
          <w:spacing w:val="-28"/>
          <w:sz w:val="24"/>
          <w:szCs w:val="24"/>
        </w:rPr>
        <w:t>1.乙方提供服务的质量保证期为自服务通过最终验收之日起</w:t>
      </w:r>
      <w:r>
        <w:rPr>
          <w:rFonts w:ascii="仿宋" w:hAnsi="仿宋" w:eastAsia="仿宋" w:cs="仿宋"/>
          <w:color w:val="auto"/>
          <w:spacing w:val="-28"/>
          <w:sz w:val="24"/>
          <w:szCs w:val="24"/>
          <w:u w:val="single" w:color="auto"/>
        </w:rPr>
        <w:t xml:space="preserve">  </w:t>
      </w:r>
      <w:r>
        <w:rPr>
          <w:rFonts w:ascii="仿宋" w:hAnsi="仿宋" w:eastAsia="仿宋" w:cs="仿宋"/>
          <w:color w:val="auto"/>
          <w:spacing w:val="-29"/>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29"/>
          <w:sz w:val="24"/>
          <w:szCs w:val="24"/>
        </w:rPr>
        <w:t>个月。若国家有明确规定的质量</w:t>
      </w:r>
      <w:r>
        <w:rPr>
          <w:rFonts w:ascii="仿宋" w:hAnsi="仿宋" w:eastAsia="仿宋" w:cs="仿宋"/>
          <w:color w:val="auto"/>
          <w:sz w:val="24"/>
          <w:szCs w:val="24"/>
        </w:rPr>
        <w:t xml:space="preserve"> </w:t>
      </w:r>
      <w:r>
        <w:rPr>
          <w:rFonts w:ascii="仿宋" w:hAnsi="仿宋" w:eastAsia="仿宋" w:cs="仿宋"/>
          <w:color w:val="auto"/>
          <w:spacing w:val="-30"/>
          <w:sz w:val="24"/>
          <w:szCs w:val="24"/>
        </w:rPr>
        <w:t>保证期高于此质量保证期的，执行国家规定。</w:t>
      </w:r>
    </w:p>
    <w:p w14:paraId="445E4A9A">
      <w:pPr>
        <w:spacing w:before="153" w:line="299" w:lineRule="auto"/>
        <w:ind w:left="47" w:right="104" w:firstLine="414"/>
        <w:rPr>
          <w:rFonts w:ascii="仿宋" w:hAnsi="仿宋" w:eastAsia="仿宋" w:cs="仿宋"/>
          <w:color w:val="auto"/>
          <w:sz w:val="24"/>
          <w:szCs w:val="24"/>
        </w:rPr>
      </w:pPr>
      <w:r>
        <w:rPr>
          <w:rFonts w:ascii="仿宋" w:hAnsi="仿宋" w:eastAsia="仿宋" w:cs="仿宋"/>
          <w:color w:val="auto"/>
          <w:spacing w:val="-31"/>
          <w:sz w:val="24"/>
          <w:szCs w:val="24"/>
        </w:rPr>
        <w:t>2.服务期内，乙方应提供相关服务支持。对甲方所反映的任何服务问题在</w:t>
      </w:r>
      <w:r>
        <w:rPr>
          <w:rFonts w:ascii="仿宋" w:hAnsi="仿宋" w:eastAsia="仿宋" w:cs="仿宋"/>
          <w:color w:val="auto"/>
          <w:spacing w:val="-31"/>
          <w:sz w:val="24"/>
          <w:szCs w:val="24"/>
          <w:u w:val="single" w:color="auto"/>
        </w:rPr>
        <w:t>××</w:t>
      </w:r>
      <w:r>
        <w:rPr>
          <w:rFonts w:ascii="仿宋" w:hAnsi="仿宋" w:eastAsia="仿宋" w:cs="仿宋"/>
          <w:color w:val="auto"/>
          <w:spacing w:val="-31"/>
          <w:sz w:val="24"/>
          <w:szCs w:val="24"/>
        </w:rPr>
        <w:t>日（小时）</w:t>
      </w:r>
      <w:r>
        <w:rPr>
          <w:rFonts w:ascii="仿宋" w:hAnsi="仿宋" w:eastAsia="仿宋" w:cs="仿宋"/>
          <w:color w:val="auto"/>
          <w:spacing w:val="-32"/>
          <w:sz w:val="24"/>
          <w:szCs w:val="24"/>
        </w:rPr>
        <w:t>之内做</w:t>
      </w:r>
      <w:r>
        <w:rPr>
          <w:rFonts w:ascii="仿宋" w:hAnsi="仿宋" w:eastAsia="仿宋" w:cs="仿宋"/>
          <w:color w:val="auto"/>
          <w:sz w:val="24"/>
          <w:szCs w:val="24"/>
        </w:rPr>
        <w:t xml:space="preserve"> </w:t>
      </w:r>
      <w:r>
        <w:rPr>
          <w:rFonts w:ascii="仿宋" w:hAnsi="仿宋" w:eastAsia="仿宋" w:cs="仿宋"/>
          <w:color w:val="auto"/>
          <w:spacing w:val="-29"/>
          <w:sz w:val="24"/>
          <w:szCs w:val="24"/>
        </w:rPr>
        <w:t>出及时响应，在</w:t>
      </w:r>
      <w:r>
        <w:rPr>
          <w:rFonts w:ascii="仿宋" w:hAnsi="仿宋" w:eastAsia="仿宋" w:cs="仿宋"/>
          <w:color w:val="auto"/>
          <w:spacing w:val="-29"/>
          <w:sz w:val="24"/>
          <w:szCs w:val="24"/>
          <w:u w:val="single" w:color="auto"/>
        </w:rPr>
        <w:t xml:space="preserve">   </w:t>
      </w:r>
      <w:r>
        <w:rPr>
          <w:rFonts w:ascii="仿宋" w:hAnsi="仿宋" w:eastAsia="仿宋" w:cs="仿宋"/>
          <w:color w:val="auto"/>
          <w:spacing w:val="-54"/>
          <w:sz w:val="24"/>
          <w:szCs w:val="24"/>
        </w:rPr>
        <w:t xml:space="preserve"> </w:t>
      </w:r>
      <w:r>
        <w:rPr>
          <w:rFonts w:ascii="仿宋" w:hAnsi="仿宋" w:eastAsia="仿宋" w:cs="仿宋"/>
          <w:color w:val="auto"/>
          <w:spacing w:val="-29"/>
          <w:sz w:val="24"/>
          <w:szCs w:val="24"/>
        </w:rPr>
        <w:t>日（小时）之内赶到现场实地解决问题。若问题在</w:t>
      </w:r>
      <w:r>
        <w:rPr>
          <w:rFonts w:ascii="仿宋" w:hAnsi="仿宋" w:eastAsia="仿宋" w:cs="仿宋"/>
          <w:color w:val="auto"/>
          <w:spacing w:val="-29"/>
          <w:sz w:val="24"/>
          <w:szCs w:val="24"/>
          <w:u w:val="single" w:color="auto"/>
        </w:rPr>
        <w:t xml:space="preserve">    </w:t>
      </w:r>
      <w:r>
        <w:rPr>
          <w:rFonts w:ascii="仿宋" w:hAnsi="仿宋" w:eastAsia="仿宋" w:cs="仿宋"/>
          <w:color w:val="auto"/>
          <w:spacing w:val="-98"/>
          <w:sz w:val="24"/>
          <w:szCs w:val="24"/>
        </w:rPr>
        <w:t xml:space="preserve"> </w:t>
      </w:r>
      <w:r>
        <w:rPr>
          <w:rFonts w:ascii="仿宋" w:hAnsi="仿宋" w:eastAsia="仿宋" w:cs="仿宋"/>
          <w:color w:val="auto"/>
          <w:spacing w:val="-29"/>
          <w:sz w:val="24"/>
          <w:szCs w:val="24"/>
        </w:rPr>
        <w:t>工作日（</w:t>
      </w:r>
      <w:r>
        <w:rPr>
          <w:rFonts w:ascii="仿宋" w:hAnsi="仿宋" w:eastAsia="仿宋" w:cs="仿宋"/>
          <w:color w:val="auto"/>
          <w:spacing w:val="-30"/>
          <w:sz w:val="24"/>
          <w:szCs w:val="24"/>
        </w:rPr>
        <w:t>小时）后仍无法</w:t>
      </w:r>
      <w:r>
        <w:rPr>
          <w:rFonts w:ascii="仿宋" w:hAnsi="仿宋" w:eastAsia="仿宋" w:cs="仿宋"/>
          <w:color w:val="auto"/>
          <w:sz w:val="24"/>
          <w:szCs w:val="24"/>
        </w:rPr>
        <w:t xml:space="preserve"> </w:t>
      </w:r>
      <w:r>
        <w:rPr>
          <w:rFonts w:ascii="仿宋" w:hAnsi="仿宋" w:eastAsia="仿宋" w:cs="仿宋"/>
          <w:color w:val="auto"/>
          <w:spacing w:val="-27"/>
          <w:sz w:val="24"/>
          <w:szCs w:val="24"/>
        </w:rPr>
        <w:t>解决，乙方应在</w:t>
      </w:r>
      <w:r>
        <w:rPr>
          <w:rFonts w:ascii="仿宋" w:hAnsi="仿宋" w:eastAsia="仿宋" w:cs="仿宋"/>
          <w:color w:val="auto"/>
          <w:spacing w:val="-27"/>
          <w:sz w:val="24"/>
          <w:szCs w:val="24"/>
          <w:u w:val="single" w:color="auto"/>
        </w:rPr>
        <w:t xml:space="preserve">    </w:t>
      </w:r>
      <w:r>
        <w:rPr>
          <w:rFonts w:ascii="仿宋" w:hAnsi="仿宋" w:eastAsia="仿宋" w:cs="仿宋"/>
          <w:color w:val="auto"/>
          <w:spacing w:val="-53"/>
          <w:sz w:val="24"/>
          <w:szCs w:val="24"/>
        </w:rPr>
        <w:t xml:space="preserve"> </w:t>
      </w:r>
      <w:r>
        <w:rPr>
          <w:rFonts w:ascii="仿宋" w:hAnsi="仿宋" w:eastAsia="仿宋" w:cs="仿宋"/>
          <w:color w:val="auto"/>
          <w:spacing w:val="-27"/>
          <w:sz w:val="24"/>
          <w:szCs w:val="24"/>
        </w:rPr>
        <w:t>日（小时）内免费提供服务的补偿</w:t>
      </w:r>
      <w:r>
        <w:rPr>
          <w:rFonts w:ascii="仿宋" w:hAnsi="仿宋" w:eastAsia="仿宋" w:cs="仿宋"/>
          <w:color w:val="auto"/>
          <w:spacing w:val="-28"/>
          <w:sz w:val="24"/>
          <w:szCs w:val="24"/>
        </w:rPr>
        <w:t>、替换方案，直至服务恢复正常。</w:t>
      </w:r>
    </w:p>
    <w:p w14:paraId="371FE6E9">
      <w:pPr>
        <w:spacing w:before="154" w:line="277" w:lineRule="auto"/>
        <w:ind w:left="51" w:right="102" w:firstLine="412"/>
        <w:rPr>
          <w:rFonts w:ascii="仿宋" w:hAnsi="仿宋" w:eastAsia="仿宋" w:cs="仿宋"/>
          <w:color w:val="auto"/>
          <w:sz w:val="24"/>
          <w:szCs w:val="24"/>
        </w:rPr>
      </w:pPr>
      <w:r>
        <w:rPr>
          <w:rFonts w:ascii="仿宋" w:hAnsi="仿宋" w:eastAsia="仿宋" w:cs="仿宋"/>
          <w:color w:val="auto"/>
          <w:spacing w:val="-31"/>
          <w:sz w:val="24"/>
          <w:szCs w:val="24"/>
        </w:rPr>
        <w:t>3.乙方必须遵守甲方的有关管理制度、操作规程。对于乙方违规操作造成甲方损失的，由</w:t>
      </w:r>
      <w:r>
        <w:rPr>
          <w:rFonts w:ascii="仿宋" w:hAnsi="仿宋" w:eastAsia="仿宋" w:cs="仿宋"/>
          <w:color w:val="auto"/>
          <w:spacing w:val="-32"/>
          <w:sz w:val="24"/>
          <w:szCs w:val="24"/>
        </w:rPr>
        <w:t>乙方按</w:t>
      </w:r>
      <w:r>
        <w:rPr>
          <w:rFonts w:ascii="仿宋" w:hAnsi="仿宋" w:eastAsia="仿宋" w:cs="仿宋"/>
          <w:color w:val="auto"/>
          <w:sz w:val="24"/>
          <w:szCs w:val="24"/>
        </w:rPr>
        <w:t xml:space="preserve"> </w:t>
      </w:r>
      <w:r>
        <w:rPr>
          <w:rFonts w:ascii="仿宋" w:hAnsi="仿宋" w:eastAsia="仿宋" w:cs="仿宋"/>
          <w:color w:val="auto"/>
          <w:spacing w:val="-30"/>
          <w:sz w:val="24"/>
          <w:szCs w:val="24"/>
        </w:rPr>
        <w:t>照本合同第十二条的约定承担赔偿责任。</w:t>
      </w:r>
    </w:p>
    <w:p w14:paraId="734FE93A">
      <w:pPr>
        <w:spacing w:before="167" w:line="218" w:lineRule="auto"/>
        <w:ind w:left="536"/>
        <w:rPr>
          <w:rFonts w:ascii="仿宋" w:hAnsi="仿宋" w:eastAsia="仿宋" w:cs="仿宋"/>
          <w:color w:val="auto"/>
          <w:sz w:val="24"/>
          <w:szCs w:val="24"/>
        </w:rPr>
      </w:pPr>
      <w:r>
        <w:rPr>
          <w:rFonts w:ascii="仿宋" w:hAnsi="仿宋" w:eastAsia="仿宋" w:cs="仿宋"/>
          <w:b/>
          <w:bCs/>
          <w:color w:val="auto"/>
          <w:spacing w:val="-17"/>
          <w:sz w:val="24"/>
          <w:szCs w:val="24"/>
        </w:rPr>
        <w:t>第十条</w:t>
      </w:r>
      <w:r>
        <w:rPr>
          <w:rFonts w:ascii="仿宋" w:hAnsi="仿宋" w:eastAsia="仿宋" w:cs="仿宋"/>
          <w:color w:val="auto"/>
          <w:spacing w:val="78"/>
          <w:sz w:val="24"/>
          <w:szCs w:val="24"/>
        </w:rPr>
        <w:t xml:space="preserve"> </w:t>
      </w:r>
      <w:r>
        <w:rPr>
          <w:rFonts w:ascii="仿宋" w:hAnsi="仿宋" w:eastAsia="仿宋" w:cs="仿宋"/>
          <w:b/>
          <w:bCs/>
          <w:color w:val="auto"/>
          <w:spacing w:val="-17"/>
          <w:sz w:val="24"/>
          <w:szCs w:val="24"/>
        </w:rPr>
        <w:t>分包</w:t>
      </w:r>
    </w:p>
    <w:p w14:paraId="0D42E23F">
      <w:pPr>
        <w:spacing w:before="152" w:line="214" w:lineRule="auto"/>
        <w:jc w:val="right"/>
        <w:rPr>
          <w:rFonts w:ascii="仿宋" w:hAnsi="仿宋" w:eastAsia="仿宋" w:cs="仿宋"/>
          <w:color w:val="auto"/>
          <w:sz w:val="24"/>
          <w:szCs w:val="24"/>
        </w:rPr>
      </w:pPr>
      <w:r>
        <w:rPr>
          <w:rFonts w:ascii="仿宋" w:hAnsi="仿宋" w:eastAsia="仿宋" w:cs="仿宋"/>
          <w:color w:val="auto"/>
          <w:spacing w:val="-35"/>
          <w:sz w:val="24"/>
          <w:szCs w:val="24"/>
        </w:rPr>
        <w:t>除招标采购文件事先说明、且经甲方事先书面同意外，乙方不得分包、转包其</w:t>
      </w:r>
      <w:r>
        <w:rPr>
          <w:rFonts w:ascii="仿宋" w:hAnsi="仿宋" w:eastAsia="仿宋" w:cs="仿宋"/>
          <w:color w:val="auto"/>
          <w:spacing w:val="-36"/>
          <w:sz w:val="24"/>
          <w:szCs w:val="24"/>
        </w:rPr>
        <w:t>应履行的合同义务。</w:t>
      </w:r>
    </w:p>
    <w:p w14:paraId="04F1526D">
      <w:pPr>
        <w:spacing w:before="156" w:line="218" w:lineRule="auto"/>
        <w:ind w:left="476"/>
        <w:rPr>
          <w:rFonts w:ascii="仿宋" w:hAnsi="仿宋" w:eastAsia="仿宋" w:cs="仿宋"/>
          <w:color w:val="auto"/>
          <w:sz w:val="24"/>
          <w:szCs w:val="24"/>
        </w:rPr>
      </w:pPr>
      <w:r>
        <w:rPr>
          <w:rFonts w:ascii="仿宋" w:hAnsi="仿宋" w:eastAsia="仿宋" w:cs="仿宋"/>
          <w:b/>
          <w:bCs/>
          <w:color w:val="auto"/>
          <w:spacing w:val="-21"/>
          <w:sz w:val="24"/>
          <w:szCs w:val="24"/>
        </w:rPr>
        <w:t>第十一条</w:t>
      </w:r>
      <w:r>
        <w:rPr>
          <w:rFonts w:ascii="仿宋" w:hAnsi="仿宋" w:eastAsia="仿宋" w:cs="仿宋"/>
          <w:color w:val="auto"/>
          <w:spacing w:val="66"/>
          <w:sz w:val="24"/>
          <w:szCs w:val="24"/>
        </w:rPr>
        <w:t xml:space="preserve"> </w:t>
      </w:r>
      <w:r>
        <w:rPr>
          <w:rFonts w:ascii="仿宋" w:hAnsi="仿宋" w:eastAsia="仿宋" w:cs="仿宋"/>
          <w:b/>
          <w:bCs/>
          <w:color w:val="auto"/>
          <w:spacing w:val="-21"/>
          <w:sz w:val="24"/>
          <w:szCs w:val="24"/>
        </w:rPr>
        <w:t>合同的生效</w:t>
      </w:r>
    </w:p>
    <w:p w14:paraId="714D76AD">
      <w:pPr>
        <w:spacing w:before="167" w:line="216" w:lineRule="auto"/>
        <w:ind w:left="476"/>
        <w:rPr>
          <w:rFonts w:ascii="仿宋" w:hAnsi="仿宋" w:eastAsia="仿宋" w:cs="仿宋"/>
          <w:color w:val="auto"/>
          <w:sz w:val="24"/>
          <w:szCs w:val="24"/>
        </w:rPr>
      </w:pPr>
      <w:r>
        <w:rPr>
          <w:rFonts w:ascii="仿宋" w:hAnsi="仿宋" w:eastAsia="仿宋" w:cs="仿宋"/>
          <w:color w:val="auto"/>
          <w:spacing w:val="-29"/>
          <w:sz w:val="24"/>
          <w:szCs w:val="24"/>
        </w:rPr>
        <w:t>1.本合同经甲乙双方授权代表签字并加盖公章或合同专用章后生效。</w:t>
      </w:r>
    </w:p>
    <w:p w14:paraId="66BAF495">
      <w:pPr>
        <w:spacing w:before="156" w:line="276" w:lineRule="auto"/>
        <w:ind w:left="76" w:right="65" w:firstLine="384"/>
        <w:rPr>
          <w:rFonts w:ascii="仿宋" w:hAnsi="仿宋" w:eastAsia="仿宋" w:cs="仿宋"/>
          <w:color w:val="auto"/>
          <w:sz w:val="24"/>
          <w:szCs w:val="24"/>
        </w:rPr>
      </w:pPr>
      <w:r>
        <w:rPr>
          <w:rFonts w:ascii="仿宋" w:hAnsi="仿宋" w:eastAsia="仿宋" w:cs="仿宋"/>
          <w:color w:val="auto"/>
          <w:spacing w:val="-26"/>
          <w:sz w:val="24"/>
          <w:szCs w:val="24"/>
        </w:rPr>
        <w:t>2.生效后，除《政府采购法》第49</w:t>
      </w:r>
      <w:r>
        <w:rPr>
          <w:rFonts w:ascii="仿宋" w:hAnsi="仿宋" w:eastAsia="仿宋" w:cs="仿宋"/>
          <w:color w:val="auto"/>
          <w:spacing w:val="-70"/>
          <w:sz w:val="24"/>
          <w:szCs w:val="24"/>
        </w:rPr>
        <w:t xml:space="preserve"> </w:t>
      </w:r>
      <w:r>
        <w:rPr>
          <w:rFonts w:ascii="仿宋" w:hAnsi="仿宋" w:eastAsia="仿宋" w:cs="仿宋"/>
          <w:color w:val="auto"/>
          <w:spacing w:val="-26"/>
          <w:sz w:val="24"/>
          <w:szCs w:val="24"/>
        </w:rPr>
        <w:t>条、第50</w:t>
      </w:r>
      <w:r>
        <w:rPr>
          <w:rFonts w:ascii="仿宋" w:hAnsi="仿宋" w:eastAsia="仿宋" w:cs="仿宋"/>
          <w:color w:val="auto"/>
          <w:spacing w:val="-72"/>
          <w:sz w:val="24"/>
          <w:szCs w:val="24"/>
        </w:rPr>
        <w:t xml:space="preserve"> </w:t>
      </w:r>
      <w:r>
        <w:rPr>
          <w:rFonts w:ascii="仿宋" w:hAnsi="仿宋" w:eastAsia="仿宋" w:cs="仿宋"/>
          <w:color w:val="auto"/>
          <w:spacing w:val="-26"/>
          <w:sz w:val="24"/>
          <w:szCs w:val="24"/>
        </w:rPr>
        <w:t>条第二款规定的情形外</w:t>
      </w:r>
      <w:r>
        <w:rPr>
          <w:rFonts w:ascii="仿宋" w:hAnsi="仿宋" w:eastAsia="仿宋" w:cs="仿宋"/>
          <w:color w:val="auto"/>
          <w:spacing w:val="-27"/>
          <w:sz w:val="24"/>
          <w:szCs w:val="24"/>
        </w:rPr>
        <w:t>，甲乙双方不得擅自变更、</w:t>
      </w:r>
      <w:r>
        <w:rPr>
          <w:rFonts w:ascii="仿宋" w:hAnsi="仿宋" w:eastAsia="仿宋" w:cs="仿宋"/>
          <w:color w:val="auto"/>
          <w:sz w:val="24"/>
          <w:szCs w:val="24"/>
        </w:rPr>
        <w:t xml:space="preserve"> </w:t>
      </w:r>
      <w:r>
        <w:rPr>
          <w:rFonts w:ascii="仿宋" w:hAnsi="仿宋" w:eastAsia="仿宋" w:cs="仿宋"/>
          <w:color w:val="auto"/>
          <w:spacing w:val="-32"/>
          <w:sz w:val="24"/>
          <w:szCs w:val="24"/>
        </w:rPr>
        <w:t>中止或终止合同。</w:t>
      </w:r>
    </w:p>
    <w:p w14:paraId="243520AE">
      <w:pPr>
        <w:spacing w:before="166" w:line="217" w:lineRule="auto"/>
        <w:ind w:left="463"/>
        <w:rPr>
          <w:rFonts w:ascii="仿宋" w:hAnsi="仿宋" w:eastAsia="仿宋" w:cs="仿宋"/>
          <w:color w:val="auto"/>
          <w:sz w:val="24"/>
          <w:szCs w:val="24"/>
        </w:rPr>
      </w:pPr>
      <w:r>
        <w:rPr>
          <w:rFonts w:ascii="仿宋" w:hAnsi="仿宋" w:eastAsia="仿宋" w:cs="仿宋"/>
          <w:color w:val="auto"/>
          <w:spacing w:val="-28"/>
          <w:sz w:val="24"/>
          <w:szCs w:val="24"/>
        </w:rPr>
        <w:t>3.如遇政策调整或相关部门要求，导致不</w:t>
      </w:r>
      <w:r>
        <w:rPr>
          <w:rFonts w:ascii="仿宋" w:hAnsi="仿宋" w:eastAsia="仿宋" w:cs="仿宋"/>
          <w:color w:val="auto"/>
          <w:spacing w:val="-29"/>
          <w:sz w:val="24"/>
          <w:szCs w:val="24"/>
        </w:rPr>
        <w:t>能按时或完全履行合同，双方免于承担责任。</w:t>
      </w:r>
    </w:p>
    <w:p w14:paraId="3D3026E9">
      <w:pPr>
        <w:spacing w:before="154" w:line="218" w:lineRule="auto"/>
        <w:ind w:left="476"/>
        <w:rPr>
          <w:rFonts w:ascii="仿宋" w:hAnsi="仿宋" w:eastAsia="仿宋" w:cs="仿宋"/>
          <w:color w:val="auto"/>
          <w:sz w:val="24"/>
          <w:szCs w:val="24"/>
        </w:rPr>
      </w:pPr>
      <w:r>
        <w:rPr>
          <w:rFonts w:ascii="仿宋" w:hAnsi="仿宋" w:eastAsia="仿宋" w:cs="仿宋"/>
          <w:b/>
          <w:bCs/>
          <w:color w:val="auto"/>
          <w:spacing w:val="-19"/>
          <w:sz w:val="24"/>
          <w:szCs w:val="24"/>
        </w:rPr>
        <w:t>第十二条</w:t>
      </w:r>
      <w:r>
        <w:rPr>
          <w:rFonts w:ascii="仿宋" w:hAnsi="仿宋" w:eastAsia="仿宋" w:cs="仿宋"/>
          <w:color w:val="auto"/>
          <w:spacing w:val="62"/>
          <w:sz w:val="24"/>
          <w:szCs w:val="24"/>
        </w:rPr>
        <w:t xml:space="preserve"> </w:t>
      </w:r>
      <w:r>
        <w:rPr>
          <w:rFonts w:ascii="仿宋" w:hAnsi="仿宋" w:eastAsia="仿宋" w:cs="仿宋"/>
          <w:b/>
          <w:bCs/>
          <w:color w:val="auto"/>
          <w:spacing w:val="-19"/>
          <w:sz w:val="24"/>
          <w:szCs w:val="24"/>
        </w:rPr>
        <w:t>违约责任</w:t>
      </w:r>
    </w:p>
    <w:p w14:paraId="43AE1F61">
      <w:pPr>
        <w:spacing w:before="153" w:line="299" w:lineRule="auto"/>
        <w:ind w:left="47" w:right="102" w:firstLine="428"/>
        <w:rPr>
          <w:rFonts w:ascii="仿宋" w:hAnsi="仿宋" w:eastAsia="仿宋" w:cs="仿宋"/>
          <w:color w:val="auto"/>
          <w:sz w:val="24"/>
          <w:szCs w:val="24"/>
        </w:rPr>
      </w:pPr>
      <w:r>
        <w:rPr>
          <w:rFonts w:ascii="仿宋" w:hAnsi="仿宋" w:eastAsia="仿宋" w:cs="仿宋"/>
          <w:color w:val="auto"/>
          <w:spacing w:val="-30"/>
          <w:sz w:val="24"/>
          <w:szCs w:val="24"/>
        </w:rPr>
        <w:t>1.乙方所交付服务成果不符合本合同规定的，甲方有权拒</w:t>
      </w:r>
      <w:r>
        <w:rPr>
          <w:rFonts w:ascii="仿宋" w:hAnsi="仿宋" w:eastAsia="仿宋" w:cs="仿宋"/>
          <w:color w:val="auto"/>
          <w:spacing w:val="-31"/>
          <w:sz w:val="24"/>
          <w:szCs w:val="24"/>
        </w:rPr>
        <w:t>收，乙方在得到甲方通知之日起</w:t>
      </w:r>
      <w:r>
        <w:rPr>
          <w:rFonts w:ascii="仿宋" w:hAnsi="仿宋" w:eastAsia="仿宋" w:cs="仿宋"/>
          <w:color w:val="auto"/>
          <w:spacing w:val="-31"/>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31"/>
          <w:sz w:val="24"/>
          <w:szCs w:val="24"/>
        </w:rPr>
        <w:t>个</w:t>
      </w:r>
      <w:r>
        <w:rPr>
          <w:rFonts w:ascii="仿宋" w:hAnsi="仿宋" w:eastAsia="仿宋" w:cs="仿宋"/>
          <w:color w:val="auto"/>
          <w:sz w:val="24"/>
          <w:szCs w:val="24"/>
        </w:rPr>
        <w:t xml:space="preserve"> </w:t>
      </w:r>
      <w:r>
        <w:rPr>
          <w:rFonts w:ascii="仿宋" w:hAnsi="仿宋" w:eastAsia="仿宋" w:cs="仿宋"/>
          <w:color w:val="auto"/>
          <w:spacing w:val="-32"/>
          <w:sz w:val="24"/>
          <w:szCs w:val="24"/>
        </w:rPr>
        <w:t>工作日内采取补救措施，逾期仍未采取有效措施的，甲方有权要求乙方赔偿因此造成的损失或扣留履</w:t>
      </w:r>
      <w:r>
        <w:rPr>
          <w:rFonts w:ascii="仿宋" w:hAnsi="仿宋" w:eastAsia="仿宋" w:cs="仿宋"/>
          <w:color w:val="auto"/>
          <w:spacing w:val="8"/>
          <w:sz w:val="24"/>
          <w:szCs w:val="24"/>
        </w:rPr>
        <w:t xml:space="preserve"> </w:t>
      </w:r>
      <w:r>
        <w:rPr>
          <w:rFonts w:ascii="仿宋" w:hAnsi="仿宋" w:eastAsia="仿宋" w:cs="仿宋"/>
          <w:color w:val="auto"/>
          <w:spacing w:val="-25"/>
          <w:sz w:val="24"/>
          <w:szCs w:val="24"/>
        </w:rPr>
        <w:t>约保证金；同时乙方应向甲方支付合同总价</w:t>
      </w:r>
      <w:r>
        <w:rPr>
          <w:rFonts w:ascii="仿宋" w:hAnsi="仿宋" w:eastAsia="仿宋" w:cs="仿宋"/>
          <w:color w:val="auto"/>
          <w:spacing w:val="-25"/>
          <w:sz w:val="24"/>
          <w:szCs w:val="24"/>
          <w:u w:val="single" w:color="auto"/>
        </w:rPr>
        <w:t xml:space="preserve">     </w:t>
      </w:r>
      <w:r>
        <w:rPr>
          <w:rFonts w:ascii="仿宋" w:hAnsi="仿宋" w:eastAsia="仿宋" w:cs="仿宋"/>
          <w:color w:val="auto"/>
          <w:spacing w:val="-25"/>
          <w:sz w:val="24"/>
          <w:szCs w:val="24"/>
        </w:rPr>
        <w:t>％的违约金。</w:t>
      </w:r>
    </w:p>
    <w:p w14:paraId="336735F8">
      <w:pPr>
        <w:spacing w:before="154" w:line="218" w:lineRule="auto"/>
        <w:ind w:left="461"/>
        <w:rPr>
          <w:rFonts w:ascii="仿宋" w:hAnsi="仿宋" w:eastAsia="仿宋" w:cs="仿宋"/>
          <w:color w:val="auto"/>
          <w:sz w:val="24"/>
          <w:szCs w:val="24"/>
        </w:rPr>
      </w:pPr>
      <w:r>
        <w:rPr>
          <w:rFonts w:ascii="仿宋" w:hAnsi="仿宋" w:eastAsia="仿宋" w:cs="仿宋"/>
          <w:color w:val="auto"/>
          <w:spacing w:val="-27"/>
          <w:sz w:val="24"/>
          <w:szCs w:val="24"/>
        </w:rPr>
        <w:t>2.甲方无正当理由拒收服务，甲方应向乙</w:t>
      </w:r>
      <w:r>
        <w:rPr>
          <w:rFonts w:ascii="仿宋" w:hAnsi="仿宋" w:eastAsia="仿宋" w:cs="仿宋"/>
          <w:color w:val="auto"/>
          <w:spacing w:val="-28"/>
          <w:sz w:val="24"/>
          <w:szCs w:val="24"/>
        </w:rPr>
        <w:t>方偿付拒付服务费用</w:t>
      </w:r>
      <w:r>
        <w:rPr>
          <w:rFonts w:ascii="仿宋" w:hAnsi="仿宋" w:eastAsia="仿宋" w:cs="仿宋"/>
          <w:color w:val="auto"/>
          <w:spacing w:val="-78"/>
          <w:sz w:val="24"/>
          <w:szCs w:val="24"/>
        </w:rPr>
        <w:t xml:space="preserve"> </w:t>
      </w:r>
      <w:r>
        <w:rPr>
          <w:rFonts w:ascii="仿宋" w:hAnsi="仿宋" w:eastAsia="仿宋" w:cs="仿宋"/>
          <w:color w:val="auto"/>
          <w:spacing w:val="20"/>
          <w:sz w:val="24"/>
          <w:szCs w:val="24"/>
          <w:u w:val="single" w:color="auto"/>
        </w:rPr>
        <w:t xml:space="preserve">   </w:t>
      </w:r>
      <w:r>
        <w:rPr>
          <w:rFonts w:ascii="仿宋" w:hAnsi="仿宋" w:eastAsia="仿宋" w:cs="仿宋"/>
          <w:color w:val="auto"/>
          <w:spacing w:val="-28"/>
          <w:sz w:val="24"/>
          <w:szCs w:val="24"/>
        </w:rPr>
        <w:t>％的违约金。</w:t>
      </w:r>
    </w:p>
    <w:p w14:paraId="400CC2B3">
      <w:pPr>
        <w:spacing w:before="167" w:line="296" w:lineRule="auto"/>
        <w:ind w:left="47" w:right="61" w:firstLine="415"/>
        <w:rPr>
          <w:rFonts w:ascii="仿宋" w:hAnsi="仿宋" w:eastAsia="仿宋" w:cs="仿宋"/>
          <w:color w:val="auto"/>
          <w:sz w:val="24"/>
          <w:szCs w:val="24"/>
        </w:rPr>
      </w:pPr>
      <w:r>
        <w:rPr>
          <w:rFonts w:ascii="仿宋" w:hAnsi="仿宋" w:eastAsia="仿宋" w:cs="仿宋"/>
          <w:color w:val="auto"/>
          <w:spacing w:val="-24"/>
          <w:sz w:val="24"/>
          <w:szCs w:val="24"/>
        </w:rPr>
        <w:t>3.乙方无正当理由逾期交付服务的，每逾期1天，乙方向甲方</w:t>
      </w:r>
      <w:r>
        <w:rPr>
          <w:rFonts w:ascii="仿宋" w:hAnsi="仿宋" w:eastAsia="仿宋" w:cs="仿宋"/>
          <w:color w:val="auto"/>
          <w:spacing w:val="-25"/>
          <w:sz w:val="24"/>
          <w:szCs w:val="24"/>
        </w:rPr>
        <w:t>偿付合同总额的</w:t>
      </w:r>
      <w:r>
        <w:rPr>
          <w:rFonts w:ascii="仿宋" w:hAnsi="仿宋" w:eastAsia="仿宋" w:cs="仿宋"/>
          <w:color w:val="auto"/>
          <w:spacing w:val="-25"/>
          <w:sz w:val="24"/>
          <w:szCs w:val="24"/>
          <w:u w:val="single" w:color="auto"/>
        </w:rPr>
        <w:t xml:space="preserve">   </w:t>
      </w:r>
      <w:r>
        <w:rPr>
          <w:rFonts w:ascii="仿宋" w:hAnsi="仿宋" w:eastAsia="仿宋" w:cs="仿宋"/>
          <w:color w:val="auto"/>
          <w:spacing w:val="-104"/>
          <w:sz w:val="24"/>
          <w:szCs w:val="24"/>
        </w:rPr>
        <w:t xml:space="preserve"> </w:t>
      </w:r>
      <w:r>
        <w:rPr>
          <w:rFonts w:ascii="仿宋" w:hAnsi="仿宋" w:eastAsia="仿宋" w:cs="仿宋"/>
          <w:color w:val="auto"/>
          <w:spacing w:val="-25"/>
          <w:sz w:val="24"/>
          <w:szCs w:val="24"/>
        </w:rPr>
        <w:t>‰的违约金。</w:t>
      </w:r>
      <w:r>
        <w:rPr>
          <w:rFonts w:ascii="仿宋" w:hAnsi="仿宋" w:eastAsia="仿宋" w:cs="仿宋"/>
          <w:color w:val="auto"/>
          <w:sz w:val="24"/>
          <w:szCs w:val="24"/>
        </w:rPr>
        <w:t xml:space="preserve"> </w:t>
      </w:r>
      <w:r>
        <w:rPr>
          <w:rFonts w:ascii="仿宋" w:hAnsi="仿宋" w:eastAsia="仿宋" w:cs="仿宋"/>
          <w:color w:val="auto"/>
          <w:spacing w:val="-29"/>
          <w:sz w:val="24"/>
          <w:szCs w:val="24"/>
        </w:rPr>
        <w:t>如乙方逾期达</w:t>
      </w:r>
      <w:r>
        <w:rPr>
          <w:rFonts w:ascii="仿宋" w:hAnsi="仿宋" w:eastAsia="仿宋" w:cs="仿宋"/>
          <w:color w:val="auto"/>
          <w:spacing w:val="-29"/>
          <w:sz w:val="24"/>
          <w:szCs w:val="24"/>
          <w:u w:val="single" w:color="auto"/>
        </w:rPr>
        <w:t xml:space="preserve">   </w:t>
      </w:r>
      <w:r>
        <w:rPr>
          <w:rFonts w:ascii="仿宋" w:hAnsi="仿宋" w:eastAsia="仿宋" w:cs="仿宋"/>
          <w:color w:val="auto"/>
          <w:spacing w:val="-95"/>
          <w:sz w:val="24"/>
          <w:szCs w:val="24"/>
        </w:rPr>
        <w:t xml:space="preserve"> </w:t>
      </w:r>
      <w:r>
        <w:rPr>
          <w:rFonts w:ascii="仿宋" w:hAnsi="仿宋" w:eastAsia="仿宋" w:cs="仿宋"/>
          <w:color w:val="auto"/>
          <w:spacing w:val="-29"/>
          <w:sz w:val="24"/>
          <w:szCs w:val="24"/>
        </w:rPr>
        <w:t>天，甲方有权解除合同，甲方解除合同的通知自到达乙方时生效。在此情况下，乙</w:t>
      </w:r>
      <w:r>
        <w:rPr>
          <w:rFonts w:ascii="仿宋" w:hAnsi="仿宋" w:eastAsia="仿宋" w:cs="仿宋"/>
          <w:color w:val="auto"/>
          <w:sz w:val="24"/>
          <w:szCs w:val="24"/>
        </w:rPr>
        <w:t xml:space="preserve"> </w:t>
      </w:r>
      <w:r>
        <w:rPr>
          <w:rFonts w:ascii="仿宋" w:hAnsi="仿宋" w:eastAsia="仿宋" w:cs="仿宋"/>
          <w:color w:val="auto"/>
          <w:spacing w:val="-29"/>
          <w:sz w:val="24"/>
          <w:szCs w:val="24"/>
        </w:rPr>
        <w:t>方给甲方造成的实际损失高于违约金的，对高出违约</w:t>
      </w:r>
      <w:r>
        <w:rPr>
          <w:rFonts w:ascii="仿宋" w:hAnsi="仿宋" w:eastAsia="仿宋" w:cs="仿宋"/>
          <w:color w:val="auto"/>
          <w:spacing w:val="-30"/>
          <w:sz w:val="24"/>
          <w:szCs w:val="24"/>
        </w:rPr>
        <w:t>金的部分乙方应予以赔偿。</w:t>
      </w:r>
    </w:p>
    <w:p w14:paraId="74243AE9">
      <w:pPr>
        <w:spacing w:before="167" w:line="276" w:lineRule="auto"/>
        <w:ind w:left="47" w:right="105" w:firstLine="410"/>
        <w:rPr>
          <w:rFonts w:ascii="仿宋" w:hAnsi="仿宋" w:eastAsia="仿宋" w:cs="仿宋"/>
          <w:color w:val="auto"/>
          <w:sz w:val="24"/>
          <w:szCs w:val="24"/>
        </w:rPr>
      </w:pPr>
      <w:r>
        <w:rPr>
          <w:rFonts w:ascii="仿宋" w:hAnsi="仿宋" w:eastAsia="仿宋" w:cs="仿宋"/>
          <w:color w:val="auto"/>
          <w:spacing w:val="-25"/>
          <w:sz w:val="24"/>
          <w:szCs w:val="24"/>
        </w:rPr>
        <w:t>4.甲方未按合同规定的期限向乙方支付合同款的，每逾期1天甲方向乙方偿</w:t>
      </w:r>
      <w:r>
        <w:rPr>
          <w:rFonts w:ascii="仿宋" w:hAnsi="仿宋" w:eastAsia="仿宋" w:cs="仿宋"/>
          <w:color w:val="auto"/>
          <w:spacing w:val="-26"/>
          <w:sz w:val="24"/>
          <w:szCs w:val="24"/>
        </w:rPr>
        <w:t>付欠款总额的</w:t>
      </w:r>
      <w:r>
        <w:rPr>
          <w:rFonts w:ascii="仿宋" w:hAnsi="仿宋" w:eastAsia="仿宋" w:cs="仿宋"/>
          <w:color w:val="auto"/>
          <w:spacing w:val="-26"/>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26"/>
          <w:sz w:val="24"/>
          <w:szCs w:val="24"/>
        </w:rPr>
        <w:t>‰</w:t>
      </w:r>
      <w:r>
        <w:rPr>
          <w:rFonts w:ascii="仿宋" w:hAnsi="仿宋" w:eastAsia="仿宋" w:cs="仿宋"/>
          <w:color w:val="auto"/>
          <w:sz w:val="24"/>
          <w:szCs w:val="24"/>
        </w:rPr>
        <w:t xml:space="preserve"> </w:t>
      </w:r>
      <w:r>
        <w:rPr>
          <w:rFonts w:ascii="仿宋" w:hAnsi="仿宋" w:eastAsia="仿宋" w:cs="仿宋"/>
          <w:color w:val="auto"/>
          <w:spacing w:val="-25"/>
          <w:sz w:val="24"/>
          <w:szCs w:val="24"/>
        </w:rPr>
        <w:t>违约金，但累计违约金总额不超过欠款总额的</w:t>
      </w:r>
      <w:r>
        <w:rPr>
          <w:rFonts w:ascii="仿宋" w:hAnsi="仿宋" w:eastAsia="仿宋" w:cs="仿宋"/>
          <w:color w:val="auto"/>
          <w:spacing w:val="-25"/>
          <w:sz w:val="24"/>
          <w:szCs w:val="24"/>
          <w:u w:val="single" w:color="auto"/>
        </w:rPr>
        <w:t xml:space="preserve">   </w:t>
      </w:r>
      <w:r>
        <w:rPr>
          <w:rFonts w:ascii="仿宋" w:hAnsi="仿宋" w:eastAsia="仿宋" w:cs="仿宋"/>
          <w:color w:val="auto"/>
          <w:spacing w:val="-25"/>
          <w:sz w:val="24"/>
          <w:szCs w:val="24"/>
        </w:rPr>
        <w:t>％。</w:t>
      </w:r>
    </w:p>
    <w:p w14:paraId="2D2D3773">
      <w:pPr>
        <w:spacing w:before="152" w:line="282" w:lineRule="auto"/>
        <w:ind w:left="47" w:right="101" w:firstLine="415"/>
        <w:rPr>
          <w:rFonts w:ascii="仿宋" w:hAnsi="仿宋" w:eastAsia="仿宋" w:cs="仿宋"/>
          <w:color w:val="auto"/>
          <w:sz w:val="24"/>
          <w:szCs w:val="24"/>
        </w:rPr>
      </w:pPr>
      <w:r>
        <w:rPr>
          <w:rFonts w:ascii="仿宋" w:hAnsi="仿宋" w:eastAsia="仿宋" w:cs="仿宋"/>
          <w:color w:val="auto"/>
          <w:spacing w:val="-31"/>
          <w:sz w:val="24"/>
          <w:szCs w:val="24"/>
        </w:rPr>
        <w:t>5.其它未尽事宜，以《中华人民共和国民法典》和《政府采购法》等有关法律法规规定为准</w:t>
      </w:r>
      <w:r>
        <w:rPr>
          <w:rFonts w:ascii="仿宋" w:hAnsi="仿宋" w:eastAsia="仿宋" w:cs="仿宋"/>
          <w:color w:val="auto"/>
          <w:spacing w:val="-32"/>
          <w:sz w:val="24"/>
          <w:szCs w:val="24"/>
        </w:rPr>
        <w:t>，无</w:t>
      </w:r>
      <w:r>
        <w:rPr>
          <w:rFonts w:ascii="仿宋" w:hAnsi="仿宋" w:eastAsia="仿宋" w:cs="仿宋"/>
          <w:color w:val="auto"/>
          <w:sz w:val="24"/>
          <w:szCs w:val="24"/>
        </w:rPr>
        <w:t xml:space="preserve"> </w:t>
      </w:r>
      <w:r>
        <w:rPr>
          <w:rFonts w:ascii="仿宋" w:hAnsi="仿宋" w:eastAsia="仿宋" w:cs="仿宋"/>
          <w:color w:val="auto"/>
          <w:spacing w:val="-29"/>
          <w:sz w:val="24"/>
          <w:szCs w:val="24"/>
        </w:rPr>
        <w:t>相关规定的，双方协商解决。</w:t>
      </w:r>
    </w:p>
    <w:p w14:paraId="5EF9E7F7">
      <w:pPr>
        <w:spacing w:before="154" w:line="218" w:lineRule="auto"/>
        <w:ind w:left="536"/>
        <w:rPr>
          <w:rFonts w:ascii="仿宋" w:hAnsi="仿宋" w:eastAsia="仿宋" w:cs="仿宋"/>
          <w:color w:val="auto"/>
          <w:sz w:val="24"/>
          <w:szCs w:val="24"/>
        </w:rPr>
      </w:pPr>
      <w:r>
        <w:rPr>
          <w:rFonts w:ascii="仿宋" w:hAnsi="仿宋" w:eastAsia="仿宋" w:cs="仿宋"/>
          <w:b/>
          <w:bCs/>
          <w:color w:val="auto"/>
          <w:spacing w:val="-20"/>
          <w:sz w:val="24"/>
          <w:szCs w:val="24"/>
        </w:rPr>
        <w:t>第十三条</w:t>
      </w:r>
      <w:r>
        <w:rPr>
          <w:rFonts w:ascii="仿宋" w:hAnsi="仿宋" w:eastAsia="仿宋" w:cs="仿宋"/>
          <w:color w:val="auto"/>
          <w:spacing w:val="70"/>
          <w:sz w:val="24"/>
          <w:szCs w:val="24"/>
        </w:rPr>
        <w:t xml:space="preserve"> </w:t>
      </w:r>
      <w:r>
        <w:rPr>
          <w:rFonts w:ascii="仿宋" w:hAnsi="仿宋" w:eastAsia="仿宋" w:cs="仿宋"/>
          <w:b/>
          <w:bCs/>
          <w:color w:val="auto"/>
          <w:spacing w:val="-20"/>
          <w:sz w:val="24"/>
          <w:szCs w:val="24"/>
        </w:rPr>
        <w:t>不可抗力</w:t>
      </w:r>
    </w:p>
    <w:p w14:paraId="2E5590E6">
      <w:pPr>
        <w:spacing w:before="151" w:line="347" w:lineRule="auto"/>
        <w:ind w:left="49" w:right="103" w:firstLine="448"/>
        <w:rPr>
          <w:rFonts w:ascii="仿宋" w:hAnsi="仿宋" w:eastAsia="仿宋" w:cs="仿宋"/>
          <w:color w:val="auto"/>
          <w:sz w:val="24"/>
          <w:szCs w:val="24"/>
        </w:rPr>
      </w:pPr>
      <w:r>
        <w:rPr>
          <w:rFonts w:ascii="仿宋" w:hAnsi="仿宋" w:eastAsia="仿宋" w:cs="仿宋"/>
          <w:color w:val="auto"/>
          <w:spacing w:val="-29"/>
          <w:sz w:val="24"/>
          <w:szCs w:val="24"/>
        </w:rPr>
        <w:t>甲、乙方中任何一方，因不可抗力不能按时或</w:t>
      </w:r>
      <w:r>
        <w:rPr>
          <w:rFonts w:ascii="仿宋" w:hAnsi="仿宋" w:eastAsia="仿宋" w:cs="仿宋"/>
          <w:color w:val="auto"/>
          <w:spacing w:val="-30"/>
          <w:sz w:val="24"/>
          <w:szCs w:val="24"/>
        </w:rPr>
        <w:t>完全履行合同的，应及时通知对方，并在</w:t>
      </w:r>
      <w:r>
        <w:rPr>
          <w:rFonts w:ascii="仿宋" w:hAnsi="仿宋" w:eastAsia="仿宋" w:cs="仿宋"/>
          <w:color w:val="auto"/>
          <w:spacing w:val="-30"/>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30"/>
          <w:sz w:val="24"/>
          <w:szCs w:val="24"/>
        </w:rPr>
        <w:t>个工</w:t>
      </w:r>
      <w:r>
        <w:rPr>
          <w:rFonts w:ascii="仿宋" w:hAnsi="仿宋" w:eastAsia="仿宋" w:cs="仿宋"/>
          <w:color w:val="auto"/>
          <w:sz w:val="24"/>
          <w:szCs w:val="24"/>
        </w:rPr>
        <w:t xml:space="preserve"> </w:t>
      </w:r>
      <w:r>
        <w:rPr>
          <w:rFonts w:ascii="仿宋" w:hAnsi="仿宋" w:eastAsia="仿宋" w:cs="仿宋"/>
          <w:color w:val="auto"/>
          <w:spacing w:val="-32"/>
          <w:sz w:val="24"/>
          <w:szCs w:val="24"/>
        </w:rPr>
        <w:t>作日内提供相应证明，结算服务费用。未履行的部分是否继续履行、如何履行等问题，可由双方初步</w:t>
      </w:r>
    </w:p>
    <w:p w14:paraId="0D1BF29E">
      <w:pPr>
        <w:spacing w:line="347" w:lineRule="auto"/>
        <w:rPr>
          <w:rFonts w:ascii="仿宋" w:hAnsi="仿宋" w:eastAsia="仿宋" w:cs="仿宋"/>
          <w:color w:val="auto"/>
          <w:sz w:val="24"/>
          <w:szCs w:val="24"/>
        </w:rPr>
        <w:sectPr>
          <w:footerReference r:id="rId44" w:type="default"/>
          <w:pgSz w:w="11910" w:h="16845"/>
          <w:pgMar w:top="1047" w:right="1201" w:bottom="890" w:left="1397" w:header="649" w:footer="659" w:gutter="0"/>
          <w:pgNumType w:fmt="decimal"/>
          <w:cols w:space="720" w:num="1"/>
        </w:sectPr>
      </w:pPr>
    </w:p>
    <w:p w14:paraId="20708E3F">
      <w:pPr>
        <w:pStyle w:val="3"/>
        <w:spacing w:line="452" w:lineRule="auto"/>
        <w:rPr>
          <w:color w:val="auto"/>
        </w:rPr>
      </w:pPr>
    </w:p>
    <w:p w14:paraId="60416D27">
      <w:pPr>
        <w:spacing w:before="78" w:line="216" w:lineRule="auto"/>
        <w:ind w:left="46"/>
        <w:rPr>
          <w:rFonts w:ascii="仿宋" w:hAnsi="仿宋" w:eastAsia="仿宋" w:cs="仿宋"/>
          <w:color w:val="auto"/>
          <w:sz w:val="24"/>
          <w:szCs w:val="24"/>
        </w:rPr>
      </w:pPr>
      <w:r>
        <w:rPr>
          <w:rFonts w:ascii="仿宋" w:hAnsi="仿宋" w:eastAsia="仿宋" w:cs="仿宋"/>
          <w:color w:val="auto"/>
          <w:spacing w:val="-29"/>
          <w:sz w:val="24"/>
          <w:szCs w:val="24"/>
        </w:rPr>
        <w:t>协商，并向主管部门和政府采购管理部门报告。确定为不可抗</w:t>
      </w:r>
      <w:r>
        <w:rPr>
          <w:rFonts w:ascii="仿宋" w:hAnsi="仿宋" w:eastAsia="仿宋" w:cs="仿宋"/>
          <w:color w:val="auto"/>
          <w:spacing w:val="-30"/>
          <w:sz w:val="24"/>
          <w:szCs w:val="24"/>
        </w:rPr>
        <w:t>力原因造成的损失，免予承担责任。</w:t>
      </w:r>
    </w:p>
    <w:p w14:paraId="131E0D26">
      <w:pPr>
        <w:spacing w:before="154" w:line="218" w:lineRule="auto"/>
        <w:ind w:left="536"/>
        <w:rPr>
          <w:rFonts w:ascii="仿宋" w:hAnsi="仿宋" w:eastAsia="仿宋" w:cs="仿宋"/>
          <w:color w:val="auto"/>
          <w:sz w:val="24"/>
          <w:szCs w:val="24"/>
        </w:rPr>
      </w:pPr>
      <w:r>
        <w:rPr>
          <w:rFonts w:ascii="仿宋" w:hAnsi="仿宋" w:eastAsia="仿宋" w:cs="仿宋"/>
          <w:b/>
          <w:bCs/>
          <w:color w:val="auto"/>
          <w:spacing w:val="-23"/>
          <w:sz w:val="24"/>
          <w:szCs w:val="24"/>
        </w:rPr>
        <w:t>第十四条</w:t>
      </w:r>
      <w:r>
        <w:rPr>
          <w:rFonts w:ascii="仿宋" w:hAnsi="仿宋" w:eastAsia="仿宋" w:cs="仿宋"/>
          <w:color w:val="auto"/>
          <w:spacing w:val="67"/>
          <w:sz w:val="24"/>
          <w:szCs w:val="24"/>
        </w:rPr>
        <w:t xml:space="preserve"> </w:t>
      </w:r>
      <w:r>
        <w:rPr>
          <w:rFonts w:ascii="仿宋" w:hAnsi="仿宋" w:eastAsia="仿宋" w:cs="仿宋"/>
          <w:b/>
          <w:bCs/>
          <w:color w:val="auto"/>
          <w:spacing w:val="-23"/>
          <w:sz w:val="24"/>
          <w:szCs w:val="24"/>
        </w:rPr>
        <w:t>合同争议的解决</w:t>
      </w:r>
    </w:p>
    <w:p w14:paraId="56A41677">
      <w:pPr>
        <w:spacing w:before="150" w:line="341" w:lineRule="auto"/>
        <w:ind w:left="49" w:right="102" w:firstLine="417"/>
        <w:rPr>
          <w:rFonts w:ascii="仿宋" w:hAnsi="仿宋" w:eastAsia="仿宋" w:cs="仿宋"/>
          <w:color w:val="auto"/>
          <w:sz w:val="24"/>
          <w:szCs w:val="24"/>
        </w:rPr>
      </w:pPr>
      <w:r>
        <w:rPr>
          <w:rFonts w:ascii="仿宋" w:hAnsi="仿宋" w:eastAsia="仿宋" w:cs="仿宋"/>
          <w:color w:val="auto"/>
          <w:spacing w:val="-32"/>
          <w:sz w:val="24"/>
          <w:szCs w:val="24"/>
        </w:rPr>
        <w:t>本合同履行过程中发生的任何争议，双方当事人均可通过和解或者调解解决；不愿和解、调解或</w:t>
      </w:r>
      <w:r>
        <w:rPr>
          <w:rFonts w:ascii="仿宋" w:hAnsi="仿宋" w:eastAsia="仿宋" w:cs="仿宋"/>
          <w:color w:val="auto"/>
          <w:spacing w:val="4"/>
          <w:sz w:val="24"/>
          <w:szCs w:val="24"/>
        </w:rPr>
        <w:t xml:space="preserve"> </w:t>
      </w:r>
      <w:r>
        <w:rPr>
          <w:rFonts w:ascii="仿宋" w:hAnsi="仿宋" w:eastAsia="仿宋" w:cs="仿宋"/>
          <w:color w:val="auto"/>
          <w:spacing w:val="-28"/>
          <w:sz w:val="24"/>
          <w:szCs w:val="24"/>
          <w:u w:val="single" w:color="auto"/>
        </w:rPr>
        <w:t>者和解、调解不成的，可以选择下列第</w:t>
      </w:r>
      <w:r>
        <w:rPr>
          <w:rFonts w:ascii="仿宋" w:hAnsi="仿宋" w:eastAsia="仿宋" w:cs="仿宋"/>
          <w:color w:val="auto"/>
          <w:spacing w:val="-51"/>
          <w:sz w:val="24"/>
          <w:szCs w:val="24"/>
          <w:u w:val="single" w:color="auto"/>
        </w:rPr>
        <w:t xml:space="preserve"> </w:t>
      </w:r>
      <w:r>
        <w:rPr>
          <w:rFonts w:ascii="仿宋" w:hAnsi="仿宋" w:eastAsia="仿宋" w:cs="仿宋"/>
          <w:color w:val="auto"/>
          <w:spacing w:val="-28"/>
          <w:sz w:val="24"/>
          <w:szCs w:val="24"/>
          <w:u w:val="single" w:color="auto"/>
        </w:rPr>
        <w:t xml:space="preserve">2 </w:t>
      </w:r>
      <w:r>
        <w:rPr>
          <w:rFonts w:ascii="仿宋" w:hAnsi="仿宋" w:eastAsia="仿宋" w:cs="仿宋"/>
          <w:color w:val="auto"/>
          <w:spacing w:val="-28"/>
          <w:sz w:val="24"/>
          <w:szCs w:val="24"/>
        </w:rPr>
        <w:t>种方式解决：</w:t>
      </w:r>
    </w:p>
    <w:p w14:paraId="74AB3EA9">
      <w:pPr>
        <w:spacing w:before="1" w:line="276" w:lineRule="auto"/>
        <w:ind w:left="48" w:right="101" w:firstLine="427"/>
        <w:rPr>
          <w:rFonts w:ascii="仿宋" w:hAnsi="仿宋" w:eastAsia="仿宋" w:cs="仿宋"/>
          <w:color w:val="auto"/>
          <w:sz w:val="24"/>
          <w:szCs w:val="24"/>
        </w:rPr>
      </w:pPr>
      <w:r>
        <w:rPr>
          <w:rFonts w:ascii="仿宋" w:hAnsi="仿宋" w:eastAsia="仿宋" w:cs="仿宋"/>
          <w:color w:val="auto"/>
          <w:spacing w:val="-24"/>
          <w:sz w:val="24"/>
          <w:szCs w:val="24"/>
        </w:rPr>
        <w:t>1.将争议提交</w:t>
      </w:r>
      <w:r>
        <w:rPr>
          <w:rFonts w:ascii="仿宋" w:hAnsi="仿宋" w:eastAsia="仿宋" w:cs="仿宋"/>
          <w:color w:val="auto"/>
          <w:spacing w:val="-24"/>
          <w:sz w:val="24"/>
          <w:szCs w:val="24"/>
          <w:u w:val="single" w:color="auto"/>
        </w:rPr>
        <w:t xml:space="preserve">        </w:t>
      </w:r>
      <w:r>
        <w:rPr>
          <w:rFonts w:ascii="仿宋" w:hAnsi="仿宋" w:eastAsia="仿宋" w:cs="仿宋"/>
          <w:color w:val="auto"/>
          <w:spacing w:val="-102"/>
          <w:sz w:val="24"/>
          <w:szCs w:val="24"/>
        </w:rPr>
        <w:t xml:space="preserve"> </w:t>
      </w:r>
      <w:r>
        <w:rPr>
          <w:rFonts w:ascii="仿宋" w:hAnsi="仿宋" w:eastAsia="仿宋" w:cs="仿宋"/>
          <w:color w:val="auto"/>
          <w:spacing w:val="-24"/>
          <w:sz w:val="24"/>
          <w:szCs w:val="24"/>
        </w:rPr>
        <w:t>仲裁委员会（如洛阳</w:t>
      </w:r>
      <w:r>
        <w:rPr>
          <w:rFonts w:ascii="仿宋" w:hAnsi="仿宋" w:eastAsia="仿宋" w:cs="仿宋"/>
          <w:color w:val="auto"/>
          <w:spacing w:val="-25"/>
          <w:sz w:val="24"/>
          <w:szCs w:val="24"/>
        </w:rPr>
        <w:t>仲裁委员会等）依申请仲裁时其现行有效的仲裁规</w:t>
      </w:r>
      <w:r>
        <w:rPr>
          <w:rFonts w:ascii="仿宋" w:hAnsi="仿宋" w:eastAsia="仿宋" w:cs="仿宋"/>
          <w:color w:val="auto"/>
          <w:sz w:val="24"/>
          <w:szCs w:val="24"/>
        </w:rPr>
        <w:t xml:space="preserve"> </w:t>
      </w:r>
      <w:r>
        <w:rPr>
          <w:rFonts w:ascii="仿宋" w:hAnsi="仿宋" w:eastAsia="仿宋" w:cs="仿宋"/>
          <w:color w:val="auto"/>
          <w:spacing w:val="-31"/>
          <w:sz w:val="24"/>
          <w:szCs w:val="24"/>
        </w:rPr>
        <w:t>则裁决；</w:t>
      </w:r>
    </w:p>
    <w:p w14:paraId="10839C51">
      <w:pPr>
        <w:spacing w:before="167" w:line="218" w:lineRule="auto"/>
        <w:ind w:left="461"/>
        <w:rPr>
          <w:rFonts w:ascii="仿宋" w:hAnsi="仿宋" w:eastAsia="仿宋" w:cs="仿宋"/>
          <w:color w:val="auto"/>
          <w:sz w:val="24"/>
          <w:szCs w:val="24"/>
        </w:rPr>
      </w:pPr>
      <w:r>
        <w:rPr>
          <w:rFonts w:ascii="仿宋" w:hAnsi="仿宋" w:eastAsia="仿宋" w:cs="仿宋"/>
          <w:color w:val="auto"/>
          <w:spacing w:val="-25"/>
          <w:sz w:val="24"/>
          <w:szCs w:val="24"/>
        </w:rPr>
        <w:t>2.向</w:t>
      </w:r>
      <w:r>
        <w:rPr>
          <w:rFonts w:ascii="仿宋" w:hAnsi="仿宋" w:eastAsia="仿宋" w:cs="仿宋"/>
          <w:color w:val="auto"/>
          <w:spacing w:val="-18"/>
          <w:sz w:val="24"/>
          <w:szCs w:val="24"/>
          <w:u w:val="single" w:color="auto"/>
        </w:rPr>
        <w:t xml:space="preserve"> </w:t>
      </w:r>
      <w:r>
        <w:rPr>
          <w:rFonts w:ascii="仿宋" w:hAnsi="仿宋" w:eastAsia="仿宋" w:cs="仿宋"/>
          <w:color w:val="auto"/>
          <w:spacing w:val="-25"/>
          <w:sz w:val="24"/>
          <w:szCs w:val="24"/>
          <w:u w:val="single" w:color="auto"/>
        </w:rPr>
        <w:t xml:space="preserve">洛阳市 </w:t>
      </w:r>
      <w:r>
        <w:rPr>
          <w:rFonts w:ascii="仿宋" w:hAnsi="仿宋" w:eastAsia="仿宋" w:cs="仿宋"/>
          <w:color w:val="auto"/>
          <w:spacing w:val="-25"/>
          <w:sz w:val="24"/>
          <w:szCs w:val="24"/>
        </w:rPr>
        <w:t>人民法院起诉。</w:t>
      </w:r>
    </w:p>
    <w:p w14:paraId="0B2A52F4">
      <w:pPr>
        <w:spacing w:before="152" w:line="218" w:lineRule="auto"/>
        <w:ind w:left="476"/>
        <w:rPr>
          <w:rFonts w:ascii="仿宋" w:hAnsi="仿宋" w:eastAsia="仿宋" w:cs="仿宋"/>
          <w:color w:val="auto"/>
          <w:sz w:val="24"/>
          <w:szCs w:val="24"/>
        </w:rPr>
      </w:pPr>
      <w:r>
        <w:rPr>
          <w:rFonts w:ascii="仿宋" w:hAnsi="仿宋" w:eastAsia="仿宋" w:cs="仿宋"/>
          <w:b/>
          <w:bCs/>
          <w:color w:val="auto"/>
          <w:spacing w:val="-20"/>
          <w:sz w:val="24"/>
          <w:szCs w:val="24"/>
        </w:rPr>
        <w:t>第十五条</w:t>
      </w:r>
      <w:r>
        <w:rPr>
          <w:rFonts w:ascii="仿宋" w:hAnsi="仿宋" w:eastAsia="仿宋" w:cs="仿宋"/>
          <w:color w:val="auto"/>
          <w:spacing w:val="69"/>
          <w:sz w:val="24"/>
          <w:szCs w:val="24"/>
        </w:rPr>
        <w:t xml:space="preserve"> </w:t>
      </w:r>
      <w:r>
        <w:rPr>
          <w:rFonts w:ascii="仿宋" w:hAnsi="仿宋" w:eastAsia="仿宋" w:cs="仿宋"/>
          <w:b/>
          <w:bCs/>
          <w:color w:val="auto"/>
          <w:spacing w:val="-20"/>
          <w:sz w:val="24"/>
          <w:szCs w:val="24"/>
        </w:rPr>
        <w:t>合同生效</w:t>
      </w:r>
    </w:p>
    <w:p w14:paraId="20AF4989">
      <w:pPr>
        <w:spacing w:before="121" w:line="218" w:lineRule="auto"/>
        <w:ind w:left="467"/>
        <w:rPr>
          <w:rFonts w:ascii="仿宋" w:hAnsi="仿宋" w:eastAsia="仿宋" w:cs="仿宋"/>
          <w:color w:val="auto"/>
          <w:sz w:val="24"/>
          <w:szCs w:val="24"/>
        </w:rPr>
      </w:pPr>
      <w:r>
        <w:rPr>
          <w:rFonts w:ascii="仿宋" w:hAnsi="仿宋" w:eastAsia="仿宋" w:cs="仿宋"/>
          <w:color w:val="auto"/>
          <w:spacing w:val="-29"/>
          <w:sz w:val="24"/>
          <w:szCs w:val="24"/>
        </w:rPr>
        <w:t>本合同经甲乙双方签字盖章之日起生效。</w:t>
      </w:r>
    </w:p>
    <w:p w14:paraId="6096FB13">
      <w:pPr>
        <w:spacing w:before="213" w:line="217" w:lineRule="auto"/>
        <w:ind w:left="476"/>
        <w:rPr>
          <w:rFonts w:ascii="仿宋" w:hAnsi="仿宋" w:eastAsia="仿宋" w:cs="仿宋"/>
          <w:color w:val="auto"/>
          <w:sz w:val="24"/>
          <w:szCs w:val="24"/>
        </w:rPr>
      </w:pPr>
      <w:r>
        <w:rPr>
          <w:rFonts w:ascii="仿宋" w:hAnsi="仿宋" w:eastAsia="仿宋" w:cs="仿宋"/>
          <w:b/>
          <w:bCs/>
          <w:color w:val="auto"/>
          <w:spacing w:val="-17"/>
          <w:sz w:val="24"/>
          <w:szCs w:val="24"/>
        </w:rPr>
        <w:t>第十六条</w:t>
      </w:r>
      <w:r>
        <w:rPr>
          <w:rFonts w:ascii="仿宋" w:hAnsi="仿宋" w:eastAsia="仿宋" w:cs="仿宋"/>
          <w:color w:val="auto"/>
          <w:spacing w:val="62"/>
          <w:sz w:val="24"/>
          <w:szCs w:val="24"/>
        </w:rPr>
        <w:t xml:space="preserve"> </w:t>
      </w:r>
      <w:r>
        <w:rPr>
          <w:rFonts w:ascii="仿宋" w:hAnsi="仿宋" w:eastAsia="仿宋" w:cs="仿宋"/>
          <w:b/>
          <w:bCs/>
          <w:color w:val="auto"/>
          <w:spacing w:val="-17"/>
          <w:sz w:val="24"/>
          <w:szCs w:val="24"/>
        </w:rPr>
        <w:t>其他</w:t>
      </w:r>
    </w:p>
    <w:p w14:paraId="78613A98">
      <w:pPr>
        <w:spacing w:before="167" w:line="335" w:lineRule="auto"/>
        <w:ind w:left="51" w:right="102" w:firstLine="420"/>
        <w:rPr>
          <w:rFonts w:ascii="仿宋" w:hAnsi="仿宋" w:eastAsia="仿宋" w:cs="仿宋"/>
          <w:color w:val="auto"/>
          <w:sz w:val="24"/>
          <w:szCs w:val="24"/>
        </w:rPr>
      </w:pPr>
      <w:r>
        <w:rPr>
          <w:rFonts w:ascii="仿宋" w:hAnsi="仿宋" w:eastAsia="仿宋" w:cs="仿宋"/>
          <w:color w:val="auto"/>
          <w:spacing w:val="-29"/>
          <w:sz w:val="24"/>
          <w:szCs w:val="24"/>
        </w:rPr>
        <w:t>符合《政府采购法》第</w:t>
      </w:r>
      <w:r>
        <w:rPr>
          <w:rFonts w:ascii="仿宋" w:hAnsi="仿宋" w:eastAsia="仿宋" w:cs="仿宋"/>
          <w:color w:val="auto"/>
          <w:spacing w:val="-69"/>
          <w:sz w:val="24"/>
          <w:szCs w:val="24"/>
        </w:rPr>
        <w:t xml:space="preserve"> </w:t>
      </w:r>
      <w:r>
        <w:rPr>
          <w:rFonts w:ascii="仿宋" w:hAnsi="仿宋" w:eastAsia="仿宋" w:cs="仿宋"/>
          <w:color w:val="auto"/>
          <w:spacing w:val="-29"/>
          <w:sz w:val="24"/>
          <w:szCs w:val="24"/>
        </w:rPr>
        <w:t>49</w:t>
      </w:r>
      <w:r>
        <w:rPr>
          <w:rFonts w:ascii="仿宋" w:hAnsi="仿宋" w:eastAsia="仿宋" w:cs="仿宋"/>
          <w:color w:val="auto"/>
          <w:spacing w:val="-56"/>
          <w:sz w:val="24"/>
          <w:szCs w:val="24"/>
        </w:rPr>
        <w:t xml:space="preserve"> </w:t>
      </w:r>
      <w:r>
        <w:rPr>
          <w:rFonts w:ascii="仿宋" w:hAnsi="仿宋" w:eastAsia="仿宋" w:cs="仿宋"/>
          <w:color w:val="auto"/>
          <w:spacing w:val="-29"/>
          <w:sz w:val="24"/>
          <w:szCs w:val="24"/>
        </w:rPr>
        <w:t>条规定的，经双方协商，办理政府采购手续后，可签订补充合同</w:t>
      </w:r>
      <w:r>
        <w:rPr>
          <w:rFonts w:ascii="仿宋" w:hAnsi="仿宋" w:eastAsia="仿宋" w:cs="仿宋"/>
          <w:color w:val="auto"/>
          <w:spacing w:val="-30"/>
          <w:sz w:val="24"/>
          <w:szCs w:val="24"/>
        </w:rPr>
        <w:t>，所</w:t>
      </w:r>
      <w:r>
        <w:rPr>
          <w:rFonts w:ascii="仿宋" w:hAnsi="仿宋" w:eastAsia="仿宋" w:cs="仿宋"/>
          <w:color w:val="auto"/>
          <w:sz w:val="24"/>
          <w:szCs w:val="24"/>
        </w:rPr>
        <w:t xml:space="preserve"> </w:t>
      </w:r>
      <w:r>
        <w:rPr>
          <w:rFonts w:ascii="仿宋" w:hAnsi="仿宋" w:eastAsia="仿宋" w:cs="仿宋"/>
          <w:color w:val="auto"/>
          <w:spacing w:val="-30"/>
          <w:sz w:val="24"/>
          <w:szCs w:val="24"/>
        </w:rPr>
        <w:t>签订的补充合同与本合同具有同等法律效力。</w:t>
      </w:r>
    </w:p>
    <w:p w14:paraId="30446AA9">
      <w:pPr>
        <w:spacing w:line="218" w:lineRule="auto"/>
        <w:ind w:left="467"/>
        <w:rPr>
          <w:rFonts w:ascii="仿宋" w:hAnsi="仿宋" w:eastAsia="仿宋" w:cs="仿宋"/>
          <w:color w:val="auto"/>
          <w:sz w:val="24"/>
          <w:szCs w:val="24"/>
        </w:rPr>
      </w:pPr>
      <w:r>
        <w:rPr>
          <w:rFonts w:ascii="仿宋" w:hAnsi="仿宋" w:eastAsia="仿宋" w:cs="仿宋"/>
          <w:color w:val="auto"/>
          <w:spacing w:val="-26"/>
          <w:sz w:val="24"/>
          <w:szCs w:val="24"/>
        </w:rPr>
        <w:t>本合同一式</w:t>
      </w:r>
      <w:r>
        <w:rPr>
          <w:rFonts w:ascii="仿宋" w:hAnsi="仿宋" w:eastAsia="仿宋" w:cs="仿宋"/>
          <w:color w:val="auto"/>
          <w:spacing w:val="6"/>
          <w:sz w:val="24"/>
          <w:szCs w:val="24"/>
          <w:u w:val="single" w:color="auto"/>
        </w:rPr>
        <w:t xml:space="preserve">   </w:t>
      </w:r>
      <w:r>
        <w:rPr>
          <w:rFonts w:ascii="仿宋" w:hAnsi="仿宋" w:eastAsia="仿宋" w:cs="仿宋"/>
          <w:color w:val="auto"/>
          <w:spacing w:val="-102"/>
          <w:sz w:val="24"/>
          <w:szCs w:val="24"/>
        </w:rPr>
        <w:t xml:space="preserve"> </w:t>
      </w:r>
      <w:r>
        <w:rPr>
          <w:rFonts w:ascii="仿宋" w:hAnsi="仿宋" w:eastAsia="仿宋" w:cs="仿宋"/>
          <w:color w:val="auto"/>
          <w:spacing w:val="-26"/>
          <w:sz w:val="24"/>
          <w:szCs w:val="24"/>
        </w:rPr>
        <w:t>份，甲方</w:t>
      </w:r>
      <w:r>
        <w:rPr>
          <w:rFonts w:ascii="仿宋" w:hAnsi="仿宋" w:eastAsia="仿宋" w:cs="仿宋"/>
          <w:color w:val="auto"/>
          <w:spacing w:val="4"/>
          <w:sz w:val="24"/>
          <w:szCs w:val="24"/>
          <w:u w:val="single" w:color="auto"/>
        </w:rPr>
        <w:t xml:space="preserve">    </w:t>
      </w:r>
      <w:r>
        <w:rPr>
          <w:rFonts w:ascii="仿宋" w:hAnsi="仿宋" w:eastAsia="仿宋" w:cs="仿宋"/>
          <w:color w:val="auto"/>
          <w:spacing w:val="-104"/>
          <w:sz w:val="24"/>
          <w:szCs w:val="24"/>
        </w:rPr>
        <w:t xml:space="preserve"> </w:t>
      </w:r>
      <w:r>
        <w:rPr>
          <w:rFonts w:ascii="仿宋" w:hAnsi="仿宋" w:eastAsia="仿宋" w:cs="仿宋"/>
          <w:color w:val="auto"/>
          <w:spacing w:val="-26"/>
          <w:sz w:val="24"/>
          <w:szCs w:val="24"/>
        </w:rPr>
        <w:t>份，乙方</w:t>
      </w:r>
      <w:r>
        <w:rPr>
          <w:rFonts w:ascii="仿宋" w:hAnsi="仿宋" w:eastAsia="仿宋" w:cs="仿宋"/>
          <w:color w:val="auto"/>
          <w:spacing w:val="26"/>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26"/>
          <w:sz w:val="24"/>
          <w:szCs w:val="24"/>
        </w:rPr>
        <w:t>份。</w:t>
      </w:r>
    </w:p>
    <w:p w14:paraId="02A197DE">
      <w:pPr>
        <w:pStyle w:val="3"/>
        <w:spacing w:line="258" w:lineRule="auto"/>
        <w:rPr>
          <w:color w:val="auto"/>
        </w:rPr>
      </w:pPr>
    </w:p>
    <w:p w14:paraId="7D9804B1">
      <w:pPr>
        <w:pStyle w:val="3"/>
        <w:spacing w:line="258" w:lineRule="auto"/>
        <w:rPr>
          <w:color w:val="auto"/>
        </w:rPr>
      </w:pPr>
    </w:p>
    <w:p w14:paraId="399BA0E6">
      <w:pPr>
        <w:pStyle w:val="3"/>
        <w:spacing w:line="258" w:lineRule="auto"/>
        <w:rPr>
          <w:color w:val="auto"/>
        </w:rPr>
      </w:pPr>
    </w:p>
    <w:p w14:paraId="104B19BC">
      <w:pPr>
        <w:spacing w:before="79" w:line="218" w:lineRule="auto"/>
        <w:ind w:left="498"/>
        <w:rPr>
          <w:rFonts w:ascii="仿宋" w:hAnsi="仿宋" w:eastAsia="仿宋" w:cs="仿宋"/>
          <w:color w:val="auto"/>
          <w:sz w:val="24"/>
          <w:szCs w:val="24"/>
        </w:rPr>
      </w:pPr>
      <w:r>
        <w:rPr>
          <w:rFonts w:ascii="仿宋" w:hAnsi="仿宋" w:eastAsia="仿宋" w:cs="仿宋"/>
          <w:color w:val="auto"/>
          <w:spacing w:val="-31"/>
          <w:sz w:val="24"/>
          <w:szCs w:val="24"/>
        </w:rPr>
        <w:t>甲</w:t>
      </w:r>
      <w:r>
        <w:rPr>
          <w:rFonts w:ascii="仿宋" w:hAnsi="仿宋" w:eastAsia="仿宋" w:cs="仿宋"/>
          <w:color w:val="auto"/>
          <w:spacing w:val="33"/>
          <w:sz w:val="24"/>
          <w:szCs w:val="24"/>
        </w:rPr>
        <w:t xml:space="preserve">  </w:t>
      </w:r>
      <w:r>
        <w:rPr>
          <w:rFonts w:ascii="仿宋" w:hAnsi="仿宋" w:eastAsia="仿宋" w:cs="仿宋"/>
          <w:color w:val="auto"/>
          <w:spacing w:val="-31"/>
          <w:sz w:val="24"/>
          <w:szCs w:val="24"/>
        </w:rPr>
        <w:t>方：</w:t>
      </w:r>
      <w:r>
        <w:rPr>
          <w:rFonts w:ascii="仿宋" w:hAnsi="仿宋" w:eastAsia="仿宋" w:cs="仿宋"/>
          <w:color w:val="auto"/>
          <w:spacing w:val="1"/>
          <w:sz w:val="24"/>
          <w:szCs w:val="24"/>
        </w:rPr>
        <w:t xml:space="preserve">                       </w:t>
      </w:r>
      <w:r>
        <w:rPr>
          <w:rFonts w:ascii="仿宋" w:hAnsi="仿宋" w:eastAsia="仿宋" w:cs="仿宋"/>
          <w:color w:val="auto"/>
          <w:sz w:val="24"/>
          <w:szCs w:val="24"/>
        </w:rPr>
        <w:t xml:space="preserve">         </w:t>
      </w:r>
      <w:r>
        <w:rPr>
          <w:rFonts w:ascii="仿宋" w:hAnsi="仿宋" w:eastAsia="仿宋" w:cs="仿宋"/>
          <w:color w:val="auto"/>
          <w:spacing w:val="-31"/>
          <w:sz w:val="24"/>
          <w:szCs w:val="24"/>
        </w:rPr>
        <w:t>乙</w:t>
      </w:r>
      <w:r>
        <w:rPr>
          <w:rFonts w:ascii="仿宋" w:hAnsi="仿宋" w:eastAsia="仿宋" w:cs="仿宋"/>
          <w:color w:val="auto"/>
          <w:spacing w:val="34"/>
          <w:sz w:val="24"/>
          <w:szCs w:val="24"/>
        </w:rPr>
        <w:t xml:space="preserve">  </w:t>
      </w:r>
      <w:r>
        <w:rPr>
          <w:rFonts w:ascii="仿宋" w:hAnsi="仿宋" w:eastAsia="仿宋" w:cs="仿宋"/>
          <w:color w:val="auto"/>
          <w:spacing w:val="-31"/>
          <w:sz w:val="24"/>
          <w:szCs w:val="24"/>
        </w:rPr>
        <w:t>方：</w:t>
      </w:r>
    </w:p>
    <w:p w14:paraId="77A946D4">
      <w:pPr>
        <w:spacing w:before="167" w:line="217" w:lineRule="auto"/>
        <w:ind w:left="471"/>
        <w:rPr>
          <w:rFonts w:ascii="仿宋" w:hAnsi="仿宋" w:eastAsia="仿宋" w:cs="仿宋"/>
          <w:color w:val="auto"/>
          <w:sz w:val="24"/>
          <w:szCs w:val="24"/>
        </w:rPr>
      </w:pPr>
      <w:r>
        <w:rPr>
          <w:rFonts w:ascii="仿宋" w:hAnsi="仿宋" w:eastAsia="仿宋" w:cs="仿宋"/>
          <w:color w:val="auto"/>
          <w:spacing w:val="-22"/>
          <w:sz w:val="24"/>
          <w:szCs w:val="24"/>
        </w:rPr>
        <w:t>单位名称</w:t>
      </w:r>
      <w:r>
        <w:rPr>
          <w:rFonts w:ascii="仿宋" w:hAnsi="仿宋" w:eastAsia="仿宋" w:cs="仿宋"/>
          <w:color w:val="auto"/>
          <w:spacing w:val="-56"/>
          <w:w w:val="82"/>
          <w:sz w:val="24"/>
          <w:szCs w:val="24"/>
        </w:rPr>
        <w:t>：（</w:t>
      </w:r>
      <w:r>
        <w:rPr>
          <w:rFonts w:ascii="仿宋" w:hAnsi="仿宋" w:eastAsia="仿宋" w:cs="仿宋"/>
          <w:color w:val="auto"/>
          <w:spacing w:val="-22"/>
          <w:sz w:val="24"/>
          <w:szCs w:val="24"/>
        </w:rPr>
        <w:t>盖章）</w:t>
      </w:r>
      <w:r>
        <w:rPr>
          <w:rFonts w:ascii="仿宋" w:hAnsi="仿宋" w:eastAsia="仿宋" w:cs="仿宋"/>
          <w:color w:val="auto"/>
          <w:spacing w:val="1"/>
          <w:sz w:val="24"/>
          <w:szCs w:val="24"/>
        </w:rPr>
        <w:t xml:space="preserve">                        </w:t>
      </w:r>
      <w:r>
        <w:rPr>
          <w:rFonts w:ascii="仿宋" w:hAnsi="仿宋" w:eastAsia="仿宋" w:cs="仿宋"/>
          <w:color w:val="auto"/>
          <w:spacing w:val="-22"/>
          <w:sz w:val="24"/>
          <w:szCs w:val="24"/>
        </w:rPr>
        <w:t>单位名称</w:t>
      </w:r>
      <w:r>
        <w:rPr>
          <w:rFonts w:ascii="仿宋" w:hAnsi="仿宋" w:eastAsia="仿宋" w:cs="仿宋"/>
          <w:color w:val="auto"/>
          <w:spacing w:val="-56"/>
          <w:w w:val="82"/>
          <w:sz w:val="24"/>
          <w:szCs w:val="24"/>
        </w:rPr>
        <w:t>：（</w:t>
      </w:r>
      <w:r>
        <w:rPr>
          <w:rFonts w:ascii="仿宋" w:hAnsi="仿宋" w:eastAsia="仿宋" w:cs="仿宋"/>
          <w:color w:val="auto"/>
          <w:spacing w:val="-22"/>
          <w:sz w:val="24"/>
          <w:szCs w:val="24"/>
        </w:rPr>
        <w:t>盖章）</w:t>
      </w:r>
    </w:p>
    <w:p w14:paraId="5E3B4C7E">
      <w:pPr>
        <w:spacing w:before="154" w:line="227" w:lineRule="auto"/>
        <w:ind w:left="467"/>
        <w:rPr>
          <w:rFonts w:ascii="仿宋" w:hAnsi="仿宋" w:eastAsia="仿宋" w:cs="仿宋"/>
          <w:color w:val="auto"/>
          <w:sz w:val="24"/>
          <w:szCs w:val="24"/>
        </w:rPr>
      </w:pPr>
      <w:r>
        <w:rPr>
          <w:rFonts w:ascii="仿宋" w:hAnsi="仿宋" w:eastAsia="仿宋" w:cs="仿宋"/>
          <w:color w:val="auto"/>
          <w:spacing w:val="-15"/>
          <w:sz w:val="24"/>
          <w:szCs w:val="24"/>
        </w:rPr>
        <w:t xml:space="preserve">地址：                                   </w:t>
      </w:r>
      <w:r>
        <w:rPr>
          <w:rFonts w:ascii="仿宋" w:hAnsi="仿宋" w:eastAsia="仿宋" w:cs="仿宋"/>
          <w:color w:val="auto"/>
          <w:spacing w:val="-16"/>
          <w:sz w:val="24"/>
          <w:szCs w:val="24"/>
        </w:rPr>
        <w:t xml:space="preserve">    地址：</w:t>
      </w:r>
    </w:p>
    <w:p w14:paraId="66E664AF">
      <w:pPr>
        <w:spacing w:before="140" w:line="218" w:lineRule="auto"/>
        <w:jc w:val="right"/>
        <w:rPr>
          <w:rFonts w:ascii="仿宋" w:hAnsi="仿宋" w:eastAsia="仿宋" w:cs="仿宋"/>
          <w:color w:val="auto"/>
          <w:sz w:val="24"/>
          <w:szCs w:val="24"/>
        </w:rPr>
      </w:pPr>
      <w:r>
        <w:rPr>
          <w:rFonts w:ascii="仿宋" w:hAnsi="仿宋" w:eastAsia="仿宋" w:cs="仿宋"/>
          <w:color w:val="auto"/>
          <w:spacing w:val="-31"/>
          <w:sz w:val="24"/>
          <w:szCs w:val="24"/>
        </w:rPr>
        <w:t>法定代表人/负责人或授权代理人</w:t>
      </w:r>
      <w:r>
        <w:rPr>
          <w:rFonts w:ascii="仿宋" w:hAnsi="仿宋" w:eastAsia="仿宋" w:cs="仿宋"/>
          <w:color w:val="auto"/>
          <w:spacing w:val="-65"/>
          <w:sz w:val="24"/>
          <w:szCs w:val="24"/>
        </w:rPr>
        <w:t>：（</w:t>
      </w:r>
      <w:r>
        <w:rPr>
          <w:rFonts w:ascii="仿宋" w:hAnsi="仿宋" w:eastAsia="仿宋" w:cs="仿宋"/>
          <w:color w:val="auto"/>
          <w:spacing w:val="-31"/>
          <w:sz w:val="24"/>
          <w:szCs w:val="24"/>
        </w:rPr>
        <w:t>签字）</w:t>
      </w:r>
      <w:r>
        <w:rPr>
          <w:rFonts w:ascii="仿宋" w:hAnsi="仿宋" w:eastAsia="仿宋" w:cs="仿宋"/>
          <w:color w:val="auto"/>
          <w:spacing w:val="16"/>
          <w:sz w:val="24"/>
          <w:szCs w:val="24"/>
        </w:rPr>
        <w:t xml:space="preserve">      </w:t>
      </w:r>
      <w:r>
        <w:rPr>
          <w:rFonts w:ascii="仿宋" w:hAnsi="仿宋" w:eastAsia="仿宋" w:cs="仿宋"/>
          <w:color w:val="auto"/>
          <w:spacing w:val="-31"/>
          <w:sz w:val="24"/>
          <w:szCs w:val="24"/>
        </w:rPr>
        <w:t>法定代表人</w:t>
      </w:r>
      <w:r>
        <w:rPr>
          <w:rFonts w:ascii="仿宋" w:hAnsi="仿宋" w:eastAsia="仿宋" w:cs="仿宋"/>
          <w:color w:val="auto"/>
          <w:spacing w:val="-32"/>
          <w:sz w:val="24"/>
          <w:szCs w:val="24"/>
        </w:rPr>
        <w:t>/负责人或授权代理人</w:t>
      </w:r>
      <w:r>
        <w:rPr>
          <w:rFonts w:ascii="仿宋" w:hAnsi="仿宋" w:eastAsia="仿宋" w:cs="仿宋"/>
          <w:color w:val="auto"/>
          <w:spacing w:val="-65"/>
          <w:sz w:val="24"/>
          <w:szCs w:val="24"/>
        </w:rPr>
        <w:t>：（</w:t>
      </w:r>
      <w:r>
        <w:rPr>
          <w:rFonts w:ascii="仿宋" w:hAnsi="仿宋" w:eastAsia="仿宋" w:cs="仿宋"/>
          <w:color w:val="auto"/>
          <w:spacing w:val="-32"/>
          <w:sz w:val="24"/>
          <w:szCs w:val="24"/>
        </w:rPr>
        <w:t>签字）</w:t>
      </w:r>
    </w:p>
    <w:p w14:paraId="3F0B5650">
      <w:pPr>
        <w:spacing w:before="167" w:line="219" w:lineRule="auto"/>
        <w:ind w:left="492"/>
        <w:rPr>
          <w:rFonts w:ascii="仿宋" w:hAnsi="仿宋" w:eastAsia="仿宋" w:cs="仿宋"/>
          <w:color w:val="auto"/>
          <w:sz w:val="24"/>
          <w:szCs w:val="24"/>
        </w:rPr>
      </w:pPr>
      <w:r>
        <w:rPr>
          <w:rFonts w:ascii="仿宋" w:hAnsi="仿宋" w:eastAsia="仿宋" w:cs="仿宋"/>
          <w:color w:val="auto"/>
          <w:spacing w:val="-35"/>
          <w:sz w:val="24"/>
          <w:szCs w:val="24"/>
        </w:rPr>
        <w:t>电话：</w:t>
      </w:r>
      <w:r>
        <w:rPr>
          <w:rFonts w:ascii="仿宋" w:hAnsi="仿宋" w:eastAsia="仿宋" w:cs="仿宋"/>
          <w:color w:val="auto"/>
          <w:spacing w:val="3"/>
          <w:sz w:val="24"/>
          <w:szCs w:val="24"/>
        </w:rPr>
        <w:t xml:space="preserve">                                  </w:t>
      </w:r>
      <w:r>
        <w:rPr>
          <w:rFonts w:ascii="仿宋" w:hAnsi="仿宋" w:eastAsia="仿宋" w:cs="仿宋"/>
          <w:color w:val="auto"/>
          <w:spacing w:val="-35"/>
          <w:sz w:val="24"/>
          <w:szCs w:val="24"/>
        </w:rPr>
        <w:t>电话：</w:t>
      </w:r>
    </w:p>
    <w:p w14:paraId="7BF9F234">
      <w:pPr>
        <w:spacing w:before="150" w:line="217" w:lineRule="auto"/>
        <w:ind w:left="466"/>
        <w:rPr>
          <w:rFonts w:ascii="仿宋" w:hAnsi="仿宋" w:eastAsia="仿宋" w:cs="仿宋"/>
          <w:color w:val="auto"/>
          <w:sz w:val="24"/>
          <w:szCs w:val="24"/>
        </w:rPr>
      </w:pPr>
      <w:r>
        <w:rPr>
          <w:rFonts w:ascii="仿宋" w:hAnsi="仿宋" w:eastAsia="仿宋" w:cs="仿宋"/>
          <w:color w:val="auto"/>
          <w:spacing w:val="-37"/>
          <w:sz w:val="24"/>
          <w:szCs w:val="24"/>
        </w:rPr>
        <w:t>开户银行：</w:t>
      </w:r>
      <w:r>
        <w:rPr>
          <w:rFonts w:ascii="仿宋" w:hAnsi="仿宋" w:eastAsia="仿宋" w:cs="仿宋"/>
          <w:color w:val="auto"/>
          <w:spacing w:val="1"/>
          <w:sz w:val="24"/>
          <w:szCs w:val="24"/>
        </w:rPr>
        <w:t xml:space="preserve">                    </w:t>
      </w:r>
      <w:r>
        <w:rPr>
          <w:rFonts w:ascii="仿宋" w:hAnsi="仿宋" w:eastAsia="仿宋" w:cs="仿宋"/>
          <w:color w:val="auto"/>
          <w:sz w:val="24"/>
          <w:szCs w:val="24"/>
        </w:rPr>
        <w:t xml:space="preserve">           </w:t>
      </w:r>
      <w:r>
        <w:rPr>
          <w:rFonts w:ascii="仿宋" w:hAnsi="仿宋" w:eastAsia="仿宋" w:cs="仿宋"/>
          <w:color w:val="auto"/>
          <w:spacing w:val="-37"/>
          <w:sz w:val="24"/>
          <w:szCs w:val="24"/>
        </w:rPr>
        <w:t>开户银行（基本账户</w:t>
      </w:r>
      <w:r>
        <w:rPr>
          <w:rFonts w:ascii="仿宋" w:hAnsi="仿宋" w:eastAsia="仿宋" w:cs="仿宋"/>
          <w:color w:val="auto"/>
          <w:spacing w:val="-18"/>
          <w:sz w:val="24"/>
          <w:szCs w:val="24"/>
        </w:rPr>
        <w:t>）：</w:t>
      </w:r>
    </w:p>
    <w:p w14:paraId="045F4344">
      <w:pPr>
        <w:spacing w:before="153" w:line="217" w:lineRule="auto"/>
        <w:ind w:left="467"/>
        <w:rPr>
          <w:rFonts w:ascii="仿宋" w:hAnsi="仿宋" w:eastAsia="仿宋" w:cs="仿宋"/>
          <w:color w:val="auto"/>
          <w:sz w:val="24"/>
          <w:szCs w:val="24"/>
        </w:rPr>
      </w:pPr>
      <w:r>
        <w:rPr>
          <w:rFonts w:ascii="仿宋" w:hAnsi="仿宋" w:eastAsia="仿宋" w:cs="仿宋"/>
          <w:color w:val="auto"/>
          <w:spacing w:val="-37"/>
          <w:sz w:val="24"/>
          <w:szCs w:val="24"/>
        </w:rPr>
        <w:t>银行帐号：</w:t>
      </w:r>
      <w:r>
        <w:rPr>
          <w:rFonts w:ascii="仿宋" w:hAnsi="仿宋" w:eastAsia="仿宋" w:cs="仿宋"/>
          <w:color w:val="auto"/>
          <w:spacing w:val="1"/>
          <w:sz w:val="24"/>
          <w:szCs w:val="24"/>
        </w:rPr>
        <w:t xml:space="preserve">                     </w:t>
      </w:r>
      <w:r>
        <w:rPr>
          <w:rFonts w:ascii="仿宋" w:hAnsi="仿宋" w:eastAsia="仿宋" w:cs="仿宋"/>
          <w:color w:val="auto"/>
          <w:sz w:val="24"/>
          <w:szCs w:val="24"/>
        </w:rPr>
        <w:t xml:space="preserve">          </w:t>
      </w:r>
      <w:r>
        <w:rPr>
          <w:rFonts w:ascii="仿宋" w:hAnsi="仿宋" w:eastAsia="仿宋" w:cs="仿宋"/>
          <w:color w:val="auto"/>
          <w:spacing w:val="-37"/>
          <w:sz w:val="24"/>
          <w:szCs w:val="24"/>
        </w:rPr>
        <w:t>银行帐号（基本账户</w:t>
      </w:r>
      <w:r>
        <w:rPr>
          <w:rFonts w:ascii="仿宋" w:hAnsi="仿宋" w:eastAsia="仿宋" w:cs="仿宋"/>
          <w:color w:val="auto"/>
          <w:spacing w:val="-19"/>
          <w:sz w:val="24"/>
          <w:szCs w:val="24"/>
        </w:rPr>
        <w:t>）：</w:t>
      </w:r>
    </w:p>
    <w:p w14:paraId="61B48FB9">
      <w:pPr>
        <w:spacing w:before="169" w:line="218" w:lineRule="auto"/>
        <w:ind w:left="472"/>
        <w:rPr>
          <w:rFonts w:ascii="仿宋" w:hAnsi="仿宋" w:eastAsia="仿宋" w:cs="仿宋"/>
          <w:color w:val="auto"/>
          <w:sz w:val="24"/>
          <w:szCs w:val="24"/>
        </w:rPr>
      </w:pPr>
      <w:r>
        <w:rPr>
          <w:rFonts w:ascii="仿宋" w:hAnsi="仿宋" w:eastAsia="仿宋" w:cs="仿宋"/>
          <w:color w:val="auto"/>
          <w:spacing w:val="-20"/>
          <w:sz w:val="24"/>
          <w:szCs w:val="24"/>
        </w:rPr>
        <w:t>签订日期：</w:t>
      </w:r>
      <w:r>
        <w:rPr>
          <w:rFonts w:ascii="仿宋" w:hAnsi="仿宋" w:eastAsia="仿宋" w:cs="仿宋"/>
          <w:color w:val="auto"/>
          <w:spacing w:val="40"/>
          <w:sz w:val="24"/>
          <w:szCs w:val="24"/>
        </w:rPr>
        <w:t xml:space="preserve">  </w:t>
      </w:r>
      <w:r>
        <w:rPr>
          <w:rFonts w:ascii="仿宋" w:hAnsi="仿宋" w:eastAsia="仿宋" w:cs="仿宋"/>
          <w:color w:val="auto"/>
          <w:spacing w:val="-20"/>
          <w:sz w:val="24"/>
          <w:szCs w:val="24"/>
        </w:rPr>
        <w:t>年</w:t>
      </w:r>
      <w:r>
        <w:rPr>
          <w:rFonts w:ascii="仿宋" w:hAnsi="仿宋" w:eastAsia="仿宋" w:cs="仿宋"/>
          <w:color w:val="auto"/>
          <w:spacing w:val="7"/>
          <w:sz w:val="24"/>
          <w:szCs w:val="24"/>
        </w:rPr>
        <w:t xml:space="preserve">    </w:t>
      </w:r>
      <w:r>
        <w:rPr>
          <w:rFonts w:ascii="仿宋" w:hAnsi="仿宋" w:eastAsia="仿宋" w:cs="仿宋"/>
          <w:color w:val="auto"/>
          <w:spacing w:val="-20"/>
          <w:sz w:val="24"/>
          <w:szCs w:val="24"/>
        </w:rPr>
        <w:t>月     日</w:t>
      </w:r>
      <w:r>
        <w:rPr>
          <w:rFonts w:ascii="仿宋" w:hAnsi="仿宋" w:eastAsia="仿宋" w:cs="仿宋"/>
          <w:color w:val="auto"/>
          <w:spacing w:val="6"/>
          <w:sz w:val="24"/>
          <w:szCs w:val="24"/>
        </w:rPr>
        <w:t xml:space="preserve">              </w:t>
      </w:r>
      <w:r>
        <w:rPr>
          <w:rFonts w:ascii="仿宋" w:hAnsi="仿宋" w:eastAsia="仿宋" w:cs="仿宋"/>
          <w:color w:val="auto"/>
          <w:spacing w:val="-20"/>
          <w:sz w:val="24"/>
          <w:szCs w:val="24"/>
        </w:rPr>
        <w:t>签订日期：   年     月     日</w:t>
      </w:r>
    </w:p>
    <w:p w14:paraId="607A5A89">
      <w:pPr>
        <w:spacing w:line="223" w:lineRule="auto"/>
        <w:rPr>
          <w:rFonts w:ascii="仿宋" w:hAnsi="仿宋" w:eastAsia="仿宋" w:cs="仿宋"/>
          <w:color w:val="auto"/>
          <w:sz w:val="24"/>
          <w:szCs w:val="24"/>
        </w:rPr>
        <w:sectPr>
          <w:headerReference r:id="rId45" w:type="default"/>
          <w:footerReference r:id="rId46" w:type="default"/>
          <w:pgSz w:w="11906" w:h="16839"/>
          <w:pgMar w:top="999" w:right="1246" w:bottom="844" w:left="1418" w:header="698" w:footer="682" w:gutter="0"/>
          <w:pgNumType w:fmt="decimal"/>
          <w:cols w:space="720" w:num="1"/>
        </w:sectPr>
      </w:pPr>
    </w:p>
    <w:p w14:paraId="08BD9547">
      <w:pPr>
        <w:pStyle w:val="3"/>
        <w:spacing w:line="342" w:lineRule="auto"/>
        <w:rPr>
          <w:color w:val="auto"/>
        </w:rPr>
      </w:pPr>
    </w:p>
    <w:p w14:paraId="2F2D095C">
      <w:pPr>
        <w:spacing w:before="114" w:line="224" w:lineRule="auto"/>
        <w:jc w:val="center"/>
        <w:outlineLvl w:val="0"/>
        <w:rPr>
          <w:rFonts w:ascii="宋体" w:hAnsi="宋体" w:eastAsia="宋体" w:cs="宋体"/>
          <w:color w:val="auto"/>
          <w:sz w:val="35"/>
          <w:szCs w:val="35"/>
        </w:rPr>
      </w:pPr>
      <w:bookmarkStart w:id="12" w:name="bookmark11"/>
      <w:bookmarkEnd w:id="12"/>
      <w:bookmarkStart w:id="13" w:name="_Toc15307"/>
      <w:r>
        <w:rPr>
          <w:rFonts w:ascii="宋体" w:hAnsi="宋体" w:eastAsia="宋体" w:cs="宋体"/>
          <w:b/>
          <w:bCs/>
          <w:color w:val="auto"/>
          <w:spacing w:val="-21"/>
          <w:sz w:val="35"/>
          <w:szCs w:val="35"/>
        </w:rPr>
        <w:t>第五章</w:t>
      </w:r>
      <w:r>
        <w:rPr>
          <w:rFonts w:ascii="宋体" w:hAnsi="宋体" w:eastAsia="宋体" w:cs="宋体"/>
          <w:color w:val="auto"/>
          <w:spacing w:val="159"/>
          <w:sz w:val="35"/>
          <w:szCs w:val="35"/>
        </w:rPr>
        <w:t xml:space="preserve"> </w:t>
      </w:r>
      <w:r>
        <w:rPr>
          <w:rFonts w:ascii="宋体" w:hAnsi="宋体" w:eastAsia="宋体" w:cs="宋体"/>
          <w:b/>
          <w:bCs/>
          <w:color w:val="auto"/>
          <w:spacing w:val="-21"/>
          <w:sz w:val="35"/>
          <w:szCs w:val="35"/>
        </w:rPr>
        <w:t>资格审查与评标办法</w:t>
      </w:r>
      <w:bookmarkEnd w:id="13"/>
    </w:p>
    <w:p w14:paraId="5831B8ED">
      <w:pPr>
        <w:pStyle w:val="3"/>
        <w:spacing w:line="264" w:lineRule="auto"/>
        <w:rPr>
          <w:color w:val="auto"/>
        </w:rPr>
      </w:pPr>
    </w:p>
    <w:p w14:paraId="5D66A292">
      <w:pPr>
        <w:pStyle w:val="3"/>
        <w:spacing w:line="264" w:lineRule="auto"/>
        <w:rPr>
          <w:color w:val="auto"/>
        </w:rPr>
      </w:pPr>
    </w:p>
    <w:p w14:paraId="67B9ECF3">
      <w:pPr>
        <w:pStyle w:val="3"/>
        <w:spacing w:before="78" w:line="219" w:lineRule="auto"/>
        <w:ind w:left="19"/>
        <w:rPr>
          <w:rFonts w:ascii="宋体" w:hAnsi="宋体" w:eastAsia="宋体" w:cs="宋体"/>
          <w:color w:val="auto"/>
          <w:sz w:val="24"/>
          <w:szCs w:val="24"/>
        </w:rPr>
      </w:pPr>
      <w:r>
        <w:rPr>
          <w:b/>
          <w:bCs/>
          <w:color w:val="auto"/>
          <w:spacing w:val="-23"/>
          <w:sz w:val="24"/>
          <w:szCs w:val="24"/>
        </w:rPr>
        <w:t>1</w:t>
      </w:r>
      <w:r>
        <w:rPr>
          <w:rFonts w:ascii="宋体" w:hAnsi="宋体" w:eastAsia="宋体" w:cs="宋体"/>
          <w:b/>
          <w:bCs/>
          <w:color w:val="auto"/>
          <w:spacing w:val="-23"/>
          <w:sz w:val="24"/>
          <w:szCs w:val="24"/>
        </w:rPr>
        <w:t>、资格审查与评标方法</w:t>
      </w:r>
    </w:p>
    <w:p w14:paraId="4167F759">
      <w:pPr>
        <w:pStyle w:val="3"/>
        <w:spacing w:line="248" w:lineRule="auto"/>
        <w:rPr>
          <w:color w:val="auto"/>
        </w:rPr>
      </w:pPr>
    </w:p>
    <w:p w14:paraId="04A43256">
      <w:pPr>
        <w:spacing w:before="65" w:line="371" w:lineRule="auto"/>
        <w:ind w:left="13" w:firstLine="359"/>
        <w:jc w:val="both"/>
        <w:rPr>
          <w:rFonts w:ascii="仿宋" w:hAnsi="仿宋" w:eastAsia="仿宋" w:cs="仿宋"/>
          <w:color w:val="auto"/>
          <w:sz w:val="20"/>
          <w:szCs w:val="20"/>
        </w:rPr>
      </w:pPr>
      <w:r>
        <w:rPr>
          <w:rFonts w:ascii="仿宋" w:hAnsi="仿宋" w:eastAsia="仿宋" w:cs="仿宋"/>
          <w:color w:val="auto"/>
          <w:spacing w:val="-23"/>
          <w:sz w:val="20"/>
          <w:szCs w:val="20"/>
        </w:rPr>
        <w:t>本次资格审查和符</w:t>
      </w:r>
      <w:r>
        <w:rPr>
          <w:rFonts w:ascii="仿宋" w:hAnsi="仿宋" w:eastAsia="仿宋" w:cs="仿宋"/>
          <w:color w:val="auto"/>
          <w:spacing w:val="-22"/>
          <w:sz w:val="20"/>
          <w:szCs w:val="20"/>
        </w:rPr>
        <w:t>合性审查采用合格制，评标方法采用综合评分法。评标委员会对满足招标文件实质性</w:t>
      </w:r>
      <w:r>
        <w:rPr>
          <w:rFonts w:ascii="仿宋" w:hAnsi="仿宋" w:eastAsia="仿宋" w:cs="仿宋"/>
          <w:color w:val="auto"/>
          <w:spacing w:val="-23"/>
          <w:sz w:val="20"/>
          <w:szCs w:val="20"/>
        </w:rPr>
        <w:t>要求的投</w:t>
      </w:r>
      <w:r>
        <w:rPr>
          <w:rFonts w:ascii="仿宋" w:hAnsi="仿宋" w:eastAsia="仿宋" w:cs="仿宋"/>
          <w:color w:val="auto"/>
          <w:spacing w:val="-15"/>
          <w:sz w:val="20"/>
          <w:szCs w:val="20"/>
        </w:rPr>
        <w:t>标</w:t>
      </w:r>
      <w:r>
        <w:rPr>
          <w:rFonts w:ascii="仿宋" w:hAnsi="仿宋" w:eastAsia="仿宋" w:cs="仿宋"/>
          <w:color w:val="auto"/>
          <w:sz w:val="20"/>
          <w:szCs w:val="20"/>
        </w:rPr>
        <w:t xml:space="preserve"> </w:t>
      </w:r>
      <w:r>
        <w:rPr>
          <w:rFonts w:ascii="仿宋" w:hAnsi="仿宋" w:eastAsia="仿宋" w:cs="仿宋"/>
          <w:color w:val="auto"/>
          <w:spacing w:val="-19"/>
          <w:sz w:val="20"/>
          <w:szCs w:val="20"/>
        </w:rPr>
        <w:t>文件，按照本章</w:t>
      </w:r>
      <w:r>
        <w:rPr>
          <w:rFonts w:ascii="仿宋" w:hAnsi="仿宋" w:eastAsia="仿宋" w:cs="仿宋"/>
          <w:color w:val="auto"/>
          <w:spacing w:val="-30"/>
          <w:sz w:val="20"/>
          <w:szCs w:val="20"/>
        </w:rPr>
        <w:t xml:space="preserve"> </w:t>
      </w:r>
      <w:r>
        <w:rPr>
          <w:rFonts w:ascii="仿宋" w:hAnsi="仿宋" w:eastAsia="仿宋" w:cs="仿宋"/>
          <w:color w:val="auto"/>
          <w:spacing w:val="-19"/>
          <w:sz w:val="20"/>
          <w:szCs w:val="20"/>
        </w:rPr>
        <w:t>2.2 款规定的评分标准进行打分，按得分由高到低顺序推荐中标候选人，根据采购人授</w:t>
      </w:r>
      <w:r>
        <w:rPr>
          <w:rFonts w:ascii="仿宋" w:hAnsi="仿宋" w:eastAsia="仿宋" w:cs="仿宋"/>
          <w:color w:val="auto"/>
          <w:spacing w:val="-20"/>
          <w:sz w:val="20"/>
          <w:szCs w:val="20"/>
        </w:rPr>
        <w:t>权直接确定中</w:t>
      </w:r>
      <w:r>
        <w:rPr>
          <w:rFonts w:ascii="仿宋" w:hAnsi="仿宋" w:eastAsia="仿宋" w:cs="仿宋"/>
          <w:color w:val="auto"/>
          <w:sz w:val="20"/>
          <w:szCs w:val="20"/>
        </w:rPr>
        <w:t xml:space="preserve"> </w:t>
      </w:r>
      <w:r>
        <w:rPr>
          <w:rFonts w:ascii="仿宋" w:hAnsi="仿宋" w:eastAsia="仿宋" w:cs="仿宋"/>
          <w:color w:val="auto"/>
          <w:spacing w:val="-21"/>
          <w:sz w:val="20"/>
          <w:szCs w:val="20"/>
        </w:rPr>
        <w:t>标人，但投标</w:t>
      </w:r>
      <w:r>
        <w:rPr>
          <w:rFonts w:ascii="仿宋" w:hAnsi="仿宋" w:eastAsia="仿宋" w:cs="仿宋"/>
          <w:color w:val="auto"/>
          <w:spacing w:val="-20"/>
          <w:sz w:val="20"/>
          <w:szCs w:val="20"/>
        </w:rPr>
        <w:t>报价明显低 于其他通过符合性审查投标人的报价，有可能影响产品质量或者不能诚信履约</w:t>
      </w:r>
      <w:r>
        <w:rPr>
          <w:rFonts w:ascii="仿宋" w:hAnsi="仿宋" w:eastAsia="仿宋" w:cs="仿宋"/>
          <w:color w:val="auto"/>
          <w:spacing w:val="-21"/>
          <w:sz w:val="20"/>
          <w:szCs w:val="20"/>
        </w:rPr>
        <w:t>的除外。投</w:t>
      </w:r>
      <w:r>
        <w:rPr>
          <w:rFonts w:ascii="仿宋" w:hAnsi="仿宋" w:eastAsia="仿宋" w:cs="仿宋"/>
          <w:color w:val="auto"/>
          <w:spacing w:val="-15"/>
          <w:sz w:val="20"/>
          <w:szCs w:val="20"/>
        </w:rPr>
        <w:t>标</w:t>
      </w:r>
      <w:r>
        <w:rPr>
          <w:rFonts w:ascii="仿宋" w:hAnsi="仿宋" w:eastAsia="仿宋" w:cs="仿宋"/>
          <w:color w:val="auto"/>
          <w:sz w:val="20"/>
          <w:szCs w:val="20"/>
        </w:rPr>
        <w:t xml:space="preserve"> </w:t>
      </w:r>
      <w:r>
        <w:rPr>
          <w:rFonts w:ascii="仿宋" w:hAnsi="仿宋" w:eastAsia="仿宋" w:cs="仿宋"/>
          <w:color w:val="auto"/>
          <w:spacing w:val="-23"/>
          <w:sz w:val="20"/>
          <w:szCs w:val="20"/>
        </w:rPr>
        <w:t>人</w:t>
      </w:r>
      <w:r>
        <w:rPr>
          <w:rFonts w:ascii="仿宋" w:hAnsi="仿宋" w:eastAsia="仿宋" w:cs="仿宋"/>
          <w:color w:val="auto"/>
          <w:spacing w:val="-22"/>
          <w:sz w:val="20"/>
          <w:szCs w:val="20"/>
        </w:rPr>
        <w:t>得分相同的，按照投标报价由低到高的顺序推荐；如评审得分且投标报价均相同的，按照技术部分得分由高到低</w:t>
      </w:r>
      <w:r>
        <w:rPr>
          <w:rFonts w:ascii="仿宋" w:hAnsi="仿宋" w:eastAsia="仿宋" w:cs="仿宋"/>
          <w:color w:val="auto"/>
          <w:spacing w:val="-23"/>
          <w:sz w:val="20"/>
          <w:szCs w:val="20"/>
        </w:rPr>
        <w:t>顺</w:t>
      </w:r>
      <w:r>
        <w:rPr>
          <w:rFonts w:ascii="仿宋" w:hAnsi="仿宋" w:eastAsia="仿宋" w:cs="仿宋"/>
          <w:color w:val="auto"/>
          <w:spacing w:val="-22"/>
          <w:sz w:val="20"/>
          <w:szCs w:val="20"/>
        </w:rPr>
        <w:t>序</w:t>
      </w:r>
      <w:r>
        <w:rPr>
          <w:rFonts w:ascii="仿宋" w:hAnsi="仿宋" w:eastAsia="仿宋" w:cs="仿宋"/>
          <w:color w:val="auto"/>
          <w:sz w:val="20"/>
          <w:szCs w:val="20"/>
        </w:rPr>
        <w:t xml:space="preserve"> </w:t>
      </w:r>
      <w:r>
        <w:rPr>
          <w:rFonts w:ascii="仿宋" w:hAnsi="仿宋" w:eastAsia="仿宋" w:cs="仿宋"/>
          <w:color w:val="auto"/>
          <w:spacing w:val="-20"/>
          <w:sz w:val="20"/>
          <w:szCs w:val="20"/>
        </w:rPr>
        <w:t>推荐；若评审得分、商务部分、技术部分、综合实力得分均相</w:t>
      </w:r>
      <w:r>
        <w:rPr>
          <w:rFonts w:ascii="仿宋" w:hAnsi="仿宋" w:eastAsia="仿宋" w:cs="仿宋"/>
          <w:color w:val="auto"/>
          <w:spacing w:val="-21"/>
          <w:sz w:val="20"/>
          <w:szCs w:val="20"/>
        </w:rPr>
        <w:t>同，则由评标委员会决定中标人及中标候选人排名。</w:t>
      </w:r>
    </w:p>
    <w:p w14:paraId="1F864DB4">
      <w:pPr>
        <w:pStyle w:val="3"/>
        <w:spacing w:before="179" w:line="219" w:lineRule="auto"/>
        <w:ind w:left="6"/>
        <w:rPr>
          <w:rFonts w:ascii="宋体" w:hAnsi="宋体" w:eastAsia="宋体" w:cs="宋体"/>
          <w:color w:val="auto"/>
          <w:sz w:val="24"/>
          <w:szCs w:val="24"/>
        </w:rPr>
      </w:pPr>
      <w:r>
        <w:rPr>
          <w:b/>
          <w:bCs/>
          <w:color w:val="auto"/>
          <w:spacing w:val="-22"/>
          <w:sz w:val="24"/>
          <w:szCs w:val="24"/>
        </w:rPr>
        <w:t>2</w:t>
      </w:r>
      <w:r>
        <w:rPr>
          <w:rFonts w:ascii="宋体" w:hAnsi="宋体" w:eastAsia="宋体" w:cs="宋体"/>
          <w:b/>
          <w:bCs/>
          <w:color w:val="auto"/>
          <w:spacing w:val="-22"/>
          <w:sz w:val="24"/>
          <w:szCs w:val="24"/>
        </w:rPr>
        <w:t>、资格审查与评审标准</w:t>
      </w:r>
    </w:p>
    <w:p w14:paraId="16CCA682">
      <w:pPr>
        <w:pStyle w:val="3"/>
        <w:spacing w:line="243" w:lineRule="auto"/>
        <w:rPr>
          <w:color w:val="auto"/>
        </w:rPr>
      </w:pPr>
    </w:p>
    <w:p w14:paraId="3A6C55EA">
      <w:pPr>
        <w:pStyle w:val="3"/>
        <w:spacing w:before="78" w:line="219" w:lineRule="auto"/>
        <w:ind w:left="6"/>
        <w:rPr>
          <w:rFonts w:ascii="宋体" w:hAnsi="宋体" w:eastAsia="宋体" w:cs="宋体"/>
          <w:color w:val="auto"/>
          <w:sz w:val="24"/>
          <w:szCs w:val="24"/>
        </w:rPr>
      </w:pPr>
      <w:r>
        <w:rPr>
          <w:b/>
          <w:bCs/>
          <w:color w:val="auto"/>
          <w:spacing w:val="-22"/>
          <w:sz w:val="24"/>
          <w:szCs w:val="24"/>
        </w:rPr>
        <w:t>2.1</w:t>
      </w:r>
      <w:r>
        <w:rPr>
          <w:b/>
          <w:bCs/>
          <w:color w:val="auto"/>
          <w:spacing w:val="55"/>
          <w:sz w:val="24"/>
          <w:szCs w:val="24"/>
        </w:rPr>
        <w:t xml:space="preserve"> </w:t>
      </w:r>
      <w:r>
        <w:rPr>
          <w:rFonts w:ascii="宋体" w:hAnsi="宋体" w:eastAsia="宋体" w:cs="宋体"/>
          <w:b/>
          <w:bCs/>
          <w:color w:val="auto"/>
          <w:spacing w:val="-22"/>
          <w:sz w:val="24"/>
          <w:szCs w:val="24"/>
        </w:rPr>
        <w:t>资格审查与符合性审查标准</w:t>
      </w:r>
    </w:p>
    <w:p w14:paraId="3FBE6F74">
      <w:pPr>
        <w:pStyle w:val="3"/>
        <w:spacing w:line="250" w:lineRule="auto"/>
        <w:rPr>
          <w:color w:val="auto"/>
        </w:rPr>
      </w:pPr>
    </w:p>
    <w:p w14:paraId="64E35655">
      <w:pPr>
        <w:spacing w:before="65" w:line="231" w:lineRule="auto"/>
        <w:ind w:left="367"/>
        <w:rPr>
          <w:rFonts w:ascii="仿宋" w:hAnsi="仿宋" w:eastAsia="仿宋" w:cs="仿宋"/>
          <w:color w:val="auto"/>
          <w:sz w:val="20"/>
          <w:szCs w:val="20"/>
        </w:rPr>
      </w:pPr>
      <w:r>
        <w:rPr>
          <w:rFonts w:ascii="仿宋" w:hAnsi="仿宋" w:eastAsia="仿宋" w:cs="仿宋"/>
          <w:color w:val="auto"/>
          <w:spacing w:val="-16"/>
          <w:sz w:val="20"/>
          <w:szCs w:val="20"/>
        </w:rPr>
        <w:t>2.1.1 资格审查标准：见第六章。</w:t>
      </w:r>
    </w:p>
    <w:p w14:paraId="193880E9">
      <w:pPr>
        <w:spacing w:before="157" w:line="229" w:lineRule="auto"/>
        <w:ind w:left="367"/>
        <w:rPr>
          <w:rFonts w:ascii="仿宋" w:hAnsi="仿宋" w:eastAsia="仿宋" w:cs="仿宋"/>
          <w:color w:val="auto"/>
          <w:sz w:val="20"/>
          <w:szCs w:val="20"/>
        </w:rPr>
      </w:pPr>
      <w:r>
        <w:rPr>
          <w:rFonts w:ascii="仿宋" w:hAnsi="仿宋" w:eastAsia="仿宋" w:cs="仿宋"/>
          <w:color w:val="auto"/>
          <w:spacing w:val="-16"/>
          <w:sz w:val="20"/>
          <w:szCs w:val="20"/>
        </w:rPr>
        <w:t>2.1.2 符合性审查标准：见第六章。</w:t>
      </w:r>
    </w:p>
    <w:p w14:paraId="53810532">
      <w:pPr>
        <w:pStyle w:val="3"/>
        <w:spacing w:before="305" w:line="219" w:lineRule="auto"/>
        <w:ind w:left="6"/>
        <w:rPr>
          <w:rFonts w:ascii="宋体" w:hAnsi="宋体" w:eastAsia="宋体" w:cs="宋体"/>
          <w:color w:val="auto"/>
          <w:sz w:val="24"/>
          <w:szCs w:val="24"/>
        </w:rPr>
      </w:pPr>
      <w:r>
        <w:rPr>
          <w:b/>
          <w:bCs/>
          <w:color w:val="auto"/>
          <w:spacing w:val="-20"/>
          <w:sz w:val="24"/>
          <w:szCs w:val="24"/>
        </w:rPr>
        <w:t>2.2</w:t>
      </w:r>
      <w:r>
        <w:rPr>
          <w:b/>
          <w:bCs/>
          <w:color w:val="auto"/>
          <w:spacing w:val="45"/>
          <w:sz w:val="24"/>
          <w:szCs w:val="24"/>
        </w:rPr>
        <w:t xml:space="preserve"> </w:t>
      </w:r>
      <w:r>
        <w:rPr>
          <w:rFonts w:ascii="宋体" w:hAnsi="宋体" w:eastAsia="宋体" w:cs="宋体"/>
          <w:b/>
          <w:bCs/>
          <w:color w:val="auto"/>
          <w:spacing w:val="-20"/>
          <w:sz w:val="24"/>
          <w:szCs w:val="24"/>
        </w:rPr>
        <w:t>分值构成与评分标准</w:t>
      </w:r>
    </w:p>
    <w:p w14:paraId="1C3360E1">
      <w:pPr>
        <w:pStyle w:val="3"/>
        <w:spacing w:line="250" w:lineRule="auto"/>
        <w:rPr>
          <w:color w:val="auto"/>
        </w:rPr>
      </w:pPr>
    </w:p>
    <w:p w14:paraId="3BEA350C">
      <w:pPr>
        <w:spacing w:before="66" w:line="231" w:lineRule="auto"/>
        <w:ind w:left="367"/>
        <w:rPr>
          <w:rFonts w:ascii="仿宋" w:hAnsi="仿宋" w:eastAsia="仿宋" w:cs="仿宋"/>
          <w:color w:val="auto"/>
          <w:sz w:val="20"/>
          <w:szCs w:val="20"/>
        </w:rPr>
      </w:pPr>
      <w:r>
        <w:rPr>
          <w:rFonts w:ascii="仿宋" w:hAnsi="仿宋" w:eastAsia="仿宋" w:cs="仿宋"/>
          <w:color w:val="auto"/>
          <w:spacing w:val="-15"/>
          <w:sz w:val="20"/>
          <w:szCs w:val="20"/>
        </w:rPr>
        <w:t>2.2.1 分值构成见评分标准。</w:t>
      </w:r>
    </w:p>
    <w:p w14:paraId="458D94CB">
      <w:pPr>
        <w:spacing w:before="160" w:line="231" w:lineRule="auto"/>
        <w:ind w:left="367"/>
        <w:rPr>
          <w:rFonts w:ascii="仿宋" w:hAnsi="仿宋" w:eastAsia="仿宋" w:cs="仿宋"/>
          <w:color w:val="auto"/>
          <w:sz w:val="20"/>
          <w:szCs w:val="20"/>
        </w:rPr>
      </w:pPr>
      <w:r>
        <w:rPr>
          <w:rFonts w:ascii="仿宋" w:hAnsi="仿宋" w:eastAsia="仿宋" w:cs="仿宋"/>
          <w:color w:val="auto"/>
          <w:spacing w:val="-17"/>
          <w:sz w:val="20"/>
          <w:szCs w:val="20"/>
        </w:rPr>
        <w:t>2.2.2 评分标准：具体评分标准见第六章。</w:t>
      </w:r>
    </w:p>
    <w:p w14:paraId="349B4A6D">
      <w:pPr>
        <w:pStyle w:val="3"/>
        <w:spacing w:before="302" w:line="219" w:lineRule="auto"/>
        <w:ind w:left="9"/>
        <w:rPr>
          <w:rFonts w:ascii="宋体" w:hAnsi="宋体" w:eastAsia="宋体" w:cs="宋体"/>
          <w:color w:val="auto"/>
          <w:sz w:val="24"/>
          <w:szCs w:val="24"/>
        </w:rPr>
      </w:pPr>
      <w:r>
        <w:rPr>
          <w:b/>
          <w:bCs/>
          <w:color w:val="auto"/>
          <w:spacing w:val="-23"/>
          <w:sz w:val="24"/>
          <w:szCs w:val="24"/>
        </w:rPr>
        <w:t>3</w:t>
      </w:r>
      <w:r>
        <w:rPr>
          <w:rFonts w:ascii="宋体" w:hAnsi="宋体" w:eastAsia="宋体" w:cs="宋体"/>
          <w:b/>
          <w:bCs/>
          <w:color w:val="auto"/>
          <w:spacing w:val="-23"/>
          <w:sz w:val="24"/>
          <w:szCs w:val="24"/>
        </w:rPr>
        <w:t>、资格审查与评标程序</w:t>
      </w:r>
    </w:p>
    <w:p w14:paraId="2A8CF55F">
      <w:pPr>
        <w:pStyle w:val="3"/>
        <w:spacing w:line="243" w:lineRule="auto"/>
        <w:rPr>
          <w:color w:val="auto"/>
        </w:rPr>
      </w:pPr>
    </w:p>
    <w:p w14:paraId="0E68DB2D">
      <w:pPr>
        <w:pStyle w:val="3"/>
        <w:spacing w:before="78" w:line="219" w:lineRule="auto"/>
        <w:ind w:left="9"/>
        <w:rPr>
          <w:rFonts w:ascii="宋体" w:hAnsi="宋体" w:eastAsia="宋体" w:cs="宋体"/>
          <w:color w:val="auto"/>
          <w:sz w:val="24"/>
          <w:szCs w:val="24"/>
        </w:rPr>
      </w:pPr>
      <w:r>
        <w:rPr>
          <w:b/>
          <w:bCs/>
          <w:color w:val="auto"/>
          <w:spacing w:val="-21"/>
          <w:sz w:val="24"/>
          <w:szCs w:val="24"/>
        </w:rPr>
        <w:t>3.1</w:t>
      </w:r>
      <w:r>
        <w:rPr>
          <w:b/>
          <w:bCs/>
          <w:color w:val="auto"/>
          <w:spacing w:val="48"/>
          <w:sz w:val="24"/>
          <w:szCs w:val="24"/>
        </w:rPr>
        <w:t xml:space="preserve"> </w:t>
      </w:r>
      <w:r>
        <w:rPr>
          <w:rFonts w:ascii="宋体" w:hAnsi="宋体" w:eastAsia="宋体" w:cs="宋体"/>
          <w:b/>
          <w:bCs/>
          <w:color w:val="auto"/>
          <w:spacing w:val="-21"/>
          <w:sz w:val="24"/>
          <w:szCs w:val="24"/>
        </w:rPr>
        <w:t>资格审查与符合性审查</w:t>
      </w:r>
    </w:p>
    <w:p w14:paraId="070C295B">
      <w:pPr>
        <w:pStyle w:val="3"/>
        <w:spacing w:line="250" w:lineRule="auto"/>
        <w:rPr>
          <w:color w:val="auto"/>
        </w:rPr>
      </w:pPr>
    </w:p>
    <w:p w14:paraId="236A7D94">
      <w:pPr>
        <w:spacing w:before="65" w:line="366" w:lineRule="auto"/>
        <w:ind w:left="19" w:firstLine="350"/>
        <w:jc w:val="both"/>
        <w:rPr>
          <w:rFonts w:ascii="仿宋" w:hAnsi="仿宋" w:eastAsia="仿宋" w:cs="仿宋"/>
          <w:color w:val="auto"/>
          <w:sz w:val="20"/>
          <w:szCs w:val="20"/>
        </w:rPr>
      </w:pPr>
      <w:r>
        <w:rPr>
          <w:rFonts w:ascii="仿宋" w:hAnsi="仿宋" w:eastAsia="仿宋" w:cs="仿宋"/>
          <w:color w:val="auto"/>
          <w:spacing w:val="-19"/>
          <w:sz w:val="20"/>
          <w:szCs w:val="20"/>
        </w:rPr>
        <w:t>3.1.1 资格审查小组依据本章第</w:t>
      </w:r>
      <w:r>
        <w:rPr>
          <w:rFonts w:ascii="仿宋" w:hAnsi="仿宋" w:eastAsia="仿宋" w:cs="仿宋"/>
          <w:color w:val="auto"/>
          <w:spacing w:val="-31"/>
          <w:sz w:val="20"/>
          <w:szCs w:val="20"/>
        </w:rPr>
        <w:t xml:space="preserve"> </w:t>
      </w:r>
      <w:r>
        <w:rPr>
          <w:rFonts w:ascii="仿宋" w:hAnsi="仿宋" w:eastAsia="仿宋" w:cs="仿宋"/>
          <w:color w:val="auto"/>
          <w:spacing w:val="-19"/>
          <w:sz w:val="20"/>
          <w:szCs w:val="20"/>
        </w:rPr>
        <w:t>2.1.1 款规定的标准对投标文件进行资格审查。有 一项不符合审</w:t>
      </w:r>
      <w:r>
        <w:rPr>
          <w:rFonts w:ascii="仿宋" w:hAnsi="仿宋" w:eastAsia="仿宋" w:cs="仿宋"/>
          <w:color w:val="auto"/>
          <w:spacing w:val="-20"/>
          <w:sz w:val="20"/>
          <w:szCs w:val="20"/>
        </w:rPr>
        <w:t>查标准的，应当</w:t>
      </w:r>
      <w:r>
        <w:rPr>
          <w:rFonts w:ascii="仿宋" w:hAnsi="仿宋" w:eastAsia="仿宋" w:cs="仿宋"/>
          <w:color w:val="auto"/>
          <w:sz w:val="20"/>
          <w:szCs w:val="20"/>
        </w:rPr>
        <w:t xml:space="preserve"> </w:t>
      </w:r>
      <w:r>
        <w:rPr>
          <w:rFonts w:ascii="仿宋" w:hAnsi="仿宋" w:eastAsia="仿宋" w:cs="仿宋"/>
          <w:color w:val="auto"/>
          <w:spacing w:val="-20"/>
          <w:sz w:val="20"/>
          <w:szCs w:val="20"/>
        </w:rPr>
        <w:t>否决其投标。评标委员会依据本章第</w:t>
      </w:r>
      <w:r>
        <w:rPr>
          <w:rFonts w:ascii="仿宋" w:hAnsi="仿宋" w:eastAsia="仿宋" w:cs="仿宋"/>
          <w:color w:val="auto"/>
          <w:spacing w:val="-30"/>
          <w:sz w:val="20"/>
          <w:szCs w:val="20"/>
        </w:rPr>
        <w:t xml:space="preserve"> </w:t>
      </w:r>
      <w:r>
        <w:rPr>
          <w:rFonts w:ascii="仿宋" w:hAnsi="仿宋" w:eastAsia="仿宋" w:cs="仿宋"/>
          <w:color w:val="auto"/>
          <w:spacing w:val="-20"/>
          <w:sz w:val="20"/>
          <w:szCs w:val="20"/>
        </w:rPr>
        <w:t>2.1.2 款规定的标准 对投标文件进行</w:t>
      </w:r>
      <w:r>
        <w:rPr>
          <w:rFonts w:ascii="仿宋" w:hAnsi="仿宋" w:eastAsia="仿宋" w:cs="仿宋"/>
          <w:color w:val="auto"/>
          <w:spacing w:val="-21"/>
          <w:sz w:val="20"/>
          <w:szCs w:val="20"/>
        </w:rPr>
        <w:t>符合性审查。有一项不符合审查标准的，应</w:t>
      </w:r>
      <w:r>
        <w:rPr>
          <w:rFonts w:ascii="仿宋" w:hAnsi="仿宋" w:eastAsia="仿宋" w:cs="仿宋"/>
          <w:color w:val="auto"/>
          <w:sz w:val="20"/>
          <w:szCs w:val="20"/>
        </w:rPr>
        <w:t xml:space="preserve"> </w:t>
      </w:r>
      <w:r>
        <w:rPr>
          <w:rFonts w:ascii="仿宋" w:hAnsi="仿宋" w:eastAsia="仿宋" w:cs="仿宋"/>
          <w:color w:val="auto"/>
          <w:spacing w:val="-17"/>
          <w:sz w:val="20"/>
          <w:szCs w:val="20"/>
        </w:rPr>
        <w:t>当否决其投标。</w:t>
      </w:r>
    </w:p>
    <w:p w14:paraId="15424467">
      <w:pPr>
        <w:spacing w:before="38" w:line="231" w:lineRule="auto"/>
        <w:ind w:left="369"/>
        <w:rPr>
          <w:rFonts w:ascii="仿宋" w:hAnsi="仿宋" w:eastAsia="仿宋" w:cs="仿宋"/>
          <w:color w:val="auto"/>
          <w:sz w:val="20"/>
          <w:szCs w:val="20"/>
        </w:rPr>
      </w:pPr>
      <w:r>
        <w:rPr>
          <w:rFonts w:ascii="仿宋" w:hAnsi="仿宋" w:eastAsia="仿宋" w:cs="仿宋"/>
          <w:color w:val="auto"/>
          <w:spacing w:val="-18"/>
          <w:sz w:val="20"/>
          <w:szCs w:val="20"/>
        </w:rPr>
        <w:t>3.1.2 投标人有以下情形之一的，评标委员会应当否决其投标：</w:t>
      </w:r>
    </w:p>
    <w:p w14:paraId="57C31D6A">
      <w:pPr>
        <w:spacing w:before="157" w:line="304" w:lineRule="auto"/>
        <w:ind w:left="35" w:right="2" w:firstLine="340"/>
        <w:rPr>
          <w:rFonts w:ascii="仿宋" w:hAnsi="仿宋" w:eastAsia="仿宋" w:cs="仿宋"/>
          <w:color w:val="auto"/>
          <w:sz w:val="20"/>
          <w:szCs w:val="20"/>
        </w:rPr>
      </w:pPr>
      <w:r>
        <w:rPr>
          <w:rFonts w:ascii="仿宋" w:hAnsi="仿宋" w:eastAsia="仿宋" w:cs="仿宋"/>
          <w:color w:val="auto"/>
          <w:spacing w:val="-22"/>
          <w:sz w:val="20"/>
          <w:szCs w:val="20"/>
        </w:rPr>
        <w:t>（1）投标文件没有对招标文件的实质性要求和条件作出响应，或者对招标文件的 偏差超出招标文件规定的偏差范</w:t>
      </w:r>
      <w:r>
        <w:rPr>
          <w:rFonts w:ascii="仿宋" w:hAnsi="仿宋" w:eastAsia="仿宋" w:cs="仿宋"/>
          <w:color w:val="auto"/>
          <w:spacing w:val="14"/>
          <w:sz w:val="20"/>
          <w:szCs w:val="20"/>
        </w:rPr>
        <w:t xml:space="preserve"> </w:t>
      </w:r>
      <w:r>
        <w:rPr>
          <w:rFonts w:ascii="仿宋" w:hAnsi="仿宋" w:eastAsia="仿宋" w:cs="仿宋"/>
          <w:color w:val="auto"/>
          <w:spacing w:val="-20"/>
          <w:sz w:val="20"/>
          <w:szCs w:val="20"/>
        </w:rPr>
        <w:t>围或最高项数；</w:t>
      </w:r>
    </w:p>
    <w:p w14:paraId="5CA7BB53">
      <w:pPr>
        <w:spacing w:before="158" w:line="228" w:lineRule="auto"/>
        <w:ind w:left="376"/>
        <w:rPr>
          <w:rFonts w:ascii="仿宋" w:hAnsi="仿宋" w:eastAsia="仿宋" w:cs="仿宋"/>
          <w:color w:val="auto"/>
          <w:sz w:val="20"/>
          <w:szCs w:val="20"/>
        </w:rPr>
      </w:pPr>
      <w:r>
        <w:rPr>
          <w:rFonts w:ascii="仿宋" w:hAnsi="仿宋" w:eastAsia="仿宋" w:cs="仿宋"/>
          <w:color w:val="auto"/>
          <w:spacing w:val="-20"/>
          <w:sz w:val="20"/>
          <w:szCs w:val="20"/>
        </w:rPr>
        <w:t>（2）有串通投标、弄虚作假、行贿等违法行为；</w:t>
      </w:r>
    </w:p>
    <w:p w14:paraId="455B6AF5">
      <w:pPr>
        <w:spacing w:before="163" w:line="228" w:lineRule="auto"/>
        <w:ind w:left="369"/>
        <w:rPr>
          <w:rFonts w:ascii="仿宋" w:hAnsi="仿宋" w:eastAsia="仿宋" w:cs="仿宋"/>
          <w:color w:val="auto"/>
          <w:sz w:val="20"/>
          <w:szCs w:val="20"/>
        </w:rPr>
      </w:pPr>
      <w:r>
        <w:rPr>
          <w:rFonts w:ascii="仿宋" w:hAnsi="仿宋" w:eastAsia="仿宋" w:cs="仿宋"/>
          <w:color w:val="auto"/>
          <w:spacing w:val="-18"/>
          <w:sz w:val="20"/>
          <w:szCs w:val="20"/>
        </w:rPr>
        <w:t>3.1.3 有下列情形之一的，视为投标人串通投标，其投标无效：</w:t>
      </w:r>
    </w:p>
    <w:p w14:paraId="195718C1">
      <w:pPr>
        <w:spacing w:before="162"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（1）不同投标人的投标文件由同一单位或者个人编制；</w:t>
      </w:r>
    </w:p>
    <w:p w14:paraId="1AE76C93">
      <w:pPr>
        <w:spacing w:before="160"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（2）不同投标人委托同一单位或者个人办理投标事宜；</w:t>
      </w:r>
    </w:p>
    <w:p w14:paraId="48F3DD0C">
      <w:pPr>
        <w:spacing w:before="65" w:line="231" w:lineRule="auto"/>
        <w:ind w:left="376"/>
        <w:rPr>
          <w:rFonts w:ascii="仿宋" w:hAnsi="仿宋" w:eastAsia="仿宋" w:cs="仿宋"/>
          <w:color w:val="auto"/>
          <w:sz w:val="20"/>
          <w:szCs w:val="20"/>
        </w:rPr>
      </w:pPr>
      <w:r>
        <w:rPr>
          <w:rFonts w:ascii="仿宋" w:hAnsi="仿宋" w:eastAsia="仿宋" w:cs="仿宋"/>
          <w:color w:val="auto"/>
          <w:spacing w:val="-20"/>
          <w:sz w:val="20"/>
          <w:szCs w:val="20"/>
        </w:rPr>
        <w:t>（3）不同投标人的投标文件载明的项目管理成员或者联系人员为同一人；</w:t>
      </w:r>
    </w:p>
    <w:p w14:paraId="341D2468">
      <w:pPr>
        <w:spacing w:before="157"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（4）不同投标人的投标文件异常一致或者投标报价呈规律性差异；</w:t>
      </w:r>
    </w:p>
    <w:p w14:paraId="7636CBAB">
      <w:pPr>
        <w:spacing w:before="162" w:line="230" w:lineRule="auto"/>
        <w:ind w:left="376"/>
        <w:rPr>
          <w:rFonts w:ascii="仿宋" w:hAnsi="仿宋" w:eastAsia="仿宋" w:cs="仿宋"/>
          <w:color w:val="auto"/>
          <w:sz w:val="20"/>
          <w:szCs w:val="20"/>
        </w:rPr>
      </w:pPr>
      <w:r>
        <w:rPr>
          <w:rFonts w:ascii="仿宋" w:hAnsi="仿宋" w:eastAsia="仿宋" w:cs="仿宋"/>
          <w:color w:val="auto"/>
          <w:spacing w:val="-19"/>
          <w:sz w:val="20"/>
          <w:szCs w:val="20"/>
        </w:rPr>
        <w:t>（5）不同投标人的投标文件相互混装。</w:t>
      </w:r>
    </w:p>
    <w:p w14:paraId="6889ED9E">
      <w:pPr>
        <w:spacing w:before="158" w:line="304" w:lineRule="auto"/>
        <w:ind w:left="18" w:right="22" w:firstLine="351"/>
        <w:rPr>
          <w:rFonts w:ascii="仿宋" w:hAnsi="仿宋" w:eastAsia="仿宋" w:cs="仿宋"/>
          <w:color w:val="auto"/>
          <w:sz w:val="20"/>
          <w:szCs w:val="20"/>
        </w:rPr>
      </w:pPr>
      <w:r>
        <w:rPr>
          <w:rFonts w:ascii="仿宋" w:hAnsi="仿宋" w:eastAsia="仿宋" w:cs="仿宋"/>
          <w:color w:val="auto"/>
          <w:spacing w:val="-21"/>
          <w:sz w:val="20"/>
          <w:szCs w:val="20"/>
        </w:rPr>
        <w:t>3.1.4 投标文件报价出现前后不一致的，评标委员会按以下原则要求投标人对投标报价进行修正，并要求投标人书</w:t>
      </w:r>
      <w:r>
        <w:rPr>
          <w:rFonts w:ascii="仿宋" w:hAnsi="仿宋" w:eastAsia="仿宋" w:cs="仿宋"/>
          <w:color w:val="auto"/>
          <w:spacing w:val="14"/>
          <w:sz w:val="20"/>
          <w:szCs w:val="20"/>
        </w:rPr>
        <w:t xml:space="preserve"> </w:t>
      </w:r>
      <w:r>
        <w:rPr>
          <w:rFonts w:ascii="仿宋" w:hAnsi="仿宋" w:eastAsia="仿宋" w:cs="仿宋"/>
          <w:color w:val="auto"/>
          <w:spacing w:val="-20"/>
          <w:sz w:val="20"/>
          <w:szCs w:val="20"/>
        </w:rPr>
        <w:t>面澄清确认。投标人拒不澄清确认的，评标委员会应当否决</w:t>
      </w:r>
      <w:r>
        <w:rPr>
          <w:rFonts w:ascii="仿宋" w:hAnsi="仿宋" w:eastAsia="仿宋" w:cs="仿宋"/>
          <w:color w:val="auto"/>
          <w:spacing w:val="-21"/>
          <w:sz w:val="20"/>
          <w:szCs w:val="20"/>
        </w:rPr>
        <w:t>其投标；</w:t>
      </w:r>
    </w:p>
    <w:p w14:paraId="5F97E13D">
      <w:pPr>
        <w:spacing w:before="158" w:line="230" w:lineRule="auto"/>
        <w:ind w:left="376"/>
        <w:rPr>
          <w:rFonts w:ascii="仿宋" w:hAnsi="仿宋" w:eastAsia="仿宋" w:cs="仿宋"/>
          <w:color w:val="auto"/>
          <w:sz w:val="20"/>
          <w:szCs w:val="20"/>
        </w:rPr>
      </w:pPr>
      <w:r>
        <w:rPr>
          <w:rFonts w:ascii="仿宋" w:hAnsi="仿宋" w:eastAsia="仿宋" w:cs="仿宋"/>
          <w:color w:val="auto"/>
          <w:spacing w:val="-20"/>
          <w:sz w:val="20"/>
          <w:szCs w:val="20"/>
        </w:rPr>
        <w:t>（1）投标文件中开标一览表内容与投标文件中相应内容不一致的，以开标一览表 为准；</w:t>
      </w:r>
    </w:p>
    <w:p w14:paraId="2D049920">
      <w:pPr>
        <w:spacing w:before="160" w:line="231" w:lineRule="auto"/>
        <w:ind w:left="376"/>
        <w:rPr>
          <w:rFonts w:ascii="仿宋" w:hAnsi="仿宋" w:eastAsia="仿宋" w:cs="仿宋"/>
          <w:color w:val="auto"/>
          <w:sz w:val="20"/>
          <w:szCs w:val="20"/>
        </w:rPr>
      </w:pPr>
      <w:r>
        <w:rPr>
          <w:rFonts w:ascii="仿宋" w:hAnsi="仿宋" w:eastAsia="仿宋" w:cs="仿宋"/>
          <w:color w:val="auto"/>
          <w:spacing w:val="-20"/>
          <w:sz w:val="20"/>
          <w:szCs w:val="20"/>
        </w:rPr>
        <w:t>（2）大写金额和小写金额不一致的，以大写金额为准；</w:t>
      </w:r>
    </w:p>
    <w:p w14:paraId="2E7709AC">
      <w:pPr>
        <w:spacing w:before="158" w:line="229" w:lineRule="auto"/>
        <w:ind w:left="376"/>
        <w:rPr>
          <w:rFonts w:ascii="仿宋" w:hAnsi="仿宋" w:eastAsia="仿宋" w:cs="仿宋"/>
          <w:color w:val="auto"/>
          <w:sz w:val="20"/>
          <w:szCs w:val="20"/>
        </w:rPr>
      </w:pPr>
      <w:r>
        <w:rPr>
          <w:rFonts w:ascii="仿宋" w:hAnsi="仿宋" w:eastAsia="仿宋" w:cs="仿宋"/>
          <w:color w:val="auto"/>
          <w:spacing w:val="-20"/>
          <w:sz w:val="20"/>
          <w:szCs w:val="20"/>
        </w:rPr>
        <w:t>（3）单价金额小数点或者百分比有明显错位的，以开标一览表的总价为准，并</w:t>
      </w:r>
      <w:r>
        <w:rPr>
          <w:rFonts w:ascii="仿宋" w:hAnsi="仿宋" w:eastAsia="仿宋" w:cs="仿宋"/>
          <w:color w:val="auto"/>
          <w:spacing w:val="-21"/>
          <w:sz w:val="20"/>
          <w:szCs w:val="20"/>
        </w:rPr>
        <w:t>修改单价；</w:t>
      </w:r>
    </w:p>
    <w:p w14:paraId="61889C9F">
      <w:pPr>
        <w:spacing w:before="159" w:line="304" w:lineRule="auto"/>
        <w:ind w:left="18" w:right="25" w:firstLine="357"/>
        <w:rPr>
          <w:rFonts w:ascii="仿宋" w:hAnsi="仿宋" w:eastAsia="仿宋" w:cs="仿宋"/>
          <w:color w:val="auto"/>
          <w:sz w:val="20"/>
          <w:szCs w:val="20"/>
        </w:rPr>
      </w:pPr>
      <w:r>
        <w:rPr>
          <w:rFonts w:ascii="仿宋" w:hAnsi="仿宋" w:eastAsia="仿宋" w:cs="仿宋"/>
          <w:color w:val="auto"/>
          <w:spacing w:val="-20"/>
          <w:sz w:val="20"/>
          <w:szCs w:val="20"/>
        </w:rPr>
        <w:t>（4）总价金额与按单价汇总金额不一致的，以单价金额计算结果为准。同时出现两种以上不一</w:t>
      </w:r>
      <w:r>
        <w:rPr>
          <w:rFonts w:ascii="仿宋" w:hAnsi="仿宋" w:eastAsia="仿宋" w:cs="仿宋"/>
          <w:color w:val="auto"/>
          <w:spacing w:val="-21"/>
          <w:sz w:val="20"/>
          <w:szCs w:val="20"/>
        </w:rPr>
        <w:t>致的，按照前款规</w:t>
      </w:r>
      <w:r>
        <w:rPr>
          <w:rFonts w:ascii="仿宋" w:hAnsi="仿宋" w:eastAsia="仿宋" w:cs="仿宋"/>
          <w:color w:val="auto"/>
          <w:sz w:val="20"/>
          <w:szCs w:val="20"/>
        </w:rPr>
        <w:t xml:space="preserve"> </w:t>
      </w:r>
      <w:r>
        <w:rPr>
          <w:rFonts w:ascii="仿宋" w:hAnsi="仿宋" w:eastAsia="仿宋" w:cs="仿宋"/>
          <w:color w:val="auto"/>
          <w:spacing w:val="-17"/>
          <w:sz w:val="20"/>
          <w:szCs w:val="20"/>
        </w:rPr>
        <w:t>定的顺序修正。</w:t>
      </w:r>
    </w:p>
    <w:p w14:paraId="0D2006DF">
      <w:pPr>
        <w:pStyle w:val="3"/>
        <w:spacing w:before="305" w:line="220" w:lineRule="auto"/>
        <w:ind w:left="9"/>
        <w:rPr>
          <w:rFonts w:ascii="宋体" w:hAnsi="宋体" w:eastAsia="宋体" w:cs="宋体"/>
          <w:color w:val="auto"/>
          <w:sz w:val="24"/>
          <w:szCs w:val="24"/>
        </w:rPr>
      </w:pPr>
      <w:r>
        <w:rPr>
          <w:b/>
          <w:bCs/>
          <w:color w:val="auto"/>
          <w:spacing w:val="-15"/>
          <w:sz w:val="24"/>
          <w:szCs w:val="24"/>
        </w:rPr>
        <w:t>3.2</w:t>
      </w:r>
      <w:r>
        <w:rPr>
          <w:b/>
          <w:bCs/>
          <w:color w:val="auto"/>
          <w:spacing w:val="42"/>
          <w:sz w:val="24"/>
          <w:szCs w:val="24"/>
        </w:rPr>
        <w:t xml:space="preserve"> </w:t>
      </w:r>
      <w:r>
        <w:rPr>
          <w:rFonts w:ascii="宋体" w:hAnsi="宋体" w:eastAsia="宋体" w:cs="宋体"/>
          <w:b/>
          <w:bCs/>
          <w:color w:val="auto"/>
          <w:spacing w:val="-15"/>
          <w:sz w:val="24"/>
          <w:szCs w:val="24"/>
        </w:rPr>
        <w:t>详细评审</w:t>
      </w:r>
    </w:p>
    <w:p w14:paraId="6A9DAB35">
      <w:pPr>
        <w:pStyle w:val="3"/>
        <w:spacing w:line="249" w:lineRule="auto"/>
        <w:rPr>
          <w:color w:val="auto"/>
        </w:rPr>
      </w:pPr>
    </w:p>
    <w:p w14:paraId="6D69D11C">
      <w:pPr>
        <w:spacing w:before="65" w:line="304" w:lineRule="auto"/>
        <w:ind w:left="13" w:right="25" w:firstLine="355"/>
        <w:rPr>
          <w:rFonts w:ascii="仿宋" w:hAnsi="仿宋" w:eastAsia="仿宋" w:cs="仿宋"/>
          <w:color w:val="auto"/>
          <w:sz w:val="20"/>
          <w:szCs w:val="20"/>
        </w:rPr>
      </w:pPr>
      <w:r>
        <w:rPr>
          <w:rFonts w:ascii="仿宋" w:hAnsi="仿宋" w:eastAsia="仿宋" w:cs="仿宋"/>
          <w:color w:val="auto"/>
          <w:spacing w:val="-18"/>
          <w:sz w:val="20"/>
          <w:szCs w:val="20"/>
        </w:rPr>
        <w:t>3.2.1 评标委员会按本章第</w:t>
      </w:r>
      <w:r>
        <w:rPr>
          <w:rFonts w:ascii="仿宋" w:hAnsi="仿宋" w:eastAsia="仿宋" w:cs="仿宋"/>
          <w:color w:val="auto"/>
          <w:spacing w:val="-30"/>
          <w:sz w:val="20"/>
          <w:szCs w:val="20"/>
        </w:rPr>
        <w:t xml:space="preserve"> </w:t>
      </w:r>
      <w:r>
        <w:rPr>
          <w:rFonts w:ascii="仿宋" w:hAnsi="仿宋" w:eastAsia="仿宋" w:cs="仿宋"/>
          <w:color w:val="auto"/>
          <w:spacing w:val="-18"/>
          <w:sz w:val="20"/>
          <w:szCs w:val="20"/>
        </w:rPr>
        <w:t>2.2 款规定的量化因素和分值进行打分，取所有评委打分分数的算术平均值作为该投</w:t>
      </w:r>
      <w:r>
        <w:rPr>
          <w:rFonts w:ascii="仿宋" w:hAnsi="仿宋" w:eastAsia="仿宋" w:cs="仿宋"/>
          <w:color w:val="auto"/>
          <w:sz w:val="20"/>
          <w:szCs w:val="20"/>
        </w:rPr>
        <w:t xml:space="preserve"> </w:t>
      </w:r>
      <w:r>
        <w:rPr>
          <w:rFonts w:ascii="仿宋" w:hAnsi="仿宋" w:eastAsia="仿宋" w:cs="仿宋"/>
          <w:color w:val="auto"/>
          <w:spacing w:val="-17"/>
          <w:sz w:val="20"/>
          <w:szCs w:val="20"/>
        </w:rPr>
        <w:t>标人的各项得分。</w:t>
      </w:r>
    </w:p>
    <w:p w14:paraId="0B373E1F">
      <w:pPr>
        <w:spacing w:before="158" w:line="229" w:lineRule="auto"/>
        <w:ind w:left="369"/>
        <w:rPr>
          <w:rFonts w:ascii="仿宋" w:hAnsi="仿宋" w:eastAsia="仿宋" w:cs="仿宋"/>
          <w:color w:val="auto"/>
          <w:sz w:val="20"/>
          <w:szCs w:val="20"/>
        </w:rPr>
      </w:pPr>
      <w:r>
        <w:rPr>
          <w:rFonts w:ascii="仿宋" w:hAnsi="仿宋" w:eastAsia="仿宋" w:cs="仿宋"/>
          <w:color w:val="auto"/>
          <w:spacing w:val="-18"/>
          <w:sz w:val="20"/>
          <w:szCs w:val="20"/>
        </w:rPr>
        <w:t>3.2.2 评分分值计算保留小数点后两位，小数点后第三位“ 四舍五入 ”。</w:t>
      </w:r>
    </w:p>
    <w:p w14:paraId="58DFC695">
      <w:pPr>
        <w:spacing w:before="160" w:line="230" w:lineRule="auto"/>
        <w:ind w:left="369"/>
        <w:rPr>
          <w:rFonts w:ascii="仿宋" w:hAnsi="仿宋" w:eastAsia="仿宋" w:cs="仿宋"/>
          <w:color w:val="auto"/>
          <w:sz w:val="20"/>
          <w:szCs w:val="20"/>
        </w:rPr>
      </w:pPr>
      <w:r>
        <w:rPr>
          <w:rFonts w:ascii="仿宋" w:hAnsi="仿宋" w:eastAsia="仿宋" w:cs="仿宋"/>
          <w:color w:val="auto"/>
          <w:spacing w:val="-18"/>
          <w:sz w:val="20"/>
          <w:szCs w:val="20"/>
        </w:rPr>
        <w:t>3.2.3 评标委员会汇总投标人的各项得分，相加后为</w:t>
      </w:r>
      <w:r>
        <w:rPr>
          <w:rFonts w:ascii="仿宋" w:hAnsi="仿宋" w:eastAsia="仿宋" w:cs="仿宋"/>
          <w:color w:val="auto"/>
          <w:spacing w:val="-19"/>
          <w:sz w:val="20"/>
          <w:szCs w:val="20"/>
        </w:rPr>
        <w:t>投标人最终得分。</w:t>
      </w:r>
    </w:p>
    <w:p w14:paraId="49810AE1">
      <w:pPr>
        <w:spacing w:before="159" w:line="328" w:lineRule="auto"/>
        <w:ind w:left="13" w:right="22" w:firstLine="355"/>
        <w:rPr>
          <w:rFonts w:ascii="仿宋" w:hAnsi="仿宋" w:eastAsia="仿宋" w:cs="仿宋"/>
          <w:color w:val="auto"/>
          <w:sz w:val="20"/>
          <w:szCs w:val="20"/>
        </w:rPr>
      </w:pPr>
      <w:r>
        <w:rPr>
          <w:rFonts w:ascii="仿宋" w:hAnsi="仿宋" w:eastAsia="仿宋" w:cs="仿宋"/>
          <w:color w:val="auto"/>
          <w:spacing w:val="-21"/>
          <w:sz w:val="20"/>
          <w:szCs w:val="20"/>
        </w:rPr>
        <w:t>3.2.4 若评标委员会认为投标人的报价明显低于其他通过符合性审查投标人的报价，有可能影响产品质量或者不能</w:t>
      </w:r>
      <w:r>
        <w:rPr>
          <w:rFonts w:ascii="仿宋" w:hAnsi="仿宋" w:eastAsia="仿宋" w:cs="仿宋"/>
          <w:color w:val="auto"/>
          <w:spacing w:val="11"/>
          <w:sz w:val="20"/>
          <w:szCs w:val="20"/>
        </w:rPr>
        <w:t xml:space="preserve"> </w:t>
      </w:r>
      <w:r>
        <w:rPr>
          <w:rFonts w:ascii="仿宋" w:hAnsi="仿宋" w:eastAsia="仿宋" w:cs="仿宋"/>
          <w:color w:val="auto"/>
          <w:spacing w:val="-20"/>
          <w:sz w:val="20"/>
          <w:szCs w:val="20"/>
        </w:rPr>
        <w:t>诚信履约的，应当要求其在评标现场合理的时间内提</w:t>
      </w:r>
      <w:r>
        <w:rPr>
          <w:rFonts w:ascii="仿宋" w:hAnsi="仿宋" w:eastAsia="仿宋" w:cs="仿宋"/>
          <w:color w:val="auto"/>
          <w:spacing w:val="-23"/>
          <w:sz w:val="20"/>
          <w:szCs w:val="20"/>
        </w:rPr>
        <w:t xml:space="preserve"> </w:t>
      </w:r>
      <w:r>
        <w:rPr>
          <w:rFonts w:ascii="仿宋" w:hAnsi="仿宋" w:eastAsia="仿宋" w:cs="仿宋"/>
          <w:color w:val="auto"/>
          <w:spacing w:val="-20"/>
          <w:sz w:val="20"/>
          <w:szCs w:val="20"/>
        </w:rPr>
        <w:t>供书面说明，必要时提交相关证明材料；投标人不能证明其报价</w:t>
      </w:r>
      <w:r>
        <w:rPr>
          <w:rFonts w:ascii="仿宋" w:hAnsi="仿宋" w:eastAsia="仿宋" w:cs="仿宋"/>
          <w:color w:val="auto"/>
          <w:sz w:val="20"/>
          <w:szCs w:val="20"/>
        </w:rPr>
        <w:t xml:space="preserve"> </w:t>
      </w:r>
      <w:r>
        <w:rPr>
          <w:rFonts w:ascii="仿宋" w:hAnsi="仿宋" w:eastAsia="仿宋" w:cs="仿宋"/>
          <w:color w:val="auto"/>
          <w:spacing w:val="-19"/>
          <w:sz w:val="20"/>
          <w:szCs w:val="20"/>
        </w:rPr>
        <w:t>合理性的，评标委员会</w:t>
      </w:r>
      <w:r>
        <w:rPr>
          <w:rFonts w:ascii="仿宋" w:hAnsi="仿宋" w:eastAsia="仿宋" w:cs="仿宋"/>
          <w:color w:val="auto"/>
          <w:spacing w:val="-26"/>
          <w:sz w:val="20"/>
          <w:szCs w:val="20"/>
        </w:rPr>
        <w:t xml:space="preserve"> </w:t>
      </w:r>
      <w:r>
        <w:rPr>
          <w:rFonts w:ascii="仿宋" w:hAnsi="仿宋" w:eastAsia="仿宋" w:cs="仿宋"/>
          <w:color w:val="auto"/>
          <w:spacing w:val="-19"/>
          <w:sz w:val="20"/>
          <w:szCs w:val="20"/>
        </w:rPr>
        <w:t>应当将其作为无效投标处理。</w:t>
      </w:r>
    </w:p>
    <w:p w14:paraId="1BC4E296">
      <w:pPr>
        <w:pStyle w:val="3"/>
        <w:spacing w:before="304" w:line="219" w:lineRule="auto"/>
        <w:ind w:left="9"/>
        <w:rPr>
          <w:rFonts w:ascii="宋体" w:hAnsi="宋体" w:eastAsia="宋体" w:cs="宋体"/>
          <w:color w:val="auto"/>
          <w:sz w:val="24"/>
          <w:szCs w:val="24"/>
        </w:rPr>
      </w:pPr>
      <w:r>
        <w:rPr>
          <w:b/>
          <w:bCs/>
          <w:color w:val="auto"/>
          <w:spacing w:val="-19"/>
          <w:sz w:val="24"/>
          <w:szCs w:val="24"/>
        </w:rPr>
        <w:t>3.3</w:t>
      </w:r>
      <w:r>
        <w:rPr>
          <w:b/>
          <w:bCs/>
          <w:color w:val="auto"/>
          <w:spacing w:val="45"/>
          <w:sz w:val="24"/>
          <w:szCs w:val="24"/>
        </w:rPr>
        <w:t xml:space="preserve"> </w:t>
      </w:r>
      <w:r>
        <w:rPr>
          <w:rFonts w:ascii="宋体" w:hAnsi="宋体" w:eastAsia="宋体" w:cs="宋体"/>
          <w:b/>
          <w:bCs/>
          <w:color w:val="auto"/>
          <w:spacing w:val="-19"/>
          <w:sz w:val="24"/>
          <w:szCs w:val="24"/>
        </w:rPr>
        <w:t>投标文件的澄清</w:t>
      </w:r>
    </w:p>
    <w:p w14:paraId="4F54CAF8">
      <w:pPr>
        <w:pStyle w:val="3"/>
        <w:spacing w:line="249" w:lineRule="auto"/>
        <w:rPr>
          <w:color w:val="auto"/>
        </w:rPr>
      </w:pPr>
    </w:p>
    <w:p w14:paraId="79F6DA8D">
      <w:pPr>
        <w:spacing w:before="66" w:line="329" w:lineRule="auto"/>
        <w:ind w:left="11" w:right="25" w:firstLine="357"/>
        <w:rPr>
          <w:rFonts w:ascii="仿宋" w:hAnsi="仿宋" w:eastAsia="仿宋" w:cs="仿宋"/>
          <w:color w:val="auto"/>
          <w:sz w:val="20"/>
          <w:szCs w:val="20"/>
        </w:rPr>
      </w:pPr>
      <w:r>
        <w:rPr>
          <w:rFonts w:ascii="仿宋" w:hAnsi="仿宋" w:eastAsia="仿宋" w:cs="仿宋"/>
          <w:color w:val="auto"/>
          <w:spacing w:val="-21"/>
          <w:sz w:val="20"/>
          <w:szCs w:val="20"/>
        </w:rPr>
        <w:t>3.3.1 在评标过程中，评标委员会可以书面形式要求投标人对投标文件中含义不明确、对同类问题表述不一致或者</w:t>
      </w:r>
      <w:r>
        <w:rPr>
          <w:rFonts w:ascii="仿宋" w:hAnsi="仿宋" w:eastAsia="仿宋" w:cs="仿宋"/>
          <w:color w:val="auto"/>
          <w:spacing w:val="11"/>
          <w:sz w:val="20"/>
          <w:szCs w:val="20"/>
        </w:rPr>
        <w:t xml:space="preserve"> </w:t>
      </w:r>
      <w:r>
        <w:rPr>
          <w:rFonts w:ascii="仿宋" w:hAnsi="仿宋" w:eastAsia="仿宋" w:cs="仿宋"/>
          <w:color w:val="auto"/>
          <w:spacing w:val="-22"/>
          <w:sz w:val="20"/>
          <w:szCs w:val="20"/>
        </w:rPr>
        <w:t>有明显文字和计算错误的内容作必要的澄清、说明或补正。澄清、说明或补正应以书面方式进行。评标委员会不接受投</w:t>
      </w:r>
      <w:r>
        <w:rPr>
          <w:rFonts w:ascii="仿宋" w:hAnsi="仿宋" w:eastAsia="仿宋" w:cs="仿宋"/>
          <w:color w:val="auto"/>
          <w:sz w:val="20"/>
          <w:szCs w:val="20"/>
        </w:rPr>
        <w:t xml:space="preserve"> </w:t>
      </w:r>
      <w:r>
        <w:rPr>
          <w:rFonts w:ascii="仿宋" w:hAnsi="仿宋" w:eastAsia="仿宋" w:cs="仿宋"/>
          <w:color w:val="auto"/>
          <w:spacing w:val="-19"/>
          <w:sz w:val="20"/>
          <w:szCs w:val="20"/>
        </w:rPr>
        <w:t>标人主动提出的澄清、说明或补正。</w:t>
      </w:r>
    </w:p>
    <w:p w14:paraId="1FB684EE">
      <w:pPr>
        <w:spacing w:before="158" w:line="229" w:lineRule="auto"/>
        <w:ind w:right="2"/>
        <w:jc w:val="right"/>
        <w:rPr>
          <w:rFonts w:ascii="仿宋" w:hAnsi="仿宋" w:eastAsia="仿宋" w:cs="仿宋"/>
          <w:color w:val="auto"/>
          <w:sz w:val="20"/>
          <w:szCs w:val="20"/>
        </w:rPr>
      </w:pPr>
      <w:r>
        <w:rPr>
          <w:rFonts w:ascii="仿宋" w:hAnsi="仿宋" w:eastAsia="仿宋" w:cs="仿宋"/>
          <w:color w:val="auto"/>
          <w:spacing w:val="-21"/>
          <w:sz w:val="20"/>
          <w:szCs w:val="20"/>
        </w:rPr>
        <w:t>3.3.2</w:t>
      </w:r>
      <w:r>
        <w:rPr>
          <w:rFonts w:ascii="仿宋" w:hAnsi="仿宋" w:eastAsia="仿宋" w:cs="仿宋"/>
          <w:color w:val="auto"/>
          <w:spacing w:val="-20"/>
          <w:sz w:val="20"/>
          <w:szCs w:val="20"/>
        </w:rPr>
        <w:t xml:space="preserve"> 澄清、说明或补正不得超出投标文件的范围且不得改变投标文件</w:t>
      </w:r>
      <w:r>
        <w:rPr>
          <w:rFonts w:ascii="仿宋" w:hAnsi="仿宋" w:eastAsia="仿宋" w:cs="仿宋"/>
          <w:color w:val="auto"/>
          <w:spacing w:val="-21"/>
          <w:sz w:val="20"/>
          <w:szCs w:val="20"/>
        </w:rPr>
        <w:t>的实质性内容，并构成投标文件的组成部</w:t>
      </w:r>
      <w:r>
        <w:rPr>
          <w:rFonts w:ascii="仿宋" w:hAnsi="仿宋" w:eastAsia="仿宋" w:cs="仿宋"/>
          <w:color w:val="auto"/>
          <w:spacing w:val="-16"/>
          <w:sz w:val="20"/>
          <w:szCs w:val="20"/>
        </w:rPr>
        <w:t>分</w:t>
      </w:r>
    </w:p>
    <w:p w14:paraId="6535D2A3">
      <w:pPr>
        <w:spacing w:before="300" w:line="98" w:lineRule="exact"/>
        <w:ind w:left="29"/>
        <w:rPr>
          <w:rFonts w:ascii="仿宋" w:hAnsi="仿宋" w:eastAsia="仿宋" w:cs="仿宋"/>
          <w:color w:val="auto"/>
          <w:sz w:val="20"/>
          <w:szCs w:val="20"/>
        </w:rPr>
      </w:pPr>
      <w:r>
        <w:rPr>
          <w:rFonts w:ascii="仿宋" w:hAnsi="仿宋" w:eastAsia="仿宋" w:cs="仿宋"/>
          <w:color w:val="auto"/>
          <w:position w:val="1"/>
          <w:sz w:val="20"/>
          <w:szCs w:val="20"/>
        </w:rPr>
        <w:t>。</w:t>
      </w:r>
    </w:p>
    <w:p w14:paraId="15716628">
      <w:pPr>
        <w:spacing w:before="171" w:line="360" w:lineRule="auto"/>
        <w:ind w:left="13" w:right="25" w:firstLine="355"/>
        <w:rPr>
          <w:rFonts w:ascii="仿宋" w:hAnsi="仿宋" w:eastAsia="仿宋" w:cs="仿宋"/>
          <w:color w:val="auto"/>
          <w:sz w:val="20"/>
          <w:szCs w:val="20"/>
        </w:rPr>
      </w:pPr>
      <w:r>
        <w:rPr>
          <w:rFonts w:ascii="仿宋" w:hAnsi="仿宋" w:eastAsia="仿宋" w:cs="仿宋"/>
          <w:color w:val="auto"/>
          <w:spacing w:val="-21"/>
          <w:sz w:val="20"/>
          <w:szCs w:val="20"/>
        </w:rPr>
        <w:t>3.3.3 评标委员会对投标人提交的澄清、说明或补正有疑问的，可以要求投标人进一步澄清、说明或补正，直至满</w:t>
      </w:r>
      <w:r>
        <w:rPr>
          <w:rFonts w:ascii="仿宋" w:hAnsi="仿宋" w:eastAsia="仿宋" w:cs="仿宋"/>
          <w:color w:val="auto"/>
          <w:spacing w:val="11"/>
          <w:sz w:val="20"/>
          <w:szCs w:val="20"/>
        </w:rPr>
        <w:t xml:space="preserve"> </w:t>
      </w:r>
      <w:r>
        <w:rPr>
          <w:rFonts w:ascii="仿宋" w:hAnsi="仿宋" w:eastAsia="仿宋" w:cs="仿宋"/>
          <w:color w:val="auto"/>
          <w:spacing w:val="-18"/>
          <w:sz w:val="20"/>
          <w:szCs w:val="20"/>
        </w:rPr>
        <w:t>足评标委员会的要求。</w:t>
      </w:r>
    </w:p>
    <w:p w14:paraId="05AE67E2">
      <w:pPr>
        <w:pStyle w:val="3"/>
        <w:spacing w:before="182" w:line="220" w:lineRule="auto"/>
        <w:ind w:left="9"/>
        <w:rPr>
          <w:rFonts w:ascii="宋体" w:hAnsi="宋体" w:eastAsia="宋体" w:cs="宋体"/>
          <w:color w:val="auto"/>
          <w:sz w:val="24"/>
          <w:szCs w:val="24"/>
        </w:rPr>
      </w:pPr>
      <w:r>
        <w:rPr>
          <w:b/>
          <w:bCs/>
          <w:color w:val="auto"/>
          <w:spacing w:val="-15"/>
          <w:sz w:val="24"/>
          <w:szCs w:val="24"/>
        </w:rPr>
        <w:t>3.4</w:t>
      </w:r>
      <w:r>
        <w:rPr>
          <w:b/>
          <w:bCs/>
          <w:color w:val="auto"/>
          <w:spacing w:val="42"/>
          <w:sz w:val="24"/>
          <w:szCs w:val="24"/>
        </w:rPr>
        <w:t xml:space="preserve"> </w:t>
      </w:r>
      <w:r>
        <w:rPr>
          <w:rFonts w:ascii="宋体" w:hAnsi="宋体" w:eastAsia="宋体" w:cs="宋体"/>
          <w:b/>
          <w:bCs/>
          <w:color w:val="auto"/>
          <w:spacing w:val="-15"/>
          <w:sz w:val="24"/>
          <w:szCs w:val="24"/>
        </w:rPr>
        <w:t>评标结果</w:t>
      </w:r>
    </w:p>
    <w:p w14:paraId="1B3F540C">
      <w:pPr>
        <w:pStyle w:val="3"/>
        <w:spacing w:line="249" w:lineRule="auto"/>
        <w:rPr>
          <w:color w:val="auto"/>
        </w:rPr>
      </w:pPr>
    </w:p>
    <w:p w14:paraId="3859C07C">
      <w:pPr>
        <w:spacing w:before="65" w:line="328" w:lineRule="auto"/>
        <w:ind w:left="14" w:firstLine="355"/>
        <w:rPr>
          <w:rFonts w:ascii="仿宋" w:hAnsi="仿宋" w:eastAsia="仿宋" w:cs="仿宋"/>
          <w:color w:val="auto"/>
          <w:sz w:val="20"/>
          <w:szCs w:val="20"/>
        </w:rPr>
      </w:pPr>
      <w:r>
        <w:rPr>
          <w:rFonts w:ascii="仿宋" w:hAnsi="仿宋" w:eastAsia="仿宋" w:cs="仿宋"/>
          <w:color w:val="auto"/>
          <w:spacing w:val="-20"/>
          <w:sz w:val="20"/>
          <w:szCs w:val="20"/>
        </w:rPr>
        <w:t>3.4.1 评标委员会严格按照招标文件的要求和条件进行评标和打分，评标结果</w:t>
      </w:r>
      <w:r>
        <w:rPr>
          <w:rFonts w:ascii="仿宋" w:hAnsi="仿宋" w:eastAsia="仿宋" w:cs="仿宋"/>
          <w:color w:val="auto"/>
          <w:spacing w:val="-21"/>
          <w:sz w:val="20"/>
          <w:szCs w:val="20"/>
        </w:rPr>
        <w:t>按评审后得分由高到低的顺序排列。</w:t>
      </w:r>
      <w:r>
        <w:rPr>
          <w:rFonts w:ascii="仿宋" w:hAnsi="仿宋" w:eastAsia="仿宋" w:cs="仿宋"/>
          <w:color w:val="auto"/>
          <w:sz w:val="20"/>
          <w:szCs w:val="20"/>
        </w:rPr>
        <w:t xml:space="preserve"> </w:t>
      </w:r>
      <w:r>
        <w:rPr>
          <w:rFonts w:ascii="仿宋" w:hAnsi="仿宋" w:eastAsia="仿宋" w:cs="仿宋"/>
          <w:color w:val="auto"/>
          <w:spacing w:val="-22"/>
          <w:sz w:val="20"/>
          <w:szCs w:val="20"/>
        </w:rPr>
        <w:t>得分相同的，按照投标报价由低到高的顺序推荐；如评审得分且投标报价均相同的，按照技术部分得分由高到低顺序推</w:t>
      </w:r>
      <w:r>
        <w:rPr>
          <w:rFonts w:ascii="仿宋" w:hAnsi="仿宋" w:eastAsia="仿宋" w:cs="仿宋"/>
          <w:color w:val="auto"/>
          <w:sz w:val="20"/>
          <w:szCs w:val="20"/>
        </w:rPr>
        <w:t xml:space="preserve"> </w:t>
      </w:r>
      <w:r>
        <w:rPr>
          <w:rFonts w:ascii="仿宋" w:hAnsi="仿宋" w:eastAsia="仿宋" w:cs="仿宋"/>
          <w:color w:val="auto"/>
          <w:spacing w:val="-20"/>
          <w:sz w:val="20"/>
          <w:szCs w:val="20"/>
        </w:rPr>
        <w:t>荐；若评审得分、商务部分、技术部分、综合实力得分均</w:t>
      </w:r>
      <w:r>
        <w:rPr>
          <w:rFonts w:ascii="仿宋" w:hAnsi="仿宋" w:eastAsia="仿宋" w:cs="仿宋"/>
          <w:color w:val="auto"/>
          <w:spacing w:val="-21"/>
          <w:sz w:val="20"/>
          <w:szCs w:val="20"/>
        </w:rPr>
        <w:t>相同，则由评标委员会决定中标人及中标候选人排名。</w:t>
      </w:r>
    </w:p>
    <w:p w14:paraId="5E069CF3">
      <w:pPr>
        <w:spacing w:before="159" w:line="229" w:lineRule="auto"/>
        <w:ind w:left="369"/>
        <w:rPr>
          <w:rFonts w:ascii="仿宋" w:hAnsi="仿宋" w:eastAsia="仿宋" w:cs="仿宋"/>
          <w:color w:val="auto"/>
          <w:sz w:val="20"/>
          <w:szCs w:val="20"/>
        </w:rPr>
      </w:pPr>
      <w:r>
        <w:rPr>
          <w:rFonts w:ascii="仿宋" w:hAnsi="仿宋" w:eastAsia="仿宋" w:cs="仿宋"/>
          <w:color w:val="auto"/>
          <w:spacing w:val="-19"/>
          <w:sz w:val="20"/>
          <w:szCs w:val="20"/>
        </w:rPr>
        <w:t>3.4.2 评标委员会完成评标后，应当向采购人提交书面评标报告和中标候选人名单。</w:t>
      </w:r>
    </w:p>
    <w:p w14:paraId="5ED9F9D6">
      <w:pPr>
        <w:pStyle w:val="3"/>
        <w:spacing w:line="373" w:lineRule="auto"/>
        <w:rPr>
          <w:color w:val="auto"/>
        </w:rPr>
      </w:pPr>
    </w:p>
    <w:p w14:paraId="25A06D91">
      <w:pPr>
        <w:pStyle w:val="3"/>
        <w:spacing w:before="78" w:line="219" w:lineRule="auto"/>
        <w:ind w:left="4"/>
        <w:rPr>
          <w:rFonts w:ascii="宋体" w:hAnsi="宋体" w:eastAsia="宋体" w:cs="宋体"/>
          <w:color w:val="auto"/>
          <w:sz w:val="24"/>
          <w:szCs w:val="24"/>
        </w:rPr>
      </w:pPr>
      <w:r>
        <w:rPr>
          <w:b/>
          <w:bCs/>
          <w:color w:val="auto"/>
          <w:spacing w:val="-20"/>
          <w:sz w:val="24"/>
          <w:szCs w:val="24"/>
        </w:rPr>
        <w:t>4</w:t>
      </w:r>
      <w:r>
        <w:rPr>
          <w:rFonts w:ascii="宋体" w:hAnsi="宋体" w:eastAsia="宋体" w:cs="宋体"/>
          <w:b/>
          <w:bCs/>
          <w:color w:val="auto"/>
          <w:spacing w:val="-20"/>
          <w:sz w:val="24"/>
          <w:szCs w:val="24"/>
        </w:rPr>
        <w:t>、评分标准说明</w:t>
      </w:r>
    </w:p>
    <w:p w14:paraId="59E37822">
      <w:pPr>
        <w:pStyle w:val="3"/>
        <w:spacing w:line="242" w:lineRule="auto"/>
        <w:rPr>
          <w:color w:val="auto"/>
        </w:rPr>
      </w:pPr>
    </w:p>
    <w:p w14:paraId="32BFF8F9">
      <w:pPr>
        <w:pStyle w:val="3"/>
        <w:spacing w:before="78" w:line="218" w:lineRule="auto"/>
        <w:ind w:left="4"/>
        <w:rPr>
          <w:rFonts w:ascii="宋体" w:hAnsi="宋体" w:eastAsia="宋体" w:cs="宋体"/>
          <w:color w:val="auto"/>
          <w:sz w:val="24"/>
          <w:szCs w:val="24"/>
        </w:rPr>
      </w:pPr>
      <w:r>
        <w:rPr>
          <w:b/>
          <w:bCs/>
          <w:color w:val="auto"/>
          <w:spacing w:val="-22"/>
          <w:sz w:val="24"/>
          <w:szCs w:val="24"/>
        </w:rPr>
        <w:t>4.1</w:t>
      </w:r>
      <w:r>
        <w:rPr>
          <w:b/>
          <w:bCs/>
          <w:color w:val="auto"/>
          <w:spacing w:val="48"/>
          <w:sz w:val="24"/>
          <w:szCs w:val="24"/>
        </w:rPr>
        <w:t xml:space="preserve"> </w:t>
      </w:r>
      <w:r>
        <w:rPr>
          <w:rFonts w:ascii="宋体" w:hAnsi="宋体" w:eastAsia="宋体" w:cs="宋体"/>
          <w:b/>
          <w:bCs/>
          <w:color w:val="auto"/>
          <w:spacing w:val="-22"/>
          <w:sz w:val="24"/>
          <w:szCs w:val="24"/>
        </w:rPr>
        <w:t>关于价格扣除和评标报价的说明</w:t>
      </w:r>
    </w:p>
    <w:p w14:paraId="6E7483B8">
      <w:pPr>
        <w:pStyle w:val="3"/>
        <w:spacing w:line="252" w:lineRule="auto"/>
        <w:rPr>
          <w:color w:val="auto"/>
        </w:rPr>
      </w:pPr>
    </w:p>
    <w:p w14:paraId="1CFD08DD">
      <w:pPr>
        <w:spacing w:before="65" w:line="231" w:lineRule="auto"/>
        <w:ind w:left="364"/>
        <w:rPr>
          <w:rFonts w:ascii="仿宋" w:hAnsi="仿宋" w:eastAsia="仿宋" w:cs="仿宋"/>
          <w:color w:val="auto"/>
          <w:sz w:val="20"/>
          <w:szCs w:val="20"/>
        </w:rPr>
      </w:pPr>
      <w:r>
        <w:rPr>
          <w:rFonts w:ascii="仿宋" w:hAnsi="仿宋" w:eastAsia="仿宋" w:cs="仿宋"/>
          <w:color w:val="auto"/>
          <w:spacing w:val="-11"/>
          <w:sz w:val="20"/>
          <w:szCs w:val="20"/>
        </w:rPr>
        <w:t>4.1.1</w:t>
      </w:r>
      <w:r>
        <w:rPr>
          <w:rFonts w:ascii="仿宋" w:hAnsi="仿宋" w:eastAsia="仿宋" w:cs="仿宋"/>
          <w:color w:val="auto"/>
          <w:spacing w:val="-7"/>
          <w:sz w:val="20"/>
          <w:szCs w:val="20"/>
        </w:rPr>
        <w:t xml:space="preserve"> </w:t>
      </w:r>
      <w:r>
        <w:rPr>
          <w:rFonts w:ascii="仿宋" w:hAnsi="仿宋" w:eastAsia="仿宋" w:cs="仿宋"/>
          <w:color w:val="auto"/>
          <w:spacing w:val="-11"/>
          <w:sz w:val="20"/>
          <w:szCs w:val="20"/>
        </w:rPr>
        <w:t>价格扣除</w:t>
      </w:r>
    </w:p>
    <w:p w14:paraId="1E42EB94">
      <w:pPr>
        <w:spacing w:before="158" w:line="360" w:lineRule="auto"/>
        <w:ind w:left="16" w:right="36" w:firstLine="358"/>
        <w:rPr>
          <w:rFonts w:ascii="仿宋" w:hAnsi="仿宋" w:eastAsia="仿宋" w:cs="仿宋"/>
          <w:color w:val="auto"/>
          <w:sz w:val="20"/>
          <w:szCs w:val="20"/>
        </w:rPr>
      </w:pPr>
      <w:r>
        <w:rPr>
          <w:rFonts w:ascii="仿宋" w:hAnsi="仿宋" w:eastAsia="仿宋" w:cs="仿宋"/>
          <w:color w:val="auto"/>
          <w:spacing w:val="-20"/>
          <w:sz w:val="20"/>
          <w:szCs w:val="20"/>
        </w:rPr>
        <w:t>参加投标的中小企业，应当按照《政府采购促进中小企业发展管理办法》（财库</w:t>
      </w:r>
      <w:r>
        <w:rPr>
          <w:rFonts w:ascii="仿宋" w:hAnsi="仿宋" w:eastAsia="仿宋" w:cs="仿宋"/>
          <w:color w:val="auto"/>
          <w:spacing w:val="-34"/>
          <w:sz w:val="20"/>
          <w:szCs w:val="20"/>
        </w:rPr>
        <w:t xml:space="preserve"> </w:t>
      </w:r>
      <w:r>
        <w:rPr>
          <w:rFonts w:ascii="仿宋" w:hAnsi="仿宋" w:eastAsia="仿宋" w:cs="仿宋"/>
          <w:color w:val="auto"/>
          <w:spacing w:val="-20"/>
          <w:sz w:val="20"/>
          <w:szCs w:val="20"/>
        </w:rPr>
        <w:t>〔2020</w:t>
      </w:r>
      <w:r>
        <w:rPr>
          <w:rFonts w:ascii="仿宋" w:hAnsi="仿宋" w:eastAsia="仿宋" w:cs="仿宋"/>
          <w:color w:val="auto"/>
          <w:spacing w:val="-21"/>
          <w:sz w:val="20"/>
          <w:szCs w:val="20"/>
        </w:rPr>
        <w:t>〕46 号）的规定，本项目</w:t>
      </w:r>
      <w:r>
        <w:rPr>
          <w:rFonts w:ascii="仿宋" w:hAnsi="仿宋" w:eastAsia="仿宋" w:cs="仿宋"/>
          <w:color w:val="auto"/>
          <w:spacing w:val="-23"/>
          <w:sz w:val="20"/>
          <w:szCs w:val="20"/>
        </w:rPr>
        <w:t>专门面向中小企业采购，评审中价格将均不予扣除，</w:t>
      </w:r>
      <w:r>
        <w:rPr>
          <w:rFonts w:ascii="仿宋" w:hAnsi="仿宋" w:eastAsia="仿宋" w:cs="仿宋"/>
          <w:color w:val="auto"/>
          <w:spacing w:val="-24"/>
          <w:sz w:val="20"/>
          <w:szCs w:val="20"/>
        </w:rPr>
        <w:t>供 应商应按规定提供《中小企业声明函》，否则其响应将不被接受</w:t>
      </w:r>
      <w:r>
        <w:rPr>
          <w:rFonts w:ascii="仿宋" w:hAnsi="仿宋" w:eastAsia="仿宋" w:cs="仿宋"/>
          <w:color w:val="auto"/>
          <w:position w:val="1"/>
          <w:sz w:val="20"/>
          <w:szCs w:val="20"/>
        </w:rPr>
        <w:t>。</w:t>
      </w:r>
    </w:p>
    <w:p w14:paraId="7A428B0D">
      <w:pPr>
        <w:spacing w:before="171" w:line="304" w:lineRule="auto"/>
        <w:ind w:left="14" w:right="36" w:firstLine="362"/>
        <w:rPr>
          <w:rFonts w:ascii="仿宋" w:hAnsi="仿宋" w:eastAsia="仿宋" w:cs="仿宋"/>
          <w:color w:val="auto"/>
          <w:sz w:val="20"/>
          <w:szCs w:val="20"/>
        </w:rPr>
      </w:pPr>
      <w:r>
        <w:rPr>
          <w:rFonts w:ascii="仿宋" w:hAnsi="仿宋" w:eastAsia="仿宋" w:cs="仿宋"/>
          <w:color w:val="auto"/>
          <w:spacing w:val="-21"/>
          <w:sz w:val="20"/>
          <w:szCs w:val="20"/>
        </w:rPr>
        <w:t>（2）根据财政部司法部《关于政府采购支</w:t>
      </w:r>
      <w:r>
        <w:rPr>
          <w:rFonts w:ascii="仿宋" w:hAnsi="仿宋" w:eastAsia="仿宋" w:cs="仿宋"/>
          <w:color w:val="auto"/>
          <w:spacing w:val="-22"/>
          <w:sz w:val="20"/>
          <w:szCs w:val="20"/>
        </w:rPr>
        <w:t>持监狱企业发展有关问题的通知》（财库</w:t>
      </w:r>
      <w:r>
        <w:rPr>
          <w:rFonts w:ascii="仿宋" w:hAnsi="仿宋" w:eastAsia="仿宋" w:cs="仿宋"/>
          <w:color w:val="auto"/>
          <w:spacing w:val="-39"/>
          <w:sz w:val="20"/>
          <w:szCs w:val="20"/>
        </w:rPr>
        <w:t xml:space="preserve"> </w:t>
      </w:r>
      <w:r>
        <w:rPr>
          <w:rFonts w:ascii="仿宋" w:hAnsi="仿宋" w:eastAsia="仿宋" w:cs="仿宋"/>
          <w:color w:val="auto"/>
          <w:spacing w:val="-22"/>
          <w:sz w:val="20"/>
          <w:szCs w:val="20"/>
        </w:rPr>
        <w:t>〔2014〕68 号）规定，监狱企</w:t>
      </w:r>
      <w:r>
        <w:rPr>
          <w:rFonts w:ascii="仿宋" w:hAnsi="仿宋" w:eastAsia="仿宋" w:cs="仿宋"/>
          <w:color w:val="auto"/>
          <w:sz w:val="20"/>
          <w:szCs w:val="20"/>
        </w:rPr>
        <w:t xml:space="preserve"> </w:t>
      </w:r>
      <w:r>
        <w:rPr>
          <w:rFonts w:ascii="仿宋" w:hAnsi="仿宋" w:eastAsia="仿宋" w:cs="仿宋"/>
          <w:color w:val="auto"/>
          <w:spacing w:val="-18"/>
          <w:sz w:val="20"/>
          <w:szCs w:val="20"/>
        </w:rPr>
        <w:t>业视同小型、微型企业。</w:t>
      </w:r>
    </w:p>
    <w:p w14:paraId="2B2B83E8">
      <w:pPr>
        <w:spacing w:before="156" w:line="303" w:lineRule="auto"/>
        <w:ind w:left="13" w:firstLine="362"/>
        <w:rPr>
          <w:rFonts w:ascii="仿宋" w:hAnsi="仿宋" w:eastAsia="仿宋" w:cs="仿宋"/>
          <w:color w:val="auto"/>
          <w:sz w:val="20"/>
          <w:szCs w:val="20"/>
        </w:rPr>
      </w:pPr>
      <w:r>
        <w:rPr>
          <w:rFonts w:ascii="仿宋" w:hAnsi="仿宋" w:eastAsia="仿宋" w:cs="仿宋"/>
          <w:color w:val="auto"/>
          <w:spacing w:val="-19"/>
          <w:sz w:val="20"/>
          <w:szCs w:val="20"/>
        </w:rPr>
        <w:t>（3）根据财政部民政部中国残疾人联合会《关于促进残疾人就业政府采购政策的通知》</w:t>
      </w:r>
      <w:r>
        <w:rPr>
          <w:rFonts w:ascii="仿宋" w:hAnsi="仿宋" w:eastAsia="仿宋" w:cs="仿宋"/>
          <w:color w:val="auto"/>
          <w:spacing w:val="-32"/>
          <w:sz w:val="20"/>
          <w:szCs w:val="20"/>
        </w:rPr>
        <w:t xml:space="preserve"> </w:t>
      </w:r>
      <w:r>
        <w:rPr>
          <w:rFonts w:ascii="仿宋" w:hAnsi="仿宋" w:eastAsia="仿宋" w:cs="仿宋"/>
          <w:color w:val="auto"/>
          <w:spacing w:val="-19"/>
          <w:sz w:val="20"/>
          <w:szCs w:val="20"/>
        </w:rPr>
        <w:t>（财</w:t>
      </w:r>
      <w:r>
        <w:rPr>
          <w:rFonts w:ascii="仿宋" w:hAnsi="仿宋" w:eastAsia="仿宋" w:cs="仿宋"/>
          <w:color w:val="auto"/>
          <w:spacing w:val="-20"/>
          <w:sz w:val="20"/>
          <w:szCs w:val="20"/>
        </w:rPr>
        <w:t>库〔2017〕141 号）</w:t>
      </w:r>
      <w:r>
        <w:rPr>
          <w:rFonts w:ascii="仿宋" w:hAnsi="仿宋" w:eastAsia="仿宋" w:cs="仿宋"/>
          <w:color w:val="auto"/>
          <w:sz w:val="20"/>
          <w:szCs w:val="20"/>
        </w:rPr>
        <w:t xml:space="preserve"> </w:t>
      </w:r>
      <w:r>
        <w:rPr>
          <w:rFonts w:ascii="仿宋" w:hAnsi="仿宋" w:eastAsia="仿宋" w:cs="仿宋"/>
          <w:color w:val="auto"/>
          <w:spacing w:val="-20"/>
          <w:sz w:val="20"/>
          <w:szCs w:val="20"/>
        </w:rPr>
        <w:t>规定，残疾人福利性单位视同小型、微型企业</w:t>
      </w:r>
    </w:p>
    <w:p w14:paraId="696F03D3">
      <w:pPr>
        <w:spacing w:before="160" w:line="229" w:lineRule="auto"/>
        <w:ind w:left="364"/>
        <w:outlineLvl w:val="0"/>
        <w:rPr>
          <w:rFonts w:ascii="仿宋" w:hAnsi="仿宋" w:eastAsia="仿宋" w:cs="仿宋"/>
          <w:color w:val="auto"/>
          <w:sz w:val="20"/>
          <w:szCs w:val="20"/>
        </w:rPr>
      </w:pPr>
      <w:bookmarkStart w:id="14" w:name="_Toc31999"/>
      <w:r>
        <w:rPr>
          <w:rFonts w:ascii="仿宋" w:hAnsi="仿宋" w:eastAsia="仿宋" w:cs="仿宋"/>
          <w:color w:val="auto"/>
          <w:spacing w:val="-19"/>
          <w:sz w:val="20"/>
          <w:szCs w:val="20"/>
        </w:rPr>
        <w:t>4.1.2 本项目专门面向中小（监狱、残疾人福利性单位）企业采购，评审中价格将均不予扣除。</w:t>
      </w:r>
      <w:bookmarkEnd w:id="14"/>
    </w:p>
    <w:p w14:paraId="67E60C39">
      <w:pPr>
        <w:spacing w:line="229" w:lineRule="auto"/>
        <w:rPr>
          <w:rFonts w:ascii="仿宋" w:hAnsi="仿宋" w:eastAsia="仿宋" w:cs="仿宋"/>
          <w:color w:val="auto"/>
          <w:sz w:val="20"/>
          <w:szCs w:val="20"/>
        </w:rPr>
        <w:sectPr>
          <w:headerReference r:id="rId47" w:type="default"/>
          <w:footerReference r:id="rId48" w:type="default"/>
          <w:pgSz w:w="11906" w:h="16839"/>
          <w:pgMar w:top="999" w:right="1181" w:bottom="844" w:left="1418" w:header="698" w:footer="682" w:gutter="0"/>
          <w:pgNumType w:fmt="decimal"/>
          <w:cols w:space="720" w:num="1"/>
        </w:sectPr>
      </w:pPr>
    </w:p>
    <w:p w14:paraId="7DF9F6A6">
      <w:pPr>
        <w:pStyle w:val="3"/>
        <w:spacing w:line="314" w:lineRule="auto"/>
        <w:rPr>
          <w:color w:val="auto"/>
        </w:rPr>
      </w:pPr>
    </w:p>
    <w:p w14:paraId="710782A3">
      <w:pPr>
        <w:pStyle w:val="3"/>
        <w:spacing w:line="314" w:lineRule="auto"/>
        <w:rPr>
          <w:color w:val="auto"/>
        </w:rPr>
      </w:pPr>
    </w:p>
    <w:p w14:paraId="227B16A3">
      <w:pPr>
        <w:spacing w:before="101" w:line="228" w:lineRule="auto"/>
        <w:ind w:left="2747"/>
        <w:outlineLvl w:val="0"/>
        <w:rPr>
          <w:rFonts w:ascii="仿宋" w:hAnsi="仿宋" w:eastAsia="仿宋" w:cs="仿宋"/>
          <w:color w:val="auto"/>
          <w:sz w:val="31"/>
          <w:szCs w:val="31"/>
        </w:rPr>
      </w:pPr>
      <w:bookmarkStart w:id="15" w:name="bookmark13"/>
      <w:bookmarkEnd w:id="15"/>
      <w:bookmarkStart w:id="16" w:name="_Toc15815"/>
      <w:r>
        <w:rPr>
          <w:rFonts w:ascii="仿宋" w:hAnsi="仿宋" w:eastAsia="仿宋" w:cs="仿宋"/>
          <w:b/>
          <w:bCs/>
          <w:color w:val="auto"/>
          <w:spacing w:val="-20"/>
          <w:sz w:val="31"/>
          <w:szCs w:val="31"/>
        </w:rPr>
        <w:t>第六章</w:t>
      </w:r>
      <w:r>
        <w:rPr>
          <w:rFonts w:ascii="仿宋" w:hAnsi="仿宋" w:eastAsia="仿宋" w:cs="仿宋"/>
          <w:color w:val="auto"/>
          <w:spacing w:val="-20"/>
          <w:sz w:val="31"/>
          <w:szCs w:val="31"/>
        </w:rPr>
        <w:t xml:space="preserve">   </w:t>
      </w:r>
      <w:r>
        <w:rPr>
          <w:rFonts w:ascii="仿宋" w:hAnsi="仿宋" w:eastAsia="仿宋" w:cs="仿宋"/>
          <w:b/>
          <w:bCs/>
          <w:color w:val="auto"/>
          <w:spacing w:val="-20"/>
          <w:sz w:val="31"/>
          <w:szCs w:val="31"/>
        </w:rPr>
        <w:t>资格审查与评审标准</w:t>
      </w:r>
      <w:bookmarkEnd w:id="16"/>
    </w:p>
    <w:p w14:paraId="152FF002">
      <w:pPr>
        <w:spacing w:before="26"/>
        <w:rPr>
          <w:color w:val="auto"/>
        </w:rPr>
      </w:pPr>
    </w:p>
    <w:p w14:paraId="6CFD167E">
      <w:pPr>
        <w:spacing w:before="25"/>
        <w:rPr>
          <w:color w:val="auto"/>
        </w:rPr>
      </w:pPr>
    </w:p>
    <w:tbl>
      <w:tblPr>
        <w:tblStyle w:val="10"/>
        <w:tblW w:w="94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9"/>
        <w:gridCol w:w="3840"/>
        <w:gridCol w:w="4137"/>
      </w:tblGrid>
      <w:tr w14:paraId="682CE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1479" w:type="dxa"/>
            <w:vAlign w:val="top"/>
          </w:tcPr>
          <w:p w14:paraId="50A6E73C">
            <w:pPr>
              <w:spacing w:before="228" w:line="228" w:lineRule="auto"/>
              <w:ind w:left="386"/>
              <w:rPr>
                <w:rFonts w:ascii="宋体" w:hAnsi="宋体" w:eastAsia="宋体" w:cs="宋体"/>
                <w:color w:val="auto"/>
                <w:sz w:val="20"/>
                <w:szCs w:val="20"/>
              </w:rPr>
            </w:pPr>
            <w:r>
              <w:rPr>
                <w:rFonts w:ascii="宋体" w:hAnsi="宋体" w:eastAsia="宋体" w:cs="宋体"/>
                <w:color w:val="auto"/>
                <w:spacing w:val="-11"/>
                <w:sz w:val="20"/>
                <w:szCs w:val="20"/>
              </w:rPr>
              <w:t>初步条款</w:t>
            </w:r>
          </w:p>
        </w:tc>
        <w:tc>
          <w:tcPr>
            <w:tcW w:w="3840" w:type="dxa"/>
            <w:vAlign w:val="top"/>
          </w:tcPr>
          <w:p w14:paraId="6A3C0CC5">
            <w:pPr>
              <w:spacing w:before="229" w:line="228" w:lineRule="auto"/>
              <w:ind w:left="1478"/>
              <w:rPr>
                <w:rFonts w:ascii="宋体" w:hAnsi="宋体" w:eastAsia="宋体" w:cs="宋体"/>
                <w:color w:val="auto"/>
                <w:sz w:val="20"/>
                <w:szCs w:val="20"/>
              </w:rPr>
            </w:pPr>
            <w:r>
              <w:rPr>
                <w:rFonts w:ascii="宋体" w:hAnsi="宋体" w:eastAsia="宋体" w:cs="宋体"/>
                <w:color w:val="auto"/>
                <w:spacing w:val="-13"/>
                <w:sz w:val="20"/>
                <w:szCs w:val="20"/>
              </w:rPr>
              <w:t>评分点名称</w:t>
            </w:r>
          </w:p>
        </w:tc>
        <w:tc>
          <w:tcPr>
            <w:tcW w:w="4137" w:type="dxa"/>
            <w:vAlign w:val="top"/>
          </w:tcPr>
          <w:p w14:paraId="258464FA">
            <w:pPr>
              <w:spacing w:before="229" w:line="228" w:lineRule="auto"/>
              <w:ind w:left="1715"/>
              <w:rPr>
                <w:rFonts w:ascii="宋体" w:hAnsi="宋体" w:eastAsia="宋体" w:cs="宋体"/>
                <w:color w:val="auto"/>
                <w:sz w:val="20"/>
                <w:szCs w:val="20"/>
              </w:rPr>
            </w:pPr>
            <w:r>
              <w:rPr>
                <w:rFonts w:ascii="宋体" w:hAnsi="宋体" w:eastAsia="宋体" w:cs="宋体"/>
                <w:color w:val="auto"/>
                <w:spacing w:val="-11"/>
                <w:sz w:val="20"/>
                <w:szCs w:val="20"/>
              </w:rPr>
              <w:t>评审标准</w:t>
            </w:r>
          </w:p>
        </w:tc>
      </w:tr>
      <w:tr w14:paraId="41D44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restart"/>
            <w:tcBorders>
              <w:bottom w:val="nil"/>
            </w:tcBorders>
            <w:vAlign w:val="top"/>
          </w:tcPr>
          <w:p w14:paraId="2C19E903">
            <w:pPr>
              <w:spacing w:line="244" w:lineRule="auto"/>
              <w:rPr>
                <w:rFonts w:ascii="Arial"/>
                <w:color w:val="auto"/>
                <w:sz w:val="21"/>
              </w:rPr>
            </w:pPr>
          </w:p>
          <w:p w14:paraId="4068B305">
            <w:pPr>
              <w:spacing w:line="244" w:lineRule="auto"/>
              <w:rPr>
                <w:rFonts w:ascii="Arial"/>
                <w:color w:val="auto"/>
                <w:sz w:val="21"/>
              </w:rPr>
            </w:pPr>
          </w:p>
          <w:p w14:paraId="437659CF">
            <w:pPr>
              <w:spacing w:line="244" w:lineRule="auto"/>
              <w:rPr>
                <w:rFonts w:ascii="Arial"/>
                <w:color w:val="auto"/>
                <w:sz w:val="21"/>
              </w:rPr>
            </w:pPr>
          </w:p>
          <w:p w14:paraId="6F061ED9">
            <w:pPr>
              <w:spacing w:line="244" w:lineRule="auto"/>
              <w:rPr>
                <w:rFonts w:ascii="Arial"/>
                <w:color w:val="auto"/>
                <w:sz w:val="21"/>
              </w:rPr>
            </w:pPr>
          </w:p>
          <w:p w14:paraId="36EAC3F6">
            <w:pPr>
              <w:spacing w:line="244" w:lineRule="auto"/>
              <w:rPr>
                <w:rFonts w:ascii="Arial"/>
                <w:color w:val="auto"/>
                <w:sz w:val="21"/>
              </w:rPr>
            </w:pPr>
          </w:p>
          <w:p w14:paraId="0958B6FF">
            <w:pPr>
              <w:spacing w:line="244" w:lineRule="auto"/>
              <w:rPr>
                <w:rFonts w:ascii="Arial"/>
                <w:color w:val="auto"/>
                <w:sz w:val="21"/>
              </w:rPr>
            </w:pPr>
          </w:p>
          <w:p w14:paraId="3B4E625A">
            <w:pPr>
              <w:spacing w:line="244" w:lineRule="auto"/>
              <w:rPr>
                <w:rFonts w:ascii="Arial"/>
                <w:color w:val="auto"/>
                <w:sz w:val="21"/>
              </w:rPr>
            </w:pPr>
          </w:p>
          <w:p w14:paraId="04231CA6">
            <w:pPr>
              <w:spacing w:line="244" w:lineRule="auto"/>
              <w:rPr>
                <w:rFonts w:ascii="Arial"/>
                <w:color w:val="auto"/>
                <w:sz w:val="21"/>
              </w:rPr>
            </w:pPr>
          </w:p>
          <w:p w14:paraId="0C38F7CA">
            <w:pPr>
              <w:spacing w:line="244" w:lineRule="auto"/>
              <w:rPr>
                <w:rFonts w:ascii="Arial"/>
                <w:color w:val="auto"/>
                <w:sz w:val="21"/>
              </w:rPr>
            </w:pPr>
          </w:p>
          <w:p w14:paraId="3330EFE2">
            <w:pPr>
              <w:spacing w:line="244" w:lineRule="auto"/>
              <w:rPr>
                <w:rFonts w:ascii="Arial"/>
                <w:color w:val="auto"/>
                <w:sz w:val="21"/>
              </w:rPr>
            </w:pPr>
          </w:p>
          <w:p w14:paraId="7FCC19FC">
            <w:pPr>
              <w:spacing w:line="244" w:lineRule="auto"/>
              <w:rPr>
                <w:rFonts w:ascii="Arial"/>
                <w:color w:val="auto"/>
                <w:sz w:val="21"/>
              </w:rPr>
            </w:pPr>
          </w:p>
          <w:p w14:paraId="1AFFA87D">
            <w:pPr>
              <w:spacing w:line="245" w:lineRule="auto"/>
              <w:rPr>
                <w:rFonts w:ascii="Arial"/>
                <w:color w:val="auto"/>
                <w:sz w:val="21"/>
              </w:rPr>
            </w:pPr>
          </w:p>
          <w:p w14:paraId="44AA3F69">
            <w:pPr>
              <w:spacing w:line="245" w:lineRule="auto"/>
              <w:rPr>
                <w:rFonts w:ascii="Arial"/>
                <w:color w:val="auto"/>
                <w:sz w:val="21"/>
              </w:rPr>
            </w:pPr>
          </w:p>
          <w:p w14:paraId="562A3191">
            <w:pPr>
              <w:spacing w:line="245" w:lineRule="auto"/>
              <w:rPr>
                <w:rFonts w:ascii="Arial"/>
                <w:color w:val="auto"/>
                <w:sz w:val="21"/>
              </w:rPr>
            </w:pPr>
          </w:p>
          <w:p w14:paraId="54666122">
            <w:pPr>
              <w:spacing w:before="65" w:line="228" w:lineRule="auto"/>
              <w:ind w:left="298"/>
              <w:rPr>
                <w:rFonts w:ascii="宋体" w:hAnsi="宋体" w:eastAsia="宋体" w:cs="宋体"/>
                <w:color w:val="auto"/>
                <w:sz w:val="20"/>
                <w:szCs w:val="20"/>
              </w:rPr>
            </w:pPr>
            <w:r>
              <w:rPr>
                <w:rFonts w:ascii="宋体" w:hAnsi="宋体" w:eastAsia="宋体" w:cs="宋体"/>
                <w:color w:val="auto"/>
                <w:spacing w:val="-14"/>
                <w:sz w:val="20"/>
                <w:szCs w:val="20"/>
              </w:rPr>
              <w:t>符合性评审</w:t>
            </w:r>
          </w:p>
        </w:tc>
        <w:tc>
          <w:tcPr>
            <w:tcW w:w="3840" w:type="dxa"/>
            <w:vAlign w:val="top"/>
          </w:tcPr>
          <w:p w14:paraId="0AA21BA0">
            <w:pPr>
              <w:spacing w:before="225" w:line="228" w:lineRule="auto"/>
              <w:ind w:left="115"/>
              <w:rPr>
                <w:rFonts w:ascii="宋体" w:hAnsi="宋体" w:eastAsia="宋体" w:cs="宋体"/>
                <w:color w:val="auto"/>
                <w:sz w:val="20"/>
                <w:szCs w:val="20"/>
              </w:rPr>
            </w:pPr>
            <w:r>
              <w:rPr>
                <w:rFonts w:ascii="宋体" w:hAnsi="宋体" w:eastAsia="宋体" w:cs="宋体"/>
                <w:color w:val="auto"/>
                <w:spacing w:val="-14"/>
                <w:sz w:val="20"/>
                <w:szCs w:val="20"/>
              </w:rPr>
              <w:t>投标人名称</w:t>
            </w:r>
          </w:p>
        </w:tc>
        <w:tc>
          <w:tcPr>
            <w:tcW w:w="4137" w:type="dxa"/>
            <w:vAlign w:val="top"/>
          </w:tcPr>
          <w:p w14:paraId="3E1A00E1">
            <w:pPr>
              <w:spacing w:before="225" w:line="227" w:lineRule="auto"/>
              <w:ind w:left="117"/>
              <w:rPr>
                <w:rFonts w:ascii="宋体" w:hAnsi="宋体" w:eastAsia="宋体" w:cs="宋体"/>
                <w:color w:val="auto"/>
                <w:sz w:val="20"/>
                <w:szCs w:val="20"/>
              </w:rPr>
            </w:pPr>
            <w:r>
              <w:rPr>
                <w:rFonts w:ascii="宋体" w:hAnsi="宋体" w:eastAsia="宋体" w:cs="宋体"/>
                <w:color w:val="auto"/>
                <w:spacing w:val="-16"/>
                <w:w w:val="98"/>
                <w:sz w:val="20"/>
                <w:szCs w:val="20"/>
              </w:rPr>
              <w:t>与营业执照或事业单位法人证书上名称一致</w:t>
            </w:r>
          </w:p>
        </w:tc>
      </w:tr>
      <w:tr w14:paraId="57ECC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bottom w:val="nil"/>
            </w:tcBorders>
            <w:vAlign w:val="top"/>
          </w:tcPr>
          <w:p w14:paraId="2A852FBE">
            <w:pPr>
              <w:rPr>
                <w:rFonts w:ascii="Arial"/>
                <w:color w:val="auto"/>
                <w:sz w:val="21"/>
              </w:rPr>
            </w:pPr>
          </w:p>
        </w:tc>
        <w:tc>
          <w:tcPr>
            <w:tcW w:w="3840" w:type="dxa"/>
            <w:vAlign w:val="top"/>
          </w:tcPr>
          <w:p w14:paraId="35C062B8">
            <w:pPr>
              <w:spacing w:before="226" w:line="227" w:lineRule="auto"/>
              <w:ind w:left="115"/>
              <w:rPr>
                <w:rFonts w:ascii="宋体" w:hAnsi="宋体" w:eastAsia="宋体" w:cs="宋体"/>
                <w:color w:val="auto"/>
                <w:sz w:val="20"/>
                <w:szCs w:val="20"/>
              </w:rPr>
            </w:pPr>
            <w:r>
              <w:rPr>
                <w:rFonts w:ascii="宋体" w:hAnsi="宋体" w:eastAsia="宋体" w:cs="宋体"/>
                <w:color w:val="auto"/>
                <w:spacing w:val="-17"/>
                <w:sz w:val="20"/>
                <w:szCs w:val="20"/>
              </w:rPr>
              <w:t>投标文件签字盖章</w:t>
            </w:r>
          </w:p>
        </w:tc>
        <w:tc>
          <w:tcPr>
            <w:tcW w:w="4137" w:type="dxa"/>
            <w:vAlign w:val="top"/>
          </w:tcPr>
          <w:p w14:paraId="410B91B1">
            <w:pPr>
              <w:spacing w:before="226" w:line="228" w:lineRule="auto"/>
              <w:ind w:left="115"/>
              <w:rPr>
                <w:rFonts w:ascii="宋体" w:hAnsi="宋体" w:eastAsia="宋体" w:cs="宋体"/>
                <w:color w:val="auto"/>
                <w:sz w:val="20"/>
                <w:szCs w:val="20"/>
              </w:rPr>
            </w:pPr>
            <w:r>
              <w:rPr>
                <w:rFonts w:ascii="宋体" w:hAnsi="宋体" w:eastAsia="宋体" w:cs="宋体"/>
                <w:color w:val="auto"/>
                <w:spacing w:val="-17"/>
                <w:sz w:val="20"/>
                <w:szCs w:val="20"/>
              </w:rPr>
              <w:t>符合招标文件要求</w:t>
            </w:r>
          </w:p>
        </w:tc>
      </w:tr>
      <w:tr w14:paraId="468CB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7" w:hRule="atLeast"/>
        </w:trPr>
        <w:tc>
          <w:tcPr>
            <w:tcW w:w="1479" w:type="dxa"/>
            <w:vMerge w:val="continue"/>
            <w:tcBorders>
              <w:top w:val="nil"/>
              <w:bottom w:val="nil"/>
            </w:tcBorders>
            <w:vAlign w:val="top"/>
          </w:tcPr>
          <w:p w14:paraId="5E4E19F3">
            <w:pPr>
              <w:rPr>
                <w:rFonts w:ascii="Arial"/>
                <w:color w:val="auto"/>
                <w:sz w:val="21"/>
              </w:rPr>
            </w:pPr>
          </w:p>
        </w:tc>
        <w:tc>
          <w:tcPr>
            <w:tcW w:w="3840" w:type="dxa"/>
            <w:vAlign w:val="top"/>
          </w:tcPr>
          <w:p w14:paraId="06626123">
            <w:pPr>
              <w:spacing w:line="312" w:lineRule="auto"/>
              <w:rPr>
                <w:rFonts w:ascii="Arial"/>
                <w:color w:val="auto"/>
                <w:sz w:val="21"/>
              </w:rPr>
            </w:pPr>
          </w:p>
          <w:p w14:paraId="2FFBD48C">
            <w:pPr>
              <w:spacing w:line="312" w:lineRule="auto"/>
              <w:rPr>
                <w:rFonts w:ascii="Arial"/>
                <w:color w:val="auto"/>
                <w:sz w:val="21"/>
              </w:rPr>
            </w:pPr>
          </w:p>
          <w:p w14:paraId="3E5F29AC">
            <w:pPr>
              <w:spacing w:before="65" w:line="226" w:lineRule="auto"/>
              <w:ind w:left="115"/>
              <w:rPr>
                <w:rFonts w:ascii="宋体" w:hAnsi="宋体" w:eastAsia="宋体" w:cs="宋体"/>
                <w:color w:val="auto"/>
                <w:sz w:val="20"/>
                <w:szCs w:val="20"/>
              </w:rPr>
            </w:pPr>
            <w:r>
              <w:rPr>
                <w:rFonts w:ascii="宋体" w:hAnsi="宋体" w:eastAsia="宋体" w:cs="宋体"/>
                <w:color w:val="auto"/>
                <w:spacing w:val="-12"/>
                <w:sz w:val="20"/>
                <w:szCs w:val="20"/>
              </w:rPr>
              <w:t>投标报价</w:t>
            </w:r>
          </w:p>
        </w:tc>
        <w:tc>
          <w:tcPr>
            <w:tcW w:w="4137" w:type="dxa"/>
            <w:vAlign w:val="top"/>
          </w:tcPr>
          <w:p w14:paraId="422E7B98">
            <w:pPr>
              <w:spacing w:before="228" w:line="418" w:lineRule="auto"/>
              <w:ind w:left="113" w:right="73" w:firstLine="12"/>
              <w:jc w:val="both"/>
              <w:rPr>
                <w:rFonts w:ascii="宋体" w:hAnsi="宋体" w:eastAsia="宋体" w:cs="宋体"/>
                <w:color w:val="auto"/>
                <w:sz w:val="20"/>
                <w:szCs w:val="20"/>
              </w:rPr>
            </w:pPr>
            <w:r>
              <w:rPr>
                <w:rFonts w:ascii="宋体" w:hAnsi="宋体" w:eastAsia="宋体" w:cs="宋体"/>
                <w:color w:val="auto"/>
                <w:spacing w:val="-22"/>
                <w:sz w:val="20"/>
                <w:szCs w:val="20"/>
              </w:rPr>
              <w:t>只能有一个有效报价，且未超过预算金额（预算金</w:t>
            </w:r>
            <w:r>
              <w:rPr>
                <w:rFonts w:ascii="宋体" w:hAnsi="宋体" w:eastAsia="宋体" w:cs="宋体"/>
                <w:color w:val="auto"/>
                <w:spacing w:val="13"/>
                <w:sz w:val="20"/>
                <w:szCs w:val="20"/>
              </w:rPr>
              <w:t xml:space="preserve"> </w:t>
            </w:r>
            <w:r>
              <w:rPr>
                <w:rFonts w:ascii="宋体" w:hAnsi="宋体" w:eastAsia="宋体" w:cs="宋体"/>
                <w:color w:val="auto"/>
                <w:spacing w:val="-20"/>
                <w:sz w:val="20"/>
                <w:szCs w:val="20"/>
              </w:rPr>
              <w:t>额和最高限价不一致时，不得超过最高限价</w:t>
            </w:r>
            <w:r>
              <w:rPr>
                <w:rFonts w:ascii="宋体" w:hAnsi="宋体" w:eastAsia="宋体" w:cs="宋体"/>
                <w:color w:val="auto"/>
                <w:spacing w:val="-29"/>
                <w:sz w:val="20"/>
                <w:szCs w:val="20"/>
              </w:rPr>
              <w:t>），</w:t>
            </w:r>
            <w:r>
              <w:rPr>
                <w:rFonts w:ascii="宋体" w:hAnsi="宋体" w:eastAsia="宋体" w:cs="宋体"/>
                <w:color w:val="auto"/>
                <w:spacing w:val="-20"/>
                <w:sz w:val="20"/>
                <w:szCs w:val="20"/>
              </w:rPr>
              <w:t>并</w:t>
            </w:r>
            <w:r>
              <w:rPr>
                <w:rFonts w:ascii="宋体" w:hAnsi="宋体" w:eastAsia="宋体" w:cs="宋体"/>
                <w:color w:val="auto"/>
                <w:spacing w:val="1"/>
                <w:sz w:val="20"/>
                <w:szCs w:val="20"/>
              </w:rPr>
              <w:t xml:space="preserve"> </w:t>
            </w:r>
            <w:r>
              <w:rPr>
                <w:rFonts w:ascii="宋体" w:hAnsi="宋体" w:eastAsia="宋体" w:cs="宋体"/>
                <w:color w:val="auto"/>
                <w:spacing w:val="-19"/>
                <w:sz w:val="20"/>
                <w:szCs w:val="20"/>
              </w:rPr>
              <w:t>按规定填报开标一览表、报价明细表</w:t>
            </w:r>
          </w:p>
        </w:tc>
      </w:tr>
      <w:tr w14:paraId="16567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bottom w:val="nil"/>
            </w:tcBorders>
            <w:vAlign w:val="top"/>
          </w:tcPr>
          <w:p w14:paraId="40735117">
            <w:pPr>
              <w:rPr>
                <w:rFonts w:ascii="Arial"/>
                <w:color w:val="auto"/>
                <w:sz w:val="21"/>
              </w:rPr>
            </w:pPr>
          </w:p>
        </w:tc>
        <w:tc>
          <w:tcPr>
            <w:tcW w:w="3840" w:type="dxa"/>
            <w:vAlign w:val="top"/>
          </w:tcPr>
          <w:p w14:paraId="655D4CFE">
            <w:pPr>
              <w:spacing w:before="226" w:line="228" w:lineRule="auto"/>
              <w:ind w:left="115"/>
              <w:rPr>
                <w:rFonts w:ascii="宋体" w:hAnsi="宋体" w:eastAsia="宋体" w:cs="宋体"/>
                <w:color w:val="auto"/>
                <w:sz w:val="20"/>
                <w:szCs w:val="20"/>
              </w:rPr>
            </w:pPr>
            <w:r>
              <w:rPr>
                <w:rFonts w:ascii="宋体" w:hAnsi="宋体" w:eastAsia="宋体" w:cs="宋体"/>
                <w:color w:val="auto"/>
                <w:spacing w:val="-14"/>
                <w:sz w:val="20"/>
                <w:szCs w:val="20"/>
              </w:rPr>
              <w:t>投标有效期</w:t>
            </w:r>
          </w:p>
        </w:tc>
        <w:tc>
          <w:tcPr>
            <w:tcW w:w="4137" w:type="dxa"/>
            <w:vAlign w:val="top"/>
          </w:tcPr>
          <w:p w14:paraId="2455754B">
            <w:pPr>
              <w:spacing w:before="226"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r w14:paraId="7199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bottom w:val="nil"/>
            </w:tcBorders>
            <w:vAlign w:val="top"/>
          </w:tcPr>
          <w:p w14:paraId="2D6D8DB7">
            <w:pPr>
              <w:rPr>
                <w:rFonts w:ascii="Arial"/>
                <w:color w:val="auto"/>
                <w:sz w:val="21"/>
              </w:rPr>
            </w:pPr>
          </w:p>
        </w:tc>
        <w:tc>
          <w:tcPr>
            <w:tcW w:w="3840" w:type="dxa"/>
            <w:vAlign w:val="top"/>
          </w:tcPr>
          <w:p w14:paraId="394D7D8C">
            <w:pPr>
              <w:spacing w:before="227" w:line="228" w:lineRule="auto"/>
              <w:ind w:left="115"/>
              <w:rPr>
                <w:rFonts w:ascii="宋体" w:hAnsi="宋体" w:eastAsia="宋体" w:cs="宋体"/>
                <w:color w:val="auto"/>
                <w:sz w:val="20"/>
                <w:szCs w:val="20"/>
              </w:rPr>
            </w:pPr>
            <w:r>
              <w:rPr>
                <w:rFonts w:ascii="宋体" w:hAnsi="宋体" w:eastAsia="宋体" w:cs="宋体"/>
                <w:color w:val="auto"/>
                <w:spacing w:val="-1"/>
                <w:sz w:val="20"/>
                <w:szCs w:val="20"/>
              </w:rPr>
              <w:t>分包</w:t>
            </w:r>
          </w:p>
        </w:tc>
        <w:tc>
          <w:tcPr>
            <w:tcW w:w="4137" w:type="dxa"/>
            <w:vAlign w:val="top"/>
          </w:tcPr>
          <w:p w14:paraId="713E7A37">
            <w:pPr>
              <w:spacing w:before="227"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r w14:paraId="03B29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1479" w:type="dxa"/>
            <w:vMerge w:val="continue"/>
            <w:tcBorders>
              <w:top w:val="nil"/>
              <w:bottom w:val="nil"/>
            </w:tcBorders>
            <w:vAlign w:val="top"/>
          </w:tcPr>
          <w:p w14:paraId="293BF29B">
            <w:pPr>
              <w:rPr>
                <w:rFonts w:ascii="Arial"/>
                <w:color w:val="auto"/>
                <w:sz w:val="21"/>
              </w:rPr>
            </w:pPr>
          </w:p>
        </w:tc>
        <w:tc>
          <w:tcPr>
            <w:tcW w:w="3840" w:type="dxa"/>
            <w:vAlign w:val="top"/>
          </w:tcPr>
          <w:p w14:paraId="182C4DFF">
            <w:pPr>
              <w:spacing w:line="394" w:lineRule="auto"/>
              <w:rPr>
                <w:rFonts w:ascii="Arial"/>
                <w:color w:val="auto"/>
                <w:sz w:val="21"/>
              </w:rPr>
            </w:pPr>
          </w:p>
          <w:p w14:paraId="2AE30367">
            <w:pPr>
              <w:spacing w:before="65" w:line="228" w:lineRule="auto"/>
              <w:ind w:left="115"/>
              <w:rPr>
                <w:rFonts w:ascii="宋体" w:hAnsi="宋体" w:eastAsia="宋体" w:cs="宋体"/>
                <w:color w:val="auto"/>
                <w:sz w:val="20"/>
                <w:szCs w:val="20"/>
              </w:rPr>
            </w:pPr>
            <w:r>
              <w:rPr>
                <w:rFonts w:ascii="宋体" w:hAnsi="宋体" w:eastAsia="宋体" w:cs="宋体"/>
                <w:color w:val="auto"/>
                <w:spacing w:val="-15"/>
                <w:sz w:val="20"/>
                <w:szCs w:val="20"/>
              </w:rPr>
              <w:t>备选投标方案</w:t>
            </w:r>
          </w:p>
        </w:tc>
        <w:tc>
          <w:tcPr>
            <w:tcW w:w="4137" w:type="dxa"/>
            <w:vAlign w:val="top"/>
          </w:tcPr>
          <w:p w14:paraId="0C05F838">
            <w:pPr>
              <w:spacing w:before="228" w:line="412" w:lineRule="auto"/>
              <w:ind w:left="115" w:right="76" w:firstLine="10"/>
              <w:rPr>
                <w:rFonts w:ascii="宋体" w:hAnsi="宋体" w:eastAsia="宋体" w:cs="宋体"/>
                <w:color w:val="auto"/>
                <w:sz w:val="20"/>
                <w:szCs w:val="20"/>
              </w:rPr>
            </w:pPr>
            <w:r>
              <w:rPr>
                <w:rFonts w:ascii="宋体" w:hAnsi="宋体" w:eastAsia="宋体" w:cs="宋体"/>
                <w:color w:val="auto"/>
                <w:spacing w:val="-18"/>
                <w:w w:val="98"/>
                <w:sz w:val="20"/>
                <w:szCs w:val="20"/>
              </w:rPr>
              <w:t>除招标文件明确允许提交的备选投标方案外，投标</w:t>
            </w:r>
            <w:r>
              <w:rPr>
                <w:rFonts w:ascii="宋体" w:hAnsi="宋体" w:eastAsia="宋体" w:cs="宋体"/>
                <w:color w:val="auto"/>
                <w:spacing w:val="13"/>
                <w:sz w:val="20"/>
                <w:szCs w:val="20"/>
              </w:rPr>
              <w:t xml:space="preserve"> </w:t>
            </w:r>
            <w:r>
              <w:rPr>
                <w:rFonts w:ascii="宋体" w:hAnsi="宋体" w:eastAsia="宋体" w:cs="宋体"/>
                <w:color w:val="auto"/>
                <w:spacing w:val="-17"/>
                <w:w w:val="99"/>
                <w:sz w:val="20"/>
                <w:szCs w:val="20"/>
              </w:rPr>
              <w:t>人不得提交备选投标方案</w:t>
            </w:r>
          </w:p>
        </w:tc>
      </w:tr>
      <w:tr w14:paraId="2CEBD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bottom w:val="nil"/>
            </w:tcBorders>
            <w:vAlign w:val="top"/>
          </w:tcPr>
          <w:p w14:paraId="77E71A9A">
            <w:pPr>
              <w:rPr>
                <w:rFonts w:ascii="Arial"/>
                <w:color w:val="auto"/>
                <w:sz w:val="21"/>
              </w:rPr>
            </w:pPr>
          </w:p>
        </w:tc>
        <w:tc>
          <w:tcPr>
            <w:tcW w:w="3840" w:type="dxa"/>
            <w:vAlign w:val="top"/>
          </w:tcPr>
          <w:p w14:paraId="22AFA773">
            <w:pPr>
              <w:spacing w:before="227" w:line="228" w:lineRule="auto"/>
              <w:ind w:left="118"/>
              <w:rPr>
                <w:rFonts w:ascii="宋体" w:hAnsi="宋体" w:eastAsia="宋体" w:cs="宋体"/>
                <w:color w:val="auto"/>
                <w:sz w:val="20"/>
                <w:szCs w:val="20"/>
              </w:rPr>
            </w:pPr>
            <w:r>
              <w:rPr>
                <w:rFonts w:ascii="宋体" w:hAnsi="宋体" w:eastAsia="宋体" w:cs="宋体"/>
                <w:color w:val="auto"/>
                <w:spacing w:val="-17"/>
                <w:sz w:val="20"/>
                <w:szCs w:val="20"/>
              </w:rPr>
              <w:t>实质性要求和条件</w:t>
            </w:r>
          </w:p>
        </w:tc>
        <w:tc>
          <w:tcPr>
            <w:tcW w:w="4137" w:type="dxa"/>
            <w:vAlign w:val="top"/>
          </w:tcPr>
          <w:p w14:paraId="2B4D9DB5">
            <w:pPr>
              <w:spacing w:before="227"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r w14:paraId="05072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1479" w:type="dxa"/>
            <w:vMerge w:val="continue"/>
            <w:tcBorders>
              <w:top w:val="nil"/>
            </w:tcBorders>
            <w:vAlign w:val="top"/>
          </w:tcPr>
          <w:p w14:paraId="676E0FFC">
            <w:pPr>
              <w:rPr>
                <w:rFonts w:ascii="Arial"/>
                <w:color w:val="auto"/>
                <w:sz w:val="21"/>
              </w:rPr>
            </w:pPr>
          </w:p>
        </w:tc>
        <w:tc>
          <w:tcPr>
            <w:tcW w:w="3840" w:type="dxa"/>
            <w:vAlign w:val="top"/>
          </w:tcPr>
          <w:p w14:paraId="53B1EB2A">
            <w:pPr>
              <w:spacing w:line="393" w:lineRule="auto"/>
              <w:rPr>
                <w:rFonts w:ascii="Arial"/>
                <w:color w:val="auto"/>
                <w:sz w:val="21"/>
              </w:rPr>
            </w:pPr>
          </w:p>
          <w:p w14:paraId="480B742F">
            <w:pPr>
              <w:spacing w:before="65" w:line="228" w:lineRule="auto"/>
              <w:ind w:left="113"/>
              <w:rPr>
                <w:rFonts w:ascii="宋体" w:hAnsi="宋体" w:eastAsia="宋体" w:cs="宋体"/>
                <w:color w:val="auto"/>
                <w:sz w:val="20"/>
                <w:szCs w:val="20"/>
              </w:rPr>
            </w:pPr>
            <w:r>
              <w:rPr>
                <w:rFonts w:ascii="宋体" w:hAnsi="宋体" w:eastAsia="宋体" w:cs="宋体"/>
                <w:color w:val="auto"/>
                <w:sz w:val="20"/>
                <w:szCs w:val="20"/>
              </w:rPr>
              <w:t>偏差</w:t>
            </w:r>
          </w:p>
        </w:tc>
        <w:tc>
          <w:tcPr>
            <w:tcW w:w="4137" w:type="dxa"/>
            <w:vAlign w:val="top"/>
          </w:tcPr>
          <w:p w14:paraId="04247A86">
            <w:pPr>
              <w:spacing w:before="228" w:line="412" w:lineRule="auto"/>
              <w:ind w:left="119" w:right="241" w:hanging="7"/>
              <w:rPr>
                <w:rFonts w:ascii="宋体" w:hAnsi="宋体" w:eastAsia="宋体" w:cs="宋体"/>
                <w:color w:val="auto"/>
                <w:sz w:val="20"/>
                <w:szCs w:val="20"/>
              </w:rPr>
            </w:pPr>
            <w:r>
              <w:rPr>
                <w:rFonts w:ascii="宋体" w:hAnsi="宋体" w:eastAsia="宋体" w:cs="宋体"/>
                <w:color w:val="auto"/>
                <w:spacing w:val="-21"/>
                <w:sz w:val="20"/>
                <w:szCs w:val="20"/>
              </w:rPr>
              <w:t>超出偏差范围和最高偏差项数的投标文件将被否</w:t>
            </w:r>
            <w:r>
              <w:rPr>
                <w:rFonts w:ascii="宋体" w:hAnsi="宋体" w:eastAsia="宋体" w:cs="宋体"/>
                <w:color w:val="auto"/>
                <w:spacing w:val="17"/>
                <w:sz w:val="20"/>
                <w:szCs w:val="20"/>
              </w:rPr>
              <w:t xml:space="preserve"> </w:t>
            </w:r>
            <w:r>
              <w:rPr>
                <w:rFonts w:ascii="宋体" w:hAnsi="宋体" w:eastAsia="宋体" w:cs="宋体"/>
                <w:color w:val="auto"/>
                <w:sz w:val="20"/>
                <w:szCs w:val="20"/>
              </w:rPr>
              <w:t>决</w:t>
            </w:r>
          </w:p>
        </w:tc>
      </w:tr>
      <w:tr w14:paraId="254DD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1479" w:type="dxa"/>
            <w:vMerge w:val="restart"/>
            <w:tcBorders>
              <w:bottom w:val="nil"/>
            </w:tcBorders>
            <w:vAlign w:val="top"/>
          </w:tcPr>
          <w:p w14:paraId="57A7C806">
            <w:pPr>
              <w:spacing w:line="244" w:lineRule="auto"/>
              <w:rPr>
                <w:rFonts w:ascii="Arial"/>
                <w:color w:val="auto"/>
                <w:sz w:val="21"/>
              </w:rPr>
            </w:pPr>
          </w:p>
          <w:p w14:paraId="07EA6A8A">
            <w:pPr>
              <w:spacing w:line="245" w:lineRule="auto"/>
              <w:rPr>
                <w:rFonts w:ascii="Arial"/>
                <w:color w:val="auto"/>
                <w:sz w:val="21"/>
              </w:rPr>
            </w:pPr>
          </w:p>
          <w:p w14:paraId="6DFF7713">
            <w:pPr>
              <w:spacing w:line="245" w:lineRule="auto"/>
              <w:rPr>
                <w:rFonts w:ascii="Arial"/>
                <w:color w:val="auto"/>
                <w:sz w:val="21"/>
              </w:rPr>
            </w:pPr>
          </w:p>
          <w:p w14:paraId="2BB20123">
            <w:pPr>
              <w:spacing w:line="245" w:lineRule="auto"/>
              <w:rPr>
                <w:rFonts w:ascii="Arial"/>
                <w:color w:val="auto"/>
                <w:sz w:val="21"/>
              </w:rPr>
            </w:pPr>
          </w:p>
          <w:p w14:paraId="74E8A887">
            <w:pPr>
              <w:spacing w:line="245" w:lineRule="auto"/>
              <w:rPr>
                <w:rFonts w:ascii="Arial"/>
                <w:color w:val="auto"/>
                <w:sz w:val="21"/>
              </w:rPr>
            </w:pPr>
          </w:p>
          <w:p w14:paraId="1D070A2B">
            <w:pPr>
              <w:spacing w:line="245" w:lineRule="auto"/>
              <w:rPr>
                <w:rFonts w:ascii="Arial"/>
                <w:color w:val="auto"/>
                <w:sz w:val="21"/>
              </w:rPr>
            </w:pPr>
          </w:p>
          <w:p w14:paraId="0DC7A55B">
            <w:pPr>
              <w:spacing w:line="245" w:lineRule="auto"/>
              <w:rPr>
                <w:rFonts w:ascii="Arial"/>
                <w:color w:val="auto"/>
                <w:sz w:val="21"/>
              </w:rPr>
            </w:pPr>
          </w:p>
          <w:p w14:paraId="15FA7499">
            <w:pPr>
              <w:spacing w:line="245" w:lineRule="auto"/>
              <w:rPr>
                <w:rFonts w:ascii="Arial"/>
                <w:color w:val="auto"/>
                <w:sz w:val="21"/>
              </w:rPr>
            </w:pPr>
          </w:p>
          <w:p w14:paraId="05BF91DF">
            <w:pPr>
              <w:spacing w:before="65" w:line="228" w:lineRule="auto"/>
              <w:ind w:left="396"/>
              <w:rPr>
                <w:rFonts w:ascii="宋体" w:hAnsi="宋体" w:eastAsia="宋体" w:cs="宋体"/>
                <w:color w:val="auto"/>
                <w:sz w:val="20"/>
                <w:szCs w:val="20"/>
              </w:rPr>
            </w:pPr>
            <w:r>
              <w:rPr>
                <w:rFonts w:ascii="宋体" w:hAnsi="宋体" w:eastAsia="宋体" w:cs="宋体"/>
                <w:color w:val="auto"/>
                <w:spacing w:val="-13"/>
                <w:sz w:val="20"/>
                <w:szCs w:val="20"/>
              </w:rPr>
              <w:t>资格审查</w:t>
            </w:r>
          </w:p>
        </w:tc>
        <w:tc>
          <w:tcPr>
            <w:tcW w:w="3840" w:type="dxa"/>
            <w:vAlign w:val="top"/>
          </w:tcPr>
          <w:p w14:paraId="29CDCC12">
            <w:pPr>
              <w:spacing w:before="230" w:line="411" w:lineRule="auto"/>
              <w:ind w:left="114" w:right="124" w:hanging="1"/>
              <w:rPr>
                <w:rFonts w:ascii="宋体" w:hAnsi="宋体" w:eastAsia="宋体" w:cs="宋体"/>
                <w:color w:val="auto"/>
                <w:sz w:val="20"/>
                <w:szCs w:val="20"/>
              </w:rPr>
            </w:pPr>
            <w:r>
              <w:rPr>
                <w:rFonts w:ascii="宋体" w:hAnsi="宋体" w:eastAsia="宋体" w:cs="宋体"/>
                <w:color w:val="auto"/>
                <w:spacing w:val="-21"/>
                <w:sz w:val="20"/>
                <w:szCs w:val="20"/>
              </w:rPr>
              <w:t>满足《中华人民共和国政府采购法》第二十二</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条规定</w:t>
            </w:r>
          </w:p>
        </w:tc>
        <w:tc>
          <w:tcPr>
            <w:tcW w:w="4137" w:type="dxa"/>
            <w:vAlign w:val="top"/>
          </w:tcPr>
          <w:p w14:paraId="6EE87DF5">
            <w:pPr>
              <w:spacing w:line="395" w:lineRule="auto"/>
              <w:rPr>
                <w:rFonts w:ascii="Arial"/>
                <w:color w:val="auto"/>
                <w:sz w:val="21"/>
              </w:rPr>
            </w:pPr>
          </w:p>
          <w:p w14:paraId="48500FB7">
            <w:pPr>
              <w:spacing w:before="65"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r w14:paraId="04AAD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bottom w:val="nil"/>
            </w:tcBorders>
            <w:vAlign w:val="top"/>
          </w:tcPr>
          <w:p w14:paraId="6C7FF7CF">
            <w:pPr>
              <w:rPr>
                <w:rFonts w:ascii="Arial"/>
                <w:color w:val="auto"/>
                <w:sz w:val="21"/>
              </w:rPr>
            </w:pPr>
          </w:p>
        </w:tc>
        <w:tc>
          <w:tcPr>
            <w:tcW w:w="3840" w:type="dxa"/>
            <w:vAlign w:val="top"/>
          </w:tcPr>
          <w:p w14:paraId="3A2BE0E4">
            <w:pPr>
              <w:spacing w:before="229" w:line="228" w:lineRule="auto"/>
              <w:ind w:left="132"/>
              <w:rPr>
                <w:rFonts w:ascii="宋体" w:hAnsi="宋体" w:eastAsia="宋体" w:cs="宋体"/>
                <w:color w:val="auto"/>
                <w:sz w:val="20"/>
                <w:szCs w:val="20"/>
              </w:rPr>
            </w:pPr>
            <w:r>
              <w:rPr>
                <w:rFonts w:ascii="宋体" w:hAnsi="宋体" w:eastAsia="宋体" w:cs="宋体"/>
                <w:color w:val="auto"/>
                <w:spacing w:val="-18"/>
                <w:sz w:val="20"/>
                <w:szCs w:val="20"/>
              </w:rPr>
              <w:t>中小企业政策</w:t>
            </w:r>
          </w:p>
        </w:tc>
        <w:tc>
          <w:tcPr>
            <w:tcW w:w="4137" w:type="dxa"/>
            <w:vAlign w:val="top"/>
          </w:tcPr>
          <w:p w14:paraId="756E4463">
            <w:pPr>
              <w:spacing w:before="229"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r w14:paraId="45890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bottom w:val="nil"/>
            </w:tcBorders>
            <w:vAlign w:val="top"/>
          </w:tcPr>
          <w:p w14:paraId="7899AF20">
            <w:pPr>
              <w:rPr>
                <w:rFonts w:ascii="Arial"/>
                <w:color w:val="auto"/>
                <w:sz w:val="21"/>
              </w:rPr>
            </w:pPr>
          </w:p>
        </w:tc>
        <w:tc>
          <w:tcPr>
            <w:tcW w:w="3840" w:type="dxa"/>
            <w:vAlign w:val="top"/>
          </w:tcPr>
          <w:p w14:paraId="36A69CDC">
            <w:pPr>
              <w:spacing w:before="230" w:line="227" w:lineRule="auto"/>
              <w:ind w:left="114"/>
              <w:rPr>
                <w:rFonts w:ascii="宋体" w:hAnsi="宋体" w:eastAsia="宋体" w:cs="宋体"/>
                <w:color w:val="auto"/>
                <w:sz w:val="20"/>
                <w:szCs w:val="20"/>
              </w:rPr>
            </w:pPr>
            <w:r>
              <w:rPr>
                <w:rFonts w:ascii="宋体" w:hAnsi="宋体" w:eastAsia="宋体" w:cs="宋体"/>
                <w:color w:val="auto"/>
                <w:spacing w:val="-19"/>
                <w:sz w:val="20"/>
                <w:szCs w:val="20"/>
              </w:rPr>
              <w:t>洛阳市政府采购供应商信用承诺函</w:t>
            </w:r>
          </w:p>
        </w:tc>
        <w:tc>
          <w:tcPr>
            <w:tcW w:w="4137" w:type="dxa"/>
            <w:vAlign w:val="top"/>
          </w:tcPr>
          <w:p w14:paraId="71EC4D67">
            <w:pPr>
              <w:spacing w:before="230"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r w14:paraId="30B78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1479" w:type="dxa"/>
            <w:vMerge w:val="continue"/>
            <w:tcBorders>
              <w:top w:val="nil"/>
              <w:bottom w:val="nil"/>
            </w:tcBorders>
            <w:vAlign w:val="top"/>
          </w:tcPr>
          <w:p w14:paraId="62A890F4">
            <w:pPr>
              <w:rPr>
                <w:rFonts w:ascii="Arial"/>
                <w:color w:val="auto"/>
                <w:sz w:val="21"/>
              </w:rPr>
            </w:pPr>
          </w:p>
        </w:tc>
        <w:tc>
          <w:tcPr>
            <w:tcW w:w="3840" w:type="dxa"/>
            <w:vAlign w:val="top"/>
          </w:tcPr>
          <w:p w14:paraId="651830DE">
            <w:pPr>
              <w:spacing w:line="396" w:lineRule="auto"/>
              <w:rPr>
                <w:rFonts w:ascii="Arial"/>
                <w:color w:val="auto"/>
                <w:sz w:val="21"/>
              </w:rPr>
            </w:pPr>
          </w:p>
          <w:p w14:paraId="67A5D0AD">
            <w:pPr>
              <w:spacing w:before="65" w:line="228" w:lineRule="auto"/>
              <w:ind w:left="116"/>
              <w:rPr>
                <w:rFonts w:ascii="宋体" w:hAnsi="宋体" w:eastAsia="宋体" w:cs="宋体"/>
                <w:color w:val="auto"/>
                <w:sz w:val="20"/>
                <w:szCs w:val="20"/>
              </w:rPr>
            </w:pPr>
            <w:r>
              <w:rPr>
                <w:rFonts w:ascii="宋体" w:hAnsi="宋体" w:eastAsia="宋体" w:cs="宋体"/>
                <w:color w:val="auto"/>
                <w:spacing w:val="-18"/>
                <w:sz w:val="20"/>
                <w:szCs w:val="20"/>
              </w:rPr>
              <w:t>不存在禁止投标的情形</w:t>
            </w:r>
          </w:p>
        </w:tc>
        <w:tc>
          <w:tcPr>
            <w:tcW w:w="4137" w:type="dxa"/>
            <w:vAlign w:val="top"/>
          </w:tcPr>
          <w:p w14:paraId="1833E36A">
            <w:pPr>
              <w:spacing w:before="230" w:line="411" w:lineRule="auto"/>
              <w:ind w:left="112" w:right="121" w:firstLine="4"/>
              <w:rPr>
                <w:rFonts w:ascii="宋体" w:hAnsi="宋体" w:eastAsia="宋体" w:cs="宋体"/>
                <w:color w:val="auto"/>
                <w:sz w:val="20"/>
                <w:szCs w:val="20"/>
              </w:rPr>
            </w:pPr>
            <w:r>
              <w:rPr>
                <w:rFonts w:ascii="宋体" w:hAnsi="宋体" w:eastAsia="宋体" w:cs="宋体"/>
                <w:color w:val="auto"/>
                <w:spacing w:val="-17"/>
                <w:sz w:val="20"/>
                <w:szCs w:val="20"/>
              </w:rPr>
              <w:t>不存在第二章“投标人须知”第 1.4.3</w:t>
            </w:r>
            <w:r>
              <w:rPr>
                <w:rFonts w:ascii="宋体" w:hAnsi="宋体" w:eastAsia="宋体" w:cs="宋体"/>
                <w:color w:val="auto"/>
                <w:sz w:val="20"/>
                <w:szCs w:val="20"/>
              </w:rPr>
              <w:t xml:space="preserve"> </w:t>
            </w:r>
            <w:r>
              <w:rPr>
                <w:rFonts w:ascii="宋体" w:hAnsi="宋体" w:eastAsia="宋体" w:cs="宋体"/>
                <w:color w:val="auto"/>
                <w:spacing w:val="-17"/>
                <w:sz w:val="20"/>
                <w:szCs w:val="20"/>
              </w:rPr>
              <w:t>项规定的</w:t>
            </w:r>
            <w:r>
              <w:rPr>
                <w:rFonts w:ascii="宋体" w:hAnsi="宋体" w:eastAsia="宋体" w:cs="宋体"/>
                <w:color w:val="auto"/>
                <w:sz w:val="20"/>
                <w:szCs w:val="20"/>
              </w:rPr>
              <w:t xml:space="preserve"> </w:t>
            </w:r>
            <w:r>
              <w:rPr>
                <w:rFonts w:ascii="宋体" w:hAnsi="宋体" w:eastAsia="宋体" w:cs="宋体"/>
                <w:color w:val="auto"/>
                <w:spacing w:val="-14"/>
                <w:sz w:val="20"/>
                <w:szCs w:val="20"/>
              </w:rPr>
              <w:t>任何一种情形</w:t>
            </w:r>
          </w:p>
        </w:tc>
      </w:tr>
      <w:tr w14:paraId="53D0B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79" w:type="dxa"/>
            <w:vMerge w:val="continue"/>
            <w:tcBorders>
              <w:top w:val="nil"/>
            </w:tcBorders>
            <w:vAlign w:val="top"/>
          </w:tcPr>
          <w:p w14:paraId="684CD9C6">
            <w:pPr>
              <w:rPr>
                <w:rFonts w:ascii="Arial"/>
                <w:color w:val="auto"/>
                <w:sz w:val="21"/>
              </w:rPr>
            </w:pPr>
          </w:p>
        </w:tc>
        <w:tc>
          <w:tcPr>
            <w:tcW w:w="3840" w:type="dxa"/>
            <w:vAlign w:val="top"/>
          </w:tcPr>
          <w:p w14:paraId="3E5CF713">
            <w:pPr>
              <w:spacing w:before="230" w:line="227" w:lineRule="auto"/>
              <w:ind w:left="119"/>
              <w:rPr>
                <w:rFonts w:ascii="宋体" w:hAnsi="宋体" w:eastAsia="宋体" w:cs="宋体"/>
                <w:color w:val="auto"/>
                <w:sz w:val="20"/>
                <w:szCs w:val="20"/>
              </w:rPr>
            </w:pPr>
            <w:r>
              <w:rPr>
                <w:rFonts w:ascii="宋体" w:hAnsi="宋体" w:eastAsia="宋体" w:cs="宋体"/>
                <w:color w:val="auto"/>
                <w:spacing w:val="-18"/>
                <w:w w:val="99"/>
                <w:sz w:val="20"/>
                <w:szCs w:val="20"/>
              </w:rPr>
              <w:t>营业执照或事业单位法人证书</w:t>
            </w:r>
          </w:p>
        </w:tc>
        <w:tc>
          <w:tcPr>
            <w:tcW w:w="4137" w:type="dxa"/>
            <w:vAlign w:val="top"/>
          </w:tcPr>
          <w:p w14:paraId="0AB6F5E8">
            <w:pPr>
              <w:spacing w:before="230" w:line="227" w:lineRule="auto"/>
              <w:ind w:left="115"/>
              <w:rPr>
                <w:rFonts w:ascii="宋体" w:hAnsi="宋体" w:eastAsia="宋体" w:cs="宋体"/>
                <w:color w:val="auto"/>
                <w:sz w:val="20"/>
                <w:szCs w:val="20"/>
              </w:rPr>
            </w:pPr>
            <w:r>
              <w:rPr>
                <w:rFonts w:ascii="宋体" w:hAnsi="宋体" w:eastAsia="宋体" w:cs="宋体"/>
                <w:color w:val="auto"/>
                <w:spacing w:val="-19"/>
                <w:sz w:val="20"/>
                <w:szCs w:val="20"/>
              </w:rPr>
              <w:t>符合投标人须知前附表的规定</w:t>
            </w:r>
          </w:p>
        </w:tc>
      </w:tr>
    </w:tbl>
    <w:p w14:paraId="5E333199">
      <w:pPr>
        <w:pStyle w:val="3"/>
        <w:rPr>
          <w:color w:val="auto"/>
        </w:rPr>
      </w:pPr>
    </w:p>
    <w:p w14:paraId="1CC56C84">
      <w:pPr>
        <w:rPr>
          <w:color w:val="auto"/>
        </w:rPr>
        <w:sectPr>
          <w:headerReference r:id="rId49" w:type="default"/>
          <w:footerReference r:id="rId50" w:type="default"/>
          <w:pgSz w:w="11906" w:h="16839"/>
          <w:pgMar w:top="999" w:right="1136" w:bottom="844" w:left="1307" w:header="698" w:footer="682" w:gutter="0"/>
          <w:pgNumType w:fmt="decimal"/>
          <w:cols w:space="720" w:num="1"/>
        </w:sectPr>
      </w:pPr>
    </w:p>
    <w:p w14:paraId="10531F7F">
      <w:pPr>
        <w:spacing w:before="69"/>
        <w:rPr>
          <w:color w:val="auto"/>
        </w:rPr>
      </w:pPr>
    </w:p>
    <w:tbl>
      <w:tblPr>
        <w:tblStyle w:val="10"/>
        <w:tblW w:w="9392"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6"/>
        <w:gridCol w:w="862"/>
        <w:gridCol w:w="912"/>
        <w:gridCol w:w="1388"/>
        <w:gridCol w:w="5114"/>
      </w:tblGrid>
      <w:tr w14:paraId="1FAC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trPr>
        <w:tc>
          <w:tcPr>
            <w:tcW w:w="1116" w:type="dxa"/>
            <w:vAlign w:val="center"/>
          </w:tcPr>
          <w:p w14:paraId="1C940664">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详细条款</w:t>
            </w:r>
          </w:p>
        </w:tc>
        <w:tc>
          <w:tcPr>
            <w:tcW w:w="862" w:type="dxa"/>
            <w:vAlign w:val="center"/>
          </w:tcPr>
          <w:p w14:paraId="53EE48F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最低分</w:t>
            </w:r>
          </w:p>
        </w:tc>
        <w:tc>
          <w:tcPr>
            <w:tcW w:w="912" w:type="dxa"/>
            <w:vAlign w:val="center"/>
          </w:tcPr>
          <w:p w14:paraId="6E97499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最高分</w:t>
            </w:r>
          </w:p>
        </w:tc>
        <w:tc>
          <w:tcPr>
            <w:tcW w:w="1388" w:type="dxa"/>
            <w:vAlign w:val="center"/>
          </w:tcPr>
          <w:p w14:paraId="678FAAD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评分点名称</w:t>
            </w:r>
          </w:p>
        </w:tc>
        <w:tc>
          <w:tcPr>
            <w:tcW w:w="5114" w:type="dxa"/>
            <w:vAlign w:val="center"/>
          </w:tcPr>
          <w:p w14:paraId="683FD14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评审标准</w:t>
            </w:r>
          </w:p>
        </w:tc>
      </w:tr>
      <w:tr w14:paraId="0395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atLeast"/>
        </w:trPr>
        <w:tc>
          <w:tcPr>
            <w:tcW w:w="1116" w:type="dxa"/>
            <w:vAlign w:val="center"/>
          </w:tcPr>
          <w:p w14:paraId="22F63B8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经济标</w:t>
            </w:r>
          </w:p>
          <w:p w14:paraId="7C0AF25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评分参数</w:t>
            </w:r>
          </w:p>
        </w:tc>
        <w:tc>
          <w:tcPr>
            <w:tcW w:w="862" w:type="dxa"/>
            <w:vAlign w:val="center"/>
          </w:tcPr>
          <w:p w14:paraId="7632458A">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0.00</w:t>
            </w:r>
          </w:p>
        </w:tc>
        <w:tc>
          <w:tcPr>
            <w:tcW w:w="912" w:type="dxa"/>
            <w:vAlign w:val="center"/>
          </w:tcPr>
          <w:p w14:paraId="4E1E695C">
            <w:pPr>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20.00</w:t>
            </w:r>
          </w:p>
        </w:tc>
        <w:tc>
          <w:tcPr>
            <w:tcW w:w="1388" w:type="dxa"/>
            <w:vAlign w:val="center"/>
          </w:tcPr>
          <w:p w14:paraId="65E40AC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tc>
        <w:tc>
          <w:tcPr>
            <w:tcW w:w="5114" w:type="dxa"/>
            <w:vAlign w:val="center"/>
          </w:tcPr>
          <w:p w14:paraId="653ABD1E">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价格分采用低价优先法计算，即满足  招标文件要求且评标报价最低的评标报价为评标基准价，其价格分为满分。其他投标人的价格分统一按照下列公式计算：投标报价得分=(评标基准价/评标报价)×投标报价权重</w:t>
            </w:r>
          </w:p>
        </w:tc>
      </w:tr>
      <w:tr w14:paraId="64DC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9" w:hRule="atLeast"/>
        </w:trPr>
        <w:tc>
          <w:tcPr>
            <w:tcW w:w="1116" w:type="dxa"/>
            <w:vMerge w:val="restart"/>
            <w:vAlign w:val="center"/>
          </w:tcPr>
          <w:p w14:paraId="76FC9742">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综合</w:t>
            </w:r>
            <w:r>
              <w:rPr>
                <w:rFonts w:hint="eastAsia" w:ascii="宋体" w:hAnsi="宋体" w:eastAsia="宋体" w:cs="宋体"/>
                <w:color w:val="auto"/>
                <w:sz w:val="24"/>
                <w:szCs w:val="24"/>
              </w:rPr>
              <w:t>标</w:t>
            </w:r>
          </w:p>
          <w:p w14:paraId="5E70B6B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评分参数</w:t>
            </w:r>
          </w:p>
        </w:tc>
        <w:tc>
          <w:tcPr>
            <w:tcW w:w="862" w:type="dxa"/>
            <w:vAlign w:val="center"/>
          </w:tcPr>
          <w:p w14:paraId="361D031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0A37D999">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.00</w:t>
            </w:r>
          </w:p>
        </w:tc>
        <w:tc>
          <w:tcPr>
            <w:tcW w:w="1388" w:type="dxa"/>
            <w:vAlign w:val="center"/>
          </w:tcPr>
          <w:p w14:paraId="4ECA318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整体服务方案</w:t>
            </w:r>
          </w:p>
        </w:tc>
        <w:tc>
          <w:tcPr>
            <w:tcW w:w="5114" w:type="dxa"/>
            <w:vAlign w:val="center"/>
          </w:tcPr>
          <w:p w14:paraId="506B46EA">
            <w:pPr>
              <w:jc w:val="both"/>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投标人提供物业的整体服务方案，包括物业服务管理模式、理念、各部门之间的协调配合、品质提升等内容，根据方案的合理性、完善性及针对性，综合评分。整体服务方案合理、完善，完全符合本项目需求的得 </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 xml:space="preserve"> 分；整体服务方案 较为合理、完善，符合本项目需求的得 </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 xml:space="preserve"> 分；整体服务方案基本合理、基本完善，基本符合本项目需求的得 </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分；整体服务方案存在混乱、不完善、有待进一步细化完善的得 3 分；整体服务方案存在不合理项、存在实施难度得 2 分；项目实施方案前后内容不连贯导致语义不明或存在与本项目无关内容得 1分；未针对本项描述的得 0 分。</w:t>
            </w:r>
          </w:p>
        </w:tc>
      </w:tr>
      <w:tr w14:paraId="7345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7" w:hRule="atLeast"/>
        </w:trPr>
        <w:tc>
          <w:tcPr>
            <w:tcW w:w="1116" w:type="dxa"/>
            <w:vMerge w:val="continue"/>
            <w:vAlign w:val="center"/>
          </w:tcPr>
          <w:p w14:paraId="11AA8B65">
            <w:pPr>
              <w:jc w:val="center"/>
              <w:rPr>
                <w:rFonts w:hint="eastAsia" w:ascii="宋体" w:hAnsi="宋体" w:eastAsia="宋体" w:cs="宋体"/>
                <w:color w:val="auto"/>
                <w:sz w:val="24"/>
                <w:szCs w:val="24"/>
              </w:rPr>
            </w:pPr>
          </w:p>
        </w:tc>
        <w:tc>
          <w:tcPr>
            <w:tcW w:w="862" w:type="dxa"/>
            <w:vAlign w:val="center"/>
          </w:tcPr>
          <w:p w14:paraId="033B96E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121BDFAB">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.00</w:t>
            </w:r>
          </w:p>
        </w:tc>
        <w:tc>
          <w:tcPr>
            <w:tcW w:w="1388" w:type="dxa"/>
            <w:vAlign w:val="center"/>
          </w:tcPr>
          <w:p w14:paraId="19B4B8C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项目管理与质量保证措施</w:t>
            </w:r>
          </w:p>
        </w:tc>
        <w:tc>
          <w:tcPr>
            <w:tcW w:w="5114" w:type="dxa"/>
            <w:vAlign w:val="center"/>
          </w:tcPr>
          <w:p w14:paraId="33795527">
            <w:pPr>
              <w:jc w:val="both"/>
              <w:rPr>
                <w:rFonts w:hint="eastAsia" w:ascii="宋体" w:hAnsi="宋体" w:eastAsia="宋体" w:cs="宋体"/>
                <w:color w:val="auto"/>
                <w:sz w:val="24"/>
                <w:szCs w:val="24"/>
              </w:rPr>
            </w:pPr>
            <w:r>
              <w:rPr>
                <w:rFonts w:hint="eastAsia" w:ascii="宋体" w:hAnsi="宋体" w:eastAsia="宋体" w:cs="宋体"/>
                <w:color w:val="auto"/>
                <w:sz w:val="24"/>
                <w:szCs w:val="24"/>
              </w:rPr>
              <w:t xml:space="preserve">根据项目管理情况（包括组织管理、项 目进度安排、实施策略等），提供具体可行且能保证项目顺利开展和完成的措施。评标委员会根据各投标文件进行打分，内容详细、清晰明了的得 </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 xml:space="preserve"> 分；内容较为详细、较为清晰明了的得 6分 ；内容基本详细、基本清晰明了的得 4 分；内容存在混乱、不完善、有待进 一步细化完善的得 3 分；内容存在不合理项、存在实施难度得 2 分 ；内容前后 不连贯导致语义不明或存在与本项目无关内容得 1 分；未针对本项描述 的得 0 分。</w:t>
            </w:r>
          </w:p>
        </w:tc>
      </w:tr>
      <w:tr w14:paraId="7CE8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6" w:hRule="atLeast"/>
        </w:trPr>
        <w:tc>
          <w:tcPr>
            <w:tcW w:w="1116" w:type="dxa"/>
            <w:vMerge w:val="continue"/>
            <w:vAlign w:val="center"/>
          </w:tcPr>
          <w:p w14:paraId="7F330E26">
            <w:pPr>
              <w:jc w:val="center"/>
              <w:rPr>
                <w:rFonts w:hint="eastAsia" w:ascii="宋体" w:hAnsi="宋体" w:eastAsia="宋体" w:cs="宋体"/>
                <w:color w:val="auto"/>
                <w:sz w:val="24"/>
                <w:szCs w:val="24"/>
              </w:rPr>
            </w:pPr>
          </w:p>
        </w:tc>
        <w:tc>
          <w:tcPr>
            <w:tcW w:w="862" w:type="dxa"/>
            <w:vAlign w:val="center"/>
          </w:tcPr>
          <w:p w14:paraId="29F022B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42E7274C">
            <w:pPr>
              <w:jc w:val="center"/>
              <w:rPr>
                <w:rFonts w:hint="eastAsia" w:ascii="宋体" w:hAnsi="宋体" w:eastAsia="宋体" w:cs="宋体"/>
                <w:color w:val="auto"/>
                <w:sz w:val="24"/>
                <w:szCs w:val="24"/>
              </w:rPr>
            </w:pPr>
            <w:r>
              <w:rPr>
                <w:rFonts w:hint="eastAsia" w:ascii="宋体" w:hAnsi="宋体" w:eastAsia="宋体" w:cs="宋体"/>
                <w:color w:val="auto"/>
                <w:sz w:val="24"/>
                <w:szCs w:val="24"/>
              </w:rPr>
              <w:t>7.00</w:t>
            </w:r>
          </w:p>
        </w:tc>
        <w:tc>
          <w:tcPr>
            <w:tcW w:w="1388" w:type="dxa"/>
            <w:vAlign w:val="center"/>
          </w:tcPr>
          <w:p w14:paraId="7C087A29">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组织机构及考核办法</w:t>
            </w:r>
          </w:p>
        </w:tc>
        <w:tc>
          <w:tcPr>
            <w:tcW w:w="5114" w:type="dxa"/>
            <w:vAlign w:val="center"/>
          </w:tcPr>
          <w:p w14:paraId="5E5331C5">
            <w:pPr>
              <w:jc w:val="both"/>
              <w:rPr>
                <w:rFonts w:hint="eastAsia" w:ascii="宋体" w:hAnsi="宋体" w:eastAsia="宋体" w:cs="宋体"/>
                <w:color w:val="auto"/>
                <w:sz w:val="24"/>
                <w:szCs w:val="24"/>
              </w:rPr>
            </w:pPr>
            <w:r>
              <w:rPr>
                <w:rFonts w:hint="eastAsia" w:ascii="宋体" w:hAnsi="宋体" w:eastAsia="宋体" w:cs="宋体"/>
                <w:color w:val="auto"/>
                <w:sz w:val="24"/>
                <w:szCs w:val="24"/>
              </w:rPr>
              <w:t>包括组织机构、工作职能 ，各岗位职责 分工明确 ，日常管理制度考核办法切实 可行。评标委员会根据各投标文件进行 打分，内容详细、清晰明了的得 7 分； 内容较为详细、较为清晰明了的得 6分 ；内容基本详细、基本清晰明了的得 4 分；内容存在混乱、不完善、有待进 一步细化完善的得 3 分；内容存在不合 理项、存在 实施难度得 2 分 ；内容前后 不连贯导致语义不明或存在与本项目  无关内容得 1 分；未针对本项描述 的得 0 分。</w:t>
            </w:r>
          </w:p>
        </w:tc>
      </w:tr>
      <w:tr w14:paraId="25A1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0" w:hRule="atLeast"/>
        </w:trPr>
        <w:tc>
          <w:tcPr>
            <w:tcW w:w="1116" w:type="dxa"/>
            <w:vMerge w:val="continue"/>
            <w:vAlign w:val="center"/>
          </w:tcPr>
          <w:p w14:paraId="6C58E059">
            <w:pPr>
              <w:jc w:val="center"/>
              <w:rPr>
                <w:rFonts w:hint="eastAsia" w:ascii="宋体" w:hAnsi="宋体" w:eastAsia="宋体" w:cs="宋体"/>
                <w:color w:val="auto"/>
                <w:sz w:val="24"/>
                <w:szCs w:val="24"/>
              </w:rPr>
            </w:pPr>
          </w:p>
        </w:tc>
        <w:tc>
          <w:tcPr>
            <w:tcW w:w="862" w:type="dxa"/>
            <w:vAlign w:val="center"/>
          </w:tcPr>
          <w:p w14:paraId="79B5862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5FE0C2F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7.00</w:t>
            </w:r>
          </w:p>
        </w:tc>
        <w:tc>
          <w:tcPr>
            <w:tcW w:w="1388" w:type="dxa"/>
            <w:vAlign w:val="center"/>
          </w:tcPr>
          <w:p w14:paraId="0AB251EE">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人员调配等应急措施</w:t>
            </w:r>
          </w:p>
        </w:tc>
        <w:tc>
          <w:tcPr>
            <w:tcW w:w="5114" w:type="dxa"/>
            <w:vAlign w:val="center"/>
          </w:tcPr>
          <w:p w14:paraId="17AEFF6B">
            <w:pPr>
              <w:jc w:val="both"/>
              <w:rPr>
                <w:rFonts w:hint="eastAsia" w:ascii="宋体" w:hAnsi="宋体" w:eastAsia="宋体" w:cs="宋体"/>
                <w:color w:val="auto"/>
                <w:sz w:val="24"/>
                <w:szCs w:val="24"/>
              </w:rPr>
            </w:pPr>
            <w:r>
              <w:rPr>
                <w:rFonts w:hint="eastAsia" w:ascii="宋体" w:hAnsi="宋体" w:eastAsia="宋体" w:cs="宋体"/>
                <w:color w:val="auto"/>
                <w:sz w:val="24"/>
                <w:szCs w:val="24"/>
              </w:rPr>
              <w:t>在项目服务过程中，如配备人员工作不 利或调动，投标人应就某些可预见或不可预见的人员变动采取哪些补救（替补）措施，以保证用人单位的正常工作不受影响。措施应详尽并切实可行。评 标委员会根据各投标文件进行打分， 内 容详细、清晰明了的得 7 分 ；内容较为详细、较为清晰明了 的得 6 分 ；内容基本详细、基本清晰明了的得 4 分 ；内容 存在混乱、不完善、有待进一步细化完 善的得 3 分 ；内容存在不合理项、存在实施难度得 2 分；内容前后不连贯导致 语义不明或存在与本项目无关内容得 1 分；未针对本项描述的得 0 分。</w:t>
            </w:r>
          </w:p>
        </w:tc>
      </w:tr>
      <w:tr w14:paraId="0F21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9" w:hRule="atLeast"/>
        </w:trPr>
        <w:tc>
          <w:tcPr>
            <w:tcW w:w="1116" w:type="dxa"/>
            <w:vMerge w:val="continue"/>
            <w:vAlign w:val="center"/>
          </w:tcPr>
          <w:p w14:paraId="44E57AD1">
            <w:pPr>
              <w:jc w:val="center"/>
              <w:rPr>
                <w:rFonts w:hint="eastAsia" w:ascii="宋体" w:hAnsi="宋体" w:eastAsia="宋体" w:cs="宋体"/>
                <w:color w:val="auto"/>
                <w:sz w:val="24"/>
                <w:szCs w:val="24"/>
              </w:rPr>
            </w:pPr>
          </w:p>
        </w:tc>
        <w:tc>
          <w:tcPr>
            <w:tcW w:w="862" w:type="dxa"/>
            <w:vAlign w:val="center"/>
          </w:tcPr>
          <w:p w14:paraId="5F0DE34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4896BFBC">
            <w:pPr>
              <w:jc w:val="center"/>
              <w:rPr>
                <w:rFonts w:hint="eastAsia" w:ascii="宋体" w:hAnsi="宋体" w:eastAsia="宋体" w:cs="宋体"/>
                <w:color w:val="auto"/>
                <w:sz w:val="24"/>
                <w:szCs w:val="24"/>
              </w:rPr>
            </w:pPr>
            <w:r>
              <w:rPr>
                <w:rFonts w:hint="eastAsia" w:ascii="宋体" w:hAnsi="宋体" w:eastAsia="宋体" w:cs="宋体"/>
                <w:color w:val="auto"/>
                <w:sz w:val="24"/>
                <w:szCs w:val="24"/>
              </w:rPr>
              <w:t>7.00</w:t>
            </w:r>
          </w:p>
        </w:tc>
        <w:tc>
          <w:tcPr>
            <w:tcW w:w="1388" w:type="dxa"/>
            <w:vAlign w:val="center"/>
          </w:tcPr>
          <w:p w14:paraId="1811EFE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物业服务应急预案及相应措施</w:t>
            </w:r>
          </w:p>
        </w:tc>
        <w:tc>
          <w:tcPr>
            <w:tcW w:w="5114" w:type="dxa"/>
            <w:vAlign w:val="center"/>
          </w:tcPr>
          <w:p w14:paraId="6D3EF5F8">
            <w:pPr>
              <w:jc w:val="both"/>
              <w:rPr>
                <w:rFonts w:hint="eastAsia" w:ascii="宋体" w:hAnsi="宋体" w:eastAsia="宋体" w:cs="宋体"/>
                <w:color w:val="auto"/>
                <w:sz w:val="24"/>
                <w:szCs w:val="24"/>
              </w:rPr>
            </w:pPr>
            <w:r>
              <w:rPr>
                <w:rFonts w:hint="eastAsia" w:ascii="宋体" w:hAnsi="宋体" w:eastAsia="宋体" w:cs="宋体"/>
                <w:color w:val="auto"/>
                <w:sz w:val="24"/>
                <w:szCs w:val="24"/>
              </w:rPr>
              <w:t>投标人提供停水停电、消防、安全事故、 灾害性天气、群体性事件、安全防疫等应急预案及处置措施，根据方案的合理 性、完善性、针对性进行综合评分：预案合理、完善 ，完全符合本项目需求的得 7 分；预 案较为合理、完善，符合本项目需求的得 6 分 ；预案基本合理、基  本完善，基本符合本项目需求的得 4分；预案存在混乱、不完善、有待进一步细化完善的得 3 分；预案存在不合理项、存在实施难度得 2 分 ；预案前后内容不连贯导致语义不明或存在与本项目无关内容得 1 分；未针对本项描述的得 0 分。</w:t>
            </w:r>
          </w:p>
        </w:tc>
      </w:tr>
      <w:tr w14:paraId="3E8A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trPr>
        <w:tc>
          <w:tcPr>
            <w:tcW w:w="1116" w:type="dxa"/>
            <w:vMerge w:val="continue"/>
            <w:vAlign w:val="center"/>
          </w:tcPr>
          <w:p w14:paraId="607E2637">
            <w:pPr>
              <w:jc w:val="center"/>
              <w:rPr>
                <w:rFonts w:hint="eastAsia" w:ascii="宋体" w:hAnsi="宋体" w:eastAsia="宋体" w:cs="宋体"/>
                <w:color w:val="auto"/>
                <w:sz w:val="24"/>
                <w:szCs w:val="24"/>
              </w:rPr>
            </w:pPr>
          </w:p>
        </w:tc>
        <w:tc>
          <w:tcPr>
            <w:tcW w:w="862" w:type="dxa"/>
            <w:vAlign w:val="center"/>
          </w:tcPr>
          <w:p w14:paraId="29A0ACD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2EC01834">
            <w:pPr>
              <w:jc w:val="center"/>
              <w:rPr>
                <w:rFonts w:hint="eastAsia" w:ascii="宋体" w:hAnsi="宋体" w:eastAsia="宋体" w:cs="宋体"/>
                <w:color w:val="auto"/>
                <w:sz w:val="24"/>
                <w:szCs w:val="24"/>
              </w:rPr>
            </w:pPr>
            <w:r>
              <w:rPr>
                <w:rFonts w:hint="eastAsia" w:ascii="宋体" w:hAnsi="宋体" w:eastAsia="宋体" w:cs="宋体"/>
                <w:color w:val="auto"/>
                <w:sz w:val="24"/>
                <w:szCs w:val="24"/>
              </w:rPr>
              <w:t>7.00</w:t>
            </w:r>
          </w:p>
        </w:tc>
        <w:tc>
          <w:tcPr>
            <w:tcW w:w="1388" w:type="dxa"/>
            <w:vAlign w:val="center"/>
          </w:tcPr>
          <w:p w14:paraId="41DB953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服务质量事故责任单位和采购人追偿权</w:t>
            </w:r>
          </w:p>
        </w:tc>
        <w:tc>
          <w:tcPr>
            <w:tcW w:w="5114" w:type="dxa"/>
            <w:vAlign w:val="center"/>
          </w:tcPr>
          <w:p w14:paraId="4F27AE27">
            <w:pPr>
              <w:jc w:val="both"/>
              <w:rPr>
                <w:rFonts w:hint="eastAsia" w:ascii="宋体" w:hAnsi="宋体" w:eastAsia="宋体" w:cs="宋体"/>
                <w:color w:val="auto"/>
                <w:sz w:val="24"/>
                <w:szCs w:val="24"/>
              </w:rPr>
            </w:pPr>
            <w:r>
              <w:rPr>
                <w:rFonts w:hint="eastAsia" w:ascii="宋体" w:hAnsi="宋体" w:eastAsia="宋体" w:cs="宋体"/>
                <w:color w:val="auto"/>
                <w:sz w:val="24"/>
                <w:szCs w:val="24"/>
              </w:rPr>
              <w:t>服务质量事故责任单位和采购人追偿权评标委员会根据各投标文件进行打分，内 容详细、清晰明了的得 7 分；内容较为详细、较为清晰明了的得 6 分；内容基本详细、基本清晰明了的得 4分；内容存在混乱、不完善、有待进一 步细化完善的得 3 分；内容存在不合理项、存在 实施难度得 2 分 ；内容前后不连贯导致语义不明或存在与本项目无关内容得 1 分 ；未针对本项描述 的得 0 分。</w:t>
            </w:r>
          </w:p>
        </w:tc>
      </w:tr>
      <w:tr w14:paraId="018B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3" w:hRule="atLeast"/>
        </w:trPr>
        <w:tc>
          <w:tcPr>
            <w:tcW w:w="1116" w:type="dxa"/>
            <w:vMerge w:val="continue"/>
            <w:vAlign w:val="center"/>
          </w:tcPr>
          <w:p w14:paraId="340EE1C1">
            <w:pPr>
              <w:jc w:val="center"/>
              <w:rPr>
                <w:rFonts w:hint="eastAsia" w:ascii="宋体" w:hAnsi="宋体" w:eastAsia="宋体" w:cs="宋体"/>
                <w:color w:val="auto"/>
                <w:sz w:val="24"/>
                <w:szCs w:val="24"/>
              </w:rPr>
            </w:pPr>
          </w:p>
        </w:tc>
        <w:tc>
          <w:tcPr>
            <w:tcW w:w="862" w:type="dxa"/>
            <w:vAlign w:val="center"/>
          </w:tcPr>
          <w:p w14:paraId="05EB7DF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0974779C">
            <w:pPr>
              <w:jc w:val="center"/>
              <w:rPr>
                <w:rFonts w:hint="eastAsia" w:ascii="宋体" w:hAnsi="宋体" w:eastAsia="宋体" w:cs="宋体"/>
                <w:color w:val="auto"/>
                <w:sz w:val="24"/>
                <w:szCs w:val="24"/>
              </w:rPr>
            </w:pPr>
            <w:r>
              <w:rPr>
                <w:rFonts w:hint="eastAsia" w:ascii="宋体" w:hAnsi="宋体" w:eastAsia="宋体" w:cs="宋体"/>
                <w:color w:val="auto"/>
                <w:sz w:val="24"/>
                <w:szCs w:val="24"/>
              </w:rPr>
              <w:t>7.00</w:t>
            </w:r>
          </w:p>
        </w:tc>
        <w:tc>
          <w:tcPr>
            <w:tcW w:w="1388" w:type="dxa"/>
            <w:vAlign w:val="center"/>
          </w:tcPr>
          <w:p w14:paraId="79111F4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服务流程及服务规范</w:t>
            </w:r>
          </w:p>
        </w:tc>
        <w:tc>
          <w:tcPr>
            <w:tcW w:w="5114" w:type="dxa"/>
            <w:vAlign w:val="center"/>
          </w:tcPr>
          <w:p w14:paraId="671E8801">
            <w:pPr>
              <w:jc w:val="both"/>
              <w:rPr>
                <w:rFonts w:hint="eastAsia" w:ascii="宋体" w:hAnsi="宋体" w:eastAsia="宋体" w:cs="宋体"/>
                <w:color w:val="auto"/>
                <w:sz w:val="24"/>
                <w:szCs w:val="24"/>
              </w:rPr>
            </w:pPr>
            <w:r>
              <w:rPr>
                <w:rFonts w:hint="eastAsia" w:ascii="宋体" w:hAnsi="宋体" w:eastAsia="宋体" w:cs="宋体"/>
                <w:color w:val="auto"/>
                <w:sz w:val="24"/>
                <w:szCs w:val="24"/>
              </w:rPr>
              <w:t>根据服务流程及服务规范内容完整、切实可行，评标委员会根据各投标文件进行打分 ，内容完整详细、切实可行得 7分；内容完善，切实可行，完全符合本项目需求的得 7 分；内容较为完善、切实可行，符合本项目需求 的得 6 分 ；内容基本完善，基本可行，基本符合本项目需求的得 4 分 ；内容存在混乱、不完善、有待进一步细化完善的得 3 分 ；内容存在不合理项、存在实施难度得 2分；内容前后不连贯导致语义不明或存在与本项目无关内容得 1 分；未针对本 项描述的得 0 分。</w:t>
            </w:r>
          </w:p>
        </w:tc>
      </w:tr>
      <w:tr w14:paraId="38F3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16" w:type="dxa"/>
            <w:vMerge w:val="continue"/>
            <w:vAlign w:val="center"/>
          </w:tcPr>
          <w:p w14:paraId="1E61185A">
            <w:pPr>
              <w:jc w:val="center"/>
              <w:rPr>
                <w:rFonts w:hint="eastAsia" w:ascii="宋体" w:hAnsi="宋体" w:eastAsia="宋体" w:cs="宋体"/>
                <w:color w:val="auto"/>
                <w:sz w:val="24"/>
                <w:szCs w:val="24"/>
              </w:rPr>
            </w:pPr>
          </w:p>
        </w:tc>
        <w:tc>
          <w:tcPr>
            <w:tcW w:w="862" w:type="dxa"/>
            <w:vAlign w:val="center"/>
          </w:tcPr>
          <w:p w14:paraId="71D2132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42454FA9">
            <w:pPr>
              <w:jc w:val="center"/>
              <w:rPr>
                <w:rFonts w:hint="eastAsia" w:ascii="宋体" w:hAnsi="宋体" w:eastAsia="宋体" w:cs="宋体"/>
                <w:color w:val="auto"/>
                <w:sz w:val="24"/>
                <w:szCs w:val="24"/>
              </w:rPr>
            </w:pPr>
            <w:r>
              <w:rPr>
                <w:rFonts w:hint="eastAsia" w:ascii="宋体" w:hAnsi="宋体" w:eastAsia="宋体" w:cs="宋体"/>
                <w:color w:val="auto"/>
                <w:sz w:val="24"/>
                <w:szCs w:val="24"/>
              </w:rPr>
              <w:t>7.00</w:t>
            </w:r>
          </w:p>
        </w:tc>
        <w:tc>
          <w:tcPr>
            <w:tcW w:w="1388" w:type="dxa"/>
            <w:vAlign w:val="center"/>
          </w:tcPr>
          <w:p w14:paraId="4545EFF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管理制度方案</w:t>
            </w:r>
          </w:p>
        </w:tc>
        <w:tc>
          <w:tcPr>
            <w:tcW w:w="5114" w:type="dxa"/>
            <w:vAlign w:val="center"/>
          </w:tcPr>
          <w:p w14:paraId="2804657E">
            <w:pPr>
              <w:jc w:val="both"/>
              <w:rPr>
                <w:rFonts w:hint="eastAsia" w:ascii="宋体" w:hAnsi="宋体" w:eastAsia="宋体" w:cs="宋体"/>
                <w:color w:val="auto"/>
                <w:sz w:val="24"/>
                <w:szCs w:val="24"/>
              </w:rPr>
            </w:pPr>
            <w:r>
              <w:rPr>
                <w:rFonts w:hint="eastAsia" w:ascii="宋体" w:hAnsi="宋体" w:eastAsia="宋体" w:cs="宋体"/>
                <w:color w:val="auto"/>
                <w:sz w:val="24"/>
                <w:szCs w:val="24"/>
              </w:rPr>
              <w:t>投标人需提供物业管理制度方案，包括物业相关管理制度、档案的建立与管理管理制度等。方案合理、完善，完全符合本项目需求的得 7 分；方案较为合理、完善，符合本项目需求的得 6 分；方案基本合理、基本完善，基本符合本 项目需求的得 4 分；方案存在混乱、不完善、有待进一步细化完善的得 3 分；预案存在不合理项、存在实施难度得 2 分；方案前后内容不连贯导致语义不明 或存在与本项目无关内容得 1 分；未针 对本项描述的得 0 分。</w:t>
            </w:r>
          </w:p>
        </w:tc>
      </w:tr>
      <w:tr w14:paraId="63F8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6" w:hRule="atLeast"/>
        </w:trPr>
        <w:tc>
          <w:tcPr>
            <w:tcW w:w="1116" w:type="dxa"/>
            <w:vMerge w:val="continue"/>
            <w:vAlign w:val="center"/>
          </w:tcPr>
          <w:p w14:paraId="6B90178F">
            <w:pPr>
              <w:jc w:val="center"/>
              <w:rPr>
                <w:rFonts w:hint="eastAsia" w:ascii="宋体" w:hAnsi="宋体" w:eastAsia="宋体" w:cs="宋体"/>
                <w:color w:val="auto"/>
                <w:sz w:val="24"/>
                <w:szCs w:val="24"/>
              </w:rPr>
            </w:pPr>
          </w:p>
        </w:tc>
        <w:tc>
          <w:tcPr>
            <w:tcW w:w="862" w:type="dxa"/>
            <w:vAlign w:val="center"/>
          </w:tcPr>
          <w:p w14:paraId="23E9C9B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0DDBBCE5">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.00</w:t>
            </w:r>
          </w:p>
        </w:tc>
        <w:tc>
          <w:tcPr>
            <w:tcW w:w="1388" w:type="dxa"/>
            <w:vAlign w:val="center"/>
          </w:tcPr>
          <w:p w14:paraId="023C68F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合理化建议</w:t>
            </w:r>
          </w:p>
        </w:tc>
        <w:tc>
          <w:tcPr>
            <w:tcW w:w="5114" w:type="dxa"/>
            <w:vAlign w:val="center"/>
          </w:tcPr>
          <w:p w14:paraId="060A6433">
            <w:pPr>
              <w:jc w:val="both"/>
              <w:rPr>
                <w:rFonts w:hint="eastAsia" w:ascii="宋体" w:hAnsi="宋体" w:eastAsia="宋体" w:cs="宋体"/>
                <w:color w:val="auto"/>
                <w:sz w:val="24"/>
                <w:szCs w:val="24"/>
              </w:rPr>
            </w:pPr>
            <w:r>
              <w:rPr>
                <w:rFonts w:hint="eastAsia" w:ascii="宋体" w:hAnsi="宋体" w:eastAsia="宋体" w:cs="宋体"/>
                <w:color w:val="auto"/>
                <w:sz w:val="24"/>
                <w:szCs w:val="24"/>
              </w:rPr>
              <w:t xml:space="preserve">依据投标人提供的对于本项目的具体服务需求 ，提供相应合理化建议。合理化建议合理、完善 ，完全符合本项目需求的得 </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 xml:space="preserve"> 分；合理化建议较为合理、完善，符合本项目需求的得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 分；合理化 建议基本合理、基本完善，基本符合本项目需求的得 </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分；合理化建议存在混乱、不完善、有待进一步细化完善的得 3 分 ；合理化建议存在不合理项、存在 实施难度得 2 分；合理化建议前后内容不连贯导致语义不明或存在与本项目无关内容得 1 分；未针对本项描述的得 0 分。</w:t>
            </w:r>
          </w:p>
        </w:tc>
      </w:tr>
      <w:tr w14:paraId="147C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6" w:hRule="atLeast"/>
        </w:trPr>
        <w:tc>
          <w:tcPr>
            <w:tcW w:w="1116" w:type="dxa"/>
            <w:vMerge w:val="continue"/>
            <w:vAlign w:val="center"/>
          </w:tcPr>
          <w:p w14:paraId="1232AFAD">
            <w:pPr>
              <w:jc w:val="center"/>
              <w:rPr>
                <w:rFonts w:hint="eastAsia" w:ascii="宋体" w:hAnsi="宋体" w:eastAsia="宋体" w:cs="宋体"/>
                <w:color w:val="auto"/>
                <w:sz w:val="24"/>
                <w:szCs w:val="24"/>
              </w:rPr>
            </w:pPr>
          </w:p>
        </w:tc>
        <w:tc>
          <w:tcPr>
            <w:tcW w:w="862" w:type="dxa"/>
            <w:vAlign w:val="center"/>
          </w:tcPr>
          <w:p w14:paraId="565F606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165F67CF">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8.00</w:t>
            </w:r>
          </w:p>
        </w:tc>
        <w:tc>
          <w:tcPr>
            <w:tcW w:w="1388" w:type="dxa"/>
            <w:vAlign w:val="center"/>
          </w:tcPr>
          <w:p w14:paraId="1AADED4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服务承诺</w:t>
            </w:r>
          </w:p>
        </w:tc>
        <w:tc>
          <w:tcPr>
            <w:tcW w:w="5114" w:type="dxa"/>
            <w:vAlign w:val="center"/>
          </w:tcPr>
          <w:p w14:paraId="3651C4CF">
            <w:pPr>
              <w:jc w:val="both"/>
              <w:rPr>
                <w:rFonts w:hint="eastAsia" w:ascii="宋体" w:hAnsi="宋体" w:eastAsia="宋体" w:cs="宋体"/>
                <w:color w:val="auto"/>
                <w:sz w:val="24"/>
                <w:szCs w:val="24"/>
              </w:rPr>
            </w:pPr>
            <w:r>
              <w:rPr>
                <w:rFonts w:hint="eastAsia" w:ascii="宋体" w:hAnsi="宋体" w:eastAsia="宋体" w:cs="宋体"/>
                <w:color w:val="auto"/>
                <w:sz w:val="24"/>
                <w:szCs w:val="24"/>
              </w:rPr>
              <w:t>依据服务承诺的内容是否详尽、可靠，是否有可靠的保障措施，评委根据各投标人对上述内容的响应情况进行打分，服务承诺内容详细、清晰明了的得</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 xml:space="preserve">分；服务承诺内容较为详细、较为清晰明了的得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 分；服务承诺内容基本详细、基本清晰明了的得 </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分；服务承诺内容存在混乱、不完善、有待进一步细化完善的得 </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 分；服务承诺内容存在不合理项、存在实施难度得 2 分；服务承诺内容前后不连贯导致语义不明或存在与本项目无关内容得 1 分；未针对本项描述的得 0 分。</w:t>
            </w:r>
          </w:p>
        </w:tc>
      </w:tr>
      <w:tr w14:paraId="723B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7" w:hRule="atLeast"/>
        </w:trPr>
        <w:tc>
          <w:tcPr>
            <w:tcW w:w="1116" w:type="dxa"/>
            <w:vAlign w:val="center"/>
          </w:tcPr>
          <w:p w14:paraId="1C9E845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业绩信誉</w:t>
            </w:r>
          </w:p>
        </w:tc>
        <w:tc>
          <w:tcPr>
            <w:tcW w:w="862" w:type="dxa"/>
            <w:vAlign w:val="center"/>
          </w:tcPr>
          <w:p w14:paraId="111174D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0.00</w:t>
            </w:r>
          </w:p>
        </w:tc>
        <w:tc>
          <w:tcPr>
            <w:tcW w:w="912" w:type="dxa"/>
            <w:vAlign w:val="center"/>
          </w:tcPr>
          <w:p w14:paraId="1B0A35A0">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6.00</w:t>
            </w:r>
          </w:p>
        </w:tc>
        <w:tc>
          <w:tcPr>
            <w:tcW w:w="1388" w:type="dxa"/>
            <w:vAlign w:val="center"/>
          </w:tcPr>
          <w:p w14:paraId="0DF28D8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企业业绩</w:t>
            </w:r>
          </w:p>
        </w:tc>
        <w:tc>
          <w:tcPr>
            <w:tcW w:w="5114" w:type="dxa"/>
            <w:vAlign w:val="center"/>
          </w:tcPr>
          <w:p w14:paraId="4A676E59">
            <w:pPr>
              <w:jc w:val="both"/>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投标人自 2021 年 1 月 1 日（以合同签订时间为准）以来具有类似项目业绩的，每有一项得 3 分，最多得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 分。（注：投标文件中附合同、中标通知书扫描件，否则不得分）。</w:t>
            </w:r>
          </w:p>
        </w:tc>
      </w:tr>
    </w:tbl>
    <w:p w14:paraId="2EC6586A">
      <w:pPr>
        <w:pStyle w:val="3"/>
        <w:rPr>
          <w:color w:val="auto"/>
        </w:rPr>
      </w:pPr>
    </w:p>
    <w:p w14:paraId="10FE6548">
      <w:pPr>
        <w:pStyle w:val="3"/>
        <w:rPr>
          <w:color w:val="auto"/>
        </w:rPr>
      </w:pPr>
    </w:p>
    <w:p w14:paraId="2102AE14">
      <w:pPr>
        <w:rPr>
          <w:color w:val="auto"/>
        </w:rPr>
        <w:sectPr>
          <w:headerReference r:id="rId51" w:type="default"/>
          <w:footerReference r:id="rId52" w:type="default"/>
          <w:pgSz w:w="11906" w:h="16839"/>
          <w:pgMar w:top="999" w:right="1136" w:bottom="844" w:left="1307" w:header="698" w:footer="682" w:gutter="0"/>
          <w:pgNumType w:fmt="decimal"/>
          <w:cols w:space="720" w:num="1"/>
        </w:sectPr>
      </w:pPr>
    </w:p>
    <w:p w14:paraId="52FE0351">
      <w:pPr>
        <w:pStyle w:val="3"/>
        <w:spacing w:line="314" w:lineRule="auto"/>
        <w:rPr>
          <w:color w:val="auto"/>
        </w:rPr>
      </w:pPr>
    </w:p>
    <w:p w14:paraId="204BCB40">
      <w:pPr>
        <w:pStyle w:val="3"/>
        <w:spacing w:line="314" w:lineRule="auto"/>
        <w:rPr>
          <w:color w:val="auto"/>
        </w:rPr>
      </w:pPr>
    </w:p>
    <w:p w14:paraId="2D004FFE">
      <w:pPr>
        <w:spacing w:before="101" w:line="228" w:lineRule="auto"/>
        <w:ind w:left="3071"/>
        <w:outlineLvl w:val="0"/>
        <w:rPr>
          <w:rFonts w:ascii="仿宋" w:hAnsi="仿宋" w:eastAsia="仿宋" w:cs="仿宋"/>
          <w:color w:val="auto"/>
          <w:sz w:val="31"/>
          <w:szCs w:val="31"/>
        </w:rPr>
      </w:pPr>
      <w:bookmarkStart w:id="17" w:name="bookmark15"/>
      <w:bookmarkEnd w:id="17"/>
      <w:bookmarkStart w:id="18" w:name="_Toc15604"/>
      <w:r>
        <w:rPr>
          <w:rFonts w:ascii="仿宋" w:hAnsi="仿宋" w:eastAsia="仿宋" w:cs="仿宋"/>
          <w:b/>
          <w:bCs/>
          <w:color w:val="auto"/>
          <w:spacing w:val="-21"/>
          <w:sz w:val="31"/>
          <w:szCs w:val="31"/>
        </w:rPr>
        <w:t>第七章</w:t>
      </w:r>
      <w:r>
        <w:rPr>
          <w:rFonts w:ascii="仿宋" w:hAnsi="仿宋" w:eastAsia="仿宋" w:cs="仿宋"/>
          <w:color w:val="auto"/>
          <w:spacing w:val="58"/>
          <w:sz w:val="31"/>
          <w:szCs w:val="31"/>
        </w:rPr>
        <w:t xml:space="preserve">  </w:t>
      </w:r>
      <w:r>
        <w:rPr>
          <w:rFonts w:ascii="仿宋" w:hAnsi="仿宋" w:eastAsia="仿宋" w:cs="仿宋"/>
          <w:b/>
          <w:bCs/>
          <w:color w:val="auto"/>
          <w:spacing w:val="-21"/>
          <w:sz w:val="31"/>
          <w:szCs w:val="31"/>
        </w:rPr>
        <w:t>投标文件格式</w:t>
      </w:r>
      <w:bookmarkEnd w:id="18"/>
    </w:p>
    <w:p w14:paraId="627972F4">
      <w:pPr>
        <w:spacing w:line="228" w:lineRule="auto"/>
        <w:rPr>
          <w:rFonts w:ascii="仿宋" w:hAnsi="仿宋" w:eastAsia="仿宋" w:cs="仿宋"/>
          <w:color w:val="auto"/>
          <w:sz w:val="31"/>
          <w:szCs w:val="31"/>
        </w:rPr>
        <w:sectPr>
          <w:headerReference r:id="rId53" w:type="default"/>
          <w:footerReference r:id="rId54" w:type="default"/>
          <w:pgSz w:w="11906" w:h="16839"/>
          <w:pgMar w:top="999" w:right="1246" w:bottom="844" w:left="1418" w:header="698" w:footer="682" w:gutter="0"/>
          <w:pgNumType w:fmt="decimal"/>
          <w:cols w:space="720" w:num="1"/>
        </w:sectPr>
      </w:pPr>
    </w:p>
    <w:p w14:paraId="78510AEE">
      <w:pPr>
        <w:pStyle w:val="3"/>
        <w:spacing w:line="252" w:lineRule="auto"/>
        <w:rPr>
          <w:color w:val="auto"/>
        </w:rPr>
      </w:pPr>
    </w:p>
    <w:p w14:paraId="37F216FF">
      <w:pPr>
        <w:pStyle w:val="3"/>
        <w:spacing w:line="252" w:lineRule="auto"/>
        <w:rPr>
          <w:color w:val="auto"/>
        </w:rPr>
      </w:pPr>
    </w:p>
    <w:p w14:paraId="4A905ABB">
      <w:pPr>
        <w:pStyle w:val="3"/>
        <w:spacing w:line="253" w:lineRule="auto"/>
        <w:rPr>
          <w:color w:val="auto"/>
        </w:rPr>
      </w:pPr>
    </w:p>
    <w:p w14:paraId="792AD1CF">
      <w:pPr>
        <w:pStyle w:val="3"/>
        <w:spacing w:line="253" w:lineRule="auto"/>
        <w:rPr>
          <w:color w:val="auto"/>
        </w:rPr>
      </w:pPr>
    </w:p>
    <w:p w14:paraId="64011084">
      <w:pPr>
        <w:pStyle w:val="3"/>
        <w:spacing w:line="253" w:lineRule="auto"/>
        <w:rPr>
          <w:color w:val="auto"/>
        </w:rPr>
      </w:pPr>
    </w:p>
    <w:p w14:paraId="7381059B">
      <w:pPr>
        <w:pStyle w:val="3"/>
        <w:spacing w:line="253" w:lineRule="auto"/>
        <w:rPr>
          <w:color w:val="auto"/>
        </w:rPr>
      </w:pPr>
    </w:p>
    <w:p w14:paraId="367CC5C1">
      <w:pPr>
        <w:pStyle w:val="3"/>
        <w:spacing w:line="253" w:lineRule="auto"/>
        <w:rPr>
          <w:color w:val="auto"/>
        </w:rPr>
      </w:pPr>
    </w:p>
    <w:p w14:paraId="02B75995">
      <w:pPr>
        <w:pStyle w:val="3"/>
        <w:spacing w:line="253" w:lineRule="auto"/>
        <w:rPr>
          <w:color w:val="auto"/>
        </w:rPr>
      </w:pPr>
    </w:p>
    <w:p w14:paraId="5D192343">
      <w:pPr>
        <w:pStyle w:val="3"/>
        <w:spacing w:line="253" w:lineRule="auto"/>
        <w:rPr>
          <w:color w:val="auto"/>
        </w:rPr>
      </w:pPr>
    </w:p>
    <w:p w14:paraId="43E23C1A">
      <w:pPr>
        <w:spacing w:before="270" w:line="225" w:lineRule="auto"/>
        <w:ind w:left="2930"/>
        <w:outlineLvl w:val="1"/>
        <w:rPr>
          <w:rFonts w:ascii="仿宋" w:hAnsi="仿宋" w:eastAsia="仿宋" w:cs="仿宋"/>
          <w:color w:val="auto"/>
          <w:sz w:val="83"/>
          <w:szCs w:val="83"/>
        </w:rPr>
      </w:pPr>
      <w:bookmarkStart w:id="19" w:name="_Toc20176"/>
      <w:r>
        <w:rPr>
          <w:rFonts w:ascii="仿宋" w:hAnsi="仿宋" w:eastAsia="仿宋" w:cs="仿宋"/>
          <w:b/>
          <w:bCs/>
          <w:color w:val="auto"/>
          <w:spacing w:val="-12"/>
          <w:sz w:val="83"/>
          <w:szCs w:val="83"/>
        </w:rPr>
        <w:t>投标文件</w:t>
      </w:r>
      <w:bookmarkEnd w:id="19"/>
    </w:p>
    <w:p w14:paraId="2E05D2FF">
      <w:pPr>
        <w:spacing w:before="194" w:line="272" w:lineRule="auto"/>
        <w:ind w:left="441" w:right="7404"/>
        <w:rPr>
          <w:rFonts w:ascii="仿宋" w:hAnsi="仿宋" w:eastAsia="仿宋" w:cs="仿宋"/>
          <w:color w:val="auto"/>
          <w:sz w:val="30"/>
          <w:szCs w:val="30"/>
        </w:rPr>
      </w:pPr>
      <w:r>
        <w:rPr>
          <w:rFonts w:ascii="仿宋" w:hAnsi="仿宋" w:eastAsia="仿宋" w:cs="仿宋"/>
          <w:color w:val="auto"/>
          <w:spacing w:val="-21"/>
          <w:sz w:val="30"/>
          <w:szCs w:val="30"/>
        </w:rPr>
        <w:t>项目名称：</w:t>
      </w:r>
      <w:r>
        <w:rPr>
          <w:rFonts w:ascii="仿宋" w:hAnsi="仿宋" w:eastAsia="仿宋" w:cs="仿宋"/>
          <w:color w:val="auto"/>
          <w:sz w:val="30"/>
          <w:szCs w:val="30"/>
        </w:rPr>
        <w:t xml:space="preserve"> </w:t>
      </w:r>
      <w:r>
        <w:rPr>
          <w:rFonts w:ascii="仿宋" w:hAnsi="仿宋" w:eastAsia="仿宋" w:cs="仿宋"/>
          <w:color w:val="auto"/>
          <w:spacing w:val="-21"/>
          <w:sz w:val="30"/>
          <w:szCs w:val="30"/>
        </w:rPr>
        <w:t>项目编号：</w:t>
      </w:r>
    </w:p>
    <w:p w14:paraId="356C5C26">
      <w:pPr>
        <w:pStyle w:val="3"/>
        <w:spacing w:line="242" w:lineRule="auto"/>
        <w:rPr>
          <w:rFonts w:hint="eastAsia" w:ascii="仿宋" w:hAnsi="仿宋" w:eastAsia="仿宋" w:cs="仿宋"/>
          <w:snapToGrid w:val="0"/>
          <w:color w:val="auto"/>
          <w:spacing w:val="-21"/>
          <w:kern w:val="0"/>
          <w:sz w:val="30"/>
          <w:szCs w:val="30"/>
          <w:lang w:val="en-US" w:eastAsia="zh-CN" w:bidi="ar-SA"/>
        </w:rPr>
      </w:pPr>
      <w:r>
        <w:rPr>
          <w:rFonts w:hint="eastAsia" w:ascii="仿宋" w:hAnsi="仿宋" w:eastAsia="仿宋" w:cs="仿宋"/>
          <w:snapToGrid w:val="0"/>
          <w:color w:val="auto"/>
          <w:spacing w:val="-21"/>
          <w:kern w:val="0"/>
          <w:sz w:val="30"/>
          <w:szCs w:val="30"/>
          <w:lang w:val="en-US" w:eastAsia="en-US" w:bidi="ar-SA"/>
        </w:rPr>
        <w:t xml:space="preserve"> </w:t>
      </w:r>
      <w:r>
        <w:rPr>
          <w:rFonts w:hint="eastAsia" w:ascii="仿宋" w:hAnsi="仿宋" w:eastAsia="仿宋" w:cs="仿宋"/>
          <w:snapToGrid w:val="0"/>
          <w:color w:val="auto"/>
          <w:spacing w:val="-21"/>
          <w:kern w:val="0"/>
          <w:sz w:val="30"/>
          <w:szCs w:val="30"/>
          <w:lang w:val="en-US" w:eastAsia="zh-CN" w:bidi="ar-SA"/>
        </w:rPr>
        <w:t xml:space="preserve">  交易中心编号：</w:t>
      </w:r>
    </w:p>
    <w:p w14:paraId="7B292327">
      <w:pPr>
        <w:pStyle w:val="3"/>
        <w:spacing w:line="242" w:lineRule="auto"/>
        <w:rPr>
          <w:rFonts w:ascii="仿宋" w:hAnsi="仿宋" w:eastAsia="仿宋" w:cs="仿宋"/>
          <w:snapToGrid w:val="0"/>
          <w:color w:val="auto"/>
          <w:spacing w:val="-21"/>
          <w:kern w:val="0"/>
          <w:sz w:val="30"/>
          <w:szCs w:val="30"/>
          <w:lang w:val="en-US" w:eastAsia="en-US" w:bidi="ar-SA"/>
        </w:rPr>
      </w:pPr>
    </w:p>
    <w:p w14:paraId="1861F5F1">
      <w:pPr>
        <w:pStyle w:val="3"/>
        <w:spacing w:line="242" w:lineRule="auto"/>
        <w:rPr>
          <w:color w:val="auto"/>
        </w:rPr>
      </w:pPr>
    </w:p>
    <w:p w14:paraId="2D9DA667">
      <w:pPr>
        <w:pStyle w:val="3"/>
        <w:spacing w:line="242" w:lineRule="auto"/>
        <w:rPr>
          <w:color w:val="auto"/>
        </w:rPr>
      </w:pPr>
    </w:p>
    <w:p w14:paraId="361B4D40">
      <w:pPr>
        <w:pStyle w:val="3"/>
        <w:spacing w:line="242" w:lineRule="auto"/>
        <w:rPr>
          <w:color w:val="auto"/>
        </w:rPr>
      </w:pPr>
    </w:p>
    <w:p w14:paraId="43C0DA15">
      <w:pPr>
        <w:pStyle w:val="3"/>
        <w:spacing w:line="242" w:lineRule="auto"/>
        <w:rPr>
          <w:color w:val="auto"/>
        </w:rPr>
      </w:pPr>
    </w:p>
    <w:p w14:paraId="4F56BCB7">
      <w:pPr>
        <w:pStyle w:val="3"/>
        <w:spacing w:line="242" w:lineRule="auto"/>
        <w:rPr>
          <w:color w:val="auto"/>
        </w:rPr>
      </w:pPr>
    </w:p>
    <w:p w14:paraId="22230BAB">
      <w:pPr>
        <w:pStyle w:val="3"/>
        <w:spacing w:line="242" w:lineRule="auto"/>
        <w:rPr>
          <w:color w:val="auto"/>
        </w:rPr>
      </w:pPr>
    </w:p>
    <w:p w14:paraId="2619EC4E">
      <w:pPr>
        <w:pStyle w:val="3"/>
        <w:spacing w:line="242" w:lineRule="auto"/>
        <w:rPr>
          <w:color w:val="auto"/>
        </w:rPr>
      </w:pPr>
    </w:p>
    <w:p w14:paraId="42E4BF37">
      <w:pPr>
        <w:pStyle w:val="3"/>
        <w:spacing w:line="242" w:lineRule="auto"/>
        <w:rPr>
          <w:color w:val="auto"/>
        </w:rPr>
      </w:pPr>
    </w:p>
    <w:p w14:paraId="3F85E8B1">
      <w:pPr>
        <w:pStyle w:val="3"/>
        <w:spacing w:line="242" w:lineRule="auto"/>
        <w:rPr>
          <w:color w:val="auto"/>
        </w:rPr>
      </w:pPr>
    </w:p>
    <w:p w14:paraId="025A01FF">
      <w:pPr>
        <w:pStyle w:val="3"/>
        <w:spacing w:line="242" w:lineRule="auto"/>
        <w:rPr>
          <w:color w:val="auto"/>
        </w:rPr>
      </w:pPr>
    </w:p>
    <w:p w14:paraId="08E3C2AF">
      <w:pPr>
        <w:pStyle w:val="3"/>
        <w:spacing w:line="242" w:lineRule="auto"/>
        <w:rPr>
          <w:color w:val="auto"/>
        </w:rPr>
      </w:pPr>
    </w:p>
    <w:p w14:paraId="436FAEB8">
      <w:pPr>
        <w:pStyle w:val="3"/>
        <w:spacing w:line="242" w:lineRule="auto"/>
        <w:rPr>
          <w:color w:val="auto"/>
        </w:rPr>
      </w:pPr>
    </w:p>
    <w:p w14:paraId="1635EB55">
      <w:pPr>
        <w:pStyle w:val="3"/>
        <w:spacing w:line="242" w:lineRule="auto"/>
        <w:rPr>
          <w:color w:val="auto"/>
        </w:rPr>
      </w:pPr>
    </w:p>
    <w:p w14:paraId="591B349A">
      <w:pPr>
        <w:pStyle w:val="3"/>
        <w:spacing w:line="242" w:lineRule="auto"/>
        <w:rPr>
          <w:color w:val="auto"/>
        </w:rPr>
      </w:pPr>
    </w:p>
    <w:p w14:paraId="61A0F507">
      <w:pPr>
        <w:pStyle w:val="3"/>
        <w:spacing w:line="242" w:lineRule="auto"/>
        <w:rPr>
          <w:color w:val="auto"/>
        </w:rPr>
      </w:pPr>
    </w:p>
    <w:p w14:paraId="499ABF0E">
      <w:pPr>
        <w:spacing w:before="97" w:line="274" w:lineRule="auto"/>
        <w:ind w:left="503" w:right="7109" w:hanging="64"/>
        <w:rPr>
          <w:rFonts w:ascii="仿宋" w:hAnsi="仿宋" w:eastAsia="仿宋" w:cs="仿宋"/>
          <w:color w:val="auto"/>
          <w:sz w:val="30"/>
          <w:szCs w:val="30"/>
        </w:rPr>
      </w:pPr>
      <w:r>
        <w:rPr>
          <w:rFonts w:ascii="仿宋" w:hAnsi="仿宋" w:eastAsia="仿宋" w:cs="仿宋"/>
          <w:color w:val="auto"/>
          <w:spacing w:val="-18"/>
          <w:sz w:val="30"/>
          <w:szCs w:val="30"/>
        </w:rPr>
        <w:t>投标人名称：</w:t>
      </w:r>
      <w:r>
        <w:rPr>
          <w:rFonts w:ascii="仿宋" w:hAnsi="仿宋" w:eastAsia="仿宋" w:cs="仿宋"/>
          <w:color w:val="auto"/>
          <w:sz w:val="30"/>
          <w:szCs w:val="30"/>
        </w:rPr>
        <w:t xml:space="preserve"> </w:t>
      </w:r>
      <w:r>
        <w:rPr>
          <w:rFonts w:ascii="仿宋" w:hAnsi="仿宋" w:eastAsia="仿宋" w:cs="仿宋"/>
          <w:color w:val="auto"/>
          <w:spacing w:val="-29"/>
          <w:sz w:val="30"/>
          <w:szCs w:val="30"/>
        </w:rPr>
        <w:t>日期：</w:t>
      </w:r>
    </w:p>
    <w:p w14:paraId="4811650C">
      <w:pPr>
        <w:spacing w:line="274" w:lineRule="auto"/>
        <w:rPr>
          <w:rFonts w:ascii="仿宋" w:hAnsi="仿宋" w:eastAsia="仿宋" w:cs="仿宋"/>
          <w:color w:val="auto"/>
          <w:sz w:val="30"/>
          <w:szCs w:val="30"/>
        </w:rPr>
        <w:sectPr>
          <w:footerReference r:id="rId55" w:type="default"/>
          <w:pgSz w:w="11906" w:h="16839"/>
          <w:pgMar w:top="999" w:right="1246" w:bottom="844" w:left="1418" w:header="698" w:footer="682" w:gutter="0"/>
          <w:pgNumType w:fmt="decimal"/>
          <w:cols w:space="720" w:num="1"/>
        </w:sectPr>
      </w:pPr>
    </w:p>
    <w:p w14:paraId="2C988716">
      <w:pPr>
        <w:pStyle w:val="3"/>
        <w:spacing w:line="418" w:lineRule="auto"/>
        <w:rPr>
          <w:color w:val="auto"/>
        </w:rPr>
      </w:pPr>
    </w:p>
    <w:p w14:paraId="00AB4C43">
      <w:pPr>
        <w:spacing w:before="91" w:line="219" w:lineRule="auto"/>
        <w:ind w:left="33"/>
        <w:rPr>
          <w:rFonts w:ascii="宋体" w:hAnsi="宋体" w:eastAsia="宋体" w:cs="宋体"/>
          <w:color w:val="auto"/>
          <w:sz w:val="28"/>
          <w:szCs w:val="28"/>
        </w:rPr>
      </w:pPr>
      <w:r>
        <w:rPr>
          <w:rFonts w:ascii="宋体" w:hAnsi="宋体" w:eastAsia="宋体" w:cs="宋体"/>
          <w:b/>
          <w:bCs/>
          <w:color w:val="auto"/>
          <w:spacing w:val="-16"/>
          <w:sz w:val="28"/>
          <w:szCs w:val="28"/>
        </w:rPr>
        <w:t>附件1:投标函</w:t>
      </w:r>
    </w:p>
    <w:p w14:paraId="00D2892E">
      <w:pPr>
        <w:spacing w:before="133" w:line="223" w:lineRule="auto"/>
        <w:ind w:left="4160"/>
        <w:rPr>
          <w:rFonts w:ascii="仿宋" w:hAnsi="仿宋" w:eastAsia="仿宋" w:cs="仿宋"/>
          <w:color w:val="auto"/>
          <w:sz w:val="28"/>
          <w:szCs w:val="28"/>
        </w:rPr>
      </w:pPr>
      <w:r>
        <w:rPr>
          <w:rFonts w:ascii="仿宋" w:hAnsi="仿宋" w:eastAsia="仿宋" w:cs="仿宋"/>
          <w:color w:val="auto"/>
          <w:spacing w:val="-7"/>
          <w:sz w:val="28"/>
          <w:szCs w:val="28"/>
        </w:rPr>
        <w:t>投标函</w:t>
      </w:r>
    </w:p>
    <w:p w14:paraId="348FEF4E">
      <w:pPr>
        <w:spacing w:before="148" w:line="222" w:lineRule="auto"/>
        <w:ind w:left="19"/>
        <w:rPr>
          <w:rFonts w:ascii="仿宋" w:hAnsi="仿宋" w:eastAsia="仿宋" w:cs="仿宋"/>
          <w:color w:val="auto"/>
          <w:sz w:val="24"/>
          <w:szCs w:val="24"/>
        </w:rPr>
      </w:pPr>
      <w:r>
        <w:rPr>
          <w:rFonts w:ascii="仿宋" w:hAnsi="仿宋" w:eastAsia="仿宋" w:cs="仿宋"/>
          <w:color w:val="auto"/>
          <w:spacing w:val="1"/>
          <w:sz w:val="24"/>
          <w:szCs w:val="24"/>
        </w:rPr>
        <w:t>致</w:t>
      </w:r>
      <w:r>
        <w:rPr>
          <w:rFonts w:ascii="仿宋" w:hAnsi="仿宋" w:eastAsia="仿宋" w:cs="仿宋"/>
          <w:color w:val="auto"/>
          <w:spacing w:val="-57"/>
          <w:w w:val="84"/>
          <w:sz w:val="24"/>
          <w:szCs w:val="24"/>
        </w:rPr>
        <w:t>：</w:t>
      </w:r>
      <w:r>
        <w:rPr>
          <w:rFonts w:ascii="仿宋" w:hAnsi="仿宋" w:eastAsia="仿宋" w:cs="仿宋"/>
          <w:color w:val="auto"/>
          <w:spacing w:val="-57"/>
          <w:w w:val="84"/>
          <w:sz w:val="24"/>
          <w:szCs w:val="24"/>
          <w:u w:val="single" w:color="auto"/>
        </w:rPr>
        <w:t>（</w:t>
      </w:r>
      <w:r>
        <w:rPr>
          <w:rFonts w:ascii="仿宋" w:hAnsi="仿宋" w:eastAsia="仿宋" w:cs="仿宋"/>
          <w:color w:val="auto"/>
          <w:spacing w:val="1"/>
          <w:sz w:val="24"/>
          <w:szCs w:val="24"/>
          <w:u w:val="single" w:color="auto"/>
        </w:rPr>
        <w:t>采购代理机构或采购人）</w:t>
      </w:r>
    </w:p>
    <w:p w14:paraId="177CAC2D">
      <w:pPr>
        <w:spacing w:before="177" w:line="342" w:lineRule="auto"/>
        <w:ind w:left="18" w:right="120" w:firstLine="481"/>
        <w:rPr>
          <w:rFonts w:ascii="仿宋" w:hAnsi="仿宋" w:eastAsia="仿宋" w:cs="仿宋"/>
          <w:color w:val="auto"/>
          <w:sz w:val="24"/>
          <w:szCs w:val="24"/>
        </w:rPr>
      </w:pPr>
      <w:r>
        <w:rPr>
          <w:rFonts w:ascii="仿宋" w:hAnsi="仿宋" w:eastAsia="仿宋" w:cs="仿宋"/>
          <w:color w:val="auto"/>
          <w:spacing w:val="-6"/>
          <w:sz w:val="24"/>
          <w:szCs w:val="24"/>
        </w:rPr>
        <w:t>根据贵方项目编号为</w:t>
      </w:r>
      <w:r>
        <w:rPr>
          <w:rFonts w:ascii="仿宋" w:hAnsi="仿宋" w:eastAsia="仿宋" w:cs="仿宋"/>
          <w:color w:val="auto"/>
          <w:spacing w:val="-6"/>
          <w:sz w:val="24"/>
          <w:szCs w:val="24"/>
          <w:u w:val="single" w:color="auto"/>
        </w:rPr>
        <w:t xml:space="preserve">                  </w:t>
      </w:r>
      <w:r>
        <w:rPr>
          <w:rFonts w:ascii="仿宋" w:hAnsi="仿宋" w:eastAsia="仿宋" w:cs="仿宋"/>
          <w:color w:val="auto"/>
          <w:spacing w:val="-89"/>
          <w:sz w:val="24"/>
          <w:szCs w:val="24"/>
        </w:rPr>
        <w:t xml:space="preserve"> </w:t>
      </w:r>
      <w:r>
        <w:rPr>
          <w:rFonts w:ascii="仿宋" w:hAnsi="仿宋" w:eastAsia="仿宋" w:cs="仿宋"/>
          <w:color w:val="auto"/>
          <w:spacing w:val="-6"/>
          <w:sz w:val="24"/>
          <w:szCs w:val="24"/>
        </w:rPr>
        <w:t>的招标</w:t>
      </w:r>
      <w:r>
        <w:rPr>
          <w:rFonts w:ascii="仿宋" w:hAnsi="仿宋" w:eastAsia="仿宋" w:cs="仿宋"/>
          <w:color w:val="auto"/>
          <w:spacing w:val="-7"/>
          <w:sz w:val="24"/>
          <w:szCs w:val="24"/>
        </w:rPr>
        <w:t>公告，我方签字代表经正式授权并代</w:t>
      </w:r>
      <w:r>
        <w:rPr>
          <w:rFonts w:ascii="仿宋" w:hAnsi="仿宋" w:eastAsia="仿宋" w:cs="仿宋"/>
          <w:color w:val="auto"/>
          <w:sz w:val="24"/>
          <w:szCs w:val="24"/>
        </w:rPr>
        <w:t xml:space="preserve"> </w:t>
      </w:r>
      <w:r>
        <w:rPr>
          <w:rFonts w:ascii="仿宋" w:hAnsi="仿宋" w:eastAsia="仿宋" w:cs="仿宋"/>
          <w:color w:val="auto"/>
          <w:spacing w:val="-4"/>
          <w:sz w:val="24"/>
          <w:szCs w:val="24"/>
        </w:rPr>
        <w:t>表投标人提交投标文件及相关资料，并对之负法律责任。</w:t>
      </w:r>
    </w:p>
    <w:p w14:paraId="6140B598">
      <w:pPr>
        <w:spacing w:before="43" w:line="220" w:lineRule="auto"/>
        <w:ind w:left="499"/>
        <w:rPr>
          <w:rFonts w:ascii="仿宋" w:hAnsi="仿宋" w:eastAsia="仿宋" w:cs="仿宋"/>
          <w:color w:val="auto"/>
          <w:sz w:val="24"/>
          <w:szCs w:val="24"/>
        </w:rPr>
      </w:pPr>
      <w:r>
        <w:rPr>
          <w:rFonts w:ascii="仿宋" w:hAnsi="仿宋" w:eastAsia="仿宋" w:cs="仿宋"/>
          <w:color w:val="auto"/>
          <w:spacing w:val="-4"/>
          <w:sz w:val="24"/>
          <w:szCs w:val="24"/>
        </w:rPr>
        <w:t>据此函，签字代表宣布同意如下：</w:t>
      </w:r>
    </w:p>
    <w:p w14:paraId="56FE210A">
      <w:pPr>
        <w:spacing w:before="179" w:line="222" w:lineRule="auto"/>
        <w:ind w:left="508"/>
        <w:rPr>
          <w:rFonts w:ascii="仿宋" w:hAnsi="仿宋" w:eastAsia="仿宋" w:cs="仿宋"/>
          <w:color w:val="auto"/>
          <w:sz w:val="24"/>
          <w:szCs w:val="24"/>
        </w:rPr>
      </w:pPr>
      <w:r>
        <w:rPr>
          <w:rFonts w:ascii="仿宋" w:hAnsi="仿宋" w:eastAsia="仿宋" w:cs="仿宋"/>
          <w:color w:val="auto"/>
          <w:spacing w:val="-4"/>
          <w:sz w:val="24"/>
          <w:szCs w:val="24"/>
        </w:rPr>
        <w:t>1、依法依规、诚实守信、公平竞争参加本次招标活</w:t>
      </w:r>
      <w:r>
        <w:rPr>
          <w:rFonts w:ascii="仿宋" w:hAnsi="仿宋" w:eastAsia="仿宋" w:cs="仿宋"/>
          <w:color w:val="auto"/>
          <w:spacing w:val="-5"/>
          <w:sz w:val="24"/>
          <w:szCs w:val="24"/>
        </w:rPr>
        <w:t>动。</w:t>
      </w:r>
    </w:p>
    <w:p w14:paraId="73E35034">
      <w:pPr>
        <w:spacing w:before="178" w:line="289" w:lineRule="auto"/>
        <w:ind w:left="18" w:right="120" w:firstLine="475"/>
        <w:rPr>
          <w:rFonts w:ascii="仿宋" w:hAnsi="仿宋" w:eastAsia="仿宋" w:cs="仿宋"/>
          <w:color w:val="auto"/>
          <w:sz w:val="24"/>
          <w:szCs w:val="24"/>
        </w:rPr>
      </w:pPr>
      <w:r>
        <w:rPr>
          <w:rFonts w:ascii="仿宋" w:hAnsi="仿宋" w:eastAsia="仿宋" w:cs="仿宋"/>
          <w:color w:val="auto"/>
          <w:spacing w:val="-4"/>
          <w:sz w:val="24"/>
          <w:szCs w:val="24"/>
        </w:rPr>
        <w:t>2、我方保证投标文件中的所有资料均为真实、准确、完整、有效的，且不具有任何</w:t>
      </w:r>
      <w:r>
        <w:rPr>
          <w:rFonts w:ascii="仿宋" w:hAnsi="仿宋" w:eastAsia="仿宋" w:cs="仿宋"/>
          <w:color w:val="auto"/>
          <w:spacing w:val="13"/>
          <w:sz w:val="24"/>
          <w:szCs w:val="24"/>
        </w:rPr>
        <w:t xml:space="preserve"> </w:t>
      </w:r>
      <w:r>
        <w:rPr>
          <w:rFonts w:ascii="仿宋" w:hAnsi="仿宋" w:eastAsia="仿宋" w:cs="仿宋"/>
          <w:color w:val="auto"/>
          <w:spacing w:val="-4"/>
          <w:sz w:val="24"/>
          <w:szCs w:val="24"/>
        </w:rPr>
        <w:t>误导性，否则，我方承诺投标文件无效并自愿承担一切法律责任。</w:t>
      </w:r>
    </w:p>
    <w:p w14:paraId="688A92AD">
      <w:pPr>
        <w:spacing w:before="179" w:line="221" w:lineRule="auto"/>
        <w:ind w:left="496"/>
        <w:rPr>
          <w:rFonts w:ascii="仿宋" w:hAnsi="仿宋" w:eastAsia="仿宋" w:cs="仿宋"/>
          <w:color w:val="auto"/>
          <w:sz w:val="24"/>
          <w:szCs w:val="24"/>
        </w:rPr>
      </w:pPr>
      <w:r>
        <w:rPr>
          <w:rFonts w:ascii="仿宋" w:hAnsi="仿宋" w:eastAsia="仿宋" w:cs="仿宋"/>
          <w:color w:val="auto"/>
          <w:spacing w:val="-4"/>
          <w:sz w:val="24"/>
          <w:szCs w:val="24"/>
        </w:rPr>
        <w:t>3、我方的投标报价详见开标一览表。</w:t>
      </w:r>
    </w:p>
    <w:p w14:paraId="7E0F302E">
      <w:pPr>
        <w:spacing w:before="179" w:line="291" w:lineRule="auto"/>
        <w:ind w:left="23" w:right="118" w:firstLine="466"/>
        <w:rPr>
          <w:rFonts w:ascii="仿宋" w:hAnsi="仿宋" w:eastAsia="仿宋" w:cs="仿宋"/>
          <w:color w:val="auto"/>
          <w:sz w:val="24"/>
          <w:szCs w:val="24"/>
        </w:rPr>
      </w:pPr>
      <w:r>
        <w:rPr>
          <w:rFonts w:ascii="仿宋" w:hAnsi="仿宋" w:eastAsia="仿宋" w:cs="仿宋"/>
          <w:color w:val="auto"/>
          <w:spacing w:val="-3"/>
          <w:sz w:val="24"/>
          <w:szCs w:val="24"/>
        </w:rPr>
        <w:t>4、我方承诺除服务要求响应与偏差表、商</w:t>
      </w:r>
      <w:r>
        <w:rPr>
          <w:rFonts w:ascii="仿宋" w:hAnsi="仿宋" w:eastAsia="仿宋" w:cs="仿宋"/>
          <w:color w:val="auto"/>
          <w:spacing w:val="-4"/>
          <w:sz w:val="24"/>
          <w:szCs w:val="24"/>
        </w:rPr>
        <w:t>务要求响应与偏差表列出的偏差外，我方</w:t>
      </w:r>
      <w:r>
        <w:rPr>
          <w:rFonts w:ascii="仿宋" w:hAnsi="仿宋" w:eastAsia="仿宋" w:cs="仿宋"/>
          <w:color w:val="auto"/>
          <w:sz w:val="24"/>
          <w:szCs w:val="24"/>
        </w:rPr>
        <w:t xml:space="preserve"> </w:t>
      </w:r>
      <w:r>
        <w:rPr>
          <w:rFonts w:ascii="仿宋" w:hAnsi="仿宋" w:eastAsia="仿宋" w:cs="仿宋"/>
          <w:color w:val="auto"/>
          <w:spacing w:val="-5"/>
          <w:sz w:val="24"/>
          <w:szCs w:val="24"/>
        </w:rPr>
        <w:t>响应招标文件的全部要求。</w:t>
      </w:r>
    </w:p>
    <w:p w14:paraId="4D822B98">
      <w:pPr>
        <w:spacing w:before="175" w:line="290" w:lineRule="auto"/>
        <w:ind w:left="22" w:right="118" w:firstLine="473"/>
        <w:rPr>
          <w:rFonts w:ascii="仿宋" w:hAnsi="仿宋" w:eastAsia="仿宋" w:cs="仿宋"/>
          <w:color w:val="auto"/>
          <w:sz w:val="24"/>
          <w:szCs w:val="24"/>
        </w:rPr>
      </w:pPr>
      <w:r>
        <w:rPr>
          <w:rFonts w:ascii="仿宋" w:hAnsi="仿宋" w:eastAsia="仿宋" w:cs="仿宋"/>
          <w:color w:val="auto"/>
          <w:spacing w:val="-4"/>
          <w:sz w:val="24"/>
          <w:szCs w:val="24"/>
        </w:rPr>
        <w:t>5、我方愿遵守《中华人民共和国政府采购法》及相关的政府采购法律法规，按《中</w:t>
      </w:r>
      <w:r>
        <w:rPr>
          <w:rFonts w:ascii="仿宋" w:hAnsi="仿宋" w:eastAsia="仿宋" w:cs="仿宋"/>
          <w:color w:val="auto"/>
          <w:spacing w:val="13"/>
          <w:sz w:val="24"/>
          <w:szCs w:val="24"/>
        </w:rPr>
        <w:t xml:space="preserve"> </w:t>
      </w:r>
      <w:r>
        <w:rPr>
          <w:rFonts w:ascii="仿宋" w:hAnsi="仿宋" w:eastAsia="仿宋" w:cs="仿宋"/>
          <w:color w:val="auto"/>
          <w:spacing w:val="-5"/>
          <w:sz w:val="24"/>
          <w:szCs w:val="24"/>
        </w:rPr>
        <w:t>华人民共和国民法典》履行我方的全部责任。</w:t>
      </w:r>
    </w:p>
    <w:p w14:paraId="054567B2">
      <w:pPr>
        <w:spacing w:before="179" w:line="289" w:lineRule="auto"/>
        <w:ind w:left="26" w:right="118" w:firstLine="466"/>
        <w:rPr>
          <w:rFonts w:ascii="仿宋" w:hAnsi="仿宋" w:eastAsia="仿宋" w:cs="仿宋"/>
          <w:color w:val="auto"/>
          <w:sz w:val="24"/>
          <w:szCs w:val="24"/>
        </w:rPr>
      </w:pPr>
      <w:r>
        <w:rPr>
          <w:rFonts w:ascii="仿宋" w:hAnsi="仿宋" w:eastAsia="仿宋" w:cs="仿宋"/>
          <w:color w:val="auto"/>
          <w:spacing w:val="-4"/>
          <w:sz w:val="24"/>
          <w:szCs w:val="24"/>
        </w:rPr>
        <w:t>6、我方已认真仔细研究招标文件全部内容，包括修改文件以及全部参考资料和有关</w:t>
      </w:r>
      <w:r>
        <w:rPr>
          <w:rFonts w:ascii="仿宋" w:hAnsi="仿宋" w:eastAsia="仿宋" w:cs="仿宋"/>
          <w:color w:val="auto"/>
          <w:spacing w:val="16"/>
          <w:sz w:val="24"/>
          <w:szCs w:val="24"/>
        </w:rPr>
        <w:t xml:space="preserve"> </w:t>
      </w:r>
      <w:r>
        <w:rPr>
          <w:rFonts w:ascii="仿宋" w:hAnsi="仿宋" w:eastAsia="仿宋" w:cs="仿宋"/>
          <w:color w:val="auto"/>
          <w:spacing w:val="-4"/>
          <w:sz w:val="24"/>
          <w:szCs w:val="24"/>
        </w:rPr>
        <w:t>附件。我们完全理解并同意放弃对这方面有不明及误解的权力。</w:t>
      </w:r>
    </w:p>
    <w:p w14:paraId="15B80C89">
      <w:pPr>
        <w:spacing w:before="180" w:line="291" w:lineRule="auto"/>
        <w:ind w:left="15" w:right="118" w:firstLine="481"/>
        <w:rPr>
          <w:rFonts w:ascii="仿宋" w:hAnsi="仿宋" w:eastAsia="仿宋" w:cs="仿宋"/>
          <w:color w:val="auto"/>
          <w:sz w:val="24"/>
          <w:szCs w:val="24"/>
        </w:rPr>
      </w:pPr>
      <w:r>
        <w:rPr>
          <w:rFonts w:ascii="仿宋" w:hAnsi="仿宋" w:eastAsia="仿宋" w:cs="仿宋"/>
          <w:color w:val="auto"/>
          <w:spacing w:val="-1"/>
          <w:sz w:val="24"/>
          <w:szCs w:val="24"/>
        </w:rPr>
        <w:t>7、我方承诺投标有效期为提交投标文件截止时间后</w:t>
      </w:r>
      <w:r>
        <w:rPr>
          <w:rFonts w:ascii="仿宋" w:hAnsi="仿宋" w:eastAsia="仿宋" w:cs="仿宋"/>
          <w:color w:val="auto"/>
          <w:spacing w:val="-51"/>
          <w:sz w:val="24"/>
          <w:szCs w:val="24"/>
        </w:rPr>
        <w:t xml:space="preserve"> </w:t>
      </w:r>
      <w:r>
        <w:rPr>
          <w:rFonts w:ascii="仿宋" w:hAnsi="仿宋" w:eastAsia="仿宋" w:cs="仿宋"/>
          <w:color w:val="auto"/>
          <w:spacing w:val="-1"/>
          <w:sz w:val="24"/>
          <w:szCs w:val="24"/>
        </w:rPr>
        <w:t>90</w:t>
      </w:r>
      <w:r>
        <w:rPr>
          <w:rFonts w:ascii="仿宋" w:hAnsi="仿宋" w:eastAsia="仿宋" w:cs="仿宋"/>
          <w:color w:val="auto"/>
          <w:spacing w:val="-41"/>
          <w:sz w:val="24"/>
          <w:szCs w:val="24"/>
        </w:rPr>
        <w:t xml:space="preserve"> </w:t>
      </w:r>
      <w:r>
        <w:rPr>
          <w:rFonts w:ascii="仿宋" w:hAnsi="仿宋" w:eastAsia="仿宋" w:cs="仿宋"/>
          <w:color w:val="auto"/>
          <w:spacing w:val="-1"/>
          <w:sz w:val="24"/>
          <w:szCs w:val="24"/>
        </w:rPr>
        <w:t>天，并在招</w:t>
      </w:r>
      <w:r>
        <w:rPr>
          <w:rFonts w:ascii="仿宋" w:hAnsi="仿宋" w:eastAsia="仿宋" w:cs="仿宋"/>
          <w:color w:val="auto"/>
          <w:spacing w:val="-2"/>
          <w:sz w:val="24"/>
          <w:szCs w:val="24"/>
        </w:rPr>
        <w:t>标文件规定的投</w:t>
      </w:r>
      <w:r>
        <w:rPr>
          <w:rFonts w:ascii="仿宋" w:hAnsi="仿宋" w:eastAsia="仿宋" w:cs="仿宋"/>
          <w:color w:val="auto"/>
          <w:sz w:val="24"/>
          <w:szCs w:val="24"/>
        </w:rPr>
        <w:t xml:space="preserve"> </w:t>
      </w:r>
      <w:r>
        <w:rPr>
          <w:rFonts w:ascii="仿宋" w:hAnsi="仿宋" w:eastAsia="仿宋" w:cs="仿宋"/>
          <w:color w:val="auto"/>
          <w:spacing w:val="-4"/>
          <w:sz w:val="24"/>
          <w:szCs w:val="24"/>
        </w:rPr>
        <w:t>标有效期内不撤销投标文件。</w:t>
      </w:r>
    </w:p>
    <w:p w14:paraId="04729102">
      <w:pPr>
        <w:spacing w:before="175" w:line="290" w:lineRule="auto"/>
        <w:ind w:left="21" w:right="118" w:firstLine="471"/>
        <w:rPr>
          <w:rFonts w:ascii="仿宋" w:hAnsi="仿宋" w:eastAsia="仿宋" w:cs="仿宋"/>
          <w:color w:val="auto"/>
          <w:sz w:val="24"/>
          <w:szCs w:val="24"/>
        </w:rPr>
      </w:pPr>
      <w:r>
        <w:rPr>
          <w:rFonts w:ascii="仿宋" w:hAnsi="仿宋" w:eastAsia="仿宋" w:cs="仿宋"/>
          <w:color w:val="auto"/>
          <w:spacing w:val="-4"/>
          <w:sz w:val="24"/>
          <w:szCs w:val="24"/>
        </w:rPr>
        <w:t>8、如果我方的行为符合本招标文件规定的投标保证金不予退还情形的，我方同意不</w:t>
      </w:r>
      <w:r>
        <w:rPr>
          <w:rFonts w:ascii="仿宋" w:hAnsi="仿宋" w:eastAsia="仿宋" w:cs="仿宋"/>
          <w:color w:val="auto"/>
          <w:spacing w:val="17"/>
          <w:sz w:val="24"/>
          <w:szCs w:val="24"/>
        </w:rPr>
        <w:t xml:space="preserve"> </w:t>
      </w:r>
      <w:r>
        <w:rPr>
          <w:rFonts w:ascii="仿宋" w:hAnsi="仿宋" w:eastAsia="仿宋" w:cs="仿宋"/>
          <w:color w:val="auto"/>
          <w:spacing w:val="-5"/>
          <w:sz w:val="24"/>
          <w:szCs w:val="24"/>
        </w:rPr>
        <w:t>退还我方提交的投标保证金。</w:t>
      </w:r>
    </w:p>
    <w:p w14:paraId="01259A94">
      <w:pPr>
        <w:spacing w:before="179" w:line="290" w:lineRule="auto"/>
        <w:ind w:left="27" w:right="118" w:firstLine="464"/>
        <w:rPr>
          <w:rFonts w:ascii="仿宋" w:hAnsi="仿宋" w:eastAsia="仿宋" w:cs="仿宋"/>
          <w:color w:val="auto"/>
          <w:sz w:val="24"/>
          <w:szCs w:val="24"/>
        </w:rPr>
      </w:pPr>
      <w:r>
        <w:rPr>
          <w:rFonts w:ascii="仿宋" w:hAnsi="仿宋" w:eastAsia="仿宋" w:cs="仿宋"/>
          <w:color w:val="auto"/>
          <w:spacing w:val="-4"/>
          <w:sz w:val="24"/>
          <w:szCs w:val="24"/>
        </w:rPr>
        <w:t>9、我方同意按照贵方的要求提供与投标有关的一切数据或资料，理解贵方不一定接</w:t>
      </w:r>
      <w:r>
        <w:rPr>
          <w:rFonts w:ascii="仿宋" w:hAnsi="仿宋" w:eastAsia="仿宋" w:cs="仿宋"/>
          <w:color w:val="auto"/>
          <w:spacing w:val="17"/>
          <w:sz w:val="24"/>
          <w:szCs w:val="24"/>
        </w:rPr>
        <w:t xml:space="preserve"> </w:t>
      </w:r>
      <w:r>
        <w:rPr>
          <w:rFonts w:ascii="仿宋" w:hAnsi="仿宋" w:eastAsia="仿宋" w:cs="仿宋"/>
          <w:color w:val="auto"/>
          <w:spacing w:val="-5"/>
          <w:sz w:val="24"/>
          <w:szCs w:val="24"/>
        </w:rPr>
        <w:t>受最低报价的投标或收到的任何投标。</w:t>
      </w:r>
    </w:p>
    <w:p w14:paraId="2833D93C">
      <w:pPr>
        <w:spacing w:before="176" w:line="290" w:lineRule="auto"/>
        <w:ind w:left="18" w:right="118" w:firstLine="490"/>
        <w:rPr>
          <w:rFonts w:ascii="仿宋" w:hAnsi="仿宋" w:eastAsia="仿宋" w:cs="仿宋"/>
          <w:color w:val="auto"/>
          <w:sz w:val="24"/>
          <w:szCs w:val="24"/>
        </w:rPr>
      </w:pPr>
      <w:r>
        <w:rPr>
          <w:rFonts w:ascii="仿宋" w:hAnsi="仿宋" w:eastAsia="仿宋" w:cs="仿宋"/>
          <w:color w:val="auto"/>
          <w:spacing w:val="-1"/>
          <w:sz w:val="24"/>
          <w:szCs w:val="24"/>
        </w:rPr>
        <w:t>10、我方在此声明，所提交的投标文件及有关资料内容完整、真实和准确，且不存</w:t>
      </w:r>
      <w:r>
        <w:rPr>
          <w:rFonts w:ascii="仿宋" w:hAnsi="仿宋" w:eastAsia="仿宋" w:cs="仿宋"/>
          <w:color w:val="auto"/>
          <w:spacing w:val="9"/>
          <w:sz w:val="24"/>
          <w:szCs w:val="24"/>
        </w:rPr>
        <w:t xml:space="preserve"> </w:t>
      </w:r>
      <w:r>
        <w:rPr>
          <w:rFonts w:ascii="仿宋" w:hAnsi="仿宋" w:eastAsia="仿宋" w:cs="仿宋"/>
          <w:color w:val="auto"/>
          <w:spacing w:val="-4"/>
          <w:sz w:val="24"/>
          <w:szCs w:val="24"/>
        </w:rPr>
        <w:t>在第二章“投标人须知”第</w:t>
      </w:r>
      <w:r>
        <w:rPr>
          <w:rFonts w:ascii="仿宋" w:hAnsi="仿宋" w:eastAsia="仿宋" w:cs="仿宋"/>
          <w:color w:val="auto"/>
          <w:spacing w:val="49"/>
          <w:sz w:val="24"/>
          <w:szCs w:val="24"/>
        </w:rPr>
        <w:t xml:space="preserve"> </w:t>
      </w:r>
      <w:r>
        <w:rPr>
          <w:rFonts w:ascii="仿宋" w:hAnsi="仿宋" w:eastAsia="仿宋" w:cs="仿宋"/>
          <w:color w:val="auto"/>
          <w:spacing w:val="-4"/>
          <w:sz w:val="24"/>
          <w:szCs w:val="24"/>
        </w:rPr>
        <w:t>1.4.3 项规定的任何一种情形。</w:t>
      </w:r>
    </w:p>
    <w:p w14:paraId="7FD6A30F">
      <w:pPr>
        <w:spacing w:before="179" w:line="324" w:lineRule="auto"/>
        <w:ind w:left="18" w:right="118" w:firstLine="490"/>
        <w:rPr>
          <w:rFonts w:ascii="仿宋" w:hAnsi="仿宋" w:eastAsia="仿宋" w:cs="仿宋"/>
          <w:color w:val="auto"/>
          <w:sz w:val="24"/>
          <w:szCs w:val="24"/>
        </w:rPr>
      </w:pPr>
      <w:r>
        <w:rPr>
          <w:rFonts w:ascii="仿宋" w:hAnsi="仿宋" w:eastAsia="仿宋" w:cs="仿宋"/>
          <w:color w:val="auto"/>
          <w:spacing w:val="-1"/>
          <w:sz w:val="24"/>
          <w:szCs w:val="24"/>
        </w:rPr>
        <w:t>11、如果我方被确定为中标人，我方愿意按招标文件的规定交纳履约保证金。我方</w:t>
      </w:r>
      <w:r>
        <w:rPr>
          <w:rFonts w:ascii="仿宋" w:hAnsi="仿宋" w:eastAsia="仿宋" w:cs="仿宋"/>
          <w:color w:val="auto"/>
          <w:spacing w:val="9"/>
          <w:sz w:val="24"/>
          <w:szCs w:val="24"/>
        </w:rPr>
        <w:t xml:space="preserve"> </w:t>
      </w:r>
      <w:r>
        <w:rPr>
          <w:rFonts w:ascii="仿宋" w:hAnsi="仿宋" w:eastAsia="仿宋" w:cs="仿宋"/>
          <w:color w:val="auto"/>
          <w:spacing w:val="-7"/>
          <w:sz w:val="24"/>
          <w:szCs w:val="24"/>
        </w:rPr>
        <w:t>如无不可抗力，放弃中标，或者未履行招标文件、投标文件和合同条款的，一经查实，我</w:t>
      </w:r>
      <w:r>
        <w:rPr>
          <w:rFonts w:ascii="仿宋" w:hAnsi="仿宋" w:eastAsia="仿宋" w:cs="仿宋"/>
          <w:color w:val="auto"/>
          <w:spacing w:val="16"/>
          <w:sz w:val="24"/>
          <w:szCs w:val="24"/>
        </w:rPr>
        <w:t xml:space="preserve"> </w:t>
      </w:r>
      <w:r>
        <w:rPr>
          <w:rFonts w:ascii="仿宋" w:hAnsi="仿宋" w:eastAsia="仿宋" w:cs="仿宋"/>
          <w:color w:val="auto"/>
          <w:spacing w:val="-7"/>
          <w:sz w:val="24"/>
          <w:szCs w:val="24"/>
        </w:rPr>
        <w:t>方愿意赔偿由此而造成的一切损失，并同意接受按相关法律法规和招标文件的相关要求对</w:t>
      </w:r>
      <w:r>
        <w:rPr>
          <w:rFonts w:ascii="仿宋" w:hAnsi="仿宋" w:eastAsia="仿宋" w:cs="仿宋"/>
          <w:color w:val="auto"/>
          <w:spacing w:val="14"/>
          <w:sz w:val="24"/>
          <w:szCs w:val="24"/>
        </w:rPr>
        <w:t xml:space="preserve"> </w:t>
      </w:r>
      <w:r>
        <w:rPr>
          <w:rFonts w:ascii="仿宋" w:hAnsi="仿宋" w:eastAsia="仿宋" w:cs="仿宋"/>
          <w:color w:val="auto"/>
          <w:spacing w:val="-5"/>
          <w:sz w:val="24"/>
          <w:szCs w:val="24"/>
        </w:rPr>
        <w:t>我方进行的处罚。</w:t>
      </w:r>
    </w:p>
    <w:p w14:paraId="4065157E">
      <w:pPr>
        <w:spacing w:before="179" w:line="290" w:lineRule="auto"/>
        <w:ind w:left="44" w:right="118" w:firstLine="464"/>
        <w:rPr>
          <w:rFonts w:ascii="仿宋" w:hAnsi="仿宋" w:eastAsia="仿宋" w:cs="仿宋"/>
          <w:color w:val="auto"/>
          <w:sz w:val="24"/>
          <w:szCs w:val="24"/>
        </w:rPr>
      </w:pPr>
      <w:r>
        <w:rPr>
          <w:rFonts w:ascii="仿宋" w:hAnsi="仿宋" w:eastAsia="仿宋" w:cs="仿宋"/>
          <w:color w:val="auto"/>
          <w:spacing w:val="-1"/>
          <w:sz w:val="24"/>
          <w:szCs w:val="24"/>
        </w:rPr>
        <w:t>12、采购人若需追加采购本项目招标文件所列内容及相关伴随服务的，在不改变合</w:t>
      </w:r>
      <w:r>
        <w:rPr>
          <w:rFonts w:ascii="仿宋" w:hAnsi="仿宋" w:eastAsia="仿宋" w:cs="仿宋"/>
          <w:color w:val="auto"/>
          <w:spacing w:val="9"/>
          <w:sz w:val="24"/>
          <w:szCs w:val="24"/>
        </w:rPr>
        <w:t xml:space="preserve"> </w:t>
      </w:r>
      <w:r>
        <w:rPr>
          <w:rFonts w:ascii="仿宋" w:hAnsi="仿宋" w:eastAsia="仿宋" w:cs="仿宋"/>
          <w:color w:val="auto"/>
          <w:spacing w:val="-4"/>
          <w:sz w:val="24"/>
          <w:szCs w:val="24"/>
        </w:rPr>
        <w:t>同其他实质性条款的前提下，我方将按相同或更</w:t>
      </w:r>
      <w:r>
        <w:rPr>
          <w:rFonts w:ascii="仿宋" w:hAnsi="仿宋" w:eastAsia="仿宋" w:cs="仿宋"/>
          <w:color w:val="auto"/>
          <w:spacing w:val="-5"/>
          <w:sz w:val="24"/>
          <w:szCs w:val="24"/>
        </w:rPr>
        <w:t>优惠的折扣率保证提供服务。</w:t>
      </w:r>
    </w:p>
    <w:p w14:paraId="1A3F2927">
      <w:pPr>
        <w:spacing w:line="290" w:lineRule="auto"/>
        <w:rPr>
          <w:rFonts w:ascii="仿宋" w:hAnsi="仿宋" w:eastAsia="仿宋" w:cs="仿宋"/>
          <w:color w:val="auto"/>
          <w:sz w:val="24"/>
          <w:szCs w:val="24"/>
        </w:rPr>
        <w:sectPr>
          <w:footerReference r:id="rId56" w:type="default"/>
          <w:pgSz w:w="11906" w:h="16839"/>
          <w:pgMar w:top="999" w:right="1246" w:bottom="844" w:left="1418" w:header="698" w:footer="682" w:gutter="0"/>
          <w:pgNumType w:fmt="decimal"/>
          <w:cols w:space="720" w:num="1"/>
        </w:sectPr>
      </w:pPr>
    </w:p>
    <w:p w14:paraId="732CD48D">
      <w:pPr>
        <w:pStyle w:val="3"/>
        <w:spacing w:line="454" w:lineRule="auto"/>
        <w:rPr>
          <w:color w:val="auto"/>
        </w:rPr>
      </w:pPr>
    </w:p>
    <w:p w14:paraId="71EF94AD">
      <w:pPr>
        <w:spacing w:before="78" w:line="352" w:lineRule="auto"/>
        <w:ind w:left="17" w:right="55" w:firstLine="491"/>
        <w:jc w:val="both"/>
        <w:rPr>
          <w:rFonts w:ascii="仿宋" w:hAnsi="仿宋" w:eastAsia="仿宋" w:cs="仿宋"/>
          <w:color w:val="auto"/>
          <w:sz w:val="24"/>
          <w:szCs w:val="24"/>
        </w:rPr>
      </w:pPr>
      <w:r>
        <w:rPr>
          <w:rFonts w:ascii="仿宋" w:hAnsi="仿宋" w:eastAsia="仿宋" w:cs="仿宋"/>
          <w:color w:val="auto"/>
          <w:spacing w:val="-5"/>
          <w:sz w:val="24"/>
          <w:szCs w:val="24"/>
        </w:rPr>
        <w:t>13、我方决不提供虚假资料谋取中标，决不采取不</w:t>
      </w:r>
      <w:r>
        <w:rPr>
          <w:rFonts w:ascii="仿宋" w:hAnsi="仿宋" w:eastAsia="仿宋" w:cs="仿宋"/>
          <w:color w:val="auto"/>
          <w:spacing w:val="-6"/>
          <w:sz w:val="24"/>
          <w:szCs w:val="24"/>
        </w:rPr>
        <w:t>正当手段诋毁、排挤其他投标人，</w:t>
      </w:r>
      <w:r>
        <w:rPr>
          <w:rFonts w:ascii="仿宋" w:hAnsi="仿宋" w:eastAsia="仿宋" w:cs="仿宋"/>
          <w:color w:val="auto"/>
          <w:sz w:val="24"/>
          <w:szCs w:val="24"/>
        </w:rPr>
        <w:t xml:space="preserve"> </w:t>
      </w:r>
      <w:r>
        <w:rPr>
          <w:rFonts w:ascii="仿宋" w:hAnsi="仿宋" w:eastAsia="仿宋" w:cs="仿宋"/>
          <w:color w:val="auto"/>
          <w:spacing w:val="-7"/>
          <w:sz w:val="24"/>
          <w:szCs w:val="24"/>
        </w:rPr>
        <w:t>决不与采购人、采购代理机构或者其它投标人恶意串通，决不向采购人、代理机构工作人</w:t>
      </w:r>
      <w:r>
        <w:rPr>
          <w:rFonts w:ascii="仿宋" w:hAnsi="仿宋" w:eastAsia="仿宋" w:cs="仿宋"/>
          <w:color w:val="auto"/>
          <w:spacing w:val="17"/>
          <w:sz w:val="24"/>
          <w:szCs w:val="24"/>
        </w:rPr>
        <w:t xml:space="preserve"> </w:t>
      </w:r>
      <w:r>
        <w:rPr>
          <w:rFonts w:ascii="仿宋" w:hAnsi="仿宋" w:eastAsia="仿宋" w:cs="仿宋"/>
          <w:color w:val="auto"/>
          <w:spacing w:val="-7"/>
          <w:sz w:val="24"/>
          <w:szCs w:val="24"/>
        </w:rPr>
        <w:t>员和评委进行商业贿赂，决不拒绝相关监管部门的监督检查，不向相关监管部门提供虚假</w:t>
      </w:r>
      <w:r>
        <w:rPr>
          <w:rFonts w:ascii="仿宋" w:hAnsi="仿宋" w:eastAsia="仿宋" w:cs="仿宋"/>
          <w:color w:val="auto"/>
          <w:spacing w:val="15"/>
          <w:sz w:val="24"/>
          <w:szCs w:val="24"/>
        </w:rPr>
        <w:t xml:space="preserve"> </w:t>
      </w:r>
      <w:r>
        <w:rPr>
          <w:rFonts w:ascii="仿宋" w:hAnsi="仿宋" w:eastAsia="仿宋" w:cs="仿宋"/>
          <w:color w:val="auto"/>
          <w:spacing w:val="-7"/>
          <w:sz w:val="24"/>
          <w:szCs w:val="24"/>
        </w:rPr>
        <w:t>情况，如有违反政府采购法律法规的行为，无条件接受贵方及相关监管部门的依法依规处</w:t>
      </w:r>
      <w:r>
        <w:rPr>
          <w:rFonts w:ascii="仿宋" w:hAnsi="仿宋" w:eastAsia="仿宋" w:cs="仿宋"/>
          <w:color w:val="auto"/>
          <w:spacing w:val="17"/>
          <w:sz w:val="24"/>
          <w:szCs w:val="24"/>
        </w:rPr>
        <w:t xml:space="preserve"> </w:t>
      </w:r>
      <w:r>
        <w:rPr>
          <w:rFonts w:ascii="仿宋" w:hAnsi="仿宋" w:eastAsia="仿宋" w:cs="仿宋"/>
          <w:color w:val="auto"/>
          <w:spacing w:val="-9"/>
          <w:sz w:val="24"/>
          <w:szCs w:val="24"/>
        </w:rPr>
        <w:t>罚。</w:t>
      </w:r>
    </w:p>
    <w:p w14:paraId="319BEE2C">
      <w:pPr>
        <w:spacing w:before="38" w:line="348" w:lineRule="auto"/>
        <w:ind w:left="24" w:right="39" w:firstLine="484"/>
        <w:jc w:val="both"/>
        <w:rPr>
          <w:rFonts w:ascii="仿宋" w:hAnsi="仿宋" w:eastAsia="仿宋" w:cs="仿宋"/>
          <w:color w:val="auto"/>
          <w:sz w:val="24"/>
          <w:szCs w:val="24"/>
        </w:rPr>
      </w:pPr>
      <w:r>
        <w:rPr>
          <w:rFonts w:ascii="仿宋" w:hAnsi="仿宋" w:eastAsia="仿宋" w:cs="仿宋"/>
          <w:color w:val="auto"/>
          <w:spacing w:val="-1"/>
          <w:sz w:val="24"/>
          <w:szCs w:val="24"/>
        </w:rPr>
        <w:t>14、本此招标若废标，在收到贵方的通知后，如果我方同意参加贵方组织的本项目</w:t>
      </w:r>
      <w:r>
        <w:rPr>
          <w:rFonts w:ascii="仿宋" w:hAnsi="仿宋" w:eastAsia="仿宋" w:cs="仿宋"/>
          <w:color w:val="auto"/>
          <w:spacing w:val="9"/>
          <w:sz w:val="24"/>
          <w:szCs w:val="24"/>
        </w:rPr>
        <w:t xml:space="preserve"> </w:t>
      </w:r>
      <w:r>
        <w:rPr>
          <w:rFonts w:ascii="仿宋" w:hAnsi="仿宋" w:eastAsia="仿宋" w:cs="仿宋"/>
          <w:color w:val="auto"/>
          <w:spacing w:val="-5"/>
          <w:sz w:val="24"/>
          <w:szCs w:val="24"/>
        </w:rPr>
        <w:t>的竞争性谈判，则本投标函及所有投标文件中声明、授权、承诺、盖章签字等仍然有效。</w:t>
      </w:r>
      <w:r>
        <w:rPr>
          <w:rFonts w:ascii="仿宋" w:hAnsi="仿宋" w:eastAsia="仿宋" w:cs="仿宋"/>
          <w:color w:val="auto"/>
          <w:spacing w:val="10"/>
          <w:sz w:val="24"/>
          <w:szCs w:val="24"/>
        </w:rPr>
        <w:t xml:space="preserve"> </w:t>
      </w:r>
      <w:r>
        <w:rPr>
          <w:rFonts w:ascii="仿宋" w:hAnsi="仿宋" w:eastAsia="仿宋" w:cs="仿宋"/>
          <w:color w:val="auto"/>
          <w:spacing w:val="-4"/>
          <w:sz w:val="24"/>
          <w:szCs w:val="24"/>
        </w:rPr>
        <w:t>我方遵守贵方招标文件关于特殊情形采用竞争性谈判采购的相关规定，并无异议。</w:t>
      </w:r>
    </w:p>
    <w:p w14:paraId="4E7DC805">
      <w:pPr>
        <w:spacing w:before="41" w:line="343" w:lineRule="auto"/>
        <w:ind w:left="1026" w:right="4079" w:hanging="518"/>
        <w:rPr>
          <w:rFonts w:ascii="仿宋" w:hAnsi="仿宋" w:eastAsia="仿宋" w:cs="仿宋"/>
          <w:color w:val="auto"/>
          <w:sz w:val="24"/>
          <w:szCs w:val="24"/>
        </w:rPr>
      </w:pPr>
      <w:r>
        <w:rPr>
          <w:rFonts w:ascii="仿宋" w:hAnsi="仿宋" w:eastAsia="仿宋" w:cs="仿宋"/>
          <w:color w:val="auto"/>
          <w:spacing w:val="-7"/>
          <w:sz w:val="24"/>
          <w:szCs w:val="24"/>
        </w:rPr>
        <w:t>15、与本投标有关的一切正式函件往来请</w:t>
      </w:r>
      <w:r>
        <w:rPr>
          <w:rFonts w:ascii="仿宋" w:hAnsi="仿宋" w:eastAsia="仿宋" w:cs="仿宋"/>
          <w:color w:val="auto"/>
          <w:spacing w:val="-8"/>
          <w:sz w:val="24"/>
          <w:szCs w:val="24"/>
        </w:rPr>
        <w:t>寄：</w:t>
      </w:r>
      <w:r>
        <w:rPr>
          <w:rFonts w:ascii="仿宋" w:hAnsi="仿宋" w:eastAsia="仿宋" w:cs="仿宋"/>
          <w:color w:val="auto"/>
          <w:sz w:val="24"/>
          <w:szCs w:val="24"/>
        </w:rPr>
        <w:t xml:space="preserve"> </w:t>
      </w:r>
      <w:r>
        <w:rPr>
          <w:rFonts w:ascii="仿宋" w:hAnsi="仿宋" w:eastAsia="仿宋" w:cs="仿宋"/>
          <w:color w:val="auto"/>
          <w:spacing w:val="-9"/>
          <w:sz w:val="24"/>
          <w:szCs w:val="24"/>
        </w:rPr>
        <w:t>地址：</w:t>
      </w:r>
      <w:r>
        <w:rPr>
          <w:rFonts w:ascii="仿宋" w:hAnsi="仿宋" w:eastAsia="仿宋" w:cs="仿宋"/>
          <w:color w:val="auto"/>
          <w:spacing w:val="6"/>
          <w:sz w:val="24"/>
          <w:szCs w:val="24"/>
        </w:rPr>
        <w:t xml:space="preserve">                 </w:t>
      </w:r>
      <w:r>
        <w:rPr>
          <w:rFonts w:ascii="仿宋" w:hAnsi="仿宋" w:eastAsia="仿宋" w:cs="仿宋"/>
          <w:color w:val="auto"/>
          <w:spacing w:val="-9"/>
          <w:sz w:val="24"/>
          <w:szCs w:val="24"/>
        </w:rPr>
        <w:t>邮政编码：</w:t>
      </w:r>
    </w:p>
    <w:p w14:paraId="2166EDBD">
      <w:pPr>
        <w:spacing w:before="39" w:line="221" w:lineRule="auto"/>
        <w:ind w:left="1053"/>
        <w:rPr>
          <w:rFonts w:ascii="仿宋" w:hAnsi="仿宋" w:eastAsia="仿宋" w:cs="仿宋"/>
          <w:color w:val="auto"/>
          <w:sz w:val="24"/>
          <w:szCs w:val="24"/>
        </w:rPr>
      </w:pPr>
      <w:r>
        <w:rPr>
          <w:rFonts w:ascii="仿宋" w:hAnsi="仿宋" w:eastAsia="仿宋" w:cs="仿宋"/>
          <w:color w:val="auto"/>
          <w:spacing w:val="-12"/>
          <w:sz w:val="24"/>
          <w:szCs w:val="24"/>
        </w:rPr>
        <w:t>电话：</w:t>
      </w:r>
      <w:r>
        <w:rPr>
          <w:rFonts w:ascii="仿宋" w:hAnsi="仿宋" w:eastAsia="仿宋" w:cs="仿宋"/>
          <w:color w:val="auto"/>
          <w:spacing w:val="5"/>
          <w:sz w:val="24"/>
          <w:szCs w:val="24"/>
        </w:rPr>
        <w:t xml:space="preserve">                 </w:t>
      </w:r>
      <w:r>
        <w:rPr>
          <w:rFonts w:ascii="仿宋" w:hAnsi="仿宋" w:eastAsia="仿宋" w:cs="仿宋"/>
          <w:color w:val="auto"/>
          <w:spacing w:val="-12"/>
          <w:sz w:val="24"/>
          <w:szCs w:val="24"/>
        </w:rPr>
        <w:t>传真：</w:t>
      </w:r>
      <w:r>
        <w:rPr>
          <w:rFonts w:ascii="仿宋" w:hAnsi="仿宋" w:eastAsia="仿宋" w:cs="仿宋"/>
          <w:color w:val="auto"/>
          <w:spacing w:val="6"/>
          <w:sz w:val="24"/>
          <w:szCs w:val="24"/>
        </w:rPr>
        <w:t xml:space="preserve">              </w:t>
      </w:r>
      <w:r>
        <w:rPr>
          <w:rFonts w:ascii="仿宋" w:hAnsi="仿宋" w:eastAsia="仿宋" w:cs="仿宋"/>
          <w:color w:val="auto"/>
          <w:spacing w:val="-12"/>
          <w:sz w:val="24"/>
          <w:szCs w:val="24"/>
        </w:rPr>
        <w:t>电子信箱：</w:t>
      </w:r>
    </w:p>
    <w:p w14:paraId="3FC742C6">
      <w:pPr>
        <w:pStyle w:val="3"/>
        <w:spacing w:line="282" w:lineRule="auto"/>
        <w:rPr>
          <w:color w:val="auto"/>
        </w:rPr>
      </w:pPr>
    </w:p>
    <w:p w14:paraId="62796759">
      <w:pPr>
        <w:pStyle w:val="3"/>
        <w:spacing w:line="283" w:lineRule="auto"/>
        <w:rPr>
          <w:color w:val="auto"/>
        </w:rPr>
      </w:pPr>
    </w:p>
    <w:p w14:paraId="73CB31BF">
      <w:pPr>
        <w:spacing w:before="78" w:line="222" w:lineRule="auto"/>
        <w:ind w:left="15"/>
        <w:rPr>
          <w:rFonts w:ascii="仿宋" w:hAnsi="仿宋" w:eastAsia="仿宋" w:cs="仿宋"/>
          <w:color w:val="auto"/>
          <w:sz w:val="24"/>
          <w:szCs w:val="24"/>
        </w:rPr>
      </w:pPr>
      <w:r>
        <w:rPr>
          <w:rFonts w:ascii="仿宋" w:hAnsi="仿宋" w:eastAsia="仿宋" w:cs="仿宋"/>
          <w:color w:val="auto"/>
          <w:spacing w:val="-5"/>
          <w:sz w:val="24"/>
          <w:szCs w:val="24"/>
        </w:rPr>
        <w:t>投标人（企业电子章</w:t>
      </w:r>
      <w:r>
        <w:rPr>
          <w:rFonts w:ascii="仿宋" w:hAnsi="仿宋" w:eastAsia="仿宋" w:cs="仿宋"/>
          <w:color w:val="auto"/>
          <w:spacing w:val="-68"/>
          <w:sz w:val="24"/>
          <w:szCs w:val="24"/>
        </w:rPr>
        <w:t>）：</w:t>
      </w:r>
    </w:p>
    <w:p w14:paraId="16E273DA">
      <w:pPr>
        <w:pStyle w:val="3"/>
        <w:spacing w:line="280" w:lineRule="auto"/>
        <w:rPr>
          <w:color w:val="auto"/>
        </w:rPr>
      </w:pPr>
    </w:p>
    <w:p w14:paraId="6BC627C0">
      <w:pPr>
        <w:pStyle w:val="3"/>
        <w:spacing w:line="281" w:lineRule="auto"/>
        <w:rPr>
          <w:color w:val="auto"/>
        </w:rPr>
      </w:pPr>
    </w:p>
    <w:p w14:paraId="7CB43F96">
      <w:pPr>
        <w:spacing w:before="78" w:line="222" w:lineRule="auto"/>
        <w:ind w:left="23"/>
        <w:rPr>
          <w:rFonts w:ascii="仿宋" w:hAnsi="仿宋" w:eastAsia="仿宋" w:cs="仿宋"/>
          <w:color w:val="auto"/>
          <w:sz w:val="24"/>
          <w:szCs w:val="24"/>
        </w:rPr>
      </w:pPr>
      <w:r>
        <w:rPr>
          <w:rFonts w:ascii="仿宋" w:hAnsi="仿宋" w:eastAsia="仿宋" w:cs="仿宋"/>
          <w:color w:val="auto"/>
          <w:spacing w:val="-5"/>
          <w:sz w:val="24"/>
          <w:szCs w:val="24"/>
        </w:rPr>
        <w:t>法定代表人（个人电子章</w:t>
      </w:r>
      <w:r>
        <w:rPr>
          <w:rFonts w:ascii="仿宋" w:hAnsi="仿宋" w:eastAsia="仿宋" w:cs="仿宋"/>
          <w:color w:val="auto"/>
          <w:spacing w:val="-67"/>
          <w:w w:val="98"/>
          <w:sz w:val="24"/>
          <w:szCs w:val="24"/>
        </w:rPr>
        <w:t>）：</w:t>
      </w:r>
    </w:p>
    <w:p w14:paraId="19426AA4">
      <w:pPr>
        <w:pStyle w:val="3"/>
        <w:spacing w:line="280" w:lineRule="auto"/>
        <w:rPr>
          <w:color w:val="auto"/>
        </w:rPr>
      </w:pPr>
    </w:p>
    <w:p w14:paraId="3A7E326E">
      <w:pPr>
        <w:pStyle w:val="3"/>
        <w:spacing w:line="280" w:lineRule="auto"/>
        <w:rPr>
          <w:color w:val="auto"/>
        </w:rPr>
      </w:pPr>
    </w:p>
    <w:p w14:paraId="3B74110F">
      <w:pPr>
        <w:spacing w:before="78" w:line="223" w:lineRule="auto"/>
        <w:ind w:left="66"/>
        <w:rPr>
          <w:rFonts w:ascii="仿宋" w:hAnsi="仿宋" w:eastAsia="仿宋" w:cs="仿宋"/>
          <w:color w:val="auto"/>
          <w:sz w:val="24"/>
          <w:szCs w:val="24"/>
        </w:rPr>
      </w:pPr>
      <w:r>
        <w:rPr>
          <w:rFonts w:ascii="仿宋" w:hAnsi="仿宋" w:eastAsia="仿宋" w:cs="仿宋"/>
          <w:color w:val="auto"/>
          <w:spacing w:val="-23"/>
          <w:sz w:val="24"/>
          <w:szCs w:val="24"/>
        </w:rPr>
        <w:t>日期：</w:t>
      </w:r>
    </w:p>
    <w:p w14:paraId="5020B50C">
      <w:pPr>
        <w:spacing w:before="179" w:line="348" w:lineRule="auto"/>
        <w:ind w:left="18" w:right="118" w:firstLine="481"/>
        <w:jc w:val="both"/>
        <w:rPr>
          <w:rFonts w:ascii="仿宋" w:hAnsi="仿宋" w:eastAsia="仿宋" w:cs="仿宋"/>
          <w:color w:val="auto"/>
          <w:sz w:val="24"/>
          <w:szCs w:val="24"/>
        </w:rPr>
      </w:pPr>
      <w:r>
        <w:rPr>
          <w:rFonts w:ascii="仿宋" w:hAnsi="仿宋" w:eastAsia="仿宋" w:cs="仿宋"/>
          <w:color w:val="auto"/>
          <w:spacing w:val="-1"/>
          <w:sz w:val="24"/>
          <w:szCs w:val="24"/>
        </w:rPr>
        <w:t>本投标人承诺：以上地址等信息为邮寄函件的真实有效准确信息，收件人为法定代</w:t>
      </w:r>
      <w:r>
        <w:rPr>
          <w:rFonts w:ascii="仿宋" w:hAnsi="仿宋" w:eastAsia="仿宋" w:cs="仿宋"/>
          <w:color w:val="auto"/>
          <w:spacing w:val="18"/>
          <w:sz w:val="24"/>
          <w:szCs w:val="24"/>
        </w:rPr>
        <w:t xml:space="preserve"> </w:t>
      </w:r>
      <w:r>
        <w:rPr>
          <w:rFonts w:ascii="仿宋" w:hAnsi="仿宋" w:eastAsia="仿宋" w:cs="仿宋"/>
          <w:color w:val="auto"/>
          <w:spacing w:val="-7"/>
          <w:sz w:val="24"/>
          <w:szCs w:val="24"/>
        </w:rPr>
        <w:t>表人或投标人代表。如我方对往来函件拒收，邮寄方可视为已送达，由此造成的一切后果</w:t>
      </w:r>
      <w:r>
        <w:rPr>
          <w:rFonts w:ascii="仿宋" w:hAnsi="仿宋" w:eastAsia="仿宋" w:cs="仿宋"/>
          <w:color w:val="auto"/>
          <w:spacing w:val="14"/>
          <w:sz w:val="24"/>
          <w:szCs w:val="24"/>
        </w:rPr>
        <w:t xml:space="preserve"> </w:t>
      </w:r>
      <w:r>
        <w:rPr>
          <w:rFonts w:ascii="仿宋" w:hAnsi="仿宋" w:eastAsia="仿宋" w:cs="仿宋"/>
          <w:color w:val="auto"/>
          <w:spacing w:val="-5"/>
          <w:sz w:val="24"/>
          <w:szCs w:val="24"/>
        </w:rPr>
        <w:t>由本投标人承担。</w:t>
      </w:r>
    </w:p>
    <w:p w14:paraId="65867828">
      <w:pPr>
        <w:pStyle w:val="3"/>
        <w:spacing w:line="423" w:lineRule="auto"/>
        <w:rPr>
          <w:color w:val="auto"/>
        </w:rPr>
      </w:pPr>
    </w:p>
    <w:p w14:paraId="4EE948EB">
      <w:pPr>
        <w:spacing w:before="79" w:line="220" w:lineRule="auto"/>
        <w:ind w:left="505"/>
        <w:rPr>
          <w:rFonts w:ascii="仿宋" w:hAnsi="仿宋" w:eastAsia="仿宋" w:cs="仿宋"/>
          <w:color w:val="auto"/>
          <w:sz w:val="24"/>
          <w:szCs w:val="24"/>
        </w:rPr>
      </w:pPr>
      <w:r>
        <w:rPr>
          <w:rFonts w:ascii="仿宋" w:hAnsi="仿宋" w:eastAsia="仿宋" w:cs="仿宋"/>
          <w:color w:val="auto"/>
          <w:spacing w:val="-1"/>
          <w:sz w:val="24"/>
          <w:szCs w:val="24"/>
        </w:rPr>
        <w:t>注：除可填报内容外，对本投标函内容的任何实质性修改将被视为非实质性响应投</w:t>
      </w:r>
    </w:p>
    <w:p w14:paraId="79E743A9">
      <w:pPr>
        <w:spacing w:before="179" w:line="222" w:lineRule="auto"/>
        <w:ind w:left="15"/>
        <w:outlineLvl w:val="1"/>
        <w:rPr>
          <w:rFonts w:ascii="仿宋" w:hAnsi="仿宋" w:eastAsia="仿宋" w:cs="仿宋"/>
          <w:color w:val="auto"/>
          <w:sz w:val="24"/>
          <w:szCs w:val="24"/>
        </w:rPr>
      </w:pPr>
      <w:bookmarkStart w:id="20" w:name="_Toc12098"/>
      <w:r>
        <w:rPr>
          <w:rFonts w:ascii="仿宋" w:hAnsi="仿宋" w:eastAsia="仿宋" w:cs="仿宋"/>
          <w:color w:val="auto"/>
          <w:spacing w:val="-4"/>
          <w:sz w:val="24"/>
          <w:szCs w:val="24"/>
        </w:rPr>
        <w:t>标，从而导致该投标被拒绝。</w:t>
      </w:r>
      <w:bookmarkEnd w:id="20"/>
    </w:p>
    <w:p w14:paraId="4F18B717">
      <w:pPr>
        <w:spacing w:line="222" w:lineRule="auto"/>
        <w:rPr>
          <w:rFonts w:ascii="仿宋" w:hAnsi="仿宋" w:eastAsia="仿宋" w:cs="仿宋"/>
          <w:color w:val="auto"/>
          <w:sz w:val="24"/>
          <w:szCs w:val="24"/>
        </w:rPr>
        <w:sectPr>
          <w:footerReference r:id="rId57" w:type="default"/>
          <w:pgSz w:w="11906" w:h="16839"/>
          <w:pgMar w:top="999" w:right="1246" w:bottom="844" w:left="1418" w:header="698" w:footer="682" w:gutter="0"/>
          <w:pgNumType w:fmt="decimal"/>
          <w:cols w:space="720" w:num="1"/>
        </w:sectPr>
      </w:pPr>
    </w:p>
    <w:p w14:paraId="0C5FB6D3">
      <w:pPr>
        <w:pStyle w:val="3"/>
        <w:spacing w:line="418" w:lineRule="auto"/>
        <w:rPr>
          <w:color w:val="auto"/>
        </w:rPr>
      </w:pPr>
    </w:p>
    <w:p w14:paraId="2B5B7297">
      <w:pPr>
        <w:spacing w:before="91" w:line="219" w:lineRule="auto"/>
        <w:ind w:left="33"/>
        <w:rPr>
          <w:rFonts w:ascii="宋体" w:hAnsi="宋体" w:eastAsia="宋体" w:cs="宋体"/>
          <w:color w:val="auto"/>
          <w:sz w:val="28"/>
          <w:szCs w:val="28"/>
        </w:rPr>
      </w:pPr>
      <w:r>
        <w:rPr>
          <w:rFonts w:ascii="宋体" w:hAnsi="宋体" w:eastAsia="宋体" w:cs="宋体"/>
          <w:b/>
          <w:bCs/>
          <w:color w:val="auto"/>
          <w:spacing w:val="-23"/>
          <w:sz w:val="28"/>
          <w:szCs w:val="28"/>
        </w:rPr>
        <w:t>附件2:法定代表人授权书</w:t>
      </w:r>
    </w:p>
    <w:p w14:paraId="677B65CD">
      <w:pPr>
        <w:spacing w:before="133" w:line="223" w:lineRule="auto"/>
        <w:ind w:left="3479"/>
        <w:rPr>
          <w:rFonts w:ascii="仿宋" w:hAnsi="仿宋" w:eastAsia="仿宋" w:cs="仿宋"/>
          <w:color w:val="auto"/>
          <w:sz w:val="28"/>
          <w:szCs w:val="28"/>
        </w:rPr>
      </w:pPr>
      <w:r>
        <w:rPr>
          <w:rFonts w:ascii="仿宋" w:hAnsi="仿宋" w:eastAsia="仿宋" w:cs="仿宋"/>
          <w:color w:val="auto"/>
          <w:spacing w:val="-6"/>
          <w:sz w:val="28"/>
          <w:szCs w:val="28"/>
        </w:rPr>
        <w:t>法定代表人授权书</w:t>
      </w:r>
    </w:p>
    <w:p w14:paraId="3CDDE816">
      <w:pPr>
        <w:spacing w:before="145" w:line="353" w:lineRule="auto"/>
        <w:ind w:left="15" w:right="118" w:firstLine="484"/>
        <w:jc w:val="both"/>
        <w:rPr>
          <w:rFonts w:ascii="仿宋" w:hAnsi="仿宋" w:eastAsia="仿宋" w:cs="仿宋"/>
          <w:color w:val="auto"/>
          <w:spacing w:val="48"/>
          <w:sz w:val="24"/>
          <w:szCs w:val="24"/>
        </w:rPr>
      </w:pPr>
      <w:r>
        <w:rPr>
          <w:rFonts w:ascii="仿宋" w:hAnsi="仿宋" w:eastAsia="仿宋" w:cs="仿宋"/>
          <w:color w:val="auto"/>
          <w:spacing w:val="-3"/>
          <w:sz w:val="24"/>
          <w:szCs w:val="24"/>
        </w:rPr>
        <w:t>本人</w:t>
      </w:r>
      <w:r>
        <w:rPr>
          <w:rFonts w:ascii="仿宋" w:hAnsi="仿宋" w:eastAsia="仿宋" w:cs="仿宋"/>
          <w:color w:val="auto"/>
          <w:spacing w:val="-3"/>
          <w:sz w:val="24"/>
          <w:szCs w:val="24"/>
          <w:u w:val="single" w:color="auto"/>
        </w:rPr>
        <w:t xml:space="preserve">          </w:t>
      </w:r>
      <w:r>
        <w:rPr>
          <w:rFonts w:ascii="仿宋" w:hAnsi="仿宋" w:eastAsia="仿宋" w:cs="仿宋"/>
          <w:color w:val="auto"/>
          <w:spacing w:val="-3"/>
          <w:sz w:val="24"/>
          <w:szCs w:val="24"/>
        </w:rPr>
        <w:t>（姓名）系</w:t>
      </w:r>
      <w:r>
        <w:rPr>
          <w:rFonts w:ascii="仿宋" w:hAnsi="仿宋" w:eastAsia="仿宋" w:cs="仿宋"/>
          <w:color w:val="auto"/>
          <w:spacing w:val="-3"/>
          <w:sz w:val="24"/>
          <w:szCs w:val="24"/>
          <w:u w:val="single" w:color="auto"/>
        </w:rPr>
        <w:t xml:space="preserve">             </w:t>
      </w:r>
      <w:r>
        <w:rPr>
          <w:rFonts w:ascii="仿宋" w:hAnsi="仿宋" w:eastAsia="仿宋" w:cs="仿宋"/>
          <w:color w:val="auto"/>
          <w:spacing w:val="-3"/>
          <w:sz w:val="24"/>
          <w:szCs w:val="24"/>
        </w:rPr>
        <w:t>（投标单位名称）的法定代表人，现授权</w:t>
      </w:r>
      <w:r>
        <w:rPr>
          <w:rFonts w:ascii="仿宋" w:hAnsi="仿宋" w:eastAsia="仿宋" w:cs="仿宋"/>
          <w:color w:val="auto"/>
          <w:spacing w:val="3"/>
          <w:sz w:val="24"/>
          <w:szCs w:val="24"/>
        </w:rPr>
        <w:t xml:space="preserve"> </w:t>
      </w:r>
      <w:r>
        <w:rPr>
          <w:rFonts w:ascii="仿宋" w:hAnsi="仿宋" w:eastAsia="仿宋" w:cs="仿宋"/>
          <w:color w:val="auto"/>
          <w:sz w:val="24"/>
          <w:szCs w:val="24"/>
        </w:rPr>
        <w:t>委托本单位在职员工</w:t>
      </w:r>
      <w:r>
        <w:rPr>
          <w:rFonts w:ascii="仿宋" w:hAnsi="仿宋" w:eastAsia="仿宋" w:cs="仿宋"/>
          <w:color w:val="auto"/>
          <w:spacing w:val="-116"/>
          <w:sz w:val="24"/>
          <w:szCs w:val="24"/>
        </w:rPr>
        <w:t xml:space="preserve"> </w:t>
      </w:r>
      <w:r>
        <w:rPr>
          <w:rFonts w:ascii="仿宋" w:hAnsi="仿宋" w:eastAsia="仿宋" w:cs="仿宋"/>
          <w:color w:val="auto"/>
          <w:spacing w:val="16"/>
          <w:sz w:val="24"/>
          <w:szCs w:val="24"/>
          <w:u w:val="single" w:color="auto"/>
        </w:rPr>
        <w:t xml:space="preserve">       </w:t>
      </w:r>
      <w:r>
        <w:rPr>
          <w:rFonts w:ascii="仿宋" w:hAnsi="仿宋" w:eastAsia="仿宋" w:cs="仿宋"/>
          <w:color w:val="auto"/>
          <w:sz w:val="24"/>
          <w:szCs w:val="24"/>
        </w:rPr>
        <w:t>（姓名，职务</w:t>
      </w:r>
      <w:r>
        <w:rPr>
          <w:rFonts w:ascii="仿宋" w:hAnsi="仿宋" w:eastAsia="仿宋" w:cs="仿宋"/>
          <w:color w:val="auto"/>
          <w:spacing w:val="-68"/>
          <w:w w:val="98"/>
          <w:sz w:val="24"/>
          <w:szCs w:val="24"/>
        </w:rPr>
        <w:t>）（</w:t>
      </w:r>
      <w:r>
        <w:rPr>
          <w:rFonts w:ascii="仿宋" w:hAnsi="仿宋" w:eastAsia="仿宋" w:cs="仿宋"/>
          <w:color w:val="auto"/>
          <w:sz w:val="24"/>
          <w:szCs w:val="24"/>
        </w:rPr>
        <w:t>身份证号码：</w:t>
      </w:r>
      <w:r>
        <w:rPr>
          <w:rFonts w:ascii="仿宋" w:hAnsi="仿宋" w:eastAsia="仿宋" w:cs="仿宋"/>
          <w:color w:val="auto"/>
          <w:spacing w:val="7"/>
          <w:sz w:val="24"/>
          <w:szCs w:val="24"/>
          <w:u w:val="single" w:color="auto"/>
        </w:rPr>
        <w:t xml:space="preserve">              </w:t>
      </w:r>
      <w:r>
        <w:rPr>
          <w:rFonts w:ascii="仿宋" w:hAnsi="仿宋" w:eastAsia="仿宋" w:cs="仿宋"/>
          <w:color w:val="auto"/>
          <w:spacing w:val="-85"/>
          <w:sz w:val="24"/>
          <w:szCs w:val="24"/>
        </w:rPr>
        <w:t xml:space="preserve"> </w:t>
      </w:r>
      <w:r>
        <w:rPr>
          <w:rFonts w:ascii="仿宋" w:hAnsi="仿宋" w:eastAsia="仿宋" w:cs="仿宋"/>
          <w:color w:val="auto"/>
          <w:sz w:val="24"/>
          <w:szCs w:val="24"/>
        </w:rPr>
        <w:t xml:space="preserve">、手机号 </w:t>
      </w:r>
      <w:r>
        <w:rPr>
          <w:rFonts w:ascii="仿宋" w:hAnsi="仿宋" w:eastAsia="仿宋" w:cs="仿宋"/>
          <w:color w:val="auto"/>
          <w:spacing w:val="48"/>
          <w:sz w:val="24"/>
          <w:szCs w:val="24"/>
        </w:rPr>
        <w:t>码</w:t>
      </w:r>
      <w:r>
        <w:rPr>
          <w:rFonts w:ascii="仿宋" w:hAnsi="仿宋" w:eastAsia="仿宋" w:cs="仿宋"/>
          <w:color w:val="auto"/>
          <w:spacing w:val="-31"/>
          <w:sz w:val="24"/>
          <w:szCs w:val="24"/>
        </w:rPr>
        <w:t xml:space="preserve"> ：</w:t>
      </w:r>
      <w:r>
        <w:rPr>
          <w:rFonts w:ascii="仿宋" w:hAnsi="仿宋" w:eastAsia="仿宋" w:cs="仿宋"/>
          <w:color w:val="auto"/>
          <w:spacing w:val="-65"/>
          <w:sz w:val="24"/>
          <w:szCs w:val="24"/>
        </w:rPr>
        <w:t xml:space="preserve"> </w:t>
      </w:r>
      <w:r>
        <w:rPr>
          <w:rFonts w:ascii="仿宋" w:hAnsi="仿宋" w:eastAsia="仿宋" w:cs="仿宋"/>
          <w:color w:val="auto"/>
          <w:spacing w:val="3"/>
          <w:sz w:val="24"/>
          <w:szCs w:val="24"/>
          <w:u w:val="single" w:color="auto"/>
        </w:rPr>
        <w:t xml:space="preserve">                 </w:t>
      </w:r>
      <w:r>
        <w:rPr>
          <w:rFonts w:ascii="仿宋" w:hAnsi="仿宋" w:eastAsia="仿宋" w:cs="仿宋"/>
          <w:color w:val="auto"/>
          <w:spacing w:val="-81"/>
          <w:sz w:val="24"/>
          <w:szCs w:val="24"/>
        </w:rPr>
        <w:t xml:space="preserve"> </w:t>
      </w:r>
      <w:r>
        <w:rPr>
          <w:rFonts w:ascii="仿宋" w:hAnsi="仿宋" w:eastAsia="仿宋" w:cs="仿宋"/>
          <w:color w:val="auto"/>
          <w:spacing w:val="-31"/>
          <w:sz w:val="24"/>
          <w:szCs w:val="24"/>
        </w:rPr>
        <w:t>）</w:t>
      </w:r>
      <w:r>
        <w:rPr>
          <w:rFonts w:ascii="仿宋" w:hAnsi="仿宋" w:eastAsia="仿宋" w:cs="仿宋"/>
          <w:color w:val="auto"/>
          <w:spacing w:val="-45"/>
          <w:sz w:val="24"/>
          <w:szCs w:val="24"/>
        </w:rPr>
        <w:t xml:space="preserve"> </w:t>
      </w:r>
      <w:r>
        <w:rPr>
          <w:rFonts w:ascii="仿宋" w:hAnsi="仿宋" w:eastAsia="仿宋" w:cs="仿宋"/>
          <w:color w:val="auto"/>
          <w:spacing w:val="48"/>
          <w:sz w:val="24"/>
          <w:szCs w:val="24"/>
        </w:rPr>
        <w:t>作为投标人代表以我方的名义参加贵单位组织</w:t>
      </w:r>
    </w:p>
    <w:p w14:paraId="52CE7E4C">
      <w:pPr>
        <w:spacing w:before="145" w:line="353" w:lineRule="auto"/>
        <w:ind w:left="15" w:right="118" w:firstLine="484"/>
        <w:jc w:val="both"/>
        <w:rPr>
          <w:rFonts w:ascii="仿宋" w:hAnsi="仿宋" w:eastAsia="仿宋" w:cs="仿宋"/>
          <w:color w:val="auto"/>
          <w:sz w:val="24"/>
          <w:szCs w:val="24"/>
        </w:rPr>
      </w:pPr>
      <w:r>
        <w:rPr>
          <w:rFonts w:ascii="仿宋" w:hAnsi="仿宋" w:eastAsia="仿宋" w:cs="仿宋"/>
          <w:color w:val="auto"/>
          <w:spacing w:val="48"/>
          <w:sz w:val="24"/>
          <w:szCs w:val="24"/>
        </w:rPr>
        <w:t>的</w:t>
      </w:r>
      <w:r>
        <w:rPr>
          <w:rFonts w:hint="eastAsia" w:ascii="仿宋" w:hAnsi="仿宋" w:eastAsia="仿宋" w:cs="仿宋"/>
          <w:color w:val="auto"/>
          <w:spacing w:val="48"/>
          <w:sz w:val="24"/>
          <w:szCs w:val="24"/>
          <w:u w:val="single"/>
          <w:lang w:val="en-US" w:eastAsia="zh-CN"/>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ascii="仿宋" w:hAnsi="仿宋" w:eastAsia="仿宋" w:cs="仿宋"/>
          <w:color w:val="auto"/>
          <w:spacing w:val="-3"/>
          <w:sz w:val="24"/>
          <w:szCs w:val="24"/>
        </w:rPr>
        <w:t>项目（项目编号</w:t>
      </w:r>
      <w:r>
        <w:rPr>
          <w:rFonts w:ascii="仿宋" w:hAnsi="仿宋" w:eastAsia="仿宋" w:cs="仿宋"/>
          <w:color w:val="auto"/>
          <w:spacing w:val="1"/>
          <w:sz w:val="24"/>
          <w:szCs w:val="24"/>
        </w:rPr>
        <w:t>：</w:t>
      </w:r>
      <w:r>
        <w:rPr>
          <w:rFonts w:ascii="仿宋" w:hAnsi="仿宋" w:eastAsia="仿宋" w:cs="仿宋"/>
          <w:color w:val="auto"/>
          <w:spacing w:val="3"/>
          <w:sz w:val="24"/>
          <w:szCs w:val="24"/>
          <w:u w:val="single" w:color="auto"/>
        </w:rPr>
        <w:t xml:space="preserve">            </w:t>
      </w:r>
      <w:r>
        <w:rPr>
          <w:rFonts w:ascii="仿宋" w:hAnsi="仿宋" w:eastAsia="仿宋" w:cs="仿宋"/>
          <w:color w:val="auto"/>
          <w:spacing w:val="-82"/>
          <w:sz w:val="24"/>
          <w:szCs w:val="24"/>
        </w:rPr>
        <w:t xml:space="preserve"> </w:t>
      </w:r>
      <w:r>
        <w:rPr>
          <w:rFonts w:ascii="仿宋" w:hAnsi="仿宋" w:eastAsia="仿宋" w:cs="仿宋"/>
          <w:color w:val="auto"/>
          <w:spacing w:val="1"/>
          <w:sz w:val="24"/>
          <w:szCs w:val="24"/>
        </w:rPr>
        <w:t>）</w:t>
      </w:r>
      <w:r>
        <w:rPr>
          <w:rFonts w:ascii="仿宋" w:hAnsi="仿宋" w:eastAsia="仿宋" w:cs="仿宋"/>
          <w:color w:val="auto"/>
          <w:spacing w:val="-3"/>
          <w:sz w:val="24"/>
          <w:szCs w:val="24"/>
        </w:rPr>
        <w:t>的投标活动，并代表我方全权处理一切与之有关的具</w:t>
      </w:r>
      <w:r>
        <w:rPr>
          <w:rFonts w:ascii="仿宋" w:hAnsi="仿宋" w:eastAsia="仿宋" w:cs="仿宋"/>
          <w:color w:val="auto"/>
          <w:sz w:val="24"/>
          <w:szCs w:val="24"/>
        </w:rPr>
        <w:t xml:space="preserve"> </w:t>
      </w:r>
      <w:r>
        <w:rPr>
          <w:rFonts w:ascii="仿宋" w:hAnsi="仿宋" w:eastAsia="仿宋" w:cs="仿宋"/>
          <w:color w:val="auto"/>
          <w:spacing w:val="-4"/>
          <w:sz w:val="24"/>
          <w:szCs w:val="24"/>
        </w:rPr>
        <w:t>体事务和签署相关文件，我均予以承认。</w:t>
      </w:r>
    </w:p>
    <w:p w14:paraId="370E5F31">
      <w:pPr>
        <w:spacing w:before="38" w:line="219" w:lineRule="auto"/>
        <w:ind w:left="503"/>
        <w:rPr>
          <w:rFonts w:ascii="仿宋" w:hAnsi="仿宋" w:eastAsia="仿宋" w:cs="仿宋"/>
          <w:color w:val="auto"/>
          <w:sz w:val="24"/>
          <w:szCs w:val="24"/>
        </w:rPr>
      </w:pPr>
      <w:r>
        <w:rPr>
          <w:rFonts w:ascii="仿宋" w:hAnsi="仿宋" w:eastAsia="仿宋" w:cs="仿宋"/>
          <w:color w:val="auto"/>
          <w:spacing w:val="-5"/>
          <w:sz w:val="24"/>
          <w:szCs w:val="24"/>
        </w:rPr>
        <w:t>代理人无权转让委托权。</w:t>
      </w:r>
    </w:p>
    <w:p w14:paraId="398A7019">
      <w:pPr>
        <w:spacing w:before="180" w:line="344" w:lineRule="auto"/>
        <w:ind w:left="497" w:right="4530" w:firstLine="1"/>
        <w:rPr>
          <w:rFonts w:ascii="仿宋" w:hAnsi="仿宋" w:eastAsia="仿宋" w:cs="仿宋"/>
          <w:color w:val="auto"/>
          <w:sz w:val="24"/>
          <w:szCs w:val="24"/>
        </w:rPr>
      </w:pPr>
      <w:r>
        <w:rPr>
          <w:rFonts w:ascii="仿宋" w:hAnsi="仿宋" w:eastAsia="仿宋" w:cs="仿宋"/>
          <w:color w:val="auto"/>
          <w:spacing w:val="-7"/>
          <w:sz w:val="24"/>
          <w:szCs w:val="24"/>
        </w:rPr>
        <w:t>本授权书至投标有效期结束前始终有效。</w:t>
      </w:r>
      <w:r>
        <w:rPr>
          <w:rFonts w:ascii="仿宋" w:hAnsi="仿宋" w:eastAsia="仿宋" w:cs="仿宋"/>
          <w:color w:val="auto"/>
          <w:spacing w:val="15"/>
          <w:sz w:val="24"/>
          <w:szCs w:val="24"/>
        </w:rPr>
        <w:t xml:space="preserve"> </w:t>
      </w:r>
      <w:r>
        <w:rPr>
          <w:rFonts w:ascii="仿宋" w:hAnsi="仿宋" w:eastAsia="仿宋" w:cs="仿宋"/>
          <w:color w:val="auto"/>
          <w:spacing w:val="-5"/>
          <w:sz w:val="24"/>
          <w:szCs w:val="24"/>
        </w:rPr>
        <w:t>特此声明。</w:t>
      </w:r>
    </w:p>
    <w:p w14:paraId="79DB9F36">
      <w:pPr>
        <w:pStyle w:val="3"/>
        <w:spacing w:line="295" w:lineRule="auto"/>
        <w:rPr>
          <w:color w:val="auto"/>
        </w:rPr>
      </w:pPr>
    </w:p>
    <w:p w14:paraId="477A201D">
      <w:pPr>
        <w:pStyle w:val="3"/>
        <w:spacing w:line="296" w:lineRule="auto"/>
        <w:rPr>
          <w:color w:val="auto"/>
        </w:rPr>
      </w:pPr>
    </w:p>
    <w:p w14:paraId="09421D31">
      <w:pPr>
        <w:pStyle w:val="3"/>
        <w:spacing w:line="296" w:lineRule="auto"/>
        <w:rPr>
          <w:color w:val="auto"/>
        </w:rPr>
      </w:pPr>
    </w:p>
    <w:p w14:paraId="14FFFAE3">
      <w:pPr>
        <w:spacing w:before="78" w:line="222" w:lineRule="auto"/>
        <w:ind w:left="497"/>
        <w:rPr>
          <w:rFonts w:ascii="仿宋" w:hAnsi="仿宋" w:eastAsia="仿宋" w:cs="仿宋"/>
          <w:color w:val="auto"/>
          <w:sz w:val="24"/>
          <w:szCs w:val="24"/>
        </w:rPr>
      </w:pPr>
      <w:r>
        <w:rPr>
          <w:rFonts w:ascii="仿宋" w:hAnsi="仿宋" w:eastAsia="仿宋" w:cs="仿宋"/>
          <w:color w:val="auto"/>
          <w:spacing w:val="-5"/>
          <w:sz w:val="24"/>
          <w:szCs w:val="24"/>
        </w:rPr>
        <w:t>投标人（企业电子章</w:t>
      </w:r>
      <w:r>
        <w:rPr>
          <w:rFonts w:ascii="仿宋" w:hAnsi="仿宋" w:eastAsia="仿宋" w:cs="仿宋"/>
          <w:color w:val="auto"/>
          <w:spacing w:val="-68"/>
          <w:sz w:val="24"/>
          <w:szCs w:val="24"/>
        </w:rPr>
        <w:t>）：</w:t>
      </w:r>
    </w:p>
    <w:p w14:paraId="6295CFC3">
      <w:pPr>
        <w:pStyle w:val="3"/>
        <w:spacing w:line="280" w:lineRule="auto"/>
        <w:rPr>
          <w:color w:val="auto"/>
        </w:rPr>
      </w:pPr>
    </w:p>
    <w:p w14:paraId="6DA5508B">
      <w:pPr>
        <w:pStyle w:val="3"/>
        <w:spacing w:line="281" w:lineRule="auto"/>
        <w:rPr>
          <w:color w:val="auto"/>
        </w:rPr>
      </w:pPr>
    </w:p>
    <w:p w14:paraId="25658D48">
      <w:pPr>
        <w:spacing w:before="79" w:line="222" w:lineRule="auto"/>
        <w:ind w:left="506"/>
        <w:rPr>
          <w:rFonts w:ascii="仿宋" w:hAnsi="仿宋" w:eastAsia="仿宋" w:cs="仿宋"/>
          <w:color w:val="auto"/>
          <w:sz w:val="24"/>
          <w:szCs w:val="24"/>
        </w:rPr>
      </w:pPr>
      <w:r>
        <w:rPr>
          <w:rFonts w:ascii="仿宋" w:hAnsi="仿宋" w:eastAsia="仿宋" w:cs="仿宋"/>
          <w:color w:val="auto"/>
          <w:spacing w:val="-5"/>
          <w:sz w:val="24"/>
          <w:szCs w:val="24"/>
        </w:rPr>
        <w:t>法定代表人（个人电子章</w:t>
      </w:r>
      <w:r>
        <w:rPr>
          <w:rFonts w:ascii="仿宋" w:hAnsi="仿宋" w:eastAsia="仿宋" w:cs="仿宋"/>
          <w:color w:val="auto"/>
          <w:spacing w:val="-67"/>
          <w:w w:val="98"/>
          <w:sz w:val="24"/>
          <w:szCs w:val="24"/>
        </w:rPr>
        <w:t>）：</w:t>
      </w:r>
    </w:p>
    <w:p w14:paraId="0A2DD8F5">
      <w:pPr>
        <w:pStyle w:val="3"/>
        <w:spacing w:line="280" w:lineRule="auto"/>
        <w:rPr>
          <w:color w:val="auto"/>
        </w:rPr>
      </w:pPr>
    </w:p>
    <w:p w14:paraId="6BE76668">
      <w:pPr>
        <w:pStyle w:val="3"/>
        <w:spacing w:line="280" w:lineRule="auto"/>
        <w:rPr>
          <w:color w:val="auto"/>
        </w:rPr>
      </w:pPr>
    </w:p>
    <w:p w14:paraId="0E5FF5FB">
      <w:pPr>
        <w:spacing w:before="78" w:line="223" w:lineRule="auto"/>
        <w:ind w:left="549"/>
        <w:outlineLvl w:val="1"/>
        <w:rPr>
          <w:rFonts w:ascii="仿宋" w:hAnsi="仿宋" w:eastAsia="仿宋" w:cs="仿宋"/>
          <w:color w:val="auto"/>
          <w:sz w:val="24"/>
          <w:szCs w:val="24"/>
        </w:rPr>
      </w:pPr>
      <w:bookmarkStart w:id="21" w:name="_Toc16203"/>
      <w:r>
        <w:rPr>
          <w:rFonts w:ascii="仿宋" w:hAnsi="仿宋" w:eastAsia="仿宋" w:cs="仿宋"/>
          <w:color w:val="auto"/>
          <w:spacing w:val="-23"/>
          <w:sz w:val="24"/>
          <w:szCs w:val="24"/>
        </w:rPr>
        <w:t>日期：</w:t>
      </w:r>
      <w:bookmarkEnd w:id="21"/>
    </w:p>
    <w:p w14:paraId="543A507B">
      <w:pPr>
        <w:spacing w:line="223" w:lineRule="auto"/>
        <w:rPr>
          <w:rFonts w:ascii="仿宋" w:hAnsi="仿宋" w:eastAsia="仿宋" w:cs="仿宋"/>
          <w:color w:val="auto"/>
          <w:sz w:val="24"/>
          <w:szCs w:val="24"/>
        </w:rPr>
        <w:sectPr>
          <w:footerReference r:id="rId58" w:type="default"/>
          <w:pgSz w:w="11906" w:h="16839"/>
          <w:pgMar w:top="999" w:right="1246" w:bottom="844" w:left="1418" w:header="698" w:footer="682" w:gutter="0"/>
          <w:pgNumType w:fmt="decimal"/>
          <w:cols w:space="720" w:num="1"/>
        </w:sectPr>
      </w:pPr>
    </w:p>
    <w:p w14:paraId="33784CCC">
      <w:pPr>
        <w:pStyle w:val="3"/>
        <w:spacing w:line="418" w:lineRule="auto"/>
        <w:rPr>
          <w:color w:val="auto"/>
        </w:rPr>
      </w:pPr>
    </w:p>
    <w:p w14:paraId="71AFB4AE">
      <w:pPr>
        <w:spacing w:before="91" w:line="219" w:lineRule="auto"/>
        <w:ind w:left="33"/>
        <w:outlineLvl w:val="1"/>
        <w:rPr>
          <w:rFonts w:ascii="宋体" w:hAnsi="宋体" w:eastAsia="宋体" w:cs="宋体"/>
          <w:color w:val="auto"/>
          <w:sz w:val="28"/>
          <w:szCs w:val="28"/>
        </w:rPr>
      </w:pPr>
      <w:bookmarkStart w:id="22" w:name="_Toc24774"/>
      <w:r>
        <w:rPr>
          <w:rFonts w:ascii="宋体" w:hAnsi="宋体" w:eastAsia="宋体" w:cs="宋体"/>
          <w:b/>
          <w:bCs/>
          <w:color w:val="auto"/>
          <w:spacing w:val="-26"/>
          <w:sz w:val="28"/>
          <w:szCs w:val="28"/>
        </w:rPr>
        <w:t>附件3:法人被授权人身份证扫描件</w:t>
      </w:r>
      <w:bookmarkEnd w:id="22"/>
    </w:p>
    <w:p w14:paraId="78786758">
      <w:pPr>
        <w:pStyle w:val="3"/>
        <w:spacing w:line="269" w:lineRule="auto"/>
        <w:rPr>
          <w:color w:val="auto"/>
        </w:rPr>
      </w:pPr>
    </w:p>
    <w:p w14:paraId="6CCAF849">
      <w:pPr>
        <w:pStyle w:val="3"/>
        <w:spacing w:line="269" w:lineRule="auto"/>
        <w:rPr>
          <w:color w:val="auto"/>
        </w:rPr>
      </w:pPr>
    </w:p>
    <w:p w14:paraId="6342F98D">
      <w:pPr>
        <w:spacing w:before="78" w:line="222" w:lineRule="auto"/>
        <w:ind w:left="26"/>
        <w:rPr>
          <w:rFonts w:ascii="仿宋" w:hAnsi="仿宋" w:eastAsia="仿宋" w:cs="仿宋"/>
          <w:color w:val="auto"/>
          <w:sz w:val="24"/>
          <w:szCs w:val="24"/>
        </w:rPr>
      </w:pPr>
      <w:r>
        <w:rPr>
          <w:rFonts w:ascii="仿宋" w:hAnsi="仿宋" w:eastAsia="仿宋" w:cs="仿宋"/>
          <w:color w:val="auto"/>
          <w:spacing w:val="-5"/>
          <w:sz w:val="24"/>
          <w:szCs w:val="24"/>
        </w:rPr>
        <w:t>1、法定代表人身份证正面和反面扫描件</w:t>
      </w:r>
    </w:p>
    <w:p w14:paraId="1202C1D0">
      <w:pPr>
        <w:pStyle w:val="3"/>
        <w:spacing w:line="261" w:lineRule="auto"/>
        <w:rPr>
          <w:color w:val="auto"/>
        </w:rPr>
      </w:pPr>
    </w:p>
    <w:p w14:paraId="14BA7356">
      <w:pPr>
        <w:pStyle w:val="3"/>
        <w:spacing w:line="261" w:lineRule="auto"/>
        <w:rPr>
          <w:color w:val="auto"/>
        </w:rPr>
      </w:pPr>
    </w:p>
    <w:p w14:paraId="1228F17E">
      <w:pPr>
        <w:pStyle w:val="3"/>
        <w:spacing w:line="261" w:lineRule="auto"/>
        <w:rPr>
          <w:color w:val="auto"/>
        </w:rPr>
      </w:pPr>
    </w:p>
    <w:p w14:paraId="4EC51C7C">
      <w:pPr>
        <w:pStyle w:val="3"/>
        <w:spacing w:line="261" w:lineRule="auto"/>
        <w:rPr>
          <w:color w:val="auto"/>
        </w:rPr>
      </w:pPr>
    </w:p>
    <w:p w14:paraId="2E188F3A">
      <w:pPr>
        <w:pStyle w:val="3"/>
        <w:spacing w:line="261" w:lineRule="auto"/>
        <w:rPr>
          <w:color w:val="auto"/>
        </w:rPr>
      </w:pPr>
    </w:p>
    <w:p w14:paraId="22953105">
      <w:pPr>
        <w:pStyle w:val="3"/>
        <w:spacing w:line="262" w:lineRule="auto"/>
        <w:rPr>
          <w:color w:val="auto"/>
        </w:rPr>
      </w:pPr>
    </w:p>
    <w:p w14:paraId="7A48983D">
      <w:pPr>
        <w:pStyle w:val="3"/>
        <w:spacing w:line="262" w:lineRule="auto"/>
        <w:rPr>
          <w:color w:val="auto"/>
        </w:rPr>
      </w:pPr>
    </w:p>
    <w:p w14:paraId="317D0D16">
      <w:pPr>
        <w:pStyle w:val="3"/>
        <w:spacing w:line="262" w:lineRule="auto"/>
        <w:rPr>
          <w:color w:val="auto"/>
        </w:rPr>
      </w:pPr>
    </w:p>
    <w:p w14:paraId="6D2BCF5D">
      <w:pPr>
        <w:pStyle w:val="3"/>
        <w:spacing w:line="262" w:lineRule="auto"/>
        <w:rPr>
          <w:color w:val="auto"/>
        </w:rPr>
      </w:pPr>
    </w:p>
    <w:p w14:paraId="0A22E777">
      <w:pPr>
        <w:pStyle w:val="3"/>
        <w:spacing w:line="262" w:lineRule="auto"/>
        <w:rPr>
          <w:color w:val="auto"/>
        </w:rPr>
      </w:pPr>
    </w:p>
    <w:p w14:paraId="5E4B4870">
      <w:pPr>
        <w:pStyle w:val="3"/>
        <w:spacing w:line="262" w:lineRule="auto"/>
        <w:rPr>
          <w:color w:val="auto"/>
        </w:rPr>
      </w:pPr>
    </w:p>
    <w:p w14:paraId="65B08150">
      <w:pPr>
        <w:spacing w:before="78" w:line="222" w:lineRule="auto"/>
        <w:ind w:left="11"/>
        <w:rPr>
          <w:rFonts w:ascii="仿宋" w:hAnsi="仿宋" w:eastAsia="仿宋" w:cs="仿宋"/>
          <w:color w:val="auto"/>
          <w:sz w:val="24"/>
          <w:szCs w:val="24"/>
        </w:rPr>
      </w:pPr>
      <w:r>
        <w:rPr>
          <w:rFonts w:ascii="仿宋" w:hAnsi="仿宋" w:eastAsia="仿宋" w:cs="仿宋"/>
          <w:color w:val="auto"/>
          <w:spacing w:val="-4"/>
          <w:sz w:val="24"/>
          <w:szCs w:val="24"/>
        </w:rPr>
        <w:t>2、投标人代表（被授权人）身份证正面和反面扫描件</w:t>
      </w:r>
    </w:p>
    <w:p w14:paraId="2F516F68">
      <w:pPr>
        <w:spacing w:line="222" w:lineRule="auto"/>
        <w:rPr>
          <w:rFonts w:ascii="仿宋" w:hAnsi="仿宋" w:eastAsia="仿宋" w:cs="仿宋"/>
          <w:color w:val="auto"/>
          <w:sz w:val="24"/>
          <w:szCs w:val="24"/>
        </w:rPr>
        <w:sectPr>
          <w:footerReference r:id="rId59" w:type="default"/>
          <w:pgSz w:w="11906" w:h="16839"/>
          <w:pgMar w:top="999" w:right="1246" w:bottom="841" w:left="1418" w:header="698" w:footer="682" w:gutter="0"/>
          <w:pgNumType w:fmt="decimal"/>
          <w:cols w:space="720" w:num="1"/>
        </w:sectPr>
      </w:pPr>
    </w:p>
    <w:p w14:paraId="4BF16EAD">
      <w:pPr>
        <w:pStyle w:val="3"/>
        <w:spacing w:line="418" w:lineRule="auto"/>
        <w:rPr>
          <w:color w:val="auto"/>
        </w:rPr>
      </w:pPr>
    </w:p>
    <w:p w14:paraId="12B18558">
      <w:pPr>
        <w:spacing w:before="91" w:line="219" w:lineRule="auto"/>
        <w:ind w:left="33"/>
        <w:rPr>
          <w:rFonts w:ascii="宋体" w:hAnsi="宋体" w:eastAsia="宋体" w:cs="宋体"/>
          <w:color w:val="auto"/>
          <w:sz w:val="28"/>
          <w:szCs w:val="28"/>
        </w:rPr>
      </w:pPr>
      <w:r>
        <w:rPr>
          <w:rFonts w:ascii="宋体" w:hAnsi="宋体" w:eastAsia="宋体" w:cs="宋体"/>
          <w:b/>
          <w:bCs/>
          <w:color w:val="auto"/>
          <w:spacing w:val="-22"/>
          <w:sz w:val="28"/>
          <w:szCs w:val="28"/>
        </w:rPr>
        <w:t>附件4:资格证明材料</w:t>
      </w:r>
    </w:p>
    <w:p w14:paraId="291D8E4C">
      <w:pPr>
        <w:spacing w:before="124" w:line="220" w:lineRule="auto"/>
        <w:ind w:left="3789"/>
        <w:rPr>
          <w:rFonts w:ascii="仿宋" w:hAnsi="仿宋" w:eastAsia="仿宋" w:cs="仿宋"/>
          <w:color w:val="auto"/>
          <w:sz w:val="30"/>
          <w:szCs w:val="30"/>
        </w:rPr>
      </w:pPr>
      <w:r>
        <w:rPr>
          <w:rFonts w:ascii="仿宋" w:hAnsi="仿宋" w:eastAsia="仿宋" w:cs="仿宋"/>
          <w:color w:val="auto"/>
          <w:spacing w:val="-27"/>
          <w:sz w:val="30"/>
          <w:szCs w:val="30"/>
        </w:rPr>
        <w:t>资格证明材料</w:t>
      </w:r>
    </w:p>
    <w:p w14:paraId="368F7FAC">
      <w:pPr>
        <w:pStyle w:val="3"/>
        <w:spacing w:line="274" w:lineRule="auto"/>
        <w:rPr>
          <w:color w:val="auto"/>
        </w:rPr>
      </w:pPr>
    </w:p>
    <w:p w14:paraId="5EE2443F">
      <w:pPr>
        <w:pStyle w:val="3"/>
        <w:spacing w:line="275" w:lineRule="auto"/>
        <w:rPr>
          <w:color w:val="auto"/>
        </w:rPr>
      </w:pPr>
    </w:p>
    <w:p w14:paraId="549213EA">
      <w:pPr>
        <w:spacing w:before="65" w:line="230" w:lineRule="auto"/>
        <w:ind w:left="504"/>
        <w:rPr>
          <w:rFonts w:ascii="仿宋" w:hAnsi="仿宋" w:eastAsia="仿宋" w:cs="仿宋"/>
          <w:color w:val="auto"/>
          <w:sz w:val="20"/>
          <w:szCs w:val="20"/>
        </w:rPr>
      </w:pPr>
      <w:r>
        <w:rPr>
          <w:rFonts w:ascii="仿宋" w:hAnsi="仿宋" w:eastAsia="仿宋" w:cs="仿宋"/>
          <w:color w:val="auto"/>
          <w:spacing w:val="-20"/>
          <w:sz w:val="20"/>
          <w:szCs w:val="20"/>
        </w:rPr>
        <w:t>包括但不限于营业执照、信用承诺函。</w:t>
      </w:r>
    </w:p>
    <w:p w14:paraId="04CECE78">
      <w:pPr>
        <w:pStyle w:val="3"/>
        <w:spacing w:line="269" w:lineRule="auto"/>
        <w:rPr>
          <w:color w:val="auto"/>
        </w:rPr>
      </w:pPr>
    </w:p>
    <w:p w14:paraId="79B19F91">
      <w:pPr>
        <w:pStyle w:val="3"/>
        <w:spacing w:line="269" w:lineRule="auto"/>
        <w:rPr>
          <w:color w:val="auto"/>
        </w:rPr>
      </w:pPr>
    </w:p>
    <w:p w14:paraId="1876062F">
      <w:pPr>
        <w:pStyle w:val="3"/>
        <w:spacing w:line="270" w:lineRule="auto"/>
        <w:rPr>
          <w:color w:val="auto"/>
        </w:rPr>
      </w:pPr>
    </w:p>
    <w:p w14:paraId="11D1B6EA">
      <w:pPr>
        <w:pStyle w:val="3"/>
        <w:spacing w:line="270" w:lineRule="auto"/>
        <w:rPr>
          <w:color w:val="auto"/>
        </w:rPr>
      </w:pPr>
    </w:p>
    <w:p w14:paraId="4E316BE9">
      <w:pPr>
        <w:spacing w:before="65" w:line="228" w:lineRule="auto"/>
        <w:ind w:left="502"/>
        <w:rPr>
          <w:rFonts w:ascii="仿宋" w:hAnsi="仿宋" w:eastAsia="仿宋" w:cs="仿宋"/>
          <w:color w:val="auto"/>
          <w:sz w:val="20"/>
          <w:szCs w:val="20"/>
        </w:rPr>
      </w:pPr>
      <w:r>
        <w:rPr>
          <w:rFonts w:ascii="仿宋" w:hAnsi="仿宋" w:eastAsia="仿宋" w:cs="仿宋"/>
          <w:color w:val="auto"/>
          <w:spacing w:val="-19"/>
          <w:sz w:val="20"/>
          <w:szCs w:val="20"/>
        </w:rPr>
        <w:t>注：在投标文件中附扫描件</w:t>
      </w:r>
    </w:p>
    <w:p w14:paraId="59CF1CEA">
      <w:pPr>
        <w:spacing w:line="228" w:lineRule="auto"/>
        <w:rPr>
          <w:rFonts w:ascii="仿宋" w:hAnsi="仿宋" w:eastAsia="仿宋" w:cs="仿宋"/>
          <w:color w:val="auto"/>
          <w:sz w:val="20"/>
          <w:szCs w:val="20"/>
        </w:rPr>
        <w:sectPr>
          <w:footerReference r:id="rId60" w:type="default"/>
          <w:pgSz w:w="11906" w:h="16839"/>
          <w:pgMar w:top="999" w:right="1246" w:bottom="844" w:left="1418" w:header="698" w:footer="682" w:gutter="0"/>
          <w:pgNumType w:fmt="decimal"/>
          <w:cols w:space="720" w:num="1"/>
        </w:sectPr>
      </w:pPr>
    </w:p>
    <w:p w14:paraId="69D53A77">
      <w:pPr>
        <w:pStyle w:val="3"/>
        <w:spacing w:line="399" w:lineRule="auto"/>
        <w:rPr>
          <w:color w:val="auto"/>
        </w:rPr>
      </w:pPr>
    </w:p>
    <w:p w14:paraId="6514B8DE">
      <w:pPr>
        <w:spacing w:before="98" w:line="222" w:lineRule="auto"/>
        <w:ind w:left="2564"/>
        <w:rPr>
          <w:rFonts w:ascii="仿宋" w:hAnsi="仿宋" w:eastAsia="仿宋" w:cs="仿宋"/>
          <w:color w:val="auto"/>
          <w:sz w:val="30"/>
          <w:szCs w:val="30"/>
        </w:rPr>
      </w:pPr>
      <w:r>
        <w:rPr>
          <w:rFonts w:ascii="仿宋" w:hAnsi="仿宋" w:eastAsia="仿宋" w:cs="仿宋"/>
          <w:color w:val="auto"/>
          <w:spacing w:val="-29"/>
          <w:sz w:val="30"/>
          <w:szCs w:val="30"/>
        </w:rPr>
        <w:t>洛阳市政府采购供应商信用承诺函</w:t>
      </w:r>
    </w:p>
    <w:p w14:paraId="75878F52">
      <w:pPr>
        <w:pStyle w:val="3"/>
        <w:spacing w:line="260" w:lineRule="auto"/>
        <w:rPr>
          <w:color w:val="auto"/>
        </w:rPr>
      </w:pPr>
    </w:p>
    <w:p w14:paraId="37FDD53D">
      <w:pPr>
        <w:pStyle w:val="3"/>
        <w:spacing w:line="261" w:lineRule="auto"/>
        <w:rPr>
          <w:color w:val="auto"/>
        </w:rPr>
      </w:pPr>
    </w:p>
    <w:p w14:paraId="67D65E20">
      <w:pPr>
        <w:spacing w:before="78" w:line="343" w:lineRule="auto"/>
        <w:ind w:left="20" w:right="6138" w:hanging="1"/>
        <w:rPr>
          <w:rFonts w:ascii="仿宋" w:hAnsi="仿宋" w:eastAsia="仿宋" w:cs="仿宋"/>
          <w:color w:val="auto"/>
          <w:sz w:val="24"/>
          <w:szCs w:val="24"/>
        </w:rPr>
      </w:pPr>
      <w:r>
        <w:rPr>
          <w:rFonts w:ascii="仿宋" w:hAnsi="仿宋" w:eastAsia="仿宋" w:cs="仿宋"/>
          <w:color w:val="auto"/>
          <w:spacing w:val="-28"/>
          <w:sz w:val="24"/>
          <w:szCs w:val="24"/>
        </w:rPr>
        <w:t>致</w:t>
      </w:r>
      <w:r>
        <w:rPr>
          <w:rFonts w:ascii="仿宋" w:hAnsi="仿宋" w:eastAsia="仿宋" w:cs="仿宋"/>
          <w:color w:val="auto"/>
          <w:spacing w:val="-47"/>
          <w:sz w:val="24"/>
          <w:szCs w:val="24"/>
        </w:rPr>
        <w:t xml:space="preserve"> </w:t>
      </w:r>
      <w:r>
        <w:rPr>
          <w:rFonts w:ascii="仿宋" w:hAnsi="仿宋" w:eastAsia="仿宋" w:cs="仿宋"/>
          <w:color w:val="auto"/>
          <w:spacing w:val="-28"/>
          <w:sz w:val="24"/>
          <w:szCs w:val="24"/>
          <w:u w:val="single" w:color="auto"/>
        </w:rPr>
        <w:t>（采购人或采购代理机构</w:t>
      </w:r>
      <w:r>
        <w:rPr>
          <w:rFonts w:ascii="仿宋" w:hAnsi="仿宋" w:eastAsia="仿宋" w:cs="仿宋"/>
          <w:color w:val="auto"/>
          <w:spacing w:val="-59"/>
          <w:sz w:val="24"/>
          <w:szCs w:val="24"/>
          <w:u w:val="single" w:color="auto"/>
        </w:rPr>
        <w:t>）</w:t>
      </w:r>
      <w:r>
        <w:rPr>
          <w:rFonts w:ascii="仿宋" w:hAnsi="仿宋" w:eastAsia="仿宋" w:cs="仿宋"/>
          <w:color w:val="auto"/>
          <w:spacing w:val="-17"/>
          <w:sz w:val="24"/>
          <w:szCs w:val="24"/>
        </w:rPr>
        <w:t xml:space="preserve"> </w:t>
      </w:r>
      <w:r>
        <w:rPr>
          <w:rFonts w:ascii="仿宋" w:hAnsi="仿宋" w:eastAsia="仿宋" w:cs="仿宋"/>
          <w:color w:val="auto"/>
          <w:spacing w:val="-59"/>
          <w:sz w:val="24"/>
          <w:szCs w:val="24"/>
        </w:rPr>
        <w:t>：</w:t>
      </w:r>
      <w:r>
        <w:rPr>
          <w:rFonts w:ascii="仿宋" w:hAnsi="仿宋" w:eastAsia="仿宋" w:cs="仿宋"/>
          <w:color w:val="auto"/>
          <w:sz w:val="24"/>
          <w:szCs w:val="24"/>
        </w:rPr>
        <w:t xml:space="preserve"> </w:t>
      </w:r>
      <w:r>
        <w:rPr>
          <w:rFonts w:ascii="仿宋" w:hAnsi="仿宋" w:eastAsia="仿宋" w:cs="仿宋"/>
          <w:color w:val="auto"/>
          <w:spacing w:val="-31"/>
          <w:sz w:val="24"/>
          <w:szCs w:val="24"/>
        </w:rPr>
        <w:t>单位名称（自然人姓名</w:t>
      </w:r>
      <w:r>
        <w:rPr>
          <w:rFonts w:ascii="仿宋" w:hAnsi="仿宋" w:eastAsia="仿宋" w:cs="仿宋"/>
          <w:color w:val="auto"/>
          <w:spacing w:val="-11"/>
          <w:sz w:val="24"/>
          <w:szCs w:val="24"/>
        </w:rPr>
        <w:t>）：</w:t>
      </w:r>
    </w:p>
    <w:p w14:paraId="3DBFC24F">
      <w:pPr>
        <w:spacing w:before="39" w:line="346" w:lineRule="auto"/>
        <w:ind w:left="23" w:right="5927" w:hanging="2"/>
        <w:rPr>
          <w:rFonts w:ascii="仿宋" w:hAnsi="仿宋" w:eastAsia="仿宋" w:cs="仿宋"/>
          <w:color w:val="auto"/>
          <w:sz w:val="24"/>
          <w:szCs w:val="24"/>
        </w:rPr>
      </w:pPr>
      <w:r>
        <w:rPr>
          <w:rFonts w:ascii="仿宋" w:hAnsi="仿宋" w:eastAsia="仿宋" w:cs="仿宋"/>
          <w:color w:val="auto"/>
          <w:spacing w:val="-31"/>
          <w:sz w:val="24"/>
          <w:szCs w:val="24"/>
        </w:rPr>
        <w:t>统一社会信用代码（身份证号码</w:t>
      </w:r>
      <w:r>
        <w:rPr>
          <w:rFonts w:ascii="仿宋" w:hAnsi="仿宋" w:eastAsia="仿宋" w:cs="仿宋"/>
          <w:color w:val="auto"/>
          <w:spacing w:val="-58"/>
          <w:sz w:val="24"/>
          <w:szCs w:val="24"/>
        </w:rPr>
        <w:t>）：</w:t>
      </w:r>
      <w:r>
        <w:rPr>
          <w:rFonts w:ascii="仿宋" w:hAnsi="仿宋" w:eastAsia="仿宋" w:cs="仿宋"/>
          <w:color w:val="auto"/>
          <w:spacing w:val="1"/>
          <w:sz w:val="24"/>
          <w:szCs w:val="24"/>
        </w:rPr>
        <w:t xml:space="preserve"> </w:t>
      </w:r>
      <w:r>
        <w:rPr>
          <w:rFonts w:ascii="仿宋" w:hAnsi="仿宋" w:eastAsia="仿宋" w:cs="仿宋"/>
          <w:color w:val="auto"/>
          <w:spacing w:val="-31"/>
          <w:sz w:val="24"/>
          <w:szCs w:val="24"/>
        </w:rPr>
        <w:t>法定代表人（负责人</w:t>
      </w:r>
      <w:r>
        <w:rPr>
          <w:rFonts w:ascii="仿宋" w:hAnsi="仿宋" w:eastAsia="仿宋" w:cs="仿宋"/>
          <w:color w:val="auto"/>
          <w:spacing w:val="-12"/>
          <w:sz w:val="24"/>
          <w:szCs w:val="24"/>
        </w:rPr>
        <w:t>）：</w:t>
      </w:r>
    </w:p>
    <w:p w14:paraId="70C73C5D">
      <w:pPr>
        <w:spacing w:before="35" w:line="223" w:lineRule="auto"/>
        <w:ind w:left="13"/>
        <w:rPr>
          <w:rFonts w:ascii="仿宋" w:hAnsi="仿宋" w:eastAsia="仿宋" w:cs="仿宋"/>
          <w:color w:val="auto"/>
          <w:sz w:val="24"/>
          <w:szCs w:val="24"/>
        </w:rPr>
      </w:pPr>
      <w:r>
        <w:rPr>
          <w:rFonts w:ascii="仿宋" w:hAnsi="仿宋" w:eastAsia="仿宋" w:cs="仿宋"/>
          <w:color w:val="auto"/>
          <w:spacing w:val="-26"/>
          <w:sz w:val="24"/>
          <w:szCs w:val="24"/>
        </w:rPr>
        <w:t>联系地址和电话：</w:t>
      </w:r>
    </w:p>
    <w:p w14:paraId="0A5F578B">
      <w:pPr>
        <w:spacing w:before="176" w:line="342" w:lineRule="auto"/>
        <w:ind w:left="20" w:right="91" w:firstLine="422"/>
        <w:rPr>
          <w:rFonts w:ascii="仿宋" w:hAnsi="仿宋" w:eastAsia="仿宋" w:cs="仿宋"/>
          <w:color w:val="auto"/>
          <w:sz w:val="24"/>
          <w:szCs w:val="24"/>
        </w:rPr>
      </w:pPr>
      <w:r>
        <w:rPr>
          <w:rFonts w:ascii="仿宋" w:hAnsi="仿宋" w:eastAsia="仿宋" w:cs="仿宋"/>
          <w:color w:val="auto"/>
          <w:spacing w:val="-37"/>
          <w:sz w:val="24"/>
          <w:szCs w:val="24"/>
        </w:rPr>
        <w:t>为维护公平、公正、公开的政府采购市场秩</w:t>
      </w:r>
      <w:r>
        <w:rPr>
          <w:rFonts w:ascii="仿宋" w:hAnsi="仿宋" w:eastAsia="仿宋" w:cs="仿宋"/>
          <w:color w:val="auto"/>
          <w:spacing w:val="-38"/>
          <w:sz w:val="24"/>
          <w:szCs w:val="24"/>
        </w:rPr>
        <w:t>序，树立诚实守信的政府采购供应商形象，我单位（本</w:t>
      </w:r>
      <w:r>
        <w:rPr>
          <w:rFonts w:ascii="仿宋" w:hAnsi="仿宋" w:eastAsia="仿宋" w:cs="仿宋"/>
          <w:color w:val="auto"/>
          <w:sz w:val="24"/>
          <w:szCs w:val="24"/>
        </w:rPr>
        <w:t xml:space="preserve"> </w:t>
      </w:r>
      <w:r>
        <w:rPr>
          <w:rFonts w:ascii="仿宋" w:hAnsi="仿宋" w:eastAsia="仿宋" w:cs="仿宋"/>
          <w:color w:val="auto"/>
          <w:spacing w:val="-28"/>
          <w:sz w:val="24"/>
          <w:szCs w:val="24"/>
        </w:rPr>
        <w:t>人）自愿作出以下承诺：</w:t>
      </w:r>
    </w:p>
    <w:p w14:paraId="7D08E527">
      <w:pPr>
        <w:spacing w:before="41" w:line="313" w:lineRule="auto"/>
        <w:ind w:left="22" w:right="79" w:firstLine="414"/>
        <w:rPr>
          <w:rFonts w:ascii="仿宋" w:hAnsi="仿宋" w:eastAsia="仿宋" w:cs="仿宋"/>
          <w:color w:val="auto"/>
          <w:sz w:val="24"/>
          <w:szCs w:val="24"/>
        </w:rPr>
      </w:pPr>
      <w:r>
        <w:rPr>
          <w:rFonts w:ascii="仿宋" w:hAnsi="仿宋" w:eastAsia="仿宋" w:cs="仿宋"/>
          <w:color w:val="auto"/>
          <w:spacing w:val="-33"/>
          <w:sz w:val="24"/>
          <w:szCs w:val="24"/>
        </w:rPr>
        <w:t>一、我单位（本人）自愿参加本次政府采购活动，严格遵守《中华人民共和国政府采购法》及相</w:t>
      </w:r>
      <w:r>
        <w:rPr>
          <w:rFonts w:ascii="仿宋" w:hAnsi="仿宋" w:eastAsia="仿宋" w:cs="仿宋"/>
          <w:color w:val="auto"/>
          <w:spacing w:val="16"/>
          <w:sz w:val="24"/>
          <w:szCs w:val="24"/>
        </w:rPr>
        <w:t xml:space="preserve"> </w:t>
      </w:r>
      <w:r>
        <w:rPr>
          <w:rFonts w:ascii="仿宋" w:hAnsi="仿宋" w:eastAsia="仿宋" w:cs="仿宋"/>
          <w:color w:val="auto"/>
          <w:spacing w:val="-32"/>
          <w:sz w:val="24"/>
          <w:szCs w:val="24"/>
        </w:rPr>
        <w:t>关法律法规，依法诚信经营，无条件遵守本次政府采购活动的各项</w:t>
      </w:r>
      <w:r>
        <w:rPr>
          <w:rFonts w:ascii="仿宋" w:hAnsi="仿宋" w:eastAsia="仿宋" w:cs="仿宋"/>
          <w:color w:val="auto"/>
          <w:spacing w:val="-33"/>
          <w:sz w:val="24"/>
          <w:szCs w:val="24"/>
        </w:rPr>
        <w:t>规定。我单位（本人）郑重承诺，</w:t>
      </w:r>
      <w:r>
        <w:rPr>
          <w:rFonts w:ascii="仿宋" w:hAnsi="仿宋" w:eastAsia="仿宋" w:cs="仿宋"/>
          <w:color w:val="auto"/>
          <w:sz w:val="24"/>
          <w:szCs w:val="24"/>
        </w:rPr>
        <w:t xml:space="preserve"> </w:t>
      </w:r>
      <w:r>
        <w:rPr>
          <w:rFonts w:ascii="仿宋" w:hAnsi="仿宋" w:eastAsia="仿宋" w:cs="仿宋"/>
          <w:color w:val="auto"/>
          <w:spacing w:val="-32"/>
          <w:sz w:val="24"/>
          <w:szCs w:val="24"/>
        </w:rPr>
        <w:t>我单位（本人）符合《中华人民共和国政府采购法》第二十二条规</w:t>
      </w:r>
      <w:r>
        <w:rPr>
          <w:rFonts w:ascii="仿宋" w:hAnsi="仿宋" w:eastAsia="仿宋" w:cs="仿宋"/>
          <w:color w:val="auto"/>
          <w:spacing w:val="-33"/>
          <w:sz w:val="24"/>
          <w:szCs w:val="24"/>
        </w:rPr>
        <w:t>定和采购文件、本承诺书的条件：</w:t>
      </w:r>
    </w:p>
    <w:p w14:paraId="3BC7C64F">
      <w:pPr>
        <w:spacing w:before="177" w:line="222" w:lineRule="auto"/>
        <w:ind w:left="230"/>
        <w:rPr>
          <w:rFonts w:ascii="仿宋" w:hAnsi="仿宋" w:eastAsia="仿宋" w:cs="仿宋"/>
          <w:color w:val="auto"/>
          <w:sz w:val="24"/>
          <w:szCs w:val="24"/>
        </w:rPr>
      </w:pPr>
      <w:r>
        <w:rPr>
          <w:rFonts w:ascii="仿宋" w:hAnsi="仿宋" w:eastAsia="仿宋" w:cs="仿宋"/>
          <w:color w:val="auto"/>
          <w:spacing w:val="-29"/>
          <w:sz w:val="24"/>
          <w:szCs w:val="24"/>
        </w:rPr>
        <w:t>（一）具有独立承担民事责任的能力；</w:t>
      </w:r>
    </w:p>
    <w:p w14:paraId="7C11A3FF">
      <w:pPr>
        <w:spacing w:before="177" w:line="222" w:lineRule="auto"/>
        <w:ind w:left="230"/>
        <w:rPr>
          <w:rFonts w:ascii="仿宋" w:hAnsi="仿宋" w:eastAsia="仿宋" w:cs="仿宋"/>
          <w:color w:val="auto"/>
          <w:sz w:val="24"/>
          <w:szCs w:val="24"/>
        </w:rPr>
      </w:pPr>
      <w:r>
        <w:rPr>
          <w:rFonts w:ascii="仿宋" w:hAnsi="仿宋" w:eastAsia="仿宋" w:cs="仿宋"/>
          <w:color w:val="auto"/>
          <w:spacing w:val="-30"/>
          <w:sz w:val="24"/>
          <w:szCs w:val="24"/>
        </w:rPr>
        <w:t>（二）具有良好的商业信誉和健全的财务会计制度；</w:t>
      </w:r>
    </w:p>
    <w:p w14:paraId="17C146A6">
      <w:pPr>
        <w:spacing w:before="177" w:line="221" w:lineRule="auto"/>
        <w:ind w:left="230"/>
        <w:rPr>
          <w:rFonts w:ascii="仿宋" w:hAnsi="仿宋" w:eastAsia="仿宋" w:cs="仿宋"/>
          <w:color w:val="auto"/>
          <w:sz w:val="24"/>
          <w:szCs w:val="24"/>
        </w:rPr>
      </w:pPr>
      <w:r>
        <w:rPr>
          <w:rFonts w:ascii="仿宋" w:hAnsi="仿宋" w:eastAsia="仿宋" w:cs="仿宋"/>
          <w:color w:val="auto"/>
          <w:spacing w:val="-30"/>
          <w:sz w:val="24"/>
          <w:szCs w:val="24"/>
        </w:rPr>
        <w:t>（三）具有履行合同所必需的设备和专业技术能力；</w:t>
      </w:r>
    </w:p>
    <w:p w14:paraId="24E0BA26">
      <w:pPr>
        <w:spacing w:before="179" w:line="221" w:lineRule="auto"/>
        <w:ind w:left="230"/>
        <w:rPr>
          <w:rFonts w:ascii="仿宋" w:hAnsi="仿宋" w:eastAsia="仿宋" w:cs="仿宋"/>
          <w:color w:val="auto"/>
          <w:sz w:val="24"/>
          <w:szCs w:val="24"/>
        </w:rPr>
      </w:pPr>
      <w:r>
        <w:rPr>
          <w:rFonts w:ascii="仿宋" w:hAnsi="仿宋" w:eastAsia="仿宋" w:cs="仿宋"/>
          <w:color w:val="auto"/>
          <w:spacing w:val="-30"/>
          <w:sz w:val="24"/>
          <w:szCs w:val="24"/>
        </w:rPr>
        <w:t>（四）有依法缴纳税收和社会保障资金的良好记录；</w:t>
      </w:r>
    </w:p>
    <w:p w14:paraId="502986BE">
      <w:pPr>
        <w:spacing w:before="179" w:line="219" w:lineRule="auto"/>
        <w:ind w:left="230"/>
        <w:rPr>
          <w:rFonts w:ascii="仿宋" w:hAnsi="仿宋" w:eastAsia="仿宋" w:cs="仿宋"/>
          <w:color w:val="auto"/>
          <w:sz w:val="24"/>
          <w:szCs w:val="24"/>
        </w:rPr>
      </w:pPr>
      <w:r>
        <w:rPr>
          <w:rFonts w:ascii="仿宋" w:hAnsi="仿宋" w:eastAsia="仿宋" w:cs="仿宋"/>
          <w:color w:val="auto"/>
          <w:spacing w:val="-30"/>
          <w:sz w:val="24"/>
          <w:szCs w:val="24"/>
        </w:rPr>
        <w:t>（五）参加政府采购活动前三年内，在经营活动中没有重大违法记录；</w:t>
      </w:r>
    </w:p>
    <w:p w14:paraId="390867FB">
      <w:pPr>
        <w:spacing w:before="181" w:line="290" w:lineRule="auto"/>
        <w:ind w:left="21" w:right="91" w:firstLine="208"/>
        <w:rPr>
          <w:rFonts w:ascii="仿宋" w:hAnsi="仿宋" w:eastAsia="仿宋" w:cs="仿宋"/>
          <w:color w:val="auto"/>
          <w:sz w:val="24"/>
          <w:szCs w:val="24"/>
        </w:rPr>
      </w:pPr>
      <w:r>
        <w:rPr>
          <w:rFonts w:ascii="仿宋" w:hAnsi="仿宋" w:eastAsia="仿宋" w:cs="仿宋"/>
          <w:color w:val="auto"/>
          <w:spacing w:val="-33"/>
          <w:sz w:val="24"/>
          <w:szCs w:val="24"/>
        </w:rPr>
        <w:t>（六）未被列入经营异常名录或者严重违法失信名单、失信被执行人、重大税收违法案件当事人名</w:t>
      </w:r>
      <w:r>
        <w:rPr>
          <w:rFonts w:ascii="仿宋" w:hAnsi="仿宋" w:eastAsia="仿宋" w:cs="仿宋"/>
          <w:color w:val="auto"/>
          <w:spacing w:val="17"/>
          <w:sz w:val="24"/>
          <w:szCs w:val="24"/>
        </w:rPr>
        <w:t xml:space="preserve"> </w:t>
      </w:r>
      <w:r>
        <w:rPr>
          <w:rFonts w:ascii="仿宋" w:hAnsi="仿宋" w:eastAsia="仿宋" w:cs="仿宋"/>
          <w:color w:val="auto"/>
          <w:spacing w:val="-30"/>
          <w:sz w:val="24"/>
          <w:szCs w:val="24"/>
        </w:rPr>
        <w:t>单、政府采购严重违法失信行为记录名单；</w:t>
      </w:r>
    </w:p>
    <w:p w14:paraId="4B021F9C">
      <w:pPr>
        <w:spacing w:before="179" w:line="219" w:lineRule="auto"/>
        <w:ind w:left="230"/>
        <w:rPr>
          <w:rFonts w:ascii="仿宋" w:hAnsi="仿宋" w:eastAsia="仿宋" w:cs="仿宋"/>
          <w:color w:val="auto"/>
          <w:sz w:val="24"/>
          <w:szCs w:val="24"/>
        </w:rPr>
      </w:pPr>
      <w:r>
        <w:rPr>
          <w:rFonts w:ascii="仿宋" w:hAnsi="仿宋" w:eastAsia="仿宋" w:cs="仿宋"/>
          <w:color w:val="auto"/>
          <w:spacing w:val="-30"/>
          <w:sz w:val="24"/>
          <w:szCs w:val="24"/>
        </w:rPr>
        <w:t>（七）未被相关监管部门作出行政处罚且尚在处罚有效期内；</w:t>
      </w:r>
    </w:p>
    <w:p w14:paraId="34ECBA80">
      <w:pPr>
        <w:spacing w:before="181" w:line="220" w:lineRule="auto"/>
        <w:ind w:left="230"/>
        <w:rPr>
          <w:rFonts w:ascii="仿宋" w:hAnsi="仿宋" w:eastAsia="仿宋" w:cs="仿宋"/>
          <w:color w:val="auto"/>
          <w:sz w:val="24"/>
          <w:szCs w:val="24"/>
        </w:rPr>
      </w:pPr>
      <w:r>
        <w:rPr>
          <w:rFonts w:ascii="仿宋" w:hAnsi="仿宋" w:eastAsia="仿宋" w:cs="仿宋"/>
          <w:color w:val="auto"/>
          <w:spacing w:val="-29"/>
          <w:sz w:val="24"/>
          <w:szCs w:val="24"/>
        </w:rPr>
        <w:t>（八）未曾作出虚假采购承诺；</w:t>
      </w:r>
    </w:p>
    <w:p w14:paraId="2AAA8BAD">
      <w:pPr>
        <w:spacing w:before="179" w:line="221" w:lineRule="auto"/>
        <w:ind w:left="230"/>
        <w:rPr>
          <w:rFonts w:ascii="仿宋" w:hAnsi="仿宋" w:eastAsia="仿宋" w:cs="仿宋"/>
          <w:color w:val="auto"/>
          <w:sz w:val="24"/>
          <w:szCs w:val="24"/>
        </w:rPr>
      </w:pPr>
      <w:r>
        <w:rPr>
          <w:rFonts w:ascii="仿宋" w:hAnsi="仿宋" w:eastAsia="仿宋" w:cs="仿宋"/>
          <w:color w:val="auto"/>
          <w:spacing w:val="-30"/>
          <w:sz w:val="24"/>
          <w:szCs w:val="24"/>
        </w:rPr>
        <w:t>（九）符合法律、行政法规规定的其他条件。</w:t>
      </w:r>
    </w:p>
    <w:p w14:paraId="1BEAA02E">
      <w:pPr>
        <w:spacing w:before="182" w:line="335" w:lineRule="auto"/>
        <w:ind w:left="15" w:right="40" w:firstLine="426"/>
        <w:rPr>
          <w:rFonts w:ascii="仿宋" w:hAnsi="仿宋" w:eastAsia="仿宋" w:cs="仿宋"/>
          <w:color w:val="auto"/>
          <w:sz w:val="24"/>
          <w:szCs w:val="24"/>
        </w:rPr>
      </w:pPr>
      <w:r>
        <w:rPr>
          <w:rFonts w:ascii="仿宋" w:hAnsi="仿宋" w:eastAsia="仿宋" w:cs="仿宋"/>
          <w:color w:val="auto"/>
          <w:spacing w:val="-33"/>
          <w:sz w:val="24"/>
          <w:szCs w:val="24"/>
        </w:rPr>
        <w:t>二、我单位（本人）保证上述承诺事项的真实性。如有弄虚作假或其他违法违规行为，自愿按照</w:t>
      </w:r>
      <w:r>
        <w:rPr>
          <w:rFonts w:ascii="仿宋" w:hAnsi="仿宋" w:eastAsia="仿宋" w:cs="仿宋"/>
          <w:color w:val="auto"/>
          <w:spacing w:val="12"/>
          <w:sz w:val="24"/>
          <w:szCs w:val="24"/>
        </w:rPr>
        <w:t xml:space="preserve"> </w:t>
      </w:r>
      <w:r>
        <w:rPr>
          <w:rFonts w:ascii="仿宋" w:hAnsi="仿宋" w:eastAsia="仿宋" w:cs="仿宋"/>
          <w:color w:val="auto"/>
          <w:spacing w:val="-32"/>
          <w:sz w:val="24"/>
          <w:szCs w:val="24"/>
        </w:rPr>
        <w:t>规定将违背承诺行为作为失信行为记录到社会信用信息</w:t>
      </w:r>
      <w:r>
        <w:rPr>
          <w:rFonts w:ascii="仿宋" w:hAnsi="仿宋" w:eastAsia="仿宋" w:cs="仿宋"/>
          <w:color w:val="auto"/>
          <w:spacing w:val="-33"/>
          <w:sz w:val="24"/>
          <w:szCs w:val="24"/>
        </w:rPr>
        <w:t>平台，并视同为“提供虚假材料谋取中标、成</w:t>
      </w:r>
      <w:r>
        <w:rPr>
          <w:rFonts w:ascii="仿宋" w:hAnsi="仿宋" w:eastAsia="仿宋" w:cs="仿宋"/>
          <w:color w:val="auto"/>
          <w:sz w:val="24"/>
          <w:szCs w:val="24"/>
        </w:rPr>
        <w:t xml:space="preserve"> </w:t>
      </w:r>
      <w:r>
        <w:rPr>
          <w:rFonts w:ascii="仿宋" w:hAnsi="仿宋" w:eastAsia="仿宋" w:cs="仿宋"/>
          <w:color w:val="auto"/>
          <w:spacing w:val="-36"/>
          <w:sz w:val="24"/>
          <w:szCs w:val="24"/>
        </w:rPr>
        <w:t>交”按照《政府采购法》第七十七、七十九条规定，处以采购金额千分之五以上千分之十以下的罚款，</w:t>
      </w:r>
      <w:r>
        <w:rPr>
          <w:rFonts w:ascii="仿宋" w:hAnsi="仿宋" w:eastAsia="仿宋" w:cs="仿宋"/>
          <w:color w:val="auto"/>
          <w:spacing w:val="3"/>
          <w:sz w:val="24"/>
          <w:szCs w:val="24"/>
        </w:rPr>
        <w:t xml:space="preserve"> </w:t>
      </w:r>
      <w:r>
        <w:rPr>
          <w:rFonts w:ascii="仿宋" w:hAnsi="仿宋" w:eastAsia="仿宋" w:cs="仿宋"/>
          <w:color w:val="auto"/>
          <w:spacing w:val="-31"/>
          <w:sz w:val="24"/>
          <w:szCs w:val="24"/>
        </w:rPr>
        <w:t>列入不良行为记录名单，在一至三年内禁止参加政府采购活动，有违法</w:t>
      </w:r>
      <w:r>
        <w:rPr>
          <w:rFonts w:ascii="仿宋" w:hAnsi="仿宋" w:eastAsia="仿宋" w:cs="仿宋"/>
          <w:color w:val="auto"/>
          <w:spacing w:val="-32"/>
          <w:sz w:val="24"/>
          <w:szCs w:val="24"/>
        </w:rPr>
        <w:t>所得的，并处没收违法所得，</w:t>
      </w:r>
      <w:r>
        <w:rPr>
          <w:rFonts w:ascii="仿宋" w:hAnsi="仿宋" w:eastAsia="仿宋" w:cs="仿宋"/>
          <w:color w:val="auto"/>
          <w:sz w:val="24"/>
          <w:szCs w:val="24"/>
        </w:rPr>
        <w:t xml:space="preserve"> </w:t>
      </w:r>
      <w:r>
        <w:rPr>
          <w:rFonts w:ascii="仿宋" w:hAnsi="仿宋" w:eastAsia="仿宋" w:cs="仿宋"/>
          <w:color w:val="auto"/>
          <w:spacing w:val="-31"/>
          <w:sz w:val="24"/>
          <w:szCs w:val="24"/>
        </w:rPr>
        <w:t>情节严重的，由市场监管部门吊销营业执照；构成犯罪的，依法追究刑</w:t>
      </w:r>
      <w:r>
        <w:rPr>
          <w:rFonts w:ascii="仿宋" w:hAnsi="仿宋" w:eastAsia="仿宋" w:cs="仿宋"/>
          <w:color w:val="auto"/>
          <w:spacing w:val="-32"/>
          <w:sz w:val="24"/>
          <w:szCs w:val="24"/>
        </w:rPr>
        <w:t>事责任；给他人造成损失的，</w:t>
      </w:r>
      <w:r>
        <w:rPr>
          <w:rFonts w:ascii="仿宋" w:hAnsi="仿宋" w:eastAsia="仿宋" w:cs="仿宋"/>
          <w:color w:val="auto"/>
          <w:sz w:val="24"/>
          <w:szCs w:val="24"/>
        </w:rPr>
        <w:t xml:space="preserve"> </w:t>
      </w:r>
      <w:r>
        <w:rPr>
          <w:rFonts w:ascii="仿宋" w:hAnsi="仿宋" w:eastAsia="仿宋" w:cs="仿宋"/>
          <w:color w:val="auto"/>
          <w:spacing w:val="-29"/>
          <w:sz w:val="24"/>
          <w:szCs w:val="24"/>
        </w:rPr>
        <w:t>并应依照有关民事法律规定承担民事责任。</w:t>
      </w:r>
    </w:p>
    <w:p w14:paraId="780C9762">
      <w:pPr>
        <w:pStyle w:val="3"/>
        <w:spacing w:line="283" w:lineRule="auto"/>
        <w:rPr>
          <w:color w:val="auto"/>
        </w:rPr>
      </w:pPr>
    </w:p>
    <w:p w14:paraId="6A24F905">
      <w:pPr>
        <w:pStyle w:val="3"/>
        <w:spacing w:line="283" w:lineRule="auto"/>
        <w:rPr>
          <w:color w:val="auto"/>
        </w:rPr>
      </w:pPr>
    </w:p>
    <w:p w14:paraId="2381CAD5">
      <w:pPr>
        <w:spacing w:before="78" w:line="222" w:lineRule="auto"/>
        <w:ind w:left="433"/>
        <w:rPr>
          <w:rFonts w:ascii="仿宋" w:hAnsi="仿宋" w:eastAsia="仿宋" w:cs="仿宋"/>
          <w:color w:val="auto"/>
          <w:sz w:val="24"/>
          <w:szCs w:val="24"/>
        </w:rPr>
      </w:pPr>
      <w:r>
        <w:rPr>
          <w:rFonts w:ascii="仿宋" w:hAnsi="仿宋" w:eastAsia="仿宋" w:cs="仿宋"/>
          <w:color w:val="auto"/>
          <w:spacing w:val="-29"/>
          <w:sz w:val="24"/>
          <w:szCs w:val="24"/>
        </w:rPr>
        <w:t>投标人（电子章</w:t>
      </w:r>
      <w:r>
        <w:rPr>
          <w:rFonts w:ascii="仿宋" w:hAnsi="仿宋" w:eastAsia="仿宋" w:cs="仿宋"/>
          <w:color w:val="auto"/>
          <w:spacing w:val="-15"/>
          <w:sz w:val="24"/>
          <w:szCs w:val="24"/>
        </w:rPr>
        <w:t>）：</w:t>
      </w:r>
    </w:p>
    <w:p w14:paraId="528D315A">
      <w:pPr>
        <w:spacing w:line="222" w:lineRule="auto"/>
        <w:rPr>
          <w:rFonts w:ascii="仿宋" w:hAnsi="仿宋" w:eastAsia="仿宋" w:cs="仿宋"/>
          <w:color w:val="auto"/>
          <w:sz w:val="24"/>
          <w:szCs w:val="24"/>
        </w:rPr>
        <w:sectPr>
          <w:footerReference r:id="rId61" w:type="default"/>
          <w:pgSz w:w="11906" w:h="16839"/>
          <w:pgMar w:top="999" w:right="1246" w:bottom="841" w:left="1418" w:header="698" w:footer="682" w:gutter="0"/>
          <w:pgNumType w:fmt="decimal"/>
          <w:cols w:space="720" w:num="1"/>
        </w:sectPr>
      </w:pPr>
    </w:p>
    <w:p w14:paraId="1EFD78DE">
      <w:pPr>
        <w:pStyle w:val="3"/>
        <w:spacing w:line="452" w:lineRule="auto"/>
        <w:rPr>
          <w:color w:val="auto"/>
        </w:rPr>
      </w:pPr>
    </w:p>
    <w:p w14:paraId="18C2BBD4">
      <w:pPr>
        <w:spacing w:before="78" w:line="343" w:lineRule="auto"/>
        <w:ind w:left="483" w:right="3212" w:hanging="42"/>
        <w:rPr>
          <w:rFonts w:ascii="仿宋" w:hAnsi="仿宋" w:eastAsia="仿宋" w:cs="仿宋"/>
          <w:color w:val="auto"/>
          <w:sz w:val="24"/>
          <w:szCs w:val="24"/>
        </w:rPr>
      </w:pPr>
      <w:r>
        <w:rPr>
          <w:rFonts w:ascii="仿宋" w:hAnsi="仿宋" w:eastAsia="仿宋" w:cs="仿宋"/>
          <w:color w:val="auto"/>
          <w:spacing w:val="-32"/>
          <w:sz w:val="24"/>
          <w:szCs w:val="24"/>
        </w:rPr>
        <w:t>法定代表人、负责人、本人、或授权代表(签字或电子印章)：</w:t>
      </w:r>
      <w:r>
        <w:rPr>
          <w:rFonts w:ascii="仿宋" w:hAnsi="仿宋" w:eastAsia="仿宋" w:cs="仿宋"/>
          <w:color w:val="auto"/>
          <w:spacing w:val="1"/>
          <w:sz w:val="24"/>
          <w:szCs w:val="24"/>
        </w:rPr>
        <w:t xml:space="preserve"> </w:t>
      </w:r>
      <w:r>
        <w:rPr>
          <w:rFonts w:ascii="仿宋" w:hAnsi="仿宋" w:eastAsia="仿宋" w:cs="仿宋"/>
          <w:color w:val="auto"/>
          <w:spacing w:val="-30"/>
          <w:sz w:val="24"/>
          <w:szCs w:val="24"/>
        </w:rPr>
        <w:t>日期：</w:t>
      </w:r>
      <w:r>
        <w:rPr>
          <w:rFonts w:ascii="仿宋" w:hAnsi="仿宋" w:eastAsia="仿宋" w:cs="仿宋"/>
          <w:color w:val="auto"/>
          <w:spacing w:val="-26"/>
          <w:sz w:val="24"/>
          <w:szCs w:val="24"/>
        </w:rPr>
        <w:t xml:space="preserve"> </w:t>
      </w:r>
      <w:r>
        <w:rPr>
          <w:rFonts w:ascii="仿宋" w:hAnsi="仿宋" w:eastAsia="仿宋" w:cs="仿宋"/>
          <w:color w:val="auto"/>
          <w:spacing w:val="-30"/>
          <w:sz w:val="24"/>
          <w:szCs w:val="24"/>
        </w:rPr>
        <w:t>年</w:t>
      </w:r>
      <w:r>
        <w:rPr>
          <w:rFonts w:ascii="仿宋" w:hAnsi="仿宋" w:eastAsia="仿宋" w:cs="仿宋"/>
          <w:color w:val="auto"/>
          <w:spacing w:val="-18"/>
          <w:sz w:val="24"/>
          <w:szCs w:val="24"/>
        </w:rPr>
        <w:t xml:space="preserve"> </w:t>
      </w:r>
      <w:r>
        <w:rPr>
          <w:rFonts w:ascii="仿宋" w:hAnsi="仿宋" w:eastAsia="仿宋" w:cs="仿宋"/>
          <w:color w:val="auto"/>
          <w:spacing w:val="-30"/>
          <w:sz w:val="24"/>
          <w:szCs w:val="24"/>
        </w:rPr>
        <w:t>月</w:t>
      </w:r>
      <w:r>
        <w:rPr>
          <w:rFonts w:ascii="仿宋" w:hAnsi="仿宋" w:eastAsia="仿宋" w:cs="仿宋"/>
          <w:color w:val="auto"/>
          <w:spacing w:val="19"/>
          <w:sz w:val="24"/>
          <w:szCs w:val="24"/>
        </w:rPr>
        <w:t xml:space="preserve"> </w:t>
      </w:r>
      <w:r>
        <w:rPr>
          <w:rFonts w:ascii="仿宋" w:hAnsi="仿宋" w:eastAsia="仿宋" w:cs="仿宋"/>
          <w:color w:val="auto"/>
          <w:spacing w:val="-30"/>
          <w:sz w:val="24"/>
          <w:szCs w:val="24"/>
        </w:rPr>
        <w:t>日</w:t>
      </w:r>
    </w:p>
    <w:p w14:paraId="16712571">
      <w:pPr>
        <w:spacing w:before="39" w:line="343" w:lineRule="auto"/>
        <w:ind w:left="19" w:right="91" w:firstLine="421"/>
        <w:rPr>
          <w:rFonts w:ascii="仿宋" w:hAnsi="仿宋" w:eastAsia="仿宋" w:cs="仿宋"/>
          <w:color w:val="auto"/>
          <w:sz w:val="24"/>
          <w:szCs w:val="24"/>
        </w:rPr>
      </w:pPr>
      <w:r>
        <w:rPr>
          <w:rFonts w:ascii="仿宋" w:hAnsi="仿宋" w:eastAsia="仿宋" w:cs="仿宋"/>
          <w:color w:val="auto"/>
          <w:spacing w:val="-32"/>
          <w:sz w:val="24"/>
          <w:szCs w:val="24"/>
        </w:rPr>
        <w:t>注：1.投标人须在投标文件中按此模板提供承诺函，未提供视为未实质性响应招标文件要求，按</w:t>
      </w:r>
      <w:r>
        <w:rPr>
          <w:rFonts w:ascii="仿宋" w:hAnsi="仿宋" w:eastAsia="仿宋" w:cs="仿宋"/>
          <w:color w:val="auto"/>
          <w:spacing w:val="3"/>
          <w:sz w:val="24"/>
          <w:szCs w:val="24"/>
        </w:rPr>
        <w:t xml:space="preserve"> </w:t>
      </w:r>
      <w:r>
        <w:rPr>
          <w:rFonts w:ascii="仿宋" w:hAnsi="仿宋" w:eastAsia="仿宋" w:cs="仿宋"/>
          <w:color w:val="auto"/>
          <w:spacing w:val="-25"/>
          <w:sz w:val="24"/>
          <w:szCs w:val="24"/>
        </w:rPr>
        <w:t>无效投标处理。</w:t>
      </w:r>
    </w:p>
    <w:p w14:paraId="7ABF9215">
      <w:pPr>
        <w:spacing w:before="38" w:line="222" w:lineRule="auto"/>
        <w:jc w:val="right"/>
        <w:rPr>
          <w:rFonts w:ascii="仿宋" w:hAnsi="仿宋" w:eastAsia="仿宋" w:cs="仿宋"/>
          <w:color w:val="auto"/>
          <w:sz w:val="24"/>
          <w:szCs w:val="24"/>
        </w:rPr>
      </w:pPr>
      <w:r>
        <w:rPr>
          <w:rFonts w:ascii="仿宋" w:hAnsi="仿宋" w:eastAsia="仿宋" w:cs="仿宋"/>
          <w:color w:val="auto"/>
          <w:spacing w:val="-31"/>
          <w:sz w:val="24"/>
          <w:szCs w:val="24"/>
        </w:rPr>
        <w:t>2.投标人的法定代表人或者授权代表的签字或盖章应真实、</w:t>
      </w:r>
      <w:r>
        <w:rPr>
          <w:rFonts w:ascii="仿宋" w:hAnsi="仿宋" w:eastAsia="仿宋" w:cs="仿宋"/>
          <w:color w:val="auto"/>
          <w:spacing w:val="-32"/>
          <w:sz w:val="24"/>
          <w:szCs w:val="24"/>
        </w:rPr>
        <w:t>有效，如由授权代表签字或盖章的，</w:t>
      </w:r>
    </w:p>
    <w:p w14:paraId="3CB4595F">
      <w:pPr>
        <w:spacing w:before="179" w:line="222" w:lineRule="auto"/>
        <w:ind w:left="16"/>
        <w:outlineLvl w:val="1"/>
        <w:rPr>
          <w:rFonts w:ascii="仿宋" w:hAnsi="仿宋" w:eastAsia="仿宋" w:cs="仿宋"/>
          <w:color w:val="auto"/>
          <w:sz w:val="24"/>
          <w:szCs w:val="24"/>
        </w:rPr>
      </w:pPr>
      <w:bookmarkStart w:id="23" w:name="_Toc5759"/>
      <w:r>
        <w:rPr>
          <w:rFonts w:ascii="仿宋" w:hAnsi="仿宋" w:eastAsia="仿宋" w:cs="仿宋"/>
          <w:color w:val="auto"/>
          <w:spacing w:val="-28"/>
          <w:sz w:val="24"/>
          <w:szCs w:val="24"/>
        </w:rPr>
        <w:t>应提供“法定代表人授权书”。</w:t>
      </w:r>
      <w:bookmarkEnd w:id="23"/>
    </w:p>
    <w:p w14:paraId="031DD33C">
      <w:pPr>
        <w:spacing w:line="222" w:lineRule="auto"/>
        <w:rPr>
          <w:rFonts w:ascii="仿宋" w:hAnsi="仿宋" w:eastAsia="仿宋" w:cs="仿宋"/>
          <w:color w:val="auto"/>
          <w:sz w:val="24"/>
          <w:szCs w:val="24"/>
        </w:rPr>
        <w:sectPr>
          <w:footerReference r:id="rId62" w:type="default"/>
          <w:pgSz w:w="11906" w:h="16839"/>
          <w:pgMar w:top="999" w:right="1246" w:bottom="844" w:left="1418" w:header="698" w:footer="682" w:gutter="0"/>
          <w:pgNumType w:fmt="decimal"/>
          <w:cols w:space="720" w:num="1"/>
        </w:sectPr>
      </w:pPr>
    </w:p>
    <w:p w14:paraId="638044F2">
      <w:pPr>
        <w:pStyle w:val="3"/>
        <w:spacing w:line="418" w:lineRule="auto"/>
        <w:rPr>
          <w:color w:val="auto"/>
        </w:rPr>
      </w:pPr>
    </w:p>
    <w:p w14:paraId="5F3C1CE2">
      <w:pPr>
        <w:spacing w:before="91" w:line="219" w:lineRule="auto"/>
        <w:ind w:left="33"/>
        <w:outlineLvl w:val="1"/>
        <w:rPr>
          <w:rFonts w:ascii="宋体" w:hAnsi="宋体" w:eastAsia="宋体" w:cs="宋体"/>
          <w:color w:val="auto"/>
          <w:sz w:val="28"/>
          <w:szCs w:val="28"/>
        </w:rPr>
      </w:pPr>
      <w:bookmarkStart w:id="24" w:name="_Toc14853"/>
      <w:r>
        <w:rPr>
          <w:rFonts w:ascii="宋体" w:hAnsi="宋体" w:eastAsia="宋体" w:cs="宋体"/>
          <w:b/>
          <w:bCs/>
          <w:color w:val="auto"/>
          <w:spacing w:val="-20"/>
          <w:sz w:val="28"/>
          <w:szCs w:val="28"/>
        </w:rPr>
        <w:t>附件5:开标一览表</w:t>
      </w:r>
      <w:bookmarkEnd w:id="24"/>
    </w:p>
    <w:p w14:paraId="2DF802CE">
      <w:pPr>
        <w:pStyle w:val="3"/>
        <w:spacing w:line="264" w:lineRule="auto"/>
        <w:rPr>
          <w:color w:val="auto"/>
        </w:rPr>
      </w:pPr>
    </w:p>
    <w:p w14:paraId="737ACCEA">
      <w:pPr>
        <w:pStyle w:val="3"/>
        <w:spacing w:line="265" w:lineRule="auto"/>
        <w:rPr>
          <w:color w:val="auto"/>
        </w:rPr>
      </w:pPr>
    </w:p>
    <w:p w14:paraId="5338E335">
      <w:pPr>
        <w:pStyle w:val="3"/>
        <w:spacing w:line="265" w:lineRule="auto"/>
        <w:rPr>
          <w:color w:val="auto"/>
        </w:rPr>
      </w:pPr>
    </w:p>
    <w:p w14:paraId="53895AA3">
      <w:pPr>
        <w:spacing w:before="101" w:line="225" w:lineRule="auto"/>
        <w:ind w:left="3090"/>
        <w:rPr>
          <w:rFonts w:ascii="宋体" w:hAnsi="宋体" w:eastAsia="宋体" w:cs="宋体"/>
          <w:color w:val="auto"/>
          <w:sz w:val="31"/>
          <w:szCs w:val="31"/>
        </w:rPr>
      </w:pPr>
      <w:r>
        <w:rPr>
          <w:rFonts w:ascii="宋体" w:hAnsi="宋体" w:eastAsia="宋体" w:cs="宋体"/>
          <w:b/>
          <w:bCs/>
          <w:color w:val="auto"/>
          <w:spacing w:val="-9"/>
          <w:sz w:val="31"/>
          <w:szCs w:val="31"/>
        </w:rPr>
        <w:t>开</w:t>
      </w:r>
      <w:r>
        <w:rPr>
          <w:rFonts w:ascii="宋体" w:hAnsi="宋体" w:eastAsia="宋体" w:cs="宋体"/>
          <w:color w:val="auto"/>
          <w:spacing w:val="63"/>
          <w:sz w:val="31"/>
          <w:szCs w:val="31"/>
        </w:rPr>
        <w:t xml:space="preserve">  </w:t>
      </w:r>
      <w:r>
        <w:rPr>
          <w:rFonts w:ascii="宋体" w:hAnsi="宋体" w:eastAsia="宋体" w:cs="宋体"/>
          <w:b/>
          <w:bCs/>
          <w:color w:val="auto"/>
          <w:spacing w:val="-9"/>
          <w:sz w:val="31"/>
          <w:szCs w:val="31"/>
        </w:rPr>
        <w:t>标</w:t>
      </w:r>
      <w:r>
        <w:rPr>
          <w:rFonts w:ascii="宋体" w:hAnsi="宋体" w:eastAsia="宋体" w:cs="宋体"/>
          <w:color w:val="auto"/>
          <w:spacing w:val="139"/>
          <w:sz w:val="31"/>
          <w:szCs w:val="31"/>
        </w:rPr>
        <w:t xml:space="preserve"> </w:t>
      </w:r>
      <w:r>
        <w:rPr>
          <w:rFonts w:ascii="宋体" w:hAnsi="宋体" w:eastAsia="宋体" w:cs="宋体"/>
          <w:b/>
          <w:bCs/>
          <w:color w:val="auto"/>
          <w:spacing w:val="-9"/>
          <w:sz w:val="31"/>
          <w:szCs w:val="31"/>
        </w:rPr>
        <w:t>一</w:t>
      </w:r>
      <w:r>
        <w:rPr>
          <w:rFonts w:ascii="宋体" w:hAnsi="宋体" w:eastAsia="宋体" w:cs="宋体"/>
          <w:color w:val="auto"/>
          <w:spacing w:val="140"/>
          <w:sz w:val="31"/>
          <w:szCs w:val="31"/>
        </w:rPr>
        <w:t xml:space="preserve"> </w:t>
      </w:r>
      <w:r>
        <w:rPr>
          <w:rFonts w:ascii="宋体" w:hAnsi="宋体" w:eastAsia="宋体" w:cs="宋体"/>
          <w:b/>
          <w:bCs/>
          <w:color w:val="auto"/>
          <w:spacing w:val="-9"/>
          <w:sz w:val="31"/>
          <w:szCs w:val="31"/>
        </w:rPr>
        <w:t>览</w:t>
      </w:r>
      <w:r>
        <w:rPr>
          <w:rFonts w:ascii="宋体" w:hAnsi="宋体" w:eastAsia="宋体" w:cs="宋体"/>
          <w:color w:val="auto"/>
          <w:spacing w:val="61"/>
          <w:sz w:val="31"/>
          <w:szCs w:val="31"/>
        </w:rPr>
        <w:t xml:space="preserve">  </w:t>
      </w:r>
      <w:r>
        <w:rPr>
          <w:rFonts w:ascii="宋体" w:hAnsi="宋体" w:eastAsia="宋体" w:cs="宋体"/>
          <w:b/>
          <w:bCs/>
          <w:color w:val="auto"/>
          <w:spacing w:val="-9"/>
          <w:sz w:val="31"/>
          <w:szCs w:val="31"/>
        </w:rPr>
        <w:t>表</w:t>
      </w:r>
    </w:p>
    <w:p w14:paraId="07F1BC6C">
      <w:pPr>
        <w:pStyle w:val="3"/>
        <w:spacing w:line="368" w:lineRule="auto"/>
        <w:rPr>
          <w:color w:val="auto"/>
        </w:rPr>
      </w:pPr>
    </w:p>
    <w:p w14:paraId="788FF62B">
      <w:pPr>
        <w:spacing w:before="78" w:line="499" w:lineRule="auto"/>
        <w:ind w:left="1807" w:right="6430"/>
        <w:rPr>
          <w:rFonts w:ascii="宋体" w:hAnsi="宋体" w:eastAsia="宋体" w:cs="宋体"/>
          <w:color w:val="auto"/>
          <w:sz w:val="24"/>
          <w:szCs w:val="24"/>
        </w:rPr>
      </w:pPr>
      <w:r>
        <w:rPr>
          <w:rFonts w:ascii="宋体" w:hAnsi="宋体" w:eastAsia="宋体" w:cs="宋体"/>
          <w:color w:val="auto"/>
          <w:spacing w:val="-28"/>
          <w:w w:val="95"/>
          <w:sz w:val="24"/>
          <w:szCs w:val="24"/>
        </w:rPr>
        <w:t>分包编号：</w:t>
      </w:r>
      <w:r>
        <w:rPr>
          <w:rFonts w:ascii="宋体" w:hAnsi="宋体" w:eastAsia="宋体" w:cs="宋体"/>
          <w:color w:val="auto"/>
          <w:spacing w:val="1"/>
          <w:sz w:val="24"/>
          <w:szCs w:val="24"/>
        </w:rPr>
        <w:t xml:space="preserve"> </w:t>
      </w:r>
      <w:r>
        <w:rPr>
          <w:rFonts w:ascii="宋体" w:hAnsi="宋体" w:eastAsia="宋体" w:cs="宋体"/>
          <w:color w:val="auto"/>
          <w:spacing w:val="-40"/>
          <w:sz w:val="24"/>
          <w:szCs w:val="24"/>
        </w:rPr>
        <w:t>项目名称：</w:t>
      </w:r>
    </w:p>
    <w:tbl>
      <w:tblPr>
        <w:tblStyle w:val="10"/>
        <w:tblW w:w="8989" w:type="dxa"/>
        <w:tblInd w:w="5"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0" w:type="dxa"/>
          <w:bottom w:w="0" w:type="dxa"/>
          <w:right w:w="0" w:type="dxa"/>
        </w:tblCellMar>
      </w:tblPr>
      <w:tblGrid>
        <w:gridCol w:w="4494"/>
        <w:gridCol w:w="4495"/>
      </w:tblGrid>
      <w:tr w14:paraId="7BFD02D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924" w:hRule="atLeast"/>
        </w:trPr>
        <w:tc>
          <w:tcPr>
            <w:tcW w:w="4494" w:type="dxa"/>
            <w:tcBorders>
              <w:top w:val="single" w:color="000000" w:sz="4" w:space="0"/>
              <w:left w:val="single" w:color="000000" w:sz="4" w:space="0"/>
            </w:tcBorders>
            <w:vAlign w:val="top"/>
          </w:tcPr>
          <w:p w14:paraId="639FF576">
            <w:pPr>
              <w:spacing w:line="263" w:lineRule="auto"/>
              <w:rPr>
                <w:rFonts w:ascii="Arial"/>
                <w:color w:val="auto"/>
                <w:sz w:val="21"/>
              </w:rPr>
            </w:pPr>
          </w:p>
          <w:p w14:paraId="623E3AF3">
            <w:pPr>
              <w:spacing w:before="78" w:line="220" w:lineRule="auto"/>
              <w:ind w:left="2044"/>
              <w:rPr>
                <w:rFonts w:ascii="宋体" w:hAnsi="宋体" w:eastAsia="宋体" w:cs="宋体"/>
                <w:color w:val="auto"/>
                <w:sz w:val="24"/>
                <w:szCs w:val="24"/>
              </w:rPr>
            </w:pPr>
            <w:r>
              <w:rPr>
                <w:rFonts w:ascii="宋体" w:hAnsi="宋体" w:eastAsia="宋体" w:cs="宋体"/>
                <w:color w:val="auto"/>
                <w:spacing w:val="-6"/>
                <w:sz w:val="24"/>
                <w:szCs w:val="24"/>
              </w:rPr>
              <w:t>标题</w:t>
            </w:r>
          </w:p>
        </w:tc>
        <w:tc>
          <w:tcPr>
            <w:tcW w:w="4495" w:type="dxa"/>
            <w:tcBorders>
              <w:top w:val="single" w:color="000000" w:sz="4" w:space="0"/>
              <w:right w:val="single" w:color="000000" w:sz="4" w:space="0"/>
            </w:tcBorders>
            <w:vAlign w:val="top"/>
          </w:tcPr>
          <w:p w14:paraId="288F5E53">
            <w:pPr>
              <w:spacing w:line="264" w:lineRule="auto"/>
              <w:rPr>
                <w:rFonts w:ascii="Arial"/>
                <w:color w:val="auto"/>
                <w:sz w:val="21"/>
              </w:rPr>
            </w:pPr>
          </w:p>
          <w:p w14:paraId="548D45CC">
            <w:pPr>
              <w:spacing w:before="78" w:line="219" w:lineRule="auto"/>
              <w:ind w:left="2071"/>
              <w:rPr>
                <w:rFonts w:ascii="宋体" w:hAnsi="宋体" w:eastAsia="宋体" w:cs="宋体"/>
                <w:color w:val="auto"/>
                <w:sz w:val="24"/>
                <w:szCs w:val="24"/>
              </w:rPr>
            </w:pPr>
            <w:r>
              <w:rPr>
                <w:rFonts w:ascii="宋体" w:hAnsi="宋体" w:eastAsia="宋体" w:cs="宋体"/>
                <w:color w:val="auto"/>
                <w:spacing w:val="-20"/>
                <w:sz w:val="24"/>
                <w:szCs w:val="24"/>
              </w:rPr>
              <w:t>内容</w:t>
            </w:r>
          </w:p>
        </w:tc>
      </w:tr>
      <w:tr w14:paraId="14A6C35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485" w:hRule="atLeast"/>
        </w:trPr>
        <w:tc>
          <w:tcPr>
            <w:tcW w:w="4494" w:type="dxa"/>
            <w:tcBorders>
              <w:left w:val="single" w:color="000000" w:sz="4" w:space="0"/>
            </w:tcBorders>
            <w:vAlign w:val="top"/>
          </w:tcPr>
          <w:p w14:paraId="59B324B0">
            <w:pPr>
              <w:spacing w:before="124" w:line="218" w:lineRule="auto"/>
              <w:ind w:left="1732"/>
              <w:rPr>
                <w:rFonts w:ascii="宋体" w:hAnsi="宋体" w:eastAsia="宋体" w:cs="宋体"/>
                <w:color w:val="auto"/>
                <w:sz w:val="24"/>
                <w:szCs w:val="24"/>
              </w:rPr>
            </w:pPr>
            <w:r>
              <w:rPr>
                <w:rFonts w:ascii="宋体" w:hAnsi="宋体" w:eastAsia="宋体" w:cs="宋体"/>
                <w:color w:val="auto"/>
                <w:spacing w:val="-22"/>
                <w:sz w:val="24"/>
                <w:szCs w:val="24"/>
              </w:rPr>
              <w:t>投标总报价</w:t>
            </w:r>
          </w:p>
        </w:tc>
        <w:tc>
          <w:tcPr>
            <w:tcW w:w="4495" w:type="dxa"/>
            <w:tcBorders>
              <w:right w:val="single" w:color="000000" w:sz="4" w:space="0"/>
            </w:tcBorders>
            <w:vAlign w:val="top"/>
          </w:tcPr>
          <w:p w14:paraId="08F2C759">
            <w:pPr>
              <w:rPr>
                <w:rFonts w:ascii="Arial"/>
                <w:color w:val="auto"/>
                <w:sz w:val="21"/>
              </w:rPr>
            </w:pPr>
          </w:p>
        </w:tc>
      </w:tr>
      <w:tr w14:paraId="7762339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485" w:hRule="atLeast"/>
        </w:trPr>
        <w:tc>
          <w:tcPr>
            <w:tcW w:w="4494" w:type="dxa"/>
            <w:tcBorders>
              <w:left w:val="single" w:color="000000" w:sz="4" w:space="0"/>
            </w:tcBorders>
            <w:vAlign w:val="top"/>
          </w:tcPr>
          <w:p w14:paraId="7B26DC38">
            <w:pPr>
              <w:spacing w:before="126" w:line="219" w:lineRule="auto"/>
              <w:ind w:left="1940"/>
              <w:rPr>
                <w:rFonts w:ascii="宋体" w:hAnsi="宋体" w:eastAsia="宋体" w:cs="宋体"/>
                <w:color w:val="auto"/>
                <w:sz w:val="24"/>
                <w:szCs w:val="24"/>
              </w:rPr>
            </w:pPr>
            <w:r>
              <w:rPr>
                <w:rFonts w:ascii="宋体" w:hAnsi="宋体" w:eastAsia="宋体" w:cs="宋体"/>
                <w:color w:val="auto"/>
                <w:spacing w:val="-14"/>
                <w:sz w:val="24"/>
                <w:szCs w:val="24"/>
              </w:rPr>
              <w:t>服务期</w:t>
            </w:r>
          </w:p>
        </w:tc>
        <w:tc>
          <w:tcPr>
            <w:tcW w:w="4495" w:type="dxa"/>
            <w:tcBorders>
              <w:right w:val="single" w:color="000000" w:sz="4" w:space="0"/>
            </w:tcBorders>
            <w:vAlign w:val="top"/>
          </w:tcPr>
          <w:p w14:paraId="35A8F60D">
            <w:pPr>
              <w:rPr>
                <w:rFonts w:ascii="Arial"/>
                <w:color w:val="auto"/>
                <w:sz w:val="21"/>
              </w:rPr>
            </w:pPr>
          </w:p>
        </w:tc>
      </w:tr>
      <w:tr w14:paraId="49BBC7F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492" w:hRule="atLeast"/>
        </w:trPr>
        <w:tc>
          <w:tcPr>
            <w:tcW w:w="4494" w:type="dxa"/>
            <w:tcBorders>
              <w:left w:val="single" w:color="000000" w:sz="4" w:space="0"/>
              <w:bottom w:val="single" w:color="000000" w:sz="4" w:space="0"/>
            </w:tcBorders>
            <w:vAlign w:val="top"/>
          </w:tcPr>
          <w:p w14:paraId="50EB949C">
            <w:pPr>
              <w:spacing w:before="128" w:line="220" w:lineRule="auto"/>
              <w:ind w:left="1835"/>
              <w:rPr>
                <w:rFonts w:ascii="宋体" w:hAnsi="宋体" w:eastAsia="宋体" w:cs="宋体"/>
                <w:color w:val="auto"/>
                <w:sz w:val="24"/>
                <w:szCs w:val="24"/>
              </w:rPr>
            </w:pPr>
            <w:r>
              <w:rPr>
                <w:rFonts w:ascii="宋体" w:hAnsi="宋体" w:eastAsia="宋体" w:cs="宋体"/>
                <w:color w:val="auto"/>
                <w:spacing w:val="-19"/>
                <w:sz w:val="24"/>
                <w:szCs w:val="24"/>
              </w:rPr>
              <w:t>质量标准</w:t>
            </w:r>
          </w:p>
        </w:tc>
        <w:tc>
          <w:tcPr>
            <w:tcW w:w="4495" w:type="dxa"/>
            <w:tcBorders>
              <w:bottom w:val="single" w:color="000000" w:sz="4" w:space="0"/>
              <w:right w:val="single" w:color="000000" w:sz="4" w:space="0"/>
            </w:tcBorders>
            <w:vAlign w:val="top"/>
          </w:tcPr>
          <w:p w14:paraId="7DE74BCE">
            <w:pPr>
              <w:rPr>
                <w:rFonts w:ascii="Arial"/>
                <w:color w:val="auto"/>
                <w:sz w:val="21"/>
              </w:rPr>
            </w:pPr>
          </w:p>
        </w:tc>
      </w:tr>
    </w:tbl>
    <w:p w14:paraId="12FD4E11">
      <w:pPr>
        <w:pStyle w:val="3"/>
        <w:rPr>
          <w:color w:val="auto"/>
        </w:rPr>
      </w:pPr>
    </w:p>
    <w:p w14:paraId="4E19E7FB">
      <w:pPr>
        <w:rPr>
          <w:color w:val="auto"/>
        </w:rPr>
        <w:sectPr>
          <w:footerReference r:id="rId63" w:type="default"/>
          <w:pgSz w:w="11906" w:h="16839"/>
          <w:pgMar w:top="999" w:right="1246" w:bottom="844" w:left="1418" w:header="698" w:footer="682" w:gutter="0"/>
          <w:pgNumType w:fmt="decimal"/>
          <w:cols w:space="720" w:num="1"/>
        </w:sectPr>
      </w:pPr>
    </w:p>
    <w:p w14:paraId="303967E4">
      <w:pPr>
        <w:pStyle w:val="3"/>
        <w:spacing w:line="417" w:lineRule="auto"/>
        <w:rPr>
          <w:color w:val="auto"/>
        </w:rPr>
      </w:pPr>
    </w:p>
    <w:p w14:paraId="188DE443">
      <w:pPr>
        <w:spacing w:before="91" w:line="219" w:lineRule="auto"/>
        <w:ind w:left="33"/>
        <w:rPr>
          <w:rFonts w:ascii="宋体" w:hAnsi="宋体" w:eastAsia="宋体" w:cs="宋体"/>
          <w:color w:val="auto"/>
          <w:sz w:val="28"/>
          <w:szCs w:val="28"/>
        </w:rPr>
      </w:pPr>
      <w:r>
        <w:rPr>
          <w:rFonts w:ascii="宋体" w:hAnsi="宋体" w:eastAsia="宋体" w:cs="宋体"/>
          <w:b/>
          <w:bCs/>
          <w:color w:val="auto"/>
          <w:spacing w:val="-20"/>
          <w:sz w:val="28"/>
          <w:szCs w:val="28"/>
        </w:rPr>
        <w:t>附件6:报价明细表</w:t>
      </w:r>
    </w:p>
    <w:p w14:paraId="7B80FB82">
      <w:pPr>
        <w:spacing w:before="125" w:line="222" w:lineRule="auto"/>
        <w:ind w:left="3905"/>
        <w:rPr>
          <w:rFonts w:ascii="仿宋" w:hAnsi="仿宋" w:eastAsia="仿宋" w:cs="仿宋"/>
          <w:color w:val="auto"/>
          <w:sz w:val="30"/>
          <w:szCs w:val="30"/>
        </w:rPr>
      </w:pPr>
      <w:r>
        <w:rPr>
          <w:rFonts w:ascii="仿宋" w:hAnsi="仿宋" w:eastAsia="仿宋" w:cs="仿宋"/>
          <w:color w:val="auto"/>
          <w:spacing w:val="-23"/>
          <w:sz w:val="30"/>
          <w:szCs w:val="30"/>
        </w:rPr>
        <w:t>报价明细表</w:t>
      </w:r>
    </w:p>
    <w:p w14:paraId="56348300">
      <w:pPr>
        <w:spacing w:before="2"/>
        <w:rPr>
          <w:color w:val="auto"/>
        </w:rPr>
      </w:pPr>
    </w:p>
    <w:p w14:paraId="75501B86">
      <w:pPr>
        <w:spacing w:before="1"/>
        <w:rPr>
          <w:color w:val="auto"/>
        </w:rPr>
      </w:pPr>
    </w:p>
    <w:tbl>
      <w:tblPr>
        <w:tblStyle w:val="10"/>
        <w:tblW w:w="9052"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2755"/>
        <w:gridCol w:w="2492"/>
        <w:gridCol w:w="845"/>
        <w:gridCol w:w="913"/>
        <w:gridCol w:w="1068"/>
      </w:tblGrid>
      <w:tr w14:paraId="7D123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979" w:type="dxa"/>
            <w:vAlign w:val="top"/>
          </w:tcPr>
          <w:p w14:paraId="5EAC1ACE">
            <w:pPr>
              <w:spacing w:line="252" w:lineRule="auto"/>
              <w:rPr>
                <w:rFonts w:ascii="Arial"/>
                <w:color w:val="auto"/>
                <w:sz w:val="21"/>
              </w:rPr>
            </w:pPr>
          </w:p>
          <w:p w14:paraId="6D7CF985">
            <w:pPr>
              <w:spacing w:line="253" w:lineRule="auto"/>
              <w:rPr>
                <w:rFonts w:ascii="Arial"/>
                <w:color w:val="auto"/>
                <w:sz w:val="21"/>
              </w:rPr>
            </w:pPr>
          </w:p>
          <w:p w14:paraId="24B750ED">
            <w:pPr>
              <w:pStyle w:val="11"/>
              <w:spacing w:before="78" w:line="222" w:lineRule="auto"/>
              <w:ind w:left="294"/>
              <w:rPr>
                <w:color w:val="auto"/>
                <w:sz w:val="24"/>
                <w:szCs w:val="24"/>
              </w:rPr>
            </w:pPr>
            <w:r>
              <w:rPr>
                <w:color w:val="auto"/>
                <w:spacing w:val="-8"/>
                <w:sz w:val="24"/>
                <w:szCs w:val="24"/>
              </w:rPr>
              <w:t>序号</w:t>
            </w:r>
          </w:p>
        </w:tc>
        <w:tc>
          <w:tcPr>
            <w:tcW w:w="2755" w:type="dxa"/>
            <w:vAlign w:val="top"/>
          </w:tcPr>
          <w:p w14:paraId="475738A8">
            <w:pPr>
              <w:spacing w:line="252" w:lineRule="auto"/>
              <w:rPr>
                <w:rFonts w:ascii="Arial"/>
                <w:color w:val="auto"/>
                <w:sz w:val="21"/>
              </w:rPr>
            </w:pPr>
          </w:p>
          <w:p w14:paraId="62581DE9">
            <w:pPr>
              <w:spacing w:line="253" w:lineRule="auto"/>
              <w:rPr>
                <w:rFonts w:ascii="Arial"/>
                <w:color w:val="auto"/>
                <w:sz w:val="21"/>
              </w:rPr>
            </w:pPr>
          </w:p>
          <w:p w14:paraId="33544E8B">
            <w:pPr>
              <w:pStyle w:val="11"/>
              <w:spacing w:before="78" w:line="222" w:lineRule="auto"/>
              <w:ind w:left="970"/>
              <w:rPr>
                <w:color w:val="auto"/>
                <w:sz w:val="24"/>
                <w:szCs w:val="24"/>
              </w:rPr>
            </w:pPr>
            <w:r>
              <w:rPr>
                <w:color w:val="auto"/>
                <w:spacing w:val="-20"/>
                <w:sz w:val="24"/>
                <w:szCs w:val="24"/>
              </w:rPr>
              <w:t>服务内容</w:t>
            </w:r>
          </w:p>
        </w:tc>
        <w:tc>
          <w:tcPr>
            <w:tcW w:w="2492" w:type="dxa"/>
            <w:vAlign w:val="top"/>
          </w:tcPr>
          <w:p w14:paraId="30080F16">
            <w:pPr>
              <w:pStyle w:val="11"/>
              <w:spacing w:before="117" w:line="223" w:lineRule="auto"/>
              <w:ind w:left="216"/>
              <w:rPr>
                <w:color w:val="auto"/>
                <w:sz w:val="24"/>
                <w:szCs w:val="24"/>
              </w:rPr>
            </w:pPr>
            <w:r>
              <w:rPr>
                <w:color w:val="auto"/>
                <w:spacing w:val="-30"/>
                <w:sz w:val="24"/>
                <w:szCs w:val="24"/>
              </w:rPr>
              <w:t>是否属于小型微型（监</w:t>
            </w:r>
          </w:p>
          <w:p w14:paraId="00A6DDC8">
            <w:pPr>
              <w:pStyle w:val="11"/>
              <w:spacing w:before="178" w:line="220" w:lineRule="auto"/>
              <w:ind w:left="121"/>
              <w:rPr>
                <w:color w:val="auto"/>
                <w:sz w:val="24"/>
                <w:szCs w:val="24"/>
              </w:rPr>
            </w:pPr>
            <w:r>
              <w:rPr>
                <w:color w:val="auto"/>
                <w:spacing w:val="-27"/>
                <w:sz w:val="24"/>
                <w:szCs w:val="24"/>
              </w:rPr>
              <w:t>狱、残疾人福利性单位）</w:t>
            </w:r>
          </w:p>
          <w:p w14:paraId="63C1C456">
            <w:pPr>
              <w:pStyle w:val="11"/>
              <w:spacing w:before="179" w:line="222" w:lineRule="auto"/>
              <w:ind w:left="530"/>
              <w:rPr>
                <w:color w:val="auto"/>
                <w:sz w:val="24"/>
                <w:szCs w:val="24"/>
              </w:rPr>
            </w:pPr>
            <w:r>
              <w:rPr>
                <w:color w:val="auto"/>
                <w:spacing w:val="-25"/>
                <w:sz w:val="24"/>
                <w:szCs w:val="24"/>
              </w:rPr>
              <w:t>企业承担的服务</w:t>
            </w:r>
          </w:p>
        </w:tc>
        <w:tc>
          <w:tcPr>
            <w:tcW w:w="845" w:type="dxa"/>
            <w:vAlign w:val="top"/>
          </w:tcPr>
          <w:p w14:paraId="12AD3837">
            <w:pPr>
              <w:spacing w:line="252" w:lineRule="auto"/>
              <w:rPr>
                <w:rFonts w:ascii="Arial"/>
                <w:color w:val="auto"/>
                <w:sz w:val="21"/>
              </w:rPr>
            </w:pPr>
          </w:p>
          <w:p w14:paraId="6FE83D14">
            <w:pPr>
              <w:spacing w:line="252" w:lineRule="auto"/>
              <w:rPr>
                <w:rFonts w:ascii="Arial"/>
                <w:color w:val="auto"/>
                <w:sz w:val="21"/>
              </w:rPr>
            </w:pPr>
          </w:p>
          <w:p w14:paraId="68F350AE">
            <w:pPr>
              <w:pStyle w:val="11"/>
              <w:spacing w:before="78" w:line="223" w:lineRule="auto"/>
              <w:ind w:left="226"/>
              <w:rPr>
                <w:color w:val="auto"/>
                <w:sz w:val="24"/>
                <w:szCs w:val="24"/>
              </w:rPr>
            </w:pPr>
            <w:r>
              <w:rPr>
                <w:color w:val="auto"/>
                <w:spacing w:val="-8"/>
                <w:sz w:val="24"/>
                <w:szCs w:val="24"/>
              </w:rPr>
              <w:t>数量</w:t>
            </w:r>
          </w:p>
        </w:tc>
        <w:tc>
          <w:tcPr>
            <w:tcW w:w="913" w:type="dxa"/>
            <w:vAlign w:val="top"/>
          </w:tcPr>
          <w:p w14:paraId="7FBD9A72">
            <w:pPr>
              <w:spacing w:line="252" w:lineRule="auto"/>
              <w:rPr>
                <w:rFonts w:ascii="Arial"/>
                <w:color w:val="auto"/>
                <w:sz w:val="21"/>
              </w:rPr>
            </w:pPr>
          </w:p>
          <w:p w14:paraId="0726DA74">
            <w:pPr>
              <w:spacing w:line="252" w:lineRule="auto"/>
              <w:rPr>
                <w:rFonts w:ascii="Arial"/>
                <w:color w:val="auto"/>
                <w:sz w:val="21"/>
              </w:rPr>
            </w:pPr>
          </w:p>
          <w:p w14:paraId="3C889D2A">
            <w:pPr>
              <w:pStyle w:val="11"/>
              <w:spacing w:before="78" w:line="221" w:lineRule="auto"/>
              <w:ind w:left="267"/>
              <w:rPr>
                <w:color w:val="auto"/>
                <w:sz w:val="24"/>
                <w:szCs w:val="24"/>
              </w:rPr>
            </w:pPr>
            <w:r>
              <w:rPr>
                <w:color w:val="auto"/>
                <w:spacing w:val="-11"/>
                <w:sz w:val="24"/>
                <w:szCs w:val="24"/>
              </w:rPr>
              <w:t>单价</w:t>
            </w:r>
          </w:p>
        </w:tc>
        <w:tc>
          <w:tcPr>
            <w:tcW w:w="1068" w:type="dxa"/>
            <w:vAlign w:val="top"/>
          </w:tcPr>
          <w:p w14:paraId="590FE5A5">
            <w:pPr>
              <w:spacing w:line="252" w:lineRule="auto"/>
              <w:rPr>
                <w:rFonts w:ascii="Arial"/>
                <w:color w:val="auto"/>
                <w:sz w:val="21"/>
              </w:rPr>
            </w:pPr>
          </w:p>
          <w:p w14:paraId="53B0D90D">
            <w:pPr>
              <w:spacing w:line="253" w:lineRule="auto"/>
              <w:rPr>
                <w:rFonts w:ascii="Arial"/>
                <w:color w:val="auto"/>
                <w:sz w:val="21"/>
              </w:rPr>
            </w:pPr>
          </w:p>
          <w:p w14:paraId="73C34EFA">
            <w:pPr>
              <w:pStyle w:val="11"/>
              <w:spacing w:before="78" w:line="222" w:lineRule="auto"/>
              <w:ind w:left="348"/>
              <w:rPr>
                <w:color w:val="auto"/>
                <w:sz w:val="24"/>
                <w:szCs w:val="24"/>
              </w:rPr>
            </w:pPr>
            <w:r>
              <w:rPr>
                <w:color w:val="auto"/>
                <w:spacing w:val="-14"/>
                <w:sz w:val="24"/>
                <w:szCs w:val="24"/>
              </w:rPr>
              <w:t>总价</w:t>
            </w:r>
          </w:p>
        </w:tc>
      </w:tr>
      <w:tr w14:paraId="0E9E9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79" w:type="dxa"/>
            <w:vAlign w:val="top"/>
          </w:tcPr>
          <w:p w14:paraId="071F37AF">
            <w:pPr>
              <w:rPr>
                <w:rFonts w:ascii="Arial"/>
                <w:color w:val="auto"/>
                <w:sz w:val="21"/>
              </w:rPr>
            </w:pPr>
          </w:p>
        </w:tc>
        <w:tc>
          <w:tcPr>
            <w:tcW w:w="2755" w:type="dxa"/>
            <w:vAlign w:val="top"/>
          </w:tcPr>
          <w:p w14:paraId="483311A7">
            <w:pPr>
              <w:rPr>
                <w:rFonts w:ascii="Arial"/>
                <w:color w:val="auto"/>
                <w:sz w:val="21"/>
              </w:rPr>
            </w:pPr>
          </w:p>
        </w:tc>
        <w:tc>
          <w:tcPr>
            <w:tcW w:w="2492" w:type="dxa"/>
            <w:vAlign w:val="top"/>
          </w:tcPr>
          <w:p w14:paraId="6E297CD7">
            <w:pPr>
              <w:rPr>
                <w:rFonts w:ascii="Arial"/>
                <w:color w:val="auto"/>
                <w:sz w:val="21"/>
              </w:rPr>
            </w:pPr>
          </w:p>
        </w:tc>
        <w:tc>
          <w:tcPr>
            <w:tcW w:w="845" w:type="dxa"/>
            <w:vAlign w:val="top"/>
          </w:tcPr>
          <w:p w14:paraId="483C6C4E">
            <w:pPr>
              <w:rPr>
                <w:rFonts w:ascii="Arial"/>
                <w:color w:val="auto"/>
                <w:sz w:val="21"/>
              </w:rPr>
            </w:pPr>
          </w:p>
        </w:tc>
        <w:tc>
          <w:tcPr>
            <w:tcW w:w="913" w:type="dxa"/>
            <w:vAlign w:val="top"/>
          </w:tcPr>
          <w:p w14:paraId="773FF2A7">
            <w:pPr>
              <w:rPr>
                <w:rFonts w:ascii="Arial"/>
                <w:color w:val="auto"/>
                <w:sz w:val="21"/>
              </w:rPr>
            </w:pPr>
          </w:p>
        </w:tc>
        <w:tc>
          <w:tcPr>
            <w:tcW w:w="1068" w:type="dxa"/>
            <w:vAlign w:val="top"/>
          </w:tcPr>
          <w:p w14:paraId="6D8B356C">
            <w:pPr>
              <w:rPr>
                <w:rFonts w:ascii="Arial"/>
                <w:color w:val="auto"/>
                <w:sz w:val="21"/>
              </w:rPr>
            </w:pPr>
          </w:p>
        </w:tc>
      </w:tr>
      <w:tr w14:paraId="71DAA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79" w:type="dxa"/>
            <w:vAlign w:val="top"/>
          </w:tcPr>
          <w:p w14:paraId="053884E0">
            <w:pPr>
              <w:rPr>
                <w:rFonts w:ascii="Arial"/>
                <w:color w:val="auto"/>
                <w:sz w:val="21"/>
              </w:rPr>
            </w:pPr>
          </w:p>
        </w:tc>
        <w:tc>
          <w:tcPr>
            <w:tcW w:w="2755" w:type="dxa"/>
            <w:vAlign w:val="top"/>
          </w:tcPr>
          <w:p w14:paraId="1B70AEE9">
            <w:pPr>
              <w:rPr>
                <w:rFonts w:ascii="Arial"/>
                <w:color w:val="auto"/>
                <w:sz w:val="21"/>
              </w:rPr>
            </w:pPr>
          </w:p>
        </w:tc>
        <w:tc>
          <w:tcPr>
            <w:tcW w:w="2492" w:type="dxa"/>
            <w:vAlign w:val="top"/>
          </w:tcPr>
          <w:p w14:paraId="0282F664">
            <w:pPr>
              <w:rPr>
                <w:rFonts w:ascii="Arial"/>
                <w:color w:val="auto"/>
                <w:sz w:val="21"/>
              </w:rPr>
            </w:pPr>
          </w:p>
        </w:tc>
        <w:tc>
          <w:tcPr>
            <w:tcW w:w="845" w:type="dxa"/>
            <w:vAlign w:val="top"/>
          </w:tcPr>
          <w:p w14:paraId="71DD3018">
            <w:pPr>
              <w:rPr>
                <w:rFonts w:ascii="Arial"/>
                <w:color w:val="auto"/>
                <w:sz w:val="21"/>
              </w:rPr>
            </w:pPr>
          </w:p>
        </w:tc>
        <w:tc>
          <w:tcPr>
            <w:tcW w:w="913" w:type="dxa"/>
            <w:vAlign w:val="top"/>
          </w:tcPr>
          <w:p w14:paraId="0A7AEEDF">
            <w:pPr>
              <w:rPr>
                <w:rFonts w:ascii="Arial"/>
                <w:color w:val="auto"/>
                <w:sz w:val="21"/>
              </w:rPr>
            </w:pPr>
          </w:p>
        </w:tc>
        <w:tc>
          <w:tcPr>
            <w:tcW w:w="1068" w:type="dxa"/>
            <w:vAlign w:val="top"/>
          </w:tcPr>
          <w:p w14:paraId="6E72F325">
            <w:pPr>
              <w:rPr>
                <w:rFonts w:ascii="Arial"/>
                <w:color w:val="auto"/>
                <w:sz w:val="21"/>
              </w:rPr>
            </w:pPr>
          </w:p>
        </w:tc>
      </w:tr>
      <w:tr w14:paraId="2429B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79" w:type="dxa"/>
            <w:vAlign w:val="top"/>
          </w:tcPr>
          <w:p w14:paraId="130AB4C4">
            <w:pPr>
              <w:rPr>
                <w:rFonts w:ascii="Arial"/>
                <w:color w:val="auto"/>
                <w:sz w:val="21"/>
              </w:rPr>
            </w:pPr>
          </w:p>
        </w:tc>
        <w:tc>
          <w:tcPr>
            <w:tcW w:w="2755" w:type="dxa"/>
            <w:vAlign w:val="top"/>
          </w:tcPr>
          <w:p w14:paraId="14C53AC8">
            <w:pPr>
              <w:rPr>
                <w:rFonts w:ascii="Arial"/>
                <w:color w:val="auto"/>
                <w:sz w:val="21"/>
              </w:rPr>
            </w:pPr>
          </w:p>
        </w:tc>
        <w:tc>
          <w:tcPr>
            <w:tcW w:w="2492" w:type="dxa"/>
            <w:vAlign w:val="top"/>
          </w:tcPr>
          <w:p w14:paraId="59B0711B">
            <w:pPr>
              <w:rPr>
                <w:rFonts w:ascii="Arial"/>
                <w:color w:val="auto"/>
                <w:sz w:val="21"/>
              </w:rPr>
            </w:pPr>
          </w:p>
        </w:tc>
        <w:tc>
          <w:tcPr>
            <w:tcW w:w="845" w:type="dxa"/>
            <w:vAlign w:val="top"/>
          </w:tcPr>
          <w:p w14:paraId="63051D03">
            <w:pPr>
              <w:rPr>
                <w:rFonts w:ascii="Arial"/>
                <w:color w:val="auto"/>
                <w:sz w:val="21"/>
              </w:rPr>
            </w:pPr>
          </w:p>
        </w:tc>
        <w:tc>
          <w:tcPr>
            <w:tcW w:w="913" w:type="dxa"/>
            <w:vAlign w:val="top"/>
          </w:tcPr>
          <w:p w14:paraId="4BD71ADD">
            <w:pPr>
              <w:rPr>
                <w:rFonts w:ascii="Arial"/>
                <w:color w:val="auto"/>
                <w:sz w:val="21"/>
              </w:rPr>
            </w:pPr>
          </w:p>
        </w:tc>
        <w:tc>
          <w:tcPr>
            <w:tcW w:w="1068" w:type="dxa"/>
            <w:vAlign w:val="top"/>
          </w:tcPr>
          <w:p w14:paraId="7EF5BAFF">
            <w:pPr>
              <w:rPr>
                <w:rFonts w:ascii="Arial"/>
                <w:color w:val="auto"/>
                <w:sz w:val="21"/>
              </w:rPr>
            </w:pPr>
          </w:p>
        </w:tc>
      </w:tr>
      <w:tr w14:paraId="77FD7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79" w:type="dxa"/>
            <w:vAlign w:val="top"/>
          </w:tcPr>
          <w:p w14:paraId="31049268">
            <w:pPr>
              <w:rPr>
                <w:rFonts w:ascii="Arial"/>
                <w:color w:val="auto"/>
                <w:sz w:val="21"/>
              </w:rPr>
            </w:pPr>
          </w:p>
        </w:tc>
        <w:tc>
          <w:tcPr>
            <w:tcW w:w="2755" w:type="dxa"/>
            <w:vAlign w:val="top"/>
          </w:tcPr>
          <w:p w14:paraId="719D0A1B">
            <w:pPr>
              <w:rPr>
                <w:rFonts w:ascii="Arial"/>
                <w:color w:val="auto"/>
                <w:sz w:val="21"/>
              </w:rPr>
            </w:pPr>
          </w:p>
        </w:tc>
        <w:tc>
          <w:tcPr>
            <w:tcW w:w="2492" w:type="dxa"/>
            <w:vAlign w:val="top"/>
          </w:tcPr>
          <w:p w14:paraId="09CDB694">
            <w:pPr>
              <w:rPr>
                <w:rFonts w:ascii="Arial"/>
                <w:color w:val="auto"/>
                <w:sz w:val="21"/>
              </w:rPr>
            </w:pPr>
          </w:p>
        </w:tc>
        <w:tc>
          <w:tcPr>
            <w:tcW w:w="845" w:type="dxa"/>
            <w:vAlign w:val="top"/>
          </w:tcPr>
          <w:p w14:paraId="30ACEA57">
            <w:pPr>
              <w:rPr>
                <w:rFonts w:ascii="Arial"/>
                <w:color w:val="auto"/>
                <w:sz w:val="21"/>
              </w:rPr>
            </w:pPr>
          </w:p>
        </w:tc>
        <w:tc>
          <w:tcPr>
            <w:tcW w:w="913" w:type="dxa"/>
            <w:vAlign w:val="top"/>
          </w:tcPr>
          <w:p w14:paraId="6AA5B32C">
            <w:pPr>
              <w:rPr>
                <w:rFonts w:ascii="Arial"/>
                <w:color w:val="auto"/>
                <w:sz w:val="21"/>
              </w:rPr>
            </w:pPr>
          </w:p>
        </w:tc>
        <w:tc>
          <w:tcPr>
            <w:tcW w:w="1068" w:type="dxa"/>
            <w:vAlign w:val="top"/>
          </w:tcPr>
          <w:p w14:paraId="5A06A4E0">
            <w:pPr>
              <w:rPr>
                <w:rFonts w:ascii="Arial"/>
                <w:color w:val="auto"/>
                <w:sz w:val="21"/>
              </w:rPr>
            </w:pPr>
          </w:p>
        </w:tc>
      </w:tr>
      <w:tr w14:paraId="776BC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79" w:type="dxa"/>
            <w:vAlign w:val="top"/>
          </w:tcPr>
          <w:p w14:paraId="249E3D77">
            <w:pPr>
              <w:rPr>
                <w:rFonts w:ascii="Arial"/>
                <w:color w:val="auto"/>
                <w:sz w:val="21"/>
              </w:rPr>
            </w:pPr>
          </w:p>
        </w:tc>
        <w:tc>
          <w:tcPr>
            <w:tcW w:w="2755" w:type="dxa"/>
            <w:vAlign w:val="top"/>
          </w:tcPr>
          <w:p w14:paraId="08EC50D2">
            <w:pPr>
              <w:rPr>
                <w:rFonts w:ascii="Arial"/>
                <w:color w:val="auto"/>
                <w:sz w:val="21"/>
              </w:rPr>
            </w:pPr>
          </w:p>
        </w:tc>
        <w:tc>
          <w:tcPr>
            <w:tcW w:w="2492" w:type="dxa"/>
            <w:vAlign w:val="top"/>
          </w:tcPr>
          <w:p w14:paraId="4F40A380">
            <w:pPr>
              <w:rPr>
                <w:rFonts w:ascii="Arial"/>
                <w:color w:val="auto"/>
                <w:sz w:val="21"/>
              </w:rPr>
            </w:pPr>
          </w:p>
        </w:tc>
        <w:tc>
          <w:tcPr>
            <w:tcW w:w="845" w:type="dxa"/>
            <w:vAlign w:val="top"/>
          </w:tcPr>
          <w:p w14:paraId="6560FB5D">
            <w:pPr>
              <w:rPr>
                <w:rFonts w:ascii="Arial"/>
                <w:color w:val="auto"/>
                <w:sz w:val="21"/>
              </w:rPr>
            </w:pPr>
          </w:p>
        </w:tc>
        <w:tc>
          <w:tcPr>
            <w:tcW w:w="913" w:type="dxa"/>
            <w:vAlign w:val="top"/>
          </w:tcPr>
          <w:p w14:paraId="2B6F72E0">
            <w:pPr>
              <w:rPr>
                <w:rFonts w:ascii="Arial"/>
                <w:color w:val="auto"/>
                <w:sz w:val="21"/>
              </w:rPr>
            </w:pPr>
          </w:p>
        </w:tc>
        <w:tc>
          <w:tcPr>
            <w:tcW w:w="1068" w:type="dxa"/>
            <w:vAlign w:val="top"/>
          </w:tcPr>
          <w:p w14:paraId="2ED8582E">
            <w:pPr>
              <w:rPr>
                <w:rFonts w:ascii="Arial"/>
                <w:color w:val="auto"/>
                <w:sz w:val="21"/>
              </w:rPr>
            </w:pPr>
          </w:p>
        </w:tc>
      </w:tr>
      <w:tr w14:paraId="1B4A7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79" w:type="dxa"/>
            <w:vAlign w:val="top"/>
          </w:tcPr>
          <w:p w14:paraId="3B6DB29D">
            <w:pPr>
              <w:rPr>
                <w:rFonts w:ascii="Arial"/>
                <w:color w:val="auto"/>
                <w:sz w:val="21"/>
              </w:rPr>
            </w:pPr>
          </w:p>
        </w:tc>
        <w:tc>
          <w:tcPr>
            <w:tcW w:w="2755" w:type="dxa"/>
            <w:vAlign w:val="top"/>
          </w:tcPr>
          <w:p w14:paraId="2A5E7454">
            <w:pPr>
              <w:rPr>
                <w:rFonts w:ascii="Arial"/>
                <w:color w:val="auto"/>
                <w:sz w:val="21"/>
              </w:rPr>
            </w:pPr>
          </w:p>
        </w:tc>
        <w:tc>
          <w:tcPr>
            <w:tcW w:w="2492" w:type="dxa"/>
            <w:vAlign w:val="top"/>
          </w:tcPr>
          <w:p w14:paraId="2BF2B19E">
            <w:pPr>
              <w:rPr>
                <w:rFonts w:ascii="Arial"/>
                <w:color w:val="auto"/>
                <w:sz w:val="21"/>
              </w:rPr>
            </w:pPr>
          </w:p>
        </w:tc>
        <w:tc>
          <w:tcPr>
            <w:tcW w:w="845" w:type="dxa"/>
            <w:vAlign w:val="top"/>
          </w:tcPr>
          <w:p w14:paraId="6E5E4815">
            <w:pPr>
              <w:rPr>
                <w:rFonts w:ascii="Arial"/>
                <w:color w:val="auto"/>
                <w:sz w:val="21"/>
              </w:rPr>
            </w:pPr>
          </w:p>
        </w:tc>
        <w:tc>
          <w:tcPr>
            <w:tcW w:w="913" w:type="dxa"/>
            <w:vAlign w:val="top"/>
          </w:tcPr>
          <w:p w14:paraId="4A94380B">
            <w:pPr>
              <w:rPr>
                <w:rFonts w:ascii="Arial"/>
                <w:color w:val="auto"/>
                <w:sz w:val="21"/>
              </w:rPr>
            </w:pPr>
          </w:p>
        </w:tc>
        <w:tc>
          <w:tcPr>
            <w:tcW w:w="1068" w:type="dxa"/>
            <w:vAlign w:val="top"/>
          </w:tcPr>
          <w:p w14:paraId="2D4AEC0E">
            <w:pPr>
              <w:rPr>
                <w:rFonts w:ascii="Arial"/>
                <w:color w:val="auto"/>
                <w:sz w:val="21"/>
              </w:rPr>
            </w:pPr>
          </w:p>
        </w:tc>
      </w:tr>
      <w:tr w14:paraId="72F79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79" w:type="dxa"/>
            <w:vAlign w:val="top"/>
          </w:tcPr>
          <w:p w14:paraId="77FE489F">
            <w:pPr>
              <w:rPr>
                <w:rFonts w:ascii="Arial"/>
                <w:color w:val="auto"/>
                <w:sz w:val="21"/>
              </w:rPr>
            </w:pPr>
          </w:p>
        </w:tc>
        <w:tc>
          <w:tcPr>
            <w:tcW w:w="2755" w:type="dxa"/>
            <w:vAlign w:val="top"/>
          </w:tcPr>
          <w:p w14:paraId="5379953C">
            <w:pPr>
              <w:rPr>
                <w:rFonts w:ascii="Arial"/>
                <w:color w:val="auto"/>
                <w:sz w:val="21"/>
              </w:rPr>
            </w:pPr>
          </w:p>
        </w:tc>
        <w:tc>
          <w:tcPr>
            <w:tcW w:w="2492" w:type="dxa"/>
            <w:vAlign w:val="top"/>
          </w:tcPr>
          <w:p w14:paraId="438D7049">
            <w:pPr>
              <w:rPr>
                <w:rFonts w:ascii="Arial"/>
                <w:color w:val="auto"/>
                <w:sz w:val="21"/>
              </w:rPr>
            </w:pPr>
          </w:p>
        </w:tc>
        <w:tc>
          <w:tcPr>
            <w:tcW w:w="845" w:type="dxa"/>
            <w:vAlign w:val="top"/>
          </w:tcPr>
          <w:p w14:paraId="10E3E7DB">
            <w:pPr>
              <w:rPr>
                <w:rFonts w:ascii="Arial"/>
                <w:color w:val="auto"/>
                <w:sz w:val="21"/>
              </w:rPr>
            </w:pPr>
          </w:p>
        </w:tc>
        <w:tc>
          <w:tcPr>
            <w:tcW w:w="913" w:type="dxa"/>
            <w:vAlign w:val="top"/>
          </w:tcPr>
          <w:p w14:paraId="42689457">
            <w:pPr>
              <w:rPr>
                <w:rFonts w:ascii="Arial"/>
                <w:color w:val="auto"/>
                <w:sz w:val="21"/>
              </w:rPr>
            </w:pPr>
          </w:p>
        </w:tc>
        <w:tc>
          <w:tcPr>
            <w:tcW w:w="1068" w:type="dxa"/>
            <w:vAlign w:val="top"/>
          </w:tcPr>
          <w:p w14:paraId="554FC03B">
            <w:pPr>
              <w:rPr>
                <w:rFonts w:ascii="Arial"/>
                <w:color w:val="auto"/>
                <w:sz w:val="21"/>
              </w:rPr>
            </w:pPr>
          </w:p>
        </w:tc>
      </w:tr>
      <w:tr w14:paraId="71568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79" w:type="dxa"/>
            <w:vAlign w:val="top"/>
          </w:tcPr>
          <w:p w14:paraId="704B0B67">
            <w:pPr>
              <w:rPr>
                <w:rFonts w:ascii="Arial"/>
                <w:color w:val="auto"/>
                <w:sz w:val="21"/>
              </w:rPr>
            </w:pPr>
          </w:p>
        </w:tc>
        <w:tc>
          <w:tcPr>
            <w:tcW w:w="2755" w:type="dxa"/>
            <w:vAlign w:val="top"/>
          </w:tcPr>
          <w:p w14:paraId="4893651C">
            <w:pPr>
              <w:rPr>
                <w:rFonts w:ascii="Arial"/>
                <w:color w:val="auto"/>
                <w:sz w:val="21"/>
              </w:rPr>
            </w:pPr>
          </w:p>
        </w:tc>
        <w:tc>
          <w:tcPr>
            <w:tcW w:w="2492" w:type="dxa"/>
            <w:vAlign w:val="top"/>
          </w:tcPr>
          <w:p w14:paraId="58312ED3">
            <w:pPr>
              <w:rPr>
                <w:rFonts w:ascii="Arial"/>
                <w:color w:val="auto"/>
                <w:sz w:val="21"/>
              </w:rPr>
            </w:pPr>
          </w:p>
        </w:tc>
        <w:tc>
          <w:tcPr>
            <w:tcW w:w="845" w:type="dxa"/>
            <w:vAlign w:val="top"/>
          </w:tcPr>
          <w:p w14:paraId="16141C92">
            <w:pPr>
              <w:rPr>
                <w:rFonts w:ascii="Arial"/>
                <w:color w:val="auto"/>
                <w:sz w:val="21"/>
              </w:rPr>
            </w:pPr>
          </w:p>
        </w:tc>
        <w:tc>
          <w:tcPr>
            <w:tcW w:w="913" w:type="dxa"/>
            <w:vAlign w:val="top"/>
          </w:tcPr>
          <w:p w14:paraId="449DF443">
            <w:pPr>
              <w:rPr>
                <w:rFonts w:ascii="Arial"/>
                <w:color w:val="auto"/>
                <w:sz w:val="21"/>
              </w:rPr>
            </w:pPr>
          </w:p>
        </w:tc>
        <w:tc>
          <w:tcPr>
            <w:tcW w:w="1068" w:type="dxa"/>
            <w:vAlign w:val="top"/>
          </w:tcPr>
          <w:p w14:paraId="52BAEF5E">
            <w:pPr>
              <w:rPr>
                <w:rFonts w:ascii="Arial"/>
                <w:color w:val="auto"/>
                <w:sz w:val="21"/>
              </w:rPr>
            </w:pPr>
          </w:p>
        </w:tc>
      </w:tr>
      <w:tr w14:paraId="2B40B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79" w:type="dxa"/>
            <w:vAlign w:val="top"/>
          </w:tcPr>
          <w:p w14:paraId="1F1912E8">
            <w:pPr>
              <w:rPr>
                <w:rFonts w:ascii="Arial"/>
                <w:color w:val="auto"/>
                <w:sz w:val="21"/>
              </w:rPr>
            </w:pPr>
          </w:p>
        </w:tc>
        <w:tc>
          <w:tcPr>
            <w:tcW w:w="2755" w:type="dxa"/>
            <w:vAlign w:val="top"/>
          </w:tcPr>
          <w:p w14:paraId="53A4DEF6">
            <w:pPr>
              <w:rPr>
                <w:rFonts w:ascii="Arial"/>
                <w:color w:val="auto"/>
                <w:sz w:val="21"/>
              </w:rPr>
            </w:pPr>
          </w:p>
        </w:tc>
        <w:tc>
          <w:tcPr>
            <w:tcW w:w="2492" w:type="dxa"/>
            <w:vAlign w:val="top"/>
          </w:tcPr>
          <w:p w14:paraId="0DABFBA5">
            <w:pPr>
              <w:rPr>
                <w:rFonts w:ascii="Arial"/>
                <w:color w:val="auto"/>
                <w:sz w:val="21"/>
              </w:rPr>
            </w:pPr>
          </w:p>
        </w:tc>
        <w:tc>
          <w:tcPr>
            <w:tcW w:w="845" w:type="dxa"/>
            <w:vAlign w:val="top"/>
          </w:tcPr>
          <w:p w14:paraId="344DF4A1">
            <w:pPr>
              <w:rPr>
                <w:rFonts w:ascii="Arial"/>
                <w:color w:val="auto"/>
                <w:sz w:val="21"/>
              </w:rPr>
            </w:pPr>
          </w:p>
        </w:tc>
        <w:tc>
          <w:tcPr>
            <w:tcW w:w="913" w:type="dxa"/>
            <w:vAlign w:val="top"/>
          </w:tcPr>
          <w:p w14:paraId="16D34C85">
            <w:pPr>
              <w:rPr>
                <w:rFonts w:ascii="Arial"/>
                <w:color w:val="auto"/>
                <w:sz w:val="21"/>
              </w:rPr>
            </w:pPr>
          </w:p>
        </w:tc>
        <w:tc>
          <w:tcPr>
            <w:tcW w:w="1068" w:type="dxa"/>
            <w:vAlign w:val="top"/>
          </w:tcPr>
          <w:p w14:paraId="00C70072">
            <w:pPr>
              <w:rPr>
                <w:rFonts w:ascii="Arial"/>
                <w:color w:val="auto"/>
                <w:sz w:val="21"/>
              </w:rPr>
            </w:pPr>
          </w:p>
        </w:tc>
      </w:tr>
      <w:tr w14:paraId="642FA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79" w:type="dxa"/>
            <w:vAlign w:val="top"/>
          </w:tcPr>
          <w:p w14:paraId="2AA26263">
            <w:pPr>
              <w:rPr>
                <w:rFonts w:ascii="Arial"/>
                <w:color w:val="auto"/>
                <w:sz w:val="21"/>
              </w:rPr>
            </w:pPr>
          </w:p>
        </w:tc>
        <w:tc>
          <w:tcPr>
            <w:tcW w:w="2755" w:type="dxa"/>
            <w:vAlign w:val="top"/>
          </w:tcPr>
          <w:p w14:paraId="731C323C">
            <w:pPr>
              <w:rPr>
                <w:rFonts w:ascii="Arial"/>
                <w:color w:val="auto"/>
                <w:sz w:val="21"/>
              </w:rPr>
            </w:pPr>
          </w:p>
        </w:tc>
        <w:tc>
          <w:tcPr>
            <w:tcW w:w="2492" w:type="dxa"/>
            <w:vAlign w:val="top"/>
          </w:tcPr>
          <w:p w14:paraId="57C76531">
            <w:pPr>
              <w:rPr>
                <w:rFonts w:ascii="Arial"/>
                <w:color w:val="auto"/>
                <w:sz w:val="21"/>
              </w:rPr>
            </w:pPr>
          </w:p>
        </w:tc>
        <w:tc>
          <w:tcPr>
            <w:tcW w:w="845" w:type="dxa"/>
            <w:vAlign w:val="top"/>
          </w:tcPr>
          <w:p w14:paraId="33970F58">
            <w:pPr>
              <w:rPr>
                <w:rFonts w:ascii="Arial"/>
                <w:color w:val="auto"/>
                <w:sz w:val="21"/>
              </w:rPr>
            </w:pPr>
          </w:p>
        </w:tc>
        <w:tc>
          <w:tcPr>
            <w:tcW w:w="913" w:type="dxa"/>
            <w:vAlign w:val="top"/>
          </w:tcPr>
          <w:p w14:paraId="0A98A7B6">
            <w:pPr>
              <w:rPr>
                <w:rFonts w:ascii="Arial"/>
                <w:color w:val="auto"/>
                <w:sz w:val="21"/>
              </w:rPr>
            </w:pPr>
          </w:p>
        </w:tc>
        <w:tc>
          <w:tcPr>
            <w:tcW w:w="1068" w:type="dxa"/>
            <w:vAlign w:val="top"/>
          </w:tcPr>
          <w:p w14:paraId="0A0D85EF">
            <w:pPr>
              <w:rPr>
                <w:rFonts w:ascii="Arial"/>
                <w:color w:val="auto"/>
                <w:sz w:val="21"/>
              </w:rPr>
            </w:pPr>
          </w:p>
        </w:tc>
      </w:tr>
      <w:tr w14:paraId="3C191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9052" w:type="dxa"/>
            <w:gridSpan w:val="6"/>
            <w:vAlign w:val="top"/>
          </w:tcPr>
          <w:p w14:paraId="56E50AC0">
            <w:pPr>
              <w:pStyle w:val="11"/>
              <w:spacing w:before="119" w:line="312" w:lineRule="auto"/>
              <w:ind w:left="123" w:right="6878"/>
              <w:rPr>
                <w:color w:val="auto"/>
                <w:sz w:val="24"/>
                <w:szCs w:val="24"/>
              </w:rPr>
            </w:pPr>
            <w:r>
              <w:rPr>
                <w:color w:val="auto"/>
                <w:spacing w:val="-36"/>
                <w:sz w:val="24"/>
                <w:szCs w:val="24"/>
              </w:rPr>
              <w:t>投标报价人民币小写：</w:t>
            </w:r>
            <w:r>
              <w:rPr>
                <w:color w:val="auto"/>
                <w:spacing w:val="4"/>
                <w:sz w:val="24"/>
                <w:szCs w:val="24"/>
              </w:rPr>
              <w:t xml:space="preserve"> </w:t>
            </w:r>
            <w:r>
              <w:rPr>
                <w:color w:val="auto"/>
                <w:spacing w:val="-36"/>
                <w:sz w:val="24"/>
                <w:szCs w:val="24"/>
              </w:rPr>
              <w:t>投标报价人民币大写：</w:t>
            </w:r>
          </w:p>
        </w:tc>
      </w:tr>
    </w:tbl>
    <w:p w14:paraId="34D46745">
      <w:pPr>
        <w:spacing w:before="114" w:line="222" w:lineRule="auto"/>
        <w:ind w:left="497"/>
        <w:rPr>
          <w:rFonts w:ascii="仿宋" w:hAnsi="仿宋" w:eastAsia="仿宋" w:cs="仿宋"/>
          <w:color w:val="auto"/>
          <w:sz w:val="24"/>
          <w:szCs w:val="24"/>
        </w:rPr>
      </w:pPr>
      <w:r>
        <w:rPr>
          <w:rFonts w:ascii="仿宋" w:hAnsi="仿宋" w:eastAsia="仿宋" w:cs="仿宋"/>
          <w:color w:val="auto"/>
          <w:spacing w:val="-5"/>
          <w:sz w:val="24"/>
          <w:szCs w:val="24"/>
        </w:rPr>
        <w:t>投标人（企业电子章</w:t>
      </w:r>
      <w:r>
        <w:rPr>
          <w:rFonts w:ascii="仿宋" w:hAnsi="仿宋" w:eastAsia="仿宋" w:cs="仿宋"/>
          <w:color w:val="auto"/>
          <w:spacing w:val="-68"/>
          <w:sz w:val="24"/>
          <w:szCs w:val="24"/>
        </w:rPr>
        <w:t>）：</w:t>
      </w:r>
    </w:p>
    <w:p w14:paraId="435BEEF4">
      <w:pPr>
        <w:spacing w:before="176" w:line="221" w:lineRule="auto"/>
        <w:ind w:left="505"/>
        <w:rPr>
          <w:rFonts w:ascii="仿宋" w:hAnsi="仿宋" w:eastAsia="仿宋" w:cs="仿宋"/>
          <w:color w:val="auto"/>
          <w:sz w:val="24"/>
          <w:szCs w:val="24"/>
        </w:rPr>
      </w:pPr>
      <w:r>
        <w:rPr>
          <w:rFonts w:ascii="仿宋" w:hAnsi="仿宋" w:eastAsia="仿宋" w:cs="仿宋"/>
          <w:color w:val="auto"/>
          <w:spacing w:val="-4"/>
          <w:sz w:val="24"/>
          <w:szCs w:val="24"/>
        </w:rPr>
        <w:t>注：1、投标人可根据需要自行增减表格行数。</w:t>
      </w:r>
    </w:p>
    <w:p w14:paraId="65075009">
      <w:pPr>
        <w:spacing w:before="181" w:line="342" w:lineRule="auto"/>
        <w:ind w:left="17" w:right="118" w:firstLine="966"/>
        <w:rPr>
          <w:rFonts w:ascii="仿宋" w:hAnsi="仿宋" w:eastAsia="仿宋" w:cs="仿宋"/>
          <w:color w:val="auto"/>
          <w:sz w:val="24"/>
          <w:szCs w:val="24"/>
        </w:rPr>
      </w:pPr>
      <w:r>
        <w:rPr>
          <w:rFonts w:ascii="仿宋" w:hAnsi="仿宋" w:eastAsia="仿宋" w:cs="仿宋"/>
          <w:color w:val="auto"/>
          <w:spacing w:val="-4"/>
          <w:sz w:val="24"/>
          <w:szCs w:val="24"/>
        </w:rPr>
        <w:t>2、投标人对所报相关内容的真实性负责，采购代理机构有权将相关内容进</w:t>
      </w:r>
      <w:r>
        <w:rPr>
          <w:rFonts w:ascii="仿宋" w:hAnsi="仿宋" w:eastAsia="仿宋" w:cs="仿宋"/>
          <w:color w:val="auto"/>
          <w:spacing w:val="-5"/>
          <w:sz w:val="24"/>
          <w:szCs w:val="24"/>
        </w:rPr>
        <w:t>行公</w:t>
      </w:r>
      <w:r>
        <w:rPr>
          <w:rFonts w:ascii="仿宋" w:hAnsi="仿宋" w:eastAsia="仿宋" w:cs="仿宋"/>
          <w:color w:val="auto"/>
          <w:sz w:val="24"/>
          <w:szCs w:val="24"/>
        </w:rPr>
        <w:t xml:space="preserve"> </w:t>
      </w:r>
      <w:r>
        <w:rPr>
          <w:rFonts w:ascii="仿宋" w:hAnsi="仿宋" w:eastAsia="仿宋" w:cs="仿宋"/>
          <w:color w:val="auto"/>
          <w:spacing w:val="-4"/>
          <w:sz w:val="24"/>
          <w:szCs w:val="24"/>
        </w:rPr>
        <w:t>示，因弄虚作假导致的后果由投标人自行承担。</w:t>
      </w:r>
    </w:p>
    <w:p w14:paraId="4D89802A">
      <w:pPr>
        <w:spacing w:line="342" w:lineRule="auto"/>
        <w:rPr>
          <w:rFonts w:ascii="仿宋" w:hAnsi="仿宋" w:eastAsia="仿宋" w:cs="仿宋"/>
          <w:color w:val="auto"/>
          <w:sz w:val="24"/>
          <w:szCs w:val="24"/>
        </w:rPr>
        <w:sectPr>
          <w:footerReference r:id="rId64" w:type="default"/>
          <w:pgSz w:w="11906" w:h="16839"/>
          <w:pgMar w:top="999" w:right="1246" w:bottom="844" w:left="1418" w:header="698" w:footer="682" w:gutter="0"/>
          <w:pgNumType w:fmt="decimal"/>
          <w:cols w:space="720" w:num="1"/>
        </w:sectPr>
      </w:pPr>
    </w:p>
    <w:p w14:paraId="46FCB773">
      <w:pPr>
        <w:pStyle w:val="3"/>
        <w:spacing w:line="293" w:lineRule="auto"/>
        <w:rPr>
          <w:color w:val="auto"/>
        </w:rPr>
      </w:pPr>
    </w:p>
    <w:p w14:paraId="7EAC246B">
      <w:pPr>
        <w:pStyle w:val="3"/>
        <w:spacing w:line="293" w:lineRule="auto"/>
        <w:rPr>
          <w:color w:val="auto"/>
        </w:rPr>
      </w:pPr>
    </w:p>
    <w:p w14:paraId="40D0FCA6">
      <w:pPr>
        <w:pStyle w:val="3"/>
        <w:spacing w:line="294" w:lineRule="auto"/>
        <w:rPr>
          <w:color w:val="auto"/>
        </w:rPr>
      </w:pPr>
    </w:p>
    <w:p w14:paraId="74F59415">
      <w:pPr>
        <w:spacing w:before="91" w:line="221" w:lineRule="auto"/>
        <w:ind w:left="1948"/>
        <w:rPr>
          <w:rFonts w:ascii="仿宋" w:hAnsi="仿宋" w:eastAsia="仿宋" w:cs="仿宋"/>
          <w:color w:val="auto"/>
          <w:sz w:val="28"/>
          <w:szCs w:val="28"/>
        </w:rPr>
      </w:pPr>
      <w:r>
        <w:rPr>
          <w:rFonts w:ascii="仿宋" w:hAnsi="仿宋" w:eastAsia="仿宋" w:cs="仿宋"/>
          <w:color w:val="auto"/>
          <w:spacing w:val="-6"/>
          <w:sz w:val="28"/>
          <w:szCs w:val="28"/>
        </w:rPr>
        <w:t>中小企业（监狱企业、残疾人福利性单位）说明</w:t>
      </w:r>
    </w:p>
    <w:p w14:paraId="7B0D32F8">
      <w:pPr>
        <w:pStyle w:val="3"/>
        <w:spacing w:line="267" w:lineRule="auto"/>
        <w:rPr>
          <w:color w:val="auto"/>
        </w:rPr>
      </w:pPr>
    </w:p>
    <w:p w14:paraId="77660D83">
      <w:pPr>
        <w:pStyle w:val="3"/>
        <w:spacing w:line="268" w:lineRule="auto"/>
        <w:rPr>
          <w:color w:val="auto"/>
        </w:rPr>
      </w:pPr>
    </w:p>
    <w:p w14:paraId="54FACCA5">
      <w:pPr>
        <w:spacing w:before="78" w:line="290" w:lineRule="auto"/>
        <w:ind w:left="16" w:right="120" w:firstLine="492"/>
        <w:rPr>
          <w:rFonts w:ascii="仿宋" w:hAnsi="仿宋" w:eastAsia="仿宋" w:cs="仿宋"/>
          <w:color w:val="auto"/>
          <w:sz w:val="24"/>
          <w:szCs w:val="24"/>
        </w:rPr>
      </w:pPr>
      <w:r>
        <w:rPr>
          <w:rFonts w:ascii="仿宋" w:hAnsi="仿宋" w:eastAsia="仿宋" w:cs="仿宋"/>
          <w:color w:val="auto"/>
          <w:spacing w:val="-4"/>
          <w:sz w:val="24"/>
          <w:szCs w:val="24"/>
        </w:rPr>
        <w:t>1、投标人须在投标文件中提供《中小企业声明函》；如未按要求提供或相关内</w:t>
      </w:r>
      <w:r>
        <w:rPr>
          <w:rFonts w:ascii="仿宋" w:hAnsi="仿宋" w:eastAsia="仿宋" w:cs="仿宋"/>
          <w:color w:val="auto"/>
          <w:spacing w:val="-5"/>
          <w:sz w:val="24"/>
          <w:szCs w:val="24"/>
        </w:rPr>
        <w:t>容表</w:t>
      </w:r>
      <w:r>
        <w:rPr>
          <w:rFonts w:ascii="仿宋" w:hAnsi="仿宋" w:eastAsia="仿宋" w:cs="仿宋"/>
          <w:color w:val="auto"/>
          <w:sz w:val="24"/>
          <w:szCs w:val="24"/>
        </w:rPr>
        <w:t xml:space="preserve"> </w:t>
      </w:r>
      <w:r>
        <w:rPr>
          <w:rFonts w:ascii="仿宋" w:hAnsi="仿宋" w:eastAsia="仿宋" w:cs="仿宋"/>
          <w:color w:val="auto"/>
          <w:spacing w:val="-4"/>
          <w:sz w:val="24"/>
          <w:szCs w:val="24"/>
        </w:rPr>
        <w:t>述不清的或内容不全的，将不予认可。</w:t>
      </w:r>
    </w:p>
    <w:p w14:paraId="21C8848F">
      <w:pPr>
        <w:spacing w:before="180" w:line="324" w:lineRule="auto"/>
        <w:ind w:left="19" w:right="91" w:firstLine="474"/>
        <w:rPr>
          <w:rFonts w:ascii="仿宋" w:hAnsi="仿宋" w:eastAsia="仿宋" w:cs="仿宋"/>
          <w:color w:val="auto"/>
          <w:sz w:val="24"/>
          <w:szCs w:val="24"/>
        </w:rPr>
      </w:pPr>
      <w:r>
        <w:rPr>
          <w:rFonts w:ascii="仿宋" w:hAnsi="仿宋" w:eastAsia="仿宋" w:cs="仿宋"/>
          <w:color w:val="auto"/>
          <w:spacing w:val="-4"/>
          <w:sz w:val="24"/>
          <w:szCs w:val="24"/>
        </w:rPr>
        <w:t>2、根据财政部、司法部发布的《关于政府采购支持监狱企业发展有关问题的通知》</w:t>
      </w:r>
      <w:r>
        <w:rPr>
          <w:rFonts w:ascii="仿宋" w:hAnsi="仿宋" w:eastAsia="仿宋" w:cs="仿宋"/>
          <w:color w:val="auto"/>
          <w:spacing w:val="11"/>
          <w:sz w:val="24"/>
          <w:szCs w:val="24"/>
        </w:rPr>
        <w:t xml:space="preserve"> </w:t>
      </w:r>
      <w:r>
        <w:rPr>
          <w:rFonts w:ascii="仿宋" w:hAnsi="仿宋" w:eastAsia="仿宋" w:cs="仿宋"/>
          <w:color w:val="auto"/>
          <w:spacing w:val="-23"/>
          <w:sz w:val="24"/>
          <w:szCs w:val="24"/>
        </w:rPr>
        <w:t>（财库〔2014〕68</w:t>
      </w:r>
      <w:r>
        <w:rPr>
          <w:rFonts w:ascii="仿宋" w:hAnsi="仿宋" w:eastAsia="仿宋" w:cs="仿宋"/>
          <w:color w:val="auto"/>
          <w:spacing w:val="-36"/>
          <w:sz w:val="24"/>
          <w:szCs w:val="24"/>
        </w:rPr>
        <w:t xml:space="preserve"> </w:t>
      </w:r>
      <w:r>
        <w:rPr>
          <w:rFonts w:ascii="仿宋" w:hAnsi="仿宋" w:eastAsia="仿宋" w:cs="仿宋"/>
          <w:color w:val="auto"/>
          <w:spacing w:val="-23"/>
          <w:sz w:val="24"/>
          <w:szCs w:val="24"/>
        </w:rPr>
        <w:t>号）规定，本项目在评审中对监狱企业视同小型、微型企业，享受价格扣除政</w:t>
      </w:r>
      <w:r>
        <w:rPr>
          <w:rFonts w:ascii="仿宋" w:hAnsi="仿宋" w:eastAsia="仿宋" w:cs="仿宋"/>
          <w:color w:val="auto"/>
          <w:sz w:val="24"/>
          <w:szCs w:val="24"/>
        </w:rPr>
        <w:t xml:space="preserve"> </w:t>
      </w:r>
      <w:r>
        <w:rPr>
          <w:rFonts w:ascii="仿宋" w:hAnsi="仿宋" w:eastAsia="仿宋" w:cs="仿宋"/>
          <w:color w:val="auto"/>
          <w:spacing w:val="-4"/>
          <w:sz w:val="24"/>
          <w:szCs w:val="24"/>
        </w:rPr>
        <w:t>策。监狱企业作为投标人须提供由省级以上监狱管理局、戒毒管理局(含新疆生产建设兵</w:t>
      </w:r>
      <w:r>
        <w:rPr>
          <w:rFonts w:ascii="仿宋" w:hAnsi="仿宋" w:eastAsia="仿宋" w:cs="仿宋"/>
          <w:color w:val="auto"/>
          <w:spacing w:val="18"/>
          <w:sz w:val="24"/>
          <w:szCs w:val="24"/>
        </w:rPr>
        <w:t xml:space="preserve"> </w:t>
      </w:r>
      <w:r>
        <w:rPr>
          <w:rFonts w:ascii="仿宋" w:hAnsi="仿宋" w:eastAsia="仿宋" w:cs="仿宋"/>
          <w:color w:val="auto"/>
          <w:spacing w:val="-4"/>
          <w:sz w:val="24"/>
          <w:szCs w:val="24"/>
        </w:rPr>
        <w:t>团)出具的属于监狱企业的证明文件的扫描件，否则不予认定。</w:t>
      </w:r>
    </w:p>
    <w:p w14:paraId="29F2E3FE">
      <w:pPr>
        <w:spacing w:before="176" w:line="325" w:lineRule="auto"/>
        <w:ind w:left="19" w:right="40" w:firstLine="476"/>
        <w:rPr>
          <w:rFonts w:ascii="仿宋" w:hAnsi="仿宋" w:eastAsia="仿宋" w:cs="仿宋"/>
          <w:color w:val="auto"/>
          <w:sz w:val="24"/>
          <w:szCs w:val="24"/>
        </w:rPr>
      </w:pPr>
      <w:r>
        <w:rPr>
          <w:rFonts w:ascii="仿宋" w:hAnsi="仿宋" w:eastAsia="仿宋" w:cs="仿宋"/>
          <w:color w:val="auto"/>
          <w:spacing w:val="-4"/>
          <w:sz w:val="24"/>
          <w:szCs w:val="24"/>
        </w:rPr>
        <w:t>3、根据财政部、民政部、中国残疾人联合会《关于促进残疾人就业政府采购政策的</w:t>
      </w:r>
      <w:r>
        <w:rPr>
          <w:rFonts w:ascii="仿宋" w:hAnsi="仿宋" w:eastAsia="仿宋" w:cs="仿宋"/>
          <w:color w:val="auto"/>
          <w:spacing w:val="13"/>
          <w:sz w:val="24"/>
          <w:szCs w:val="24"/>
        </w:rPr>
        <w:t xml:space="preserve"> </w:t>
      </w:r>
      <w:r>
        <w:rPr>
          <w:rFonts w:ascii="仿宋" w:hAnsi="仿宋" w:eastAsia="仿宋" w:cs="仿宋"/>
          <w:color w:val="auto"/>
          <w:spacing w:val="-24"/>
          <w:sz w:val="24"/>
          <w:szCs w:val="24"/>
        </w:rPr>
        <w:t>通知》（财库〔2017〕141</w:t>
      </w:r>
      <w:r>
        <w:rPr>
          <w:rFonts w:ascii="仿宋" w:hAnsi="仿宋" w:eastAsia="仿宋" w:cs="仿宋"/>
          <w:color w:val="auto"/>
          <w:spacing w:val="-37"/>
          <w:sz w:val="24"/>
          <w:szCs w:val="24"/>
        </w:rPr>
        <w:t xml:space="preserve"> </w:t>
      </w:r>
      <w:r>
        <w:rPr>
          <w:rFonts w:ascii="仿宋" w:hAnsi="仿宋" w:eastAsia="仿宋" w:cs="仿宋"/>
          <w:color w:val="auto"/>
          <w:spacing w:val="-24"/>
          <w:sz w:val="24"/>
          <w:szCs w:val="24"/>
        </w:rPr>
        <w:t>号）规定，本项目在评审中对残疾人福利性单位视同小型、微型企业，</w:t>
      </w:r>
      <w:r>
        <w:rPr>
          <w:rFonts w:ascii="仿宋" w:hAnsi="仿宋" w:eastAsia="仿宋" w:cs="仿宋"/>
          <w:color w:val="auto"/>
          <w:sz w:val="24"/>
          <w:szCs w:val="24"/>
        </w:rPr>
        <w:t xml:space="preserve"> </w:t>
      </w:r>
      <w:r>
        <w:rPr>
          <w:rFonts w:ascii="仿宋" w:hAnsi="仿宋" w:eastAsia="仿宋" w:cs="仿宋"/>
          <w:color w:val="auto"/>
          <w:spacing w:val="-12"/>
          <w:sz w:val="24"/>
          <w:szCs w:val="24"/>
        </w:rPr>
        <w:t>享受价格扣除政策。残疾人福利性单位作为投标人</w:t>
      </w:r>
      <w:r>
        <w:rPr>
          <w:rFonts w:ascii="仿宋" w:hAnsi="仿宋" w:eastAsia="仿宋" w:cs="仿宋"/>
          <w:color w:val="auto"/>
          <w:spacing w:val="-13"/>
          <w:sz w:val="24"/>
          <w:szCs w:val="24"/>
        </w:rPr>
        <w:t>须提供《残疾人福利性单位声明函》，否</w:t>
      </w:r>
      <w:r>
        <w:rPr>
          <w:rFonts w:ascii="仿宋" w:hAnsi="仿宋" w:eastAsia="仿宋" w:cs="仿宋"/>
          <w:color w:val="auto"/>
          <w:sz w:val="24"/>
          <w:szCs w:val="24"/>
        </w:rPr>
        <w:t xml:space="preserve"> </w:t>
      </w:r>
      <w:r>
        <w:rPr>
          <w:rFonts w:ascii="仿宋" w:hAnsi="仿宋" w:eastAsia="仿宋" w:cs="仿宋"/>
          <w:color w:val="auto"/>
          <w:spacing w:val="-6"/>
          <w:sz w:val="24"/>
          <w:szCs w:val="24"/>
        </w:rPr>
        <w:t>则不予认定。</w:t>
      </w:r>
    </w:p>
    <w:p w14:paraId="6F955C38">
      <w:pPr>
        <w:spacing w:before="175" w:line="220" w:lineRule="auto"/>
        <w:ind w:left="490"/>
        <w:rPr>
          <w:rFonts w:ascii="仿宋" w:hAnsi="仿宋" w:eastAsia="仿宋" w:cs="仿宋"/>
          <w:color w:val="auto"/>
          <w:sz w:val="24"/>
          <w:szCs w:val="24"/>
        </w:rPr>
      </w:pPr>
      <w:r>
        <w:rPr>
          <w:rFonts w:ascii="仿宋" w:hAnsi="仿宋" w:eastAsia="仿宋" w:cs="仿宋"/>
          <w:color w:val="auto"/>
          <w:spacing w:val="-3"/>
          <w:sz w:val="24"/>
          <w:szCs w:val="24"/>
        </w:rPr>
        <w:t>4、投标人对所报相关内容的真实性负责，采购代理机构有</w:t>
      </w:r>
      <w:r>
        <w:rPr>
          <w:rFonts w:ascii="仿宋" w:hAnsi="仿宋" w:eastAsia="仿宋" w:cs="仿宋"/>
          <w:color w:val="auto"/>
          <w:spacing w:val="-4"/>
          <w:sz w:val="24"/>
          <w:szCs w:val="24"/>
        </w:rPr>
        <w:t>权将相关内容进行公示，</w:t>
      </w:r>
    </w:p>
    <w:p w14:paraId="6EF3F8DD">
      <w:pPr>
        <w:spacing w:before="180" w:line="220" w:lineRule="auto"/>
        <w:ind w:left="40"/>
        <w:outlineLvl w:val="1"/>
        <w:rPr>
          <w:rFonts w:ascii="仿宋" w:hAnsi="仿宋" w:eastAsia="仿宋" w:cs="仿宋"/>
          <w:color w:val="auto"/>
          <w:sz w:val="24"/>
          <w:szCs w:val="24"/>
        </w:rPr>
      </w:pPr>
      <w:bookmarkStart w:id="25" w:name="_Toc2006"/>
      <w:r>
        <w:rPr>
          <w:rFonts w:ascii="仿宋" w:hAnsi="仿宋" w:eastAsia="仿宋" w:cs="仿宋"/>
          <w:color w:val="auto"/>
          <w:spacing w:val="-6"/>
          <w:sz w:val="24"/>
          <w:szCs w:val="24"/>
        </w:rPr>
        <w:t>因弄虚作假导致的后果由投标人自行承担。</w:t>
      </w:r>
      <w:bookmarkEnd w:id="25"/>
    </w:p>
    <w:p w14:paraId="4B479457">
      <w:pPr>
        <w:spacing w:before="179" w:line="220" w:lineRule="auto"/>
        <w:ind w:left="496"/>
        <w:rPr>
          <w:rFonts w:ascii="仿宋" w:hAnsi="仿宋" w:eastAsia="仿宋" w:cs="仿宋"/>
          <w:color w:val="auto"/>
          <w:sz w:val="24"/>
          <w:szCs w:val="24"/>
        </w:rPr>
      </w:pPr>
      <w:r>
        <w:rPr>
          <w:rFonts w:ascii="仿宋" w:hAnsi="仿宋" w:eastAsia="仿宋" w:cs="仿宋"/>
          <w:color w:val="auto"/>
          <w:spacing w:val="-4"/>
          <w:sz w:val="24"/>
          <w:szCs w:val="24"/>
        </w:rPr>
        <w:t>5、相关证明资料附后。</w:t>
      </w:r>
    </w:p>
    <w:p w14:paraId="0191D967">
      <w:pPr>
        <w:spacing w:line="220" w:lineRule="auto"/>
        <w:rPr>
          <w:rFonts w:ascii="仿宋" w:hAnsi="仿宋" w:eastAsia="仿宋" w:cs="仿宋"/>
          <w:color w:val="auto"/>
          <w:sz w:val="24"/>
          <w:szCs w:val="24"/>
        </w:rPr>
        <w:sectPr>
          <w:footerReference r:id="rId65" w:type="default"/>
          <w:pgSz w:w="11906" w:h="16839"/>
          <w:pgMar w:top="999" w:right="1246" w:bottom="844" w:left="1418" w:header="698" w:footer="682" w:gutter="0"/>
          <w:pgNumType w:fmt="decimal"/>
          <w:cols w:space="720" w:num="1"/>
        </w:sectPr>
      </w:pPr>
    </w:p>
    <w:p w14:paraId="101C1549">
      <w:pPr>
        <w:pStyle w:val="3"/>
        <w:spacing w:line="418" w:lineRule="auto"/>
        <w:rPr>
          <w:color w:val="auto"/>
        </w:rPr>
      </w:pPr>
    </w:p>
    <w:p w14:paraId="62303DDC">
      <w:pPr>
        <w:spacing w:before="91" w:line="219" w:lineRule="auto"/>
        <w:ind w:left="33"/>
        <w:rPr>
          <w:rFonts w:ascii="宋体" w:hAnsi="宋体" w:eastAsia="宋体" w:cs="宋体"/>
          <w:color w:val="auto"/>
          <w:sz w:val="28"/>
          <w:szCs w:val="28"/>
        </w:rPr>
      </w:pPr>
      <w:r>
        <w:rPr>
          <w:rFonts w:ascii="宋体" w:hAnsi="宋体" w:eastAsia="宋体" w:cs="宋体"/>
          <w:b/>
          <w:bCs/>
          <w:color w:val="auto"/>
          <w:spacing w:val="-26"/>
          <w:sz w:val="28"/>
          <w:szCs w:val="28"/>
        </w:rPr>
        <w:t>附件6-1:中小微企业声明函（投标人）</w:t>
      </w:r>
    </w:p>
    <w:p w14:paraId="54FDE1AA">
      <w:pPr>
        <w:spacing w:before="133" w:line="223" w:lineRule="auto"/>
        <w:ind w:left="2675"/>
        <w:rPr>
          <w:rFonts w:ascii="仿宋" w:hAnsi="仿宋" w:eastAsia="仿宋" w:cs="仿宋"/>
          <w:color w:val="auto"/>
          <w:sz w:val="28"/>
          <w:szCs w:val="28"/>
        </w:rPr>
      </w:pPr>
      <w:r>
        <w:rPr>
          <w:rFonts w:ascii="仿宋" w:hAnsi="仿宋" w:eastAsia="仿宋" w:cs="仿宋"/>
          <w:color w:val="auto"/>
          <w:spacing w:val="-7"/>
          <w:sz w:val="28"/>
          <w:szCs w:val="28"/>
        </w:rPr>
        <w:t>中小企业声明函（工程、服务）</w:t>
      </w:r>
    </w:p>
    <w:p w14:paraId="5E351256">
      <w:pPr>
        <w:pStyle w:val="3"/>
        <w:spacing w:line="280" w:lineRule="auto"/>
        <w:rPr>
          <w:color w:val="auto"/>
        </w:rPr>
      </w:pPr>
    </w:p>
    <w:p w14:paraId="045CE733">
      <w:pPr>
        <w:pStyle w:val="3"/>
        <w:spacing w:line="281" w:lineRule="auto"/>
        <w:rPr>
          <w:color w:val="auto"/>
        </w:rPr>
      </w:pPr>
    </w:p>
    <w:p w14:paraId="08D9C9CF">
      <w:pPr>
        <w:spacing w:before="65" w:line="422" w:lineRule="auto"/>
        <w:ind w:left="15" w:right="35" w:firstLine="420"/>
        <w:jc w:val="both"/>
        <w:rPr>
          <w:rFonts w:ascii="仿宋" w:hAnsi="仿宋" w:eastAsia="仿宋" w:cs="仿宋"/>
          <w:color w:val="auto"/>
          <w:sz w:val="20"/>
          <w:szCs w:val="20"/>
        </w:rPr>
      </w:pPr>
      <w:r>
        <w:rPr>
          <w:rFonts w:ascii="仿宋" w:hAnsi="仿宋" w:eastAsia="仿宋" w:cs="仿宋"/>
          <w:color w:val="auto"/>
          <w:spacing w:val="2"/>
          <w:sz w:val="20"/>
          <w:szCs w:val="20"/>
        </w:rPr>
        <w:t>本公司（联合体）郑重声明，根据《政府采购促进中小企业发展管理办法》（财库〔2020〕46</w:t>
      </w:r>
      <w:r>
        <w:rPr>
          <w:rFonts w:ascii="仿宋" w:hAnsi="仿宋" w:eastAsia="仿宋" w:cs="仿宋"/>
          <w:color w:val="auto"/>
          <w:spacing w:val="-23"/>
          <w:sz w:val="20"/>
          <w:szCs w:val="20"/>
        </w:rPr>
        <w:t xml:space="preserve"> </w:t>
      </w:r>
      <w:r>
        <w:rPr>
          <w:rFonts w:ascii="仿宋" w:hAnsi="仿宋" w:eastAsia="仿宋" w:cs="仿宋"/>
          <w:color w:val="auto"/>
          <w:spacing w:val="2"/>
          <w:sz w:val="20"/>
          <w:szCs w:val="20"/>
        </w:rPr>
        <w:t>号）</w:t>
      </w:r>
      <w:r>
        <w:rPr>
          <w:rFonts w:ascii="仿宋" w:hAnsi="仿宋" w:eastAsia="仿宋" w:cs="仿宋"/>
          <w:color w:val="auto"/>
          <w:sz w:val="20"/>
          <w:szCs w:val="20"/>
        </w:rPr>
        <w:t xml:space="preserve"> </w:t>
      </w:r>
      <w:r>
        <w:rPr>
          <w:rFonts w:ascii="仿宋" w:hAnsi="仿宋" w:eastAsia="仿宋" w:cs="仿宋"/>
          <w:color w:val="auto"/>
          <w:spacing w:val="7"/>
          <w:sz w:val="20"/>
          <w:szCs w:val="20"/>
        </w:rPr>
        <w:t>的规定，本公司（联合体）参加</w:t>
      </w:r>
      <w:r>
        <w:rPr>
          <w:rFonts w:ascii="仿宋" w:hAnsi="仿宋" w:eastAsia="仿宋" w:cs="仿宋"/>
          <w:color w:val="auto"/>
          <w:spacing w:val="7"/>
          <w:sz w:val="20"/>
          <w:szCs w:val="20"/>
          <w:u w:val="single" w:color="auto"/>
        </w:rPr>
        <w:t>（单位名称）</w:t>
      </w:r>
      <w:r>
        <w:rPr>
          <w:rFonts w:ascii="仿宋" w:hAnsi="仿宋" w:eastAsia="仿宋" w:cs="仿宋"/>
          <w:color w:val="auto"/>
          <w:spacing w:val="7"/>
          <w:sz w:val="20"/>
          <w:szCs w:val="20"/>
        </w:rPr>
        <w:t>的</w:t>
      </w:r>
      <w:r>
        <w:rPr>
          <w:rFonts w:ascii="仿宋" w:hAnsi="仿宋" w:eastAsia="仿宋" w:cs="仿宋"/>
          <w:color w:val="auto"/>
          <w:spacing w:val="7"/>
          <w:sz w:val="20"/>
          <w:szCs w:val="20"/>
          <w:u w:val="single" w:color="auto"/>
        </w:rPr>
        <w:t>（项目名称）</w:t>
      </w:r>
      <w:r>
        <w:rPr>
          <w:rFonts w:ascii="仿宋" w:hAnsi="仿宋" w:eastAsia="仿宋" w:cs="仿宋"/>
          <w:color w:val="auto"/>
          <w:spacing w:val="7"/>
          <w:sz w:val="20"/>
          <w:szCs w:val="20"/>
        </w:rPr>
        <w:t>采购活动。工程的施工单位全</w:t>
      </w:r>
      <w:r>
        <w:rPr>
          <w:rFonts w:ascii="仿宋" w:hAnsi="仿宋" w:eastAsia="仿宋" w:cs="仿宋"/>
          <w:color w:val="auto"/>
          <w:spacing w:val="6"/>
          <w:sz w:val="20"/>
          <w:szCs w:val="20"/>
        </w:rPr>
        <w:t>部为符合</w:t>
      </w:r>
      <w:r>
        <w:rPr>
          <w:rFonts w:ascii="仿宋" w:hAnsi="仿宋" w:eastAsia="仿宋" w:cs="仿宋"/>
          <w:color w:val="auto"/>
          <w:sz w:val="20"/>
          <w:szCs w:val="20"/>
        </w:rPr>
        <w:t xml:space="preserve">  </w:t>
      </w:r>
      <w:r>
        <w:rPr>
          <w:rFonts w:ascii="仿宋" w:hAnsi="仿宋" w:eastAsia="仿宋" w:cs="仿宋"/>
          <w:color w:val="auto"/>
          <w:spacing w:val="7"/>
          <w:sz w:val="20"/>
          <w:szCs w:val="20"/>
        </w:rPr>
        <w:t>政策要求的中小企业（或者：服务全部由符合政策要求的中小企业承接）。相关企业（含联合体</w:t>
      </w:r>
      <w:r>
        <w:rPr>
          <w:rFonts w:ascii="仿宋" w:hAnsi="仿宋" w:eastAsia="仿宋" w:cs="仿宋"/>
          <w:color w:val="auto"/>
          <w:spacing w:val="6"/>
          <w:sz w:val="20"/>
          <w:szCs w:val="20"/>
        </w:rPr>
        <w:t>中的</w:t>
      </w:r>
      <w:r>
        <w:rPr>
          <w:rFonts w:ascii="仿宋" w:hAnsi="仿宋" w:eastAsia="仿宋" w:cs="仿宋"/>
          <w:color w:val="auto"/>
          <w:sz w:val="20"/>
          <w:szCs w:val="20"/>
        </w:rPr>
        <w:t xml:space="preserve">  </w:t>
      </w:r>
      <w:r>
        <w:rPr>
          <w:rFonts w:ascii="仿宋" w:hAnsi="仿宋" w:eastAsia="仿宋" w:cs="仿宋"/>
          <w:color w:val="auto"/>
          <w:spacing w:val="6"/>
          <w:sz w:val="20"/>
          <w:szCs w:val="20"/>
        </w:rPr>
        <w:t>中小企业、签订分包意向协议的中小企业）的具体情况如下：</w:t>
      </w:r>
    </w:p>
    <w:p w14:paraId="08AF187B">
      <w:pPr>
        <w:spacing w:before="34" w:line="419" w:lineRule="auto"/>
        <w:ind w:left="14" w:right="120" w:firstLine="428"/>
        <w:jc w:val="both"/>
        <w:rPr>
          <w:rFonts w:ascii="仿宋" w:hAnsi="仿宋" w:eastAsia="仿宋" w:cs="仿宋"/>
          <w:color w:val="auto"/>
          <w:sz w:val="20"/>
          <w:szCs w:val="20"/>
        </w:rPr>
      </w:pPr>
      <w:r>
        <w:rPr>
          <w:rFonts w:ascii="仿宋" w:hAnsi="仿宋" w:eastAsia="仿宋" w:cs="仿宋"/>
          <w:color w:val="auto"/>
          <w:spacing w:val="4"/>
          <w:sz w:val="20"/>
          <w:szCs w:val="20"/>
        </w:rPr>
        <w:t>1、</w:t>
      </w:r>
      <w:r>
        <w:rPr>
          <w:rFonts w:ascii="仿宋" w:hAnsi="仿宋" w:eastAsia="仿宋" w:cs="仿宋"/>
          <w:color w:val="auto"/>
          <w:spacing w:val="4"/>
          <w:sz w:val="20"/>
          <w:szCs w:val="20"/>
          <w:u w:val="single" w:color="auto"/>
        </w:rPr>
        <w:t>（标的名称</w:t>
      </w:r>
      <w:r>
        <w:rPr>
          <w:rFonts w:ascii="仿宋" w:hAnsi="仿宋" w:eastAsia="仿宋" w:cs="仿宋"/>
          <w:color w:val="auto"/>
          <w:spacing w:val="5"/>
          <w:sz w:val="20"/>
          <w:szCs w:val="20"/>
          <w:u w:val="single" w:color="auto"/>
        </w:rPr>
        <w:t>）</w:t>
      </w:r>
      <w:r>
        <w:rPr>
          <w:rFonts w:ascii="仿宋" w:hAnsi="仿宋" w:eastAsia="仿宋" w:cs="仿宋"/>
          <w:color w:val="auto"/>
          <w:spacing w:val="5"/>
          <w:sz w:val="20"/>
          <w:szCs w:val="20"/>
        </w:rPr>
        <w:t>，</w:t>
      </w:r>
      <w:r>
        <w:rPr>
          <w:rFonts w:ascii="仿宋" w:hAnsi="仿宋" w:eastAsia="仿宋" w:cs="仿宋"/>
          <w:color w:val="auto"/>
          <w:spacing w:val="4"/>
          <w:sz w:val="20"/>
          <w:szCs w:val="20"/>
        </w:rPr>
        <w:t>属于</w:t>
      </w:r>
      <w:r>
        <w:rPr>
          <w:rFonts w:ascii="仿宋" w:hAnsi="仿宋" w:eastAsia="仿宋" w:cs="仿宋"/>
          <w:color w:val="auto"/>
          <w:spacing w:val="4"/>
          <w:sz w:val="20"/>
          <w:szCs w:val="20"/>
          <w:u w:val="single" w:color="auto"/>
        </w:rPr>
        <w:t>（采购文件中明确的所属行业</w:t>
      </w:r>
      <w:r>
        <w:rPr>
          <w:rFonts w:ascii="仿宋" w:hAnsi="仿宋" w:eastAsia="仿宋" w:cs="仿宋"/>
          <w:color w:val="auto"/>
          <w:spacing w:val="5"/>
          <w:sz w:val="20"/>
          <w:szCs w:val="20"/>
          <w:u w:val="single" w:color="auto"/>
        </w:rPr>
        <w:t>）</w:t>
      </w:r>
      <w:r>
        <w:rPr>
          <w:rFonts w:ascii="仿宋" w:hAnsi="仿宋" w:eastAsia="仿宋" w:cs="仿宋"/>
          <w:color w:val="auto"/>
          <w:spacing w:val="5"/>
          <w:sz w:val="20"/>
          <w:szCs w:val="20"/>
        </w:rPr>
        <w:t>：</w:t>
      </w:r>
      <w:r>
        <w:rPr>
          <w:rFonts w:ascii="仿宋" w:hAnsi="仿宋" w:eastAsia="仿宋" w:cs="仿宋"/>
          <w:color w:val="auto"/>
          <w:spacing w:val="4"/>
          <w:sz w:val="20"/>
          <w:szCs w:val="20"/>
        </w:rPr>
        <w:t>承建（承接）企业为</w:t>
      </w:r>
      <w:r>
        <w:rPr>
          <w:rFonts w:ascii="仿宋" w:hAnsi="仿宋" w:eastAsia="仿宋" w:cs="仿宋"/>
          <w:color w:val="auto"/>
          <w:spacing w:val="4"/>
          <w:sz w:val="20"/>
          <w:szCs w:val="20"/>
          <w:u w:val="single" w:color="auto"/>
        </w:rPr>
        <w:t>（企业</w:t>
      </w:r>
      <w:r>
        <w:rPr>
          <w:rFonts w:ascii="仿宋" w:hAnsi="仿宋" w:eastAsia="仿宋" w:cs="仿宋"/>
          <w:color w:val="auto"/>
          <w:spacing w:val="3"/>
          <w:sz w:val="20"/>
          <w:szCs w:val="20"/>
          <w:u w:val="single" w:color="auto"/>
        </w:rPr>
        <w:t>名称</w:t>
      </w:r>
      <w:r>
        <w:rPr>
          <w:rFonts w:ascii="仿宋" w:hAnsi="仿宋" w:eastAsia="仿宋" w:cs="仿宋"/>
          <w:color w:val="auto"/>
          <w:spacing w:val="5"/>
          <w:sz w:val="20"/>
          <w:szCs w:val="20"/>
          <w:u w:val="single" w:color="auto"/>
        </w:rPr>
        <w:t>）</w:t>
      </w:r>
      <w:r>
        <w:rPr>
          <w:rFonts w:ascii="仿宋" w:hAnsi="仿宋" w:eastAsia="仿宋" w:cs="仿宋"/>
          <w:color w:val="auto"/>
          <w:spacing w:val="5"/>
          <w:sz w:val="20"/>
          <w:szCs w:val="20"/>
        </w:rPr>
        <w:t>，</w:t>
      </w:r>
      <w:r>
        <w:rPr>
          <w:rFonts w:ascii="仿宋" w:hAnsi="仿宋" w:eastAsia="仿宋" w:cs="仿宋"/>
          <w:color w:val="auto"/>
          <w:spacing w:val="3"/>
          <w:sz w:val="20"/>
          <w:szCs w:val="20"/>
        </w:rPr>
        <w:t>从</w:t>
      </w:r>
      <w:r>
        <w:rPr>
          <w:rFonts w:ascii="仿宋" w:hAnsi="仿宋" w:eastAsia="仿宋" w:cs="仿宋"/>
          <w:color w:val="auto"/>
          <w:spacing w:val="1"/>
          <w:sz w:val="20"/>
          <w:szCs w:val="20"/>
        </w:rPr>
        <w:t xml:space="preserve"> </w:t>
      </w:r>
      <w:r>
        <w:rPr>
          <w:rFonts w:ascii="仿宋" w:hAnsi="仿宋" w:eastAsia="仿宋" w:cs="仿宋"/>
          <w:color w:val="auto"/>
          <w:spacing w:val="3"/>
          <w:sz w:val="20"/>
          <w:szCs w:val="20"/>
        </w:rPr>
        <w:t>业人员</w:t>
      </w:r>
      <w:r>
        <w:rPr>
          <w:rFonts w:ascii="仿宋" w:hAnsi="仿宋" w:eastAsia="仿宋" w:cs="仿宋"/>
          <w:color w:val="auto"/>
          <w:spacing w:val="16"/>
          <w:sz w:val="20"/>
          <w:szCs w:val="20"/>
          <w:u w:val="single" w:color="auto"/>
        </w:rPr>
        <w:t xml:space="preserve">      </w:t>
      </w:r>
      <w:r>
        <w:rPr>
          <w:rFonts w:ascii="仿宋" w:hAnsi="仿宋" w:eastAsia="仿宋" w:cs="仿宋"/>
          <w:color w:val="auto"/>
          <w:spacing w:val="-79"/>
          <w:sz w:val="20"/>
          <w:szCs w:val="20"/>
        </w:rPr>
        <w:t xml:space="preserve"> </w:t>
      </w:r>
      <w:r>
        <w:rPr>
          <w:rFonts w:ascii="仿宋" w:hAnsi="仿宋" w:eastAsia="仿宋" w:cs="仿宋"/>
          <w:color w:val="auto"/>
          <w:spacing w:val="3"/>
          <w:sz w:val="20"/>
          <w:szCs w:val="20"/>
        </w:rPr>
        <w:t>人，营业收入为</w:t>
      </w:r>
      <w:r>
        <w:rPr>
          <w:rFonts w:ascii="仿宋" w:hAnsi="仿宋" w:eastAsia="仿宋" w:cs="仿宋"/>
          <w:color w:val="auto"/>
          <w:spacing w:val="3"/>
          <w:sz w:val="20"/>
          <w:szCs w:val="20"/>
          <w:u w:val="single" w:color="auto"/>
        </w:rPr>
        <w:t xml:space="preserve">    </w:t>
      </w:r>
      <w:r>
        <w:rPr>
          <w:rFonts w:ascii="仿宋" w:hAnsi="仿宋" w:eastAsia="仿宋" w:cs="仿宋"/>
          <w:color w:val="auto"/>
          <w:spacing w:val="-84"/>
          <w:sz w:val="20"/>
          <w:szCs w:val="20"/>
        </w:rPr>
        <w:t xml:space="preserve"> </w:t>
      </w:r>
      <w:r>
        <w:rPr>
          <w:rFonts w:ascii="仿宋" w:hAnsi="仿宋" w:eastAsia="仿宋" w:cs="仿宋"/>
          <w:color w:val="auto"/>
          <w:spacing w:val="3"/>
          <w:sz w:val="20"/>
          <w:szCs w:val="20"/>
        </w:rPr>
        <w:t>万元，资产总额为</w:t>
      </w:r>
      <w:r>
        <w:rPr>
          <w:rFonts w:ascii="仿宋" w:hAnsi="仿宋" w:eastAsia="仿宋" w:cs="仿宋"/>
          <w:color w:val="auto"/>
          <w:spacing w:val="3"/>
          <w:sz w:val="20"/>
          <w:szCs w:val="20"/>
          <w:u w:val="single" w:color="auto"/>
        </w:rPr>
        <w:t xml:space="preserve">    </w:t>
      </w:r>
      <w:r>
        <w:rPr>
          <w:rFonts w:ascii="仿宋" w:hAnsi="仿宋" w:eastAsia="仿宋" w:cs="仿宋"/>
          <w:color w:val="auto"/>
          <w:spacing w:val="2"/>
          <w:sz w:val="20"/>
          <w:szCs w:val="20"/>
          <w:u w:val="single" w:color="auto"/>
        </w:rPr>
        <w:t xml:space="preserve"> </w:t>
      </w:r>
      <w:r>
        <w:rPr>
          <w:rFonts w:ascii="仿宋" w:hAnsi="仿宋" w:eastAsia="仿宋" w:cs="仿宋"/>
          <w:color w:val="auto"/>
          <w:spacing w:val="-84"/>
          <w:sz w:val="20"/>
          <w:szCs w:val="20"/>
        </w:rPr>
        <w:t xml:space="preserve"> </w:t>
      </w:r>
      <w:r>
        <w:rPr>
          <w:rFonts w:ascii="仿宋" w:hAnsi="仿宋" w:eastAsia="仿宋" w:cs="仿宋"/>
          <w:color w:val="auto"/>
          <w:spacing w:val="2"/>
          <w:sz w:val="20"/>
          <w:szCs w:val="20"/>
        </w:rPr>
        <w:t>万元</w:t>
      </w:r>
      <w:r>
        <w:rPr>
          <w:rFonts w:ascii="仿宋" w:hAnsi="仿宋" w:eastAsia="仿宋" w:cs="仿宋"/>
          <w:color w:val="auto"/>
          <w:spacing w:val="-38"/>
          <w:sz w:val="20"/>
          <w:szCs w:val="20"/>
        </w:rPr>
        <w:t xml:space="preserve"> </w:t>
      </w:r>
      <w:r>
        <w:rPr>
          <w:rFonts w:ascii="仿宋" w:hAnsi="仿宋" w:eastAsia="仿宋" w:cs="仿宋"/>
          <w:color w:val="auto"/>
          <w:spacing w:val="2"/>
          <w:position w:val="10"/>
          <w:sz w:val="10"/>
          <w:szCs w:val="10"/>
        </w:rPr>
        <w:t>1</w:t>
      </w:r>
      <w:r>
        <w:rPr>
          <w:rFonts w:ascii="仿宋" w:hAnsi="仿宋" w:eastAsia="仿宋" w:cs="仿宋"/>
          <w:color w:val="auto"/>
          <w:spacing w:val="-24"/>
          <w:position w:val="10"/>
          <w:sz w:val="10"/>
          <w:szCs w:val="10"/>
        </w:rPr>
        <w:t xml:space="preserve"> </w:t>
      </w:r>
      <w:r>
        <w:rPr>
          <w:rFonts w:ascii="仿宋" w:hAnsi="仿宋" w:eastAsia="仿宋" w:cs="仿宋"/>
          <w:color w:val="auto"/>
          <w:spacing w:val="2"/>
          <w:sz w:val="20"/>
          <w:szCs w:val="20"/>
        </w:rPr>
        <w:t>，属于</w:t>
      </w:r>
      <w:r>
        <w:rPr>
          <w:rFonts w:ascii="仿宋" w:hAnsi="仿宋" w:eastAsia="仿宋" w:cs="仿宋"/>
          <w:color w:val="auto"/>
          <w:spacing w:val="2"/>
          <w:sz w:val="20"/>
          <w:szCs w:val="20"/>
          <w:u w:val="single" w:color="auto"/>
        </w:rPr>
        <w:t>（中型企业、小型企业、微型</w:t>
      </w:r>
      <w:r>
        <w:rPr>
          <w:rFonts w:ascii="仿宋" w:hAnsi="仿宋" w:eastAsia="仿宋" w:cs="仿宋"/>
          <w:color w:val="auto"/>
          <w:sz w:val="20"/>
          <w:szCs w:val="20"/>
        </w:rPr>
        <w:t xml:space="preserve"> </w:t>
      </w:r>
      <w:r>
        <w:rPr>
          <w:rFonts w:ascii="仿宋" w:hAnsi="仿宋" w:eastAsia="仿宋" w:cs="仿宋"/>
          <w:color w:val="auto"/>
          <w:sz w:val="20"/>
          <w:szCs w:val="20"/>
          <w:u w:val="single" w:color="auto"/>
        </w:rPr>
        <w:t>企业）</w:t>
      </w:r>
      <w:r>
        <w:rPr>
          <w:rFonts w:ascii="仿宋" w:hAnsi="仿宋" w:eastAsia="仿宋" w:cs="仿宋"/>
          <w:color w:val="auto"/>
          <w:sz w:val="20"/>
          <w:szCs w:val="20"/>
        </w:rPr>
        <w:t>；</w:t>
      </w:r>
    </w:p>
    <w:p w14:paraId="5716F416">
      <w:pPr>
        <w:spacing w:before="35" w:line="420" w:lineRule="auto"/>
        <w:ind w:left="14" w:right="120" w:firstLine="416"/>
        <w:rPr>
          <w:rFonts w:ascii="仿宋" w:hAnsi="仿宋" w:eastAsia="仿宋" w:cs="仿宋"/>
          <w:color w:val="auto"/>
          <w:sz w:val="20"/>
          <w:szCs w:val="20"/>
        </w:rPr>
      </w:pPr>
      <w:r>
        <w:rPr>
          <w:rFonts w:ascii="仿宋" w:hAnsi="仿宋" w:eastAsia="仿宋" w:cs="仿宋"/>
          <w:color w:val="auto"/>
          <w:spacing w:val="4"/>
          <w:sz w:val="20"/>
          <w:szCs w:val="20"/>
        </w:rPr>
        <w:t>2、</w:t>
      </w:r>
      <w:r>
        <w:rPr>
          <w:rFonts w:ascii="仿宋" w:hAnsi="仿宋" w:eastAsia="仿宋" w:cs="仿宋"/>
          <w:color w:val="auto"/>
          <w:spacing w:val="4"/>
          <w:sz w:val="20"/>
          <w:szCs w:val="20"/>
          <w:u w:val="single" w:color="auto"/>
        </w:rPr>
        <w:t>（标的名称</w:t>
      </w:r>
      <w:r>
        <w:rPr>
          <w:rFonts w:ascii="仿宋" w:hAnsi="仿宋" w:eastAsia="仿宋" w:cs="仿宋"/>
          <w:color w:val="auto"/>
          <w:spacing w:val="6"/>
          <w:sz w:val="20"/>
          <w:szCs w:val="20"/>
          <w:u w:val="single" w:color="auto"/>
        </w:rPr>
        <w:t>）</w:t>
      </w:r>
      <w:r>
        <w:rPr>
          <w:rFonts w:ascii="仿宋" w:hAnsi="仿宋" w:eastAsia="仿宋" w:cs="仿宋"/>
          <w:color w:val="auto"/>
          <w:spacing w:val="6"/>
          <w:sz w:val="20"/>
          <w:szCs w:val="20"/>
        </w:rPr>
        <w:t>，</w:t>
      </w:r>
      <w:r>
        <w:rPr>
          <w:rFonts w:ascii="仿宋" w:hAnsi="仿宋" w:eastAsia="仿宋" w:cs="仿宋"/>
          <w:color w:val="auto"/>
          <w:spacing w:val="4"/>
          <w:sz w:val="20"/>
          <w:szCs w:val="20"/>
        </w:rPr>
        <w:t>属于</w:t>
      </w:r>
      <w:r>
        <w:rPr>
          <w:rFonts w:ascii="仿宋" w:hAnsi="仿宋" w:eastAsia="仿宋" w:cs="仿宋"/>
          <w:color w:val="auto"/>
          <w:spacing w:val="4"/>
          <w:sz w:val="20"/>
          <w:szCs w:val="20"/>
          <w:u w:val="single" w:color="auto"/>
        </w:rPr>
        <w:t>（采购文件中明确的所属行业</w:t>
      </w:r>
      <w:r>
        <w:rPr>
          <w:rFonts w:ascii="仿宋" w:hAnsi="仿宋" w:eastAsia="仿宋" w:cs="仿宋"/>
          <w:color w:val="auto"/>
          <w:spacing w:val="6"/>
          <w:sz w:val="20"/>
          <w:szCs w:val="20"/>
          <w:u w:val="single" w:color="auto"/>
        </w:rPr>
        <w:t>）</w:t>
      </w:r>
      <w:r>
        <w:rPr>
          <w:rFonts w:ascii="仿宋" w:hAnsi="仿宋" w:eastAsia="仿宋" w:cs="仿宋"/>
          <w:color w:val="auto"/>
          <w:spacing w:val="6"/>
          <w:sz w:val="20"/>
          <w:szCs w:val="20"/>
        </w:rPr>
        <w:t>：</w:t>
      </w:r>
      <w:r>
        <w:rPr>
          <w:rFonts w:ascii="仿宋" w:hAnsi="仿宋" w:eastAsia="仿宋" w:cs="仿宋"/>
          <w:color w:val="auto"/>
          <w:spacing w:val="4"/>
          <w:sz w:val="20"/>
          <w:szCs w:val="20"/>
        </w:rPr>
        <w:t>承建（承接）企业为</w:t>
      </w:r>
      <w:r>
        <w:rPr>
          <w:rFonts w:ascii="仿宋" w:hAnsi="仿宋" w:eastAsia="仿宋" w:cs="仿宋"/>
          <w:color w:val="auto"/>
          <w:spacing w:val="4"/>
          <w:sz w:val="20"/>
          <w:szCs w:val="20"/>
          <w:u w:val="single" w:color="auto"/>
        </w:rPr>
        <w:t>（企业名称</w:t>
      </w:r>
      <w:r>
        <w:rPr>
          <w:rFonts w:ascii="仿宋" w:hAnsi="仿宋" w:eastAsia="仿宋" w:cs="仿宋"/>
          <w:color w:val="auto"/>
          <w:spacing w:val="6"/>
          <w:sz w:val="20"/>
          <w:szCs w:val="20"/>
          <w:u w:val="single" w:color="auto"/>
        </w:rPr>
        <w:t>）</w:t>
      </w:r>
      <w:r>
        <w:rPr>
          <w:rFonts w:ascii="仿宋" w:hAnsi="仿宋" w:eastAsia="仿宋" w:cs="仿宋"/>
          <w:color w:val="auto"/>
          <w:spacing w:val="6"/>
          <w:sz w:val="20"/>
          <w:szCs w:val="20"/>
        </w:rPr>
        <w:t>，</w:t>
      </w:r>
      <w:r>
        <w:rPr>
          <w:rFonts w:ascii="仿宋" w:hAnsi="仿宋" w:eastAsia="仿宋" w:cs="仿宋"/>
          <w:color w:val="auto"/>
          <w:spacing w:val="4"/>
          <w:sz w:val="20"/>
          <w:szCs w:val="20"/>
        </w:rPr>
        <w:t>从</w:t>
      </w:r>
      <w:r>
        <w:rPr>
          <w:rFonts w:ascii="仿宋" w:hAnsi="仿宋" w:eastAsia="仿宋" w:cs="仿宋"/>
          <w:color w:val="auto"/>
          <w:spacing w:val="5"/>
          <w:sz w:val="20"/>
          <w:szCs w:val="20"/>
        </w:rPr>
        <w:t xml:space="preserve"> </w:t>
      </w:r>
      <w:r>
        <w:rPr>
          <w:rFonts w:ascii="仿宋" w:hAnsi="仿宋" w:eastAsia="仿宋" w:cs="仿宋"/>
          <w:color w:val="auto"/>
          <w:spacing w:val="6"/>
          <w:sz w:val="20"/>
          <w:szCs w:val="20"/>
        </w:rPr>
        <w:t>业人员</w:t>
      </w:r>
      <w:r>
        <w:rPr>
          <w:rFonts w:ascii="仿宋" w:hAnsi="仿宋" w:eastAsia="仿宋" w:cs="仿宋"/>
          <w:color w:val="auto"/>
          <w:sz w:val="20"/>
          <w:szCs w:val="20"/>
          <w:u w:val="single" w:color="auto"/>
        </w:rPr>
        <w:t xml:space="preserve">       </w:t>
      </w:r>
      <w:r>
        <w:rPr>
          <w:rFonts w:ascii="仿宋" w:hAnsi="仿宋" w:eastAsia="仿宋" w:cs="仿宋"/>
          <w:color w:val="auto"/>
          <w:spacing w:val="-78"/>
          <w:sz w:val="20"/>
          <w:szCs w:val="20"/>
        </w:rPr>
        <w:t xml:space="preserve"> </w:t>
      </w:r>
      <w:r>
        <w:rPr>
          <w:rFonts w:ascii="仿宋" w:hAnsi="仿宋" w:eastAsia="仿宋" w:cs="仿宋"/>
          <w:color w:val="auto"/>
          <w:spacing w:val="6"/>
          <w:sz w:val="20"/>
          <w:szCs w:val="20"/>
        </w:rPr>
        <w:t>人，营业收入为</w:t>
      </w:r>
      <w:r>
        <w:rPr>
          <w:rFonts w:ascii="仿宋" w:hAnsi="仿宋" w:eastAsia="仿宋" w:cs="仿宋"/>
          <w:color w:val="auto"/>
          <w:spacing w:val="6"/>
          <w:sz w:val="20"/>
          <w:szCs w:val="20"/>
          <w:u w:val="single" w:color="auto"/>
        </w:rPr>
        <w:t xml:space="preserve">    </w:t>
      </w:r>
      <w:r>
        <w:rPr>
          <w:rFonts w:ascii="仿宋" w:hAnsi="仿宋" w:eastAsia="仿宋" w:cs="仿宋"/>
          <w:color w:val="auto"/>
          <w:spacing w:val="-84"/>
          <w:sz w:val="20"/>
          <w:szCs w:val="20"/>
        </w:rPr>
        <w:t xml:space="preserve"> </w:t>
      </w:r>
      <w:r>
        <w:rPr>
          <w:rFonts w:ascii="仿宋" w:hAnsi="仿宋" w:eastAsia="仿宋" w:cs="仿宋"/>
          <w:color w:val="auto"/>
          <w:spacing w:val="6"/>
          <w:sz w:val="20"/>
          <w:szCs w:val="20"/>
        </w:rPr>
        <w:t>万元，资产总额为</w:t>
      </w:r>
      <w:r>
        <w:rPr>
          <w:rFonts w:ascii="仿宋" w:hAnsi="仿宋" w:eastAsia="仿宋" w:cs="仿宋"/>
          <w:color w:val="auto"/>
          <w:spacing w:val="6"/>
          <w:sz w:val="20"/>
          <w:szCs w:val="20"/>
          <w:u w:val="single" w:color="auto"/>
        </w:rPr>
        <w:t xml:space="preserve">    </w:t>
      </w:r>
      <w:r>
        <w:rPr>
          <w:rFonts w:ascii="仿宋" w:hAnsi="仿宋" w:eastAsia="仿宋" w:cs="仿宋"/>
          <w:color w:val="auto"/>
          <w:spacing w:val="5"/>
          <w:sz w:val="20"/>
          <w:szCs w:val="20"/>
          <w:u w:val="single" w:color="auto"/>
        </w:rPr>
        <w:t xml:space="preserve"> </w:t>
      </w:r>
      <w:r>
        <w:rPr>
          <w:rFonts w:ascii="仿宋" w:hAnsi="仿宋" w:eastAsia="仿宋" w:cs="仿宋"/>
          <w:color w:val="auto"/>
          <w:spacing w:val="-84"/>
          <w:sz w:val="20"/>
          <w:szCs w:val="20"/>
        </w:rPr>
        <w:t xml:space="preserve"> </w:t>
      </w:r>
      <w:r>
        <w:rPr>
          <w:rFonts w:ascii="仿宋" w:hAnsi="仿宋" w:eastAsia="仿宋" w:cs="仿宋"/>
          <w:color w:val="auto"/>
          <w:spacing w:val="5"/>
          <w:sz w:val="20"/>
          <w:szCs w:val="20"/>
        </w:rPr>
        <w:t>万元，属于</w:t>
      </w:r>
      <w:r>
        <w:rPr>
          <w:rFonts w:ascii="仿宋" w:hAnsi="仿宋" w:eastAsia="仿宋" w:cs="仿宋"/>
          <w:color w:val="auto"/>
          <w:spacing w:val="5"/>
          <w:sz w:val="20"/>
          <w:szCs w:val="20"/>
          <w:u w:val="single" w:color="auto"/>
        </w:rPr>
        <w:t>（中型企业、小型企业、微型</w:t>
      </w:r>
      <w:r>
        <w:rPr>
          <w:rFonts w:ascii="仿宋" w:hAnsi="仿宋" w:eastAsia="仿宋" w:cs="仿宋"/>
          <w:color w:val="auto"/>
          <w:sz w:val="20"/>
          <w:szCs w:val="20"/>
        </w:rPr>
        <w:t xml:space="preserve"> </w:t>
      </w:r>
      <w:r>
        <w:rPr>
          <w:rFonts w:ascii="仿宋" w:hAnsi="仿宋" w:eastAsia="仿宋" w:cs="仿宋"/>
          <w:color w:val="auto"/>
          <w:sz w:val="20"/>
          <w:szCs w:val="20"/>
          <w:u w:val="single" w:color="auto"/>
        </w:rPr>
        <w:t>企业）</w:t>
      </w:r>
      <w:r>
        <w:rPr>
          <w:rFonts w:ascii="仿宋" w:hAnsi="仿宋" w:eastAsia="仿宋" w:cs="仿宋"/>
          <w:color w:val="auto"/>
          <w:sz w:val="20"/>
          <w:szCs w:val="20"/>
        </w:rPr>
        <w:t>；</w:t>
      </w:r>
    </w:p>
    <w:p w14:paraId="799B367C">
      <w:pPr>
        <w:spacing w:before="33" w:line="329" w:lineRule="exact"/>
        <w:ind w:left="442"/>
        <w:rPr>
          <w:rFonts w:ascii="仿宋" w:hAnsi="仿宋" w:eastAsia="仿宋" w:cs="仿宋"/>
          <w:color w:val="auto"/>
          <w:sz w:val="20"/>
          <w:szCs w:val="20"/>
        </w:rPr>
      </w:pPr>
      <w:r>
        <w:rPr>
          <w:rFonts w:ascii="仿宋" w:hAnsi="仿宋" w:eastAsia="仿宋" w:cs="仿宋"/>
          <w:color w:val="auto"/>
          <w:spacing w:val="-4"/>
          <w:position w:val="3"/>
          <w:sz w:val="20"/>
          <w:szCs w:val="20"/>
        </w:rPr>
        <w:t>……</w:t>
      </w:r>
    </w:p>
    <w:p w14:paraId="45C34D0F">
      <w:pPr>
        <w:spacing w:before="136" w:line="414" w:lineRule="auto"/>
        <w:ind w:left="15" w:right="120" w:firstLine="439"/>
        <w:rPr>
          <w:rFonts w:ascii="仿宋" w:hAnsi="仿宋" w:eastAsia="仿宋" w:cs="仿宋"/>
          <w:color w:val="auto"/>
          <w:sz w:val="20"/>
          <w:szCs w:val="20"/>
        </w:rPr>
      </w:pPr>
      <w:r>
        <w:rPr>
          <w:rFonts w:ascii="仿宋" w:hAnsi="仿宋" w:eastAsia="仿宋" w:cs="仿宋"/>
          <w:color w:val="auto"/>
          <w:spacing w:val="6"/>
          <w:sz w:val="20"/>
          <w:szCs w:val="20"/>
        </w:rPr>
        <w:t>以上企业，不属于大企业的分支机构，不存在控股股东为大企业的情形，也不存在与大企业的负</w:t>
      </w:r>
      <w:r>
        <w:rPr>
          <w:rFonts w:ascii="仿宋" w:hAnsi="仿宋" w:eastAsia="仿宋" w:cs="仿宋"/>
          <w:color w:val="auto"/>
          <w:spacing w:val="11"/>
          <w:sz w:val="20"/>
          <w:szCs w:val="20"/>
        </w:rPr>
        <w:t xml:space="preserve"> </w:t>
      </w:r>
      <w:r>
        <w:rPr>
          <w:rFonts w:ascii="仿宋" w:hAnsi="仿宋" w:eastAsia="仿宋" w:cs="仿宋"/>
          <w:color w:val="auto"/>
          <w:spacing w:val="4"/>
          <w:sz w:val="20"/>
          <w:szCs w:val="20"/>
        </w:rPr>
        <w:t>责人为同一人的情形。</w:t>
      </w:r>
    </w:p>
    <w:p w14:paraId="148E08DB">
      <w:pPr>
        <w:pStyle w:val="3"/>
        <w:spacing w:line="434" w:lineRule="auto"/>
        <w:rPr>
          <w:color w:val="auto"/>
        </w:rPr>
      </w:pPr>
    </w:p>
    <w:p w14:paraId="2F39030C">
      <w:pPr>
        <w:spacing w:before="66" w:line="229" w:lineRule="auto"/>
        <w:ind w:left="435"/>
        <w:rPr>
          <w:rFonts w:ascii="仿宋" w:hAnsi="仿宋" w:eastAsia="仿宋" w:cs="仿宋"/>
          <w:color w:val="auto"/>
          <w:sz w:val="20"/>
          <w:szCs w:val="20"/>
        </w:rPr>
      </w:pPr>
      <w:r>
        <w:rPr>
          <w:rFonts w:ascii="仿宋" w:hAnsi="仿宋" w:eastAsia="仿宋" w:cs="仿宋"/>
          <w:color w:val="auto"/>
          <w:spacing w:val="6"/>
          <w:sz w:val="20"/>
          <w:szCs w:val="20"/>
        </w:rPr>
        <w:t>本企业对上述声明内容的真实性负责。如有虚假，将依法承担相应责任。</w:t>
      </w:r>
    </w:p>
    <w:p w14:paraId="756278BD">
      <w:pPr>
        <w:pStyle w:val="3"/>
        <w:spacing w:line="307" w:lineRule="auto"/>
        <w:rPr>
          <w:color w:val="auto"/>
        </w:rPr>
      </w:pPr>
    </w:p>
    <w:p w14:paraId="6E825300">
      <w:pPr>
        <w:pStyle w:val="3"/>
        <w:spacing w:line="307" w:lineRule="auto"/>
        <w:rPr>
          <w:color w:val="auto"/>
        </w:rPr>
      </w:pPr>
    </w:p>
    <w:p w14:paraId="0EA1AC22">
      <w:pPr>
        <w:spacing w:before="66" w:line="414" w:lineRule="auto"/>
        <w:ind w:left="470" w:right="6704" w:hanging="44"/>
        <w:rPr>
          <w:rFonts w:ascii="仿宋" w:hAnsi="仿宋" w:eastAsia="仿宋" w:cs="仿宋"/>
          <w:color w:val="auto"/>
          <w:sz w:val="20"/>
          <w:szCs w:val="20"/>
        </w:rPr>
      </w:pPr>
      <w:r>
        <w:rPr>
          <w:rFonts w:ascii="仿宋" w:hAnsi="仿宋" w:eastAsia="仿宋" w:cs="仿宋"/>
          <w:color w:val="auto"/>
          <w:spacing w:val="5"/>
          <w:sz w:val="20"/>
          <w:szCs w:val="20"/>
        </w:rPr>
        <w:t>投标人（企业电子章</w:t>
      </w:r>
      <w:r>
        <w:rPr>
          <w:rFonts w:ascii="仿宋" w:hAnsi="仿宋" w:eastAsia="仿宋" w:cs="仿宋"/>
          <w:color w:val="auto"/>
          <w:spacing w:val="-52"/>
          <w:w w:val="92"/>
          <w:sz w:val="20"/>
          <w:szCs w:val="20"/>
        </w:rPr>
        <w:t>）：</w:t>
      </w:r>
      <w:r>
        <w:rPr>
          <w:rFonts w:ascii="仿宋" w:hAnsi="仿宋" w:eastAsia="仿宋" w:cs="仿宋"/>
          <w:color w:val="auto"/>
          <w:sz w:val="20"/>
          <w:szCs w:val="20"/>
        </w:rPr>
        <w:t xml:space="preserve"> </w:t>
      </w:r>
      <w:r>
        <w:rPr>
          <w:rFonts w:ascii="仿宋" w:hAnsi="仿宋" w:eastAsia="仿宋" w:cs="仿宋"/>
          <w:color w:val="auto"/>
          <w:spacing w:val="-15"/>
          <w:sz w:val="20"/>
          <w:szCs w:val="20"/>
        </w:rPr>
        <w:t>日期：</w:t>
      </w:r>
    </w:p>
    <w:p w14:paraId="6A779695">
      <w:pPr>
        <w:pStyle w:val="3"/>
        <w:spacing w:line="431" w:lineRule="auto"/>
        <w:rPr>
          <w:color w:val="auto"/>
        </w:rPr>
      </w:pPr>
    </w:p>
    <w:p w14:paraId="5A1FEE26">
      <w:pPr>
        <w:spacing w:before="66" w:line="231" w:lineRule="auto"/>
        <w:ind w:left="20"/>
        <w:rPr>
          <w:rFonts w:ascii="仿宋" w:hAnsi="仿宋" w:eastAsia="仿宋" w:cs="仿宋"/>
          <w:color w:val="auto"/>
          <w:sz w:val="20"/>
          <w:szCs w:val="20"/>
        </w:rPr>
      </w:pPr>
      <w:r>
        <w:rPr>
          <w:rFonts w:ascii="仿宋" w:hAnsi="仿宋" w:eastAsia="仿宋" w:cs="仿宋"/>
          <w:color w:val="auto"/>
          <w:spacing w:val="6"/>
          <w:sz w:val="20"/>
          <w:szCs w:val="20"/>
        </w:rPr>
        <w:t>注：1、从业人员、营业收入、资产总额填报上一年度数据，无上一年度数据的新成立企业可不填报。</w:t>
      </w:r>
    </w:p>
    <w:p w14:paraId="2C894569">
      <w:pPr>
        <w:spacing w:before="221" w:line="231" w:lineRule="auto"/>
        <w:ind w:left="429"/>
        <w:rPr>
          <w:rFonts w:ascii="仿宋" w:hAnsi="仿宋" w:eastAsia="仿宋" w:cs="仿宋"/>
          <w:color w:val="auto"/>
          <w:sz w:val="19"/>
          <w:szCs w:val="19"/>
        </w:rPr>
      </w:pPr>
      <w:r>
        <w:rPr>
          <w:rFonts w:ascii="仿宋" w:hAnsi="仿宋" w:eastAsia="仿宋" w:cs="仿宋"/>
          <w:color w:val="auto"/>
          <w:spacing w:val="5"/>
          <w:sz w:val="19"/>
          <w:szCs w:val="19"/>
        </w:rPr>
        <w:t>2、中小企业划分标准见工业和信息化部国家统计局国家发展和改革委员财政部《关于印发中小企业划</w:t>
      </w:r>
    </w:p>
    <w:p w14:paraId="74AA5AB7">
      <w:pPr>
        <w:spacing w:before="228" w:line="231" w:lineRule="auto"/>
        <w:ind w:left="22"/>
        <w:outlineLvl w:val="1"/>
        <w:rPr>
          <w:rFonts w:ascii="仿宋" w:hAnsi="仿宋" w:eastAsia="仿宋" w:cs="仿宋"/>
          <w:color w:val="auto"/>
          <w:sz w:val="19"/>
          <w:szCs w:val="19"/>
        </w:rPr>
      </w:pPr>
      <w:bookmarkStart w:id="26" w:name="_Toc8680"/>
      <w:r>
        <w:rPr>
          <w:rFonts w:ascii="仿宋" w:hAnsi="仿宋" w:eastAsia="仿宋" w:cs="仿宋"/>
          <w:color w:val="auto"/>
          <w:spacing w:val="4"/>
          <w:sz w:val="19"/>
          <w:szCs w:val="19"/>
        </w:rPr>
        <w:t>型标准规定的通知》（工信部联企业〔2011〕300</w:t>
      </w:r>
      <w:r>
        <w:rPr>
          <w:rFonts w:ascii="仿宋" w:hAnsi="仿宋" w:eastAsia="仿宋" w:cs="仿宋"/>
          <w:color w:val="auto"/>
          <w:spacing w:val="-23"/>
          <w:sz w:val="19"/>
          <w:szCs w:val="19"/>
        </w:rPr>
        <w:t xml:space="preserve"> </w:t>
      </w:r>
      <w:r>
        <w:rPr>
          <w:rFonts w:ascii="仿宋" w:hAnsi="仿宋" w:eastAsia="仿宋" w:cs="仿宋"/>
          <w:color w:val="auto"/>
          <w:spacing w:val="4"/>
          <w:sz w:val="19"/>
          <w:szCs w:val="19"/>
        </w:rPr>
        <w:t>号)。</w:t>
      </w:r>
      <w:bookmarkEnd w:id="26"/>
    </w:p>
    <w:p w14:paraId="51366710">
      <w:pPr>
        <w:spacing w:line="231" w:lineRule="auto"/>
        <w:rPr>
          <w:rFonts w:ascii="仿宋" w:hAnsi="仿宋" w:eastAsia="仿宋" w:cs="仿宋"/>
          <w:color w:val="auto"/>
          <w:sz w:val="19"/>
          <w:szCs w:val="19"/>
        </w:rPr>
        <w:sectPr>
          <w:footerReference r:id="rId66" w:type="default"/>
          <w:pgSz w:w="11906" w:h="16839"/>
          <w:pgMar w:top="999" w:right="1246" w:bottom="844" w:left="1418" w:header="698" w:footer="682" w:gutter="0"/>
          <w:pgNumType w:fmt="decimal"/>
          <w:cols w:space="720" w:num="1"/>
        </w:sectPr>
      </w:pPr>
    </w:p>
    <w:p w14:paraId="528C2513">
      <w:pPr>
        <w:pStyle w:val="3"/>
        <w:spacing w:line="418" w:lineRule="auto"/>
        <w:rPr>
          <w:color w:val="auto"/>
        </w:rPr>
      </w:pPr>
    </w:p>
    <w:p w14:paraId="4FDB9074">
      <w:pPr>
        <w:spacing w:before="91" w:line="219" w:lineRule="auto"/>
        <w:ind w:left="33"/>
        <w:outlineLvl w:val="1"/>
        <w:rPr>
          <w:rFonts w:ascii="宋体" w:hAnsi="宋体" w:eastAsia="宋体" w:cs="宋体"/>
          <w:color w:val="auto"/>
          <w:sz w:val="28"/>
          <w:szCs w:val="28"/>
        </w:rPr>
      </w:pPr>
      <w:bookmarkStart w:id="27" w:name="_Toc785"/>
      <w:r>
        <w:rPr>
          <w:rFonts w:ascii="宋体" w:hAnsi="宋体" w:eastAsia="宋体" w:cs="宋体"/>
          <w:b/>
          <w:bCs/>
          <w:color w:val="auto"/>
          <w:spacing w:val="-25"/>
          <w:sz w:val="28"/>
          <w:szCs w:val="28"/>
        </w:rPr>
        <w:t>附件6-2:残疾人福利性单位声明函</w:t>
      </w:r>
      <w:bookmarkEnd w:id="27"/>
    </w:p>
    <w:p w14:paraId="261A42AA">
      <w:pPr>
        <w:spacing w:before="132" w:line="221" w:lineRule="auto"/>
        <w:ind w:left="3056"/>
        <w:rPr>
          <w:rFonts w:ascii="仿宋" w:hAnsi="仿宋" w:eastAsia="仿宋" w:cs="仿宋"/>
          <w:color w:val="auto"/>
          <w:sz w:val="28"/>
          <w:szCs w:val="28"/>
        </w:rPr>
      </w:pPr>
      <w:r>
        <w:rPr>
          <w:rFonts w:ascii="仿宋" w:hAnsi="仿宋" w:eastAsia="仿宋" w:cs="仿宋"/>
          <w:color w:val="auto"/>
          <w:spacing w:val="-5"/>
          <w:sz w:val="28"/>
          <w:szCs w:val="28"/>
        </w:rPr>
        <w:t>残疾人福利性单位声明函</w:t>
      </w:r>
    </w:p>
    <w:p w14:paraId="230307B7">
      <w:pPr>
        <w:pStyle w:val="3"/>
        <w:spacing w:line="267" w:lineRule="auto"/>
        <w:rPr>
          <w:color w:val="auto"/>
        </w:rPr>
      </w:pPr>
    </w:p>
    <w:p w14:paraId="0F4C4F29">
      <w:pPr>
        <w:pStyle w:val="3"/>
        <w:spacing w:line="267" w:lineRule="auto"/>
        <w:rPr>
          <w:color w:val="auto"/>
        </w:rPr>
      </w:pPr>
    </w:p>
    <w:p w14:paraId="3DE51274">
      <w:pPr>
        <w:spacing w:before="78" w:line="349" w:lineRule="auto"/>
        <w:ind w:left="18" w:right="118" w:firstLine="419"/>
        <w:jc w:val="both"/>
        <w:rPr>
          <w:rFonts w:ascii="仿宋" w:hAnsi="仿宋" w:eastAsia="仿宋" w:cs="仿宋"/>
          <w:color w:val="auto"/>
          <w:sz w:val="24"/>
          <w:szCs w:val="24"/>
        </w:rPr>
      </w:pPr>
      <w:r>
        <w:rPr>
          <w:rFonts w:ascii="仿宋" w:hAnsi="仿宋" w:eastAsia="仿宋" w:cs="仿宋"/>
          <w:color w:val="auto"/>
          <w:spacing w:val="-9"/>
          <w:sz w:val="24"/>
          <w:szCs w:val="24"/>
        </w:rPr>
        <w:t>本单位郑重声明，根据《财政部</w:t>
      </w:r>
      <w:r>
        <w:rPr>
          <w:rFonts w:ascii="仿宋" w:hAnsi="仿宋" w:eastAsia="仿宋" w:cs="仿宋"/>
          <w:color w:val="auto"/>
          <w:spacing w:val="72"/>
          <w:sz w:val="24"/>
          <w:szCs w:val="24"/>
        </w:rPr>
        <w:t xml:space="preserve"> </w:t>
      </w:r>
      <w:r>
        <w:rPr>
          <w:rFonts w:ascii="仿宋" w:hAnsi="仿宋" w:eastAsia="仿宋" w:cs="仿宋"/>
          <w:color w:val="auto"/>
          <w:spacing w:val="-9"/>
          <w:sz w:val="24"/>
          <w:szCs w:val="24"/>
        </w:rPr>
        <w:t>民政部</w:t>
      </w:r>
      <w:r>
        <w:rPr>
          <w:rFonts w:ascii="仿宋" w:hAnsi="仿宋" w:eastAsia="仿宋" w:cs="仿宋"/>
          <w:color w:val="auto"/>
          <w:spacing w:val="56"/>
          <w:sz w:val="24"/>
          <w:szCs w:val="24"/>
        </w:rPr>
        <w:t xml:space="preserve"> </w:t>
      </w:r>
      <w:r>
        <w:rPr>
          <w:rFonts w:ascii="仿宋" w:hAnsi="仿宋" w:eastAsia="仿宋" w:cs="仿宋"/>
          <w:color w:val="auto"/>
          <w:spacing w:val="-9"/>
          <w:sz w:val="24"/>
          <w:szCs w:val="24"/>
        </w:rPr>
        <w:t>中国残疾人联合会关于促进残疾人就业政府</w:t>
      </w:r>
      <w:r>
        <w:rPr>
          <w:rFonts w:ascii="仿宋" w:hAnsi="仿宋" w:eastAsia="仿宋" w:cs="仿宋"/>
          <w:color w:val="auto"/>
          <w:sz w:val="24"/>
          <w:szCs w:val="24"/>
        </w:rPr>
        <w:t xml:space="preserve"> </w:t>
      </w:r>
      <w:r>
        <w:rPr>
          <w:rFonts w:ascii="仿宋" w:hAnsi="仿宋" w:eastAsia="仿宋" w:cs="仿宋"/>
          <w:color w:val="auto"/>
          <w:spacing w:val="-3"/>
          <w:sz w:val="24"/>
          <w:szCs w:val="24"/>
        </w:rPr>
        <w:t>采购政策的通知》（财库〔2017〕</w:t>
      </w:r>
      <w:r>
        <w:rPr>
          <w:rFonts w:ascii="仿宋" w:hAnsi="仿宋" w:eastAsia="仿宋" w:cs="仿宋"/>
          <w:color w:val="auto"/>
          <w:spacing w:val="39"/>
          <w:sz w:val="24"/>
          <w:szCs w:val="24"/>
        </w:rPr>
        <w:t xml:space="preserve"> </w:t>
      </w:r>
      <w:r>
        <w:rPr>
          <w:rFonts w:ascii="仿宋" w:hAnsi="仿宋" w:eastAsia="仿宋" w:cs="仿宋"/>
          <w:color w:val="auto"/>
          <w:spacing w:val="-3"/>
          <w:sz w:val="24"/>
          <w:szCs w:val="24"/>
        </w:rPr>
        <w:t>141</w:t>
      </w:r>
      <w:r>
        <w:rPr>
          <w:rFonts w:ascii="仿宋" w:hAnsi="仿宋" w:eastAsia="仿宋" w:cs="仿宋"/>
          <w:color w:val="auto"/>
          <w:spacing w:val="-36"/>
          <w:sz w:val="24"/>
          <w:szCs w:val="24"/>
        </w:rPr>
        <w:t xml:space="preserve"> </w:t>
      </w:r>
      <w:r>
        <w:rPr>
          <w:rFonts w:ascii="仿宋" w:hAnsi="仿宋" w:eastAsia="仿宋" w:cs="仿宋"/>
          <w:color w:val="auto"/>
          <w:spacing w:val="-3"/>
          <w:sz w:val="24"/>
          <w:szCs w:val="24"/>
        </w:rPr>
        <w:t>号）</w:t>
      </w:r>
      <w:r>
        <w:rPr>
          <w:rFonts w:ascii="仿宋" w:hAnsi="仿宋" w:eastAsia="仿宋" w:cs="仿宋"/>
          <w:color w:val="auto"/>
          <w:spacing w:val="-4"/>
          <w:sz w:val="24"/>
          <w:szCs w:val="24"/>
        </w:rPr>
        <w:t>的规定，本单位为符合条件的残疾人福利性</w:t>
      </w:r>
      <w:r>
        <w:rPr>
          <w:rFonts w:ascii="仿宋" w:hAnsi="仿宋" w:eastAsia="仿宋" w:cs="仿宋"/>
          <w:color w:val="auto"/>
          <w:sz w:val="24"/>
          <w:szCs w:val="24"/>
        </w:rPr>
        <w:t xml:space="preserve"> </w:t>
      </w:r>
      <w:r>
        <w:rPr>
          <w:rFonts w:ascii="仿宋" w:hAnsi="仿宋" w:eastAsia="仿宋" w:cs="仿宋"/>
          <w:color w:val="auto"/>
          <w:spacing w:val="-4"/>
          <w:sz w:val="24"/>
          <w:szCs w:val="24"/>
        </w:rPr>
        <w:t>单位，且本单位参加</w:t>
      </w:r>
      <w:r>
        <w:rPr>
          <w:rFonts w:ascii="仿宋" w:hAnsi="仿宋" w:eastAsia="仿宋" w:cs="仿宋"/>
          <w:color w:val="auto"/>
          <w:spacing w:val="-4"/>
          <w:sz w:val="24"/>
          <w:szCs w:val="24"/>
          <w:u w:val="single" w:color="auto"/>
        </w:rPr>
        <w:t xml:space="preserve">      </w:t>
      </w:r>
      <w:r>
        <w:rPr>
          <w:rFonts w:ascii="仿宋" w:hAnsi="仿宋" w:eastAsia="仿宋" w:cs="仿宋"/>
          <w:color w:val="auto"/>
          <w:spacing w:val="-99"/>
          <w:sz w:val="24"/>
          <w:szCs w:val="24"/>
        </w:rPr>
        <w:t xml:space="preserve"> </w:t>
      </w:r>
      <w:r>
        <w:rPr>
          <w:rFonts w:ascii="仿宋" w:hAnsi="仿宋" w:eastAsia="仿宋" w:cs="仿宋"/>
          <w:color w:val="auto"/>
          <w:spacing w:val="-4"/>
          <w:sz w:val="24"/>
          <w:szCs w:val="24"/>
        </w:rPr>
        <w:t>单位的</w:t>
      </w:r>
      <w:r>
        <w:rPr>
          <w:rFonts w:ascii="仿宋" w:hAnsi="仿宋" w:eastAsia="仿宋" w:cs="仿宋"/>
          <w:color w:val="auto"/>
          <w:spacing w:val="-4"/>
          <w:sz w:val="24"/>
          <w:szCs w:val="24"/>
          <w:u w:val="single" w:color="auto"/>
        </w:rPr>
        <w:t xml:space="preserve">      </w:t>
      </w:r>
      <w:r>
        <w:rPr>
          <w:rFonts w:ascii="仿宋" w:hAnsi="仿宋" w:eastAsia="仿宋" w:cs="仿宋"/>
          <w:color w:val="auto"/>
          <w:spacing w:val="-103"/>
          <w:sz w:val="24"/>
          <w:szCs w:val="24"/>
        </w:rPr>
        <w:t xml:space="preserve"> </w:t>
      </w:r>
      <w:r>
        <w:rPr>
          <w:rFonts w:ascii="仿宋" w:hAnsi="仿宋" w:eastAsia="仿宋" w:cs="仿宋"/>
          <w:color w:val="auto"/>
          <w:spacing w:val="-4"/>
          <w:sz w:val="24"/>
          <w:szCs w:val="24"/>
        </w:rPr>
        <w:t>项目采购活动提供本单位的服务。</w:t>
      </w:r>
    </w:p>
    <w:p w14:paraId="79B3F2BF">
      <w:pPr>
        <w:spacing w:before="39" w:line="220" w:lineRule="auto"/>
        <w:ind w:left="437"/>
        <w:rPr>
          <w:rFonts w:ascii="仿宋" w:hAnsi="仿宋" w:eastAsia="仿宋" w:cs="仿宋"/>
          <w:color w:val="auto"/>
          <w:sz w:val="24"/>
          <w:szCs w:val="24"/>
        </w:rPr>
      </w:pPr>
      <w:r>
        <w:rPr>
          <w:rFonts w:ascii="仿宋" w:hAnsi="仿宋" w:eastAsia="仿宋" w:cs="仿宋"/>
          <w:color w:val="auto"/>
          <w:spacing w:val="-4"/>
          <w:sz w:val="24"/>
          <w:szCs w:val="24"/>
        </w:rPr>
        <w:t>本单位对上述声明的真实性负责。如有虚假，将依法承担相应责任。</w:t>
      </w:r>
    </w:p>
    <w:p w14:paraId="5E14A25F">
      <w:pPr>
        <w:pStyle w:val="3"/>
        <w:spacing w:line="256" w:lineRule="auto"/>
        <w:rPr>
          <w:color w:val="auto"/>
        </w:rPr>
      </w:pPr>
    </w:p>
    <w:p w14:paraId="2D6051AF">
      <w:pPr>
        <w:pStyle w:val="3"/>
        <w:spacing w:line="256" w:lineRule="auto"/>
        <w:rPr>
          <w:color w:val="auto"/>
        </w:rPr>
      </w:pPr>
    </w:p>
    <w:p w14:paraId="78DEDA4E">
      <w:pPr>
        <w:pStyle w:val="3"/>
        <w:spacing w:line="257" w:lineRule="auto"/>
        <w:rPr>
          <w:color w:val="auto"/>
        </w:rPr>
      </w:pPr>
    </w:p>
    <w:p w14:paraId="5DCA7967">
      <w:pPr>
        <w:pStyle w:val="3"/>
        <w:spacing w:line="257" w:lineRule="auto"/>
        <w:rPr>
          <w:color w:val="auto"/>
        </w:rPr>
      </w:pPr>
    </w:p>
    <w:p w14:paraId="76DEDD84">
      <w:pPr>
        <w:spacing w:before="79" w:line="222" w:lineRule="auto"/>
        <w:ind w:left="4913"/>
        <w:rPr>
          <w:rFonts w:ascii="仿宋" w:hAnsi="仿宋" w:eastAsia="仿宋" w:cs="仿宋"/>
          <w:color w:val="auto"/>
          <w:sz w:val="24"/>
          <w:szCs w:val="24"/>
        </w:rPr>
      </w:pPr>
      <w:r>
        <w:rPr>
          <w:rFonts w:ascii="仿宋" w:hAnsi="仿宋" w:eastAsia="仿宋" w:cs="仿宋"/>
          <w:color w:val="auto"/>
          <w:spacing w:val="-5"/>
          <w:sz w:val="24"/>
          <w:szCs w:val="24"/>
        </w:rPr>
        <w:t>投标人（企业电子章</w:t>
      </w:r>
      <w:r>
        <w:rPr>
          <w:rFonts w:ascii="仿宋" w:hAnsi="仿宋" w:eastAsia="仿宋" w:cs="仿宋"/>
          <w:color w:val="auto"/>
          <w:sz w:val="24"/>
          <w:szCs w:val="24"/>
        </w:rPr>
        <w:t>）：</w:t>
      </w:r>
    </w:p>
    <w:p w14:paraId="2E03F9E0">
      <w:pPr>
        <w:spacing w:line="222" w:lineRule="auto"/>
        <w:rPr>
          <w:rFonts w:ascii="仿宋" w:hAnsi="仿宋" w:eastAsia="仿宋" w:cs="仿宋"/>
          <w:color w:val="auto"/>
          <w:sz w:val="24"/>
          <w:szCs w:val="24"/>
        </w:rPr>
        <w:sectPr>
          <w:footerReference r:id="rId67" w:type="default"/>
          <w:pgSz w:w="11906" w:h="16839"/>
          <w:pgMar w:top="999" w:right="1246" w:bottom="844" w:left="1418" w:header="698" w:footer="682" w:gutter="0"/>
          <w:pgNumType w:fmt="decimal"/>
          <w:cols w:space="720" w:num="1"/>
        </w:sectPr>
      </w:pPr>
    </w:p>
    <w:p w14:paraId="4F567CB2">
      <w:pPr>
        <w:pStyle w:val="3"/>
        <w:spacing w:line="418" w:lineRule="auto"/>
        <w:rPr>
          <w:color w:val="auto"/>
        </w:rPr>
      </w:pPr>
    </w:p>
    <w:p w14:paraId="3DC03207">
      <w:pPr>
        <w:spacing w:before="91" w:line="219" w:lineRule="auto"/>
        <w:ind w:left="33"/>
        <w:outlineLvl w:val="1"/>
        <w:rPr>
          <w:rFonts w:ascii="宋体" w:hAnsi="宋体" w:eastAsia="宋体" w:cs="宋体"/>
          <w:color w:val="auto"/>
          <w:sz w:val="28"/>
          <w:szCs w:val="28"/>
        </w:rPr>
      </w:pPr>
      <w:bookmarkStart w:id="28" w:name="_Toc25513"/>
      <w:r>
        <w:rPr>
          <w:rFonts w:ascii="宋体" w:hAnsi="宋体" w:eastAsia="宋体" w:cs="宋体"/>
          <w:b/>
          <w:bCs/>
          <w:color w:val="auto"/>
          <w:spacing w:val="-23"/>
          <w:sz w:val="28"/>
          <w:szCs w:val="28"/>
        </w:rPr>
        <w:t>附件6-3:监狱企业证明文件</w:t>
      </w:r>
      <w:bookmarkEnd w:id="28"/>
    </w:p>
    <w:p w14:paraId="1A7B16D9">
      <w:pPr>
        <w:spacing w:before="133" w:line="223" w:lineRule="auto"/>
        <w:ind w:left="3478"/>
        <w:rPr>
          <w:rFonts w:ascii="仿宋" w:hAnsi="仿宋" w:eastAsia="仿宋" w:cs="仿宋"/>
          <w:color w:val="auto"/>
          <w:sz w:val="28"/>
          <w:szCs w:val="28"/>
        </w:rPr>
      </w:pPr>
      <w:r>
        <w:rPr>
          <w:rFonts w:ascii="仿宋" w:hAnsi="仿宋" w:eastAsia="仿宋" w:cs="仿宋"/>
          <w:color w:val="auto"/>
          <w:spacing w:val="-6"/>
          <w:sz w:val="28"/>
          <w:szCs w:val="28"/>
        </w:rPr>
        <w:t>监狱企业证明文件</w:t>
      </w:r>
    </w:p>
    <w:p w14:paraId="45FAE40C">
      <w:pPr>
        <w:pStyle w:val="3"/>
        <w:spacing w:line="266" w:lineRule="auto"/>
        <w:rPr>
          <w:color w:val="auto"/>
        </w:rPr>
      </w:pPr>
    </w:p>
    <w:p w14:paraId="205A5678">
      <w:pPr>
        <w:pStyle w:val="3"/>
        <w:spacing w:line="267" w:lineRule="auto"/>
        <w:rPr>
          <w:color w:val="auto"/>
        </w:rPr>
      </w:pPr>
    </w:p>
    <w:p w14:paraId="215F0FFC">
      <w:pPr>
        <w:spacing w:before="78" w:line="343" w:lineRule="auto"/>
        <w:ind w:left="15" w:right="118" w:firstLine="425"/>
        <w:rPr>
          <w:rFonts w:ascii="仿宋" w:hAnsi="仿宋" w:eastAsia="仿宋" w:cs="仿宋"/>
          <w:color w:val="auto"/>
          <w:sz w:val="24"/>
          <w:szCs w:val="24"/>
        </w:rPr>
      </w:pPr>
      <w:r>
        <w:rPr>
          <w:rFonts w:ascii="仿宋" w:hAnsi="仿宋" w:eastAsia="仿宋" w:cs="仿宋"/>
          <w:color w:val="auto"/>
          <w:spacing w:val="-2"/>
          <w:sz w:val="24"/>
          <w:szCs w:val="24"/>
        </w:rPr>
        <w:t>（监狱企业参加政府采购活动时，应当提供由省级以上监狱管理局、戒</w:t>
      </w:r>
      <w:r>
        <w:rPr>
          <w:rFonts w:ascii="仿宋" w:hAnsi="仿宋" w:eastAsia="仿宋" w:cs="仿宋"/>
          <w:color w:val="auto"/>
          <w:spacing w:val="-3"/>
          <w:sz w:val="24"/>
          <w:szCs w:val="24"/>
        </w:rPr>
        <w:t>毒管理局(含</w:t>
      </w:r>
      <w:r>
        <w:rPr>
          <w:rFonts w:ascii="仿宋" w:hAnsi="仿宋" w:eastAsia="仿宋" w:cs="仿宋"/>
          <w:color w:val="auto"/>
          <w:sz w:val="24"/>
          <w:szCs w:val="24"/>
        </w:rPr>
        <w:t xml:space="preserve"> </w:t>
      </w:r>
      <w:r>
        <w:rPr>
          <w:rFonts w:ascii="仿宋" w:hAnsi="仿宋" w:eastAsia="仿宋" w:cs="仿宋"/>
          <w:color w:val="auto"/>
          <w:spacing w:val="-4"/>
          <w:sz w:val="24"/>
          <w:szCs w:val="24"/>
        </w:rPr>
        <w:t>新疆生产建设兵团)出具的属于监狱企业的证明文件。</w:t>
      </w:r>
    </w:p>
    <w:p w14:paraId="02B37A93">
      <w:pPr>
        <w:pStyle w:val="3"/>
        <w:spacing w:line="296" w:lineRule="auto"/>
        <w:rPr>
          <w:color w:val="auto"/>
        </w:rPr>
      </w:pPr>
    </w:p>
    <w:p w14:paraId="432C787C">
      <w:pPr>
        <w:pStyle w:val="3"/>
        <w:spacing w:line="296" w:lineRule="auto"/>
        <w:rPr>
          <w:color w:val="auto"/>
        </w:rPr>
      </w:pPr>
    </w:p>
    <w:p w14:paraId="3CABF9D2">
      <w:pPr>
        <w:pStyle w:val="3"/>
        <w:spacing w:line="297" w:lineRule="auto"/>
        <w:rPr>
          <w:color w:val="auto"/>
        </w:rPr>
      </w:pPr>
    </w:p>
    <w:p w14:paraId="0C3C982A">
      <w:pPr>
        <w:spacing w:before="78" w:line="219" w:lineRule="auto"/>
        <w:ind w:left="22"/>
        <w:rPr>
          <w:rFonts w:ascii="仿宋" w:hAnsi="仿宋" w:eastAsia="仿宋" w:cs="仿宋"/>
          <w:color w:val="auto"/>
          <w:sz w:val="24"/>
          <w:szCs w:val="24"/>
        </w:rPr>
      </w:pPr>
      <w:r>
        <w:rPr>
          <w:rFonts w:ascii="仿宋" w:hAnsi="仿宋" w:eastAsia="仿宋" w:cs="仿宋"/>
          <w:color w:val="auto"/>
          <w:spacing w:val="-5"/>
          <w:sz w:val="24"/>
          <w:szCs w:val="24"/>
        </w:rPr>
        <w:t>注：在投标文件中附扫描件</w:t>
      </w:r>
    </w:p>
    <w:p w14:paraId="077116BA">
      <w:pPr>
        <w:spacing w:line="219" w:lineRule="auto"/>
        <w:rPr>
          <w:rFonts w:ascii="仿宋" w:hAnsi="仿宋" w:eastAsia="仿宋" w:cs="仿宋"/>
          <w:color w:val="auto"/>
          <w:sz w:val="24"/>
          <w:szCs w:val="24"/>
        </w:rPr>
        <w:sectPr>
          <w:footerReference r:id="rId68" w:type="default"/>
          <w:pgSz w:w="11906" w:h="16839"/>
          <w:pgMar w:top="999" w:right="1246" w:bottom="844" w:left="1418" w:header="698" w:footer="682" w:gutter="0"/>
          <w:pgNumType w:fmt="decimal"/>
          <w:cols w:space="720" w:num="1"/>
        </w:sectPr>
      </w:pPr>
    </w:p>
    <w:p w14:paraId="3EA6D2F9">
      <w:pPr>
        <w:pStyle w:val="3"/>
        <w:spacing w:line="418" w:lineRule="auto"/>
        <w:rPr>
          <w:color w:val="auto"/>
        </w:rPr>
      </w:pPr>
    </w:p>
    <w:p w14:paraId="7D8C2794">
      <w:pPr>
        <w:spacing w:before="91" w:line="219" w:lineRule="auto"/>
        <w:ind w:left="84"/>
        <w:outlineLvl w:val="1"/>
        <w:rPr>
          <w:rFonts w:ascii="宋体" w:hAnsi="宋体" w:eastAsia="宋体" w:cs="宋体"/>
          <w:color w:val="auto"/>
          <w:sz w:val="28"/>
          <w:szCs w:val="28"/>
        </w:rPr>
      </w:pPr>
      <w:bookmarkStart w:id="29" w:name="_Toc16151"/>
      <w:r>
        <w:rPr>
          <w:rFonts w:ascii="宋体" w:hAnsi="宋体" w:eastAsia="宋体" w:cs="宋体"/>
          <w:b/>
          <w:bCs/>
          <w:color w:val="auto"/>
          <w:spacing w:val="-25"/>
          <w:sz w:val="28"/>
          <w:szCs w:val="28"/>
        </w:rPr>
        <w:t>附件7:服务要求响应与偏差表</w:t>
      </w:r>
      <w:bookmarkEnd w:id="29"/>
    </w:p>
    <w:p w14:paraId="121FC0DD">
      <w:pPr>
        <w:spacing w:before="133" w:line="223" w:lineRule="auto"/>
        <w:ind w:left="3244"/>
        <w:rPr>
          <w:rFonts w:ascii="仿宋" w:hAnsi="仿宋" w:eastAsia="仿宋" w:cs="仿宋"/>
          <w:color w:val="auto"/>
          <w:sz w:val="28"/>
          <w:szCs w:val="28"/>
        </w:rPr>
      </w:pPr>
      <w:r>
        <w:rPr>
          <w:rFonts w:ascii="仿宋" w:hAnsi="仿宋" w:eastAsia="仿宋" w:cs="仿宋"/>
          <w:color w:val="auto"/>
          <w:spacing w:val="-5"/>
          <w:sz w:val="28"/>
          <w:szCs w:val="28"/>
        </w:rPr>
        <w:t>服务要求响应与偏差表</w:t>
      </w:r>
    </w:p>
    <w:p w14:paraId="5D10C27E">
      <w:pPr>
        <w:spacing w:before="9"/>
        <w:rPr>
          <w:color w:val="auto"/>
        </w:rPr>
      </w:pPr>
    </w:p>
    <w:p w14:paraId="7A097C07">
      <w:pPr>
        <w:spacing w:before="8"/>
        <w:rPr>
          <w:color w:val="auto"/>
        </w:rPr>
      </w:pPr>
    </w:p>
    <w:tbl>
      <w:tblPr>
        <w:tblStyle w:val="10"/>
        <w:tblW w:w="93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7"/>
        <w:gridCol w:w="3019"/>
        <w:gridCol w:w="3019"/>
        <w:gridCol w:w="1417"/>
        <w:gridCol w:w="854"/>
      </w:tblGrid>
      <w:tr w14:paraId="286E1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1027" w:type="dxa"/>
            <w:vAlign w:val="top"/>
          </w:tcPr>
          <w:p w14:paraId="1678CAE8">
            <w:pPr>
              <w:spacing w:line="278" w:lineRule="auto"/>
              <w:rPr>
                <w:rFonts w:ascii="Arial"/>
                <w:color w:val="auto"/>
                <w:sz w:val="21"/>
              </w:rPr>
            </w:pPr>
          </w:p>
          <w:p w14:paraId="6E17E4AC">
            <w:pPr>
              <w:pStyle w:val="11"/>
              <w:spacing w:before="78" w:line="222" w:lineRule="auto"/>
              <w:ind w:left="316"/>
              <w:rPr>
                <w:color w:val="auto"/>
                <w:sz w:val="24"/>
                <w:szCs w:val="24"/>
              </w:rPr>
            </w:pPr>
            <w:r>
              <w:rPr>
                <w:color w:val="auto"/>
                <w:spacing w:val="-8"/>
                <w:sz w:val="24"/>
                <w:szCs w:val="24"/>
              </w:rPr>
              <w:t>序号</w:t>
            </w:r>
          </w:p>
        </w:tc>
        <w:tc>
          <w:tcPr>
            <w:tcW w:w="3019" w:type="dxa"/>
            <w:vAlign w:val="top"/>
          </w:tcPr>
          <w:p w14:paraId="7D4FC08F">
            <w:pPr>
              <w:spacing w:line="278" w:lineRule="auto"/>
              <w:rPr>
                <w:rFonts w:ascii="Arial"/>
                <w:color w:val="auto"/>
                <w:sz w:val="21"/>
              </w:rPr>
            </w:pPr>
          </w:p>
          <w:p w14:paraId="078207C2">
            <w:pPr>
              <w:pStyle w:val="11"/>
              <w:spacing w:before="78" w:line="222" w:lineRule="auto"/>
              <w:ind w:left="894"/>
              <w:rPr>
                <w:color w:val="auto"/>
                <w:sz w:val="24"/>
                <w:szCs w:val="24"/>
              </w:rPr>
            </w:pPr>
            <w:r>
              <w:rPr>
                <w:color w:val="auto"/>
                <w:spacing w:val="-24"/>
                <w:sz w:val="24"/>
                <w:szCs w:val="24"/>
              </w:rPr>
              <w:t>招标服务要求</w:t>
            </w:r>
          </w:p>
        </w:tc>
        <w:tc>
          <w:tcPr>
            <w:tcW w:w="3019" w:type="dxa"/>
            <w:vAlign w:val="top"/>
          </w:tcPr>
          <w:p w14:paraId="3FC38E6E">
            <w:pPr>
              <w:spacing w:line="278" w:lineRule="auto"/>
              <w:rPr>
                <w:rFonts w:ascii="Arial"/>
                <w:color w:val="auto"/>
                <w:sz w:val="21"/>
              </w:rPr>
            </w:pPr>
          </w:p>
          <w:p w14:paraId="41BE3973">
            <w:pPr>
              <w:pStyle w:val="11"/>
              <w:spacing w:before="78" w:line="222" w:lineRule="auto"/>
              <w:ind w:left="476"/>
              <w:rPr>
                <w:color w:val="auto"/>
                <w:sz w:val="24"/>
                <w:szCs w:val="24"/>
              </w:rPr>
            </w:pPr>
            <w:r>
              <w:rPr>
                <w:color w:val="auto"/>
                <w:spacing w:val="-27"/>
                <w:sz w:val="24"/>
                <w:szCs w:val="24"/>
              </w:rPr>
              <w:t>投标人承诺的服务响应</w:t>
            </w:r>
          </w:p>
        </w:tc>
        <w:tc>
          <w:tcPr>
            <w:tcW w:w="1417" w:type="dxa"/>
            <w:vAlign w:val="top"/>
          </w:tcPr>
          <w:p w14:paraId="60285923">
            <w:pPr>
              <w:spacing w:line="278" w:lineRule="auto"/>
              <w:rPr>
                <w:rFonts w:ascii="Arial"/>
                <w:color w:val="auto"/>
                <w:sz w:val="21"/>
              </w:rPr>
            </w:pPr>
          </w:p>
          <w:p w14:paraId="36B690D4">
            <w:pPr>
              <w:pStyle w:val="11"/>
              <w:spacing w:before="78" w:line="223" w:lineRule="auto"/>
              <w:ind w:left="305"/>
              <w:rPr>
                <w:color w:val="auto"/>
                <w:sz w:val="24"/>
                <w:szCs w:val="24"/>
              </w:rPr>
            </w:pPr>
            <w:r>
              <w:rPr>
                <w:color w:val="auto"/>
                <w:spacing w:val="-20"/>
                <w:sz w:val="24"/>
                <w:szCs w:val="24"/>
              </w:rPr>
              <w:t>偏差描述</w:t>
            </w:r>
          </w:p>
        </w:tc>
        <w:tc>
          <w:tcPr>
            <w:tcW w:w="854" w:type="dxa"/>
            <w:vAlign w:val="top"/>
          </w:tcPr>
          <w:p w14:paraId="6E4034FA">
            <w:pPr>
              <w:spacing w:line="277" w:lineRule="auto"/>
              <w:rPr>
                <w:rFonts w:ascii="Arial"/>
                <w:color w:val="auto"/>
                <w:sz w:val="21"/>
              </w:rPr>
            </w:pPr>
          </w:p>
          <w:p w14:paraId="4B2FC777">
            <w:pPr>
              <w:pStyle w:val="11"/>
              <w:spacing w:before="78" w:line="224" w:lineRule="auto"/>
              <w:ind w:left="236"/>
              <w:rPr>
                <w:color w:val="auto"/>
                <w:sz w:val="24"/>
                <w:szCs w:val="24"/>
              </w:rPr>
            </w:pPr>
            <w:r>
              <w:rPr>
                <w:color w:val="auto"/>
                <w:spacing w:val="-11"/>
                <w:sz w:val="24"/>
                <w:szCs w:val="24"/>
              </w:rPr>
              <w:t>结论</w:t>
            </w:r>
          </w:p>
        </w:tc>
      </w:tr>
      <w:tr w14:paraId="05F67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27" w:type="dxa"/>
            <w:vAlign w:val="top"/>
          </w:tcPr>
          <w:p w14:paraId="54A0ED4D">
            <w:pPr>
              <w:rPr>
                <w:rFonts w:ascii="Arial"/>
                <w:color w:val="auto"/>
                <w:sz w:val="21"/>
              </w:rPr>
            </w:pPr>
          </w:p>
        </w:tc>
        <w:tc>
          <w:tcPr>
            <w:tcW w:w="3019" w:type="dxa"/>
            <w:vAlign w:val="top"/>
          </w:tcPr>
          <w:p w14:paraId="712C3B6A">
            <w:pPr>
              <w:rPr>
                <w:rFonts w:ascii="Arial"/>
                <w:color w:val="auto"/>
                <w:sz w:val="21"/>
              </w:rPr>
            </w:pPr>
          </w:p>
        </w:tc>
        <w:tc>
          <w:tcPr>
            <w:tcW w:w="3019" w:type="dxa"/>
            <w:vAlign w:val="top"/>
          </w:tcPr>
          <w:p w14:paraId="4DD8E70F">
            <w:pPr>
              <w:rPr>
                <w:rFonts w:ascii="Arial"/>
                <w:color w:val="auto"/>
                <w:sz w:val="21"/>
              </w:rPr>
            </w:pPr>
          </w:p>
        </w:tc>
        <w:tc>
          <w:tcPr>
            <w:tcW w:w="1417" w:type="dxa"/>
            <w:vAlign w:val="top"/>
          </w:tcPr>
          <w:p w14:paraId="39EC19D1">
            <w:pPr>
              <w:rPr>
                <w:rFonts w:ascii="Arial"/>
                <w:color w:val="auto"/>
                <w:sz w:val="21"/>
              </w:rPr>
            </w:pPr>
          </w:p>
        </w:tc>
        <w:tc>
          <w:tcPr>
            <w:tcW w:w="854" w:type="dxa"/>
            <w:vAlign w:val="top"/>
          </w:tcPr>
          <w:p w14:paraId="6654222C">
            <w:pPr>
              <w:rPr>
                <w:rFonts w:ascii="Arial"/>
                <w:color w:val="auto"/>
                <w:sz w:val="21"/>
              </w:rPr>
            </w:pPr>
          </w:p>
        </w:tc>
      </w:tr>
      <w:tr w14:paraId="28F0A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27" w:type="dxa"/>
            <w:vAlign w:val="top"/>
          </w:tcPr>
          <w:p w14:paraId="05B286B6">
            <w:pPr>
              <w:rPr>
                <w:rFonts w:ascii="Arial"/>
                <w:color w:val="auto"/>
                <w:sz w:val="21"/>
              </w:rPr>
            </w:pPr>
          </w:p>
        </w:tc>
        <w:tc>
          <w:tcPr>
            <w:tcW w:w="3019" w:type="dxa"/>
            <w:vAlign w:val="top"/>
          </w:tcPr>
          <w:p w14:paraId="5CBD3C57">
            <w:pPr>
              <w:rPr>
                <w:rFonts w:ascii="Arial"/>
                <w:color w:val="auto"/>
                <w:sz w:val="21"/>
              </w:rPr>
            </w:pPr>
          </w:p>
        </w:tc>
        <w:tc>
          <w:tcPr>
            <w:tcW w:w="3019" w:type="dxa"/>
            <w:vAlign w:val="top"/>
          </w:tcPr>
          <w:p w14:paraId="0AC0D7BA">
            <w:pPr>
              <w:rPr>
                <w:rFonts w:ascii="Arial"/>
                <w:color w:val="auto"/>
                <w:sz w:val="21"/>
              </w:rPr>
            </w:pPr>
          </w:p>
        </w:tc>
        <w:tc>
          <w:tcPr>
            <w:tcW w:w="1417" w:type="dxa"/>
            <w:vAlign w:val="top"/>
          </w:tcPr>
          <w:p w14:paraId="61A0E812">
            <w:pPr>
              <w:rPr>
                <w:rFonts w:ascii="Arial"/>
                <w:color w:val="auto"/>
                <w:sz w:val="21"/>
              </w:rPr>
            </w:pPr>
          </w:p>
        </w:tc>
        <w:tc>
          <w:tcPr>
            <w:tcW w:w="854" w:type="dxa"/>
            <w:vAlign w:val="top"/>
          </w:tcPr>
          <w:p w14:paraId="05C51B3A">
            <w:pPr>
              <w:rPr>
                <w:rFonts w:ascii="Arial"/>
                <w:color w:val="auto"/>
                <w:sz w:val="21"/>
              </w:rPr>
            </w:pPr>
          </w:p>
        </w:tc>
      </w:tr>
      <w:tr w14:paraId="7DBBA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27" w:type="dxa"/>
            <w:vAlign w:val="top"/>
          </w:tcPr>
          <w:p w14:paraId="7CE8FB5B">
            <w:pPr>
              <w:rPr>
                <w:rFonts w:ascii="Arial"/>
                <w:color w:val="auto"/>
                <w:sz w:val="21"/>
              </w:rPr>
            </w:pPr>
          </w:p>
        </w:tc>
        <w:tc>
          <w:tcPr>
            <w:tcW w:w="3019" w:type="dxa"/>
            <w:vAlign w:val="top"/>
          </w:tcPr>
          <w:p w14:paraId="6ADD0B93">
            <w:pPr>
              <w:rPr>
                <w:rFonts w:ascii="Arial"/>
                <w:color w:val="auto"/>
                <w:sz w:val="21"/>
              </w:rPr>
            </w:pPr>
          </w:p>
        </w:tc>
        <w:tc>
          <w:tcPr>
            <w:tcW w:w="3019" w:type="dxa"/>
            <w:vAlign w:val="top"/>
          </w:tcPr>
          <w:p w14:paraId="09D7C9F1">
            <w:pPr>
              <w:rPr>
                <w:rFonts w:ascii="Arial"/>
                <w:color w:val="auto"/>
                <w:sz w:val="21"/>
              </w:rPr>
            </w:pPr>
          </w:p>
        </w:tc>
        <w:tc>
          <w:tcPr>
            <w:tcW w:w="1417" w:type="dxa"/>
            <w:vAlign w:val="top"/>
          </w:tcPr>
          <w:p w14:paraId="4B2C863A">
            <w:pPr>
              <w:rPr>
                <w:rFonts w:ascii="Arial"/>
                <w:color w:val="auto"/>
                <w:sz w:val="21"/>
              </w:rPr>
            </w:pPr>
          </w:p>
        </w:tc>
        <w:tc>
          <w:tcPr>
            <w:tcW w:w="854" w:type="dxa"/>
            <w:vAlign w:val="top"/>
          </w:tcPr>
          <w:p w14:paraId="2C34EF85">
            <w:pPr>
              <w:rPr>
                <w:rFonts w:ascii="Arial"/>
                <w:color w:val="auto"/>
                <w:sz w:val="21"/>
              </w:rPr>
            </w:pPr>
          </w:p>
        </w:tc>
      </w:tr>
      <w:tr w14:paraId="61DDB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27" w:type="dxa"/>
            <w:vAlign w:val="top"/>
          </w:tcPr>
          <w:p w14:paraId="6E87ABCC">
            <w:pPr>
              <w:rPr>
                <w:rFonts w:ascii="Arial"/>
                <w:color w:val="auto"/>
                <w:sz w:val="21"/>
              </w:rPr>
            </w:pPr>
          </w:p>
        </w:tc>
        <w:tc>
          <w:tcPr>
            <w:tcW w:w="3019" w:type="dxa"/>
            <w:vAlign w:val="top"/>
          </w:tcPr>
          <w:p w14:paraId="782DCC8A">
            <w:pPr>
              <w:rPr>
                <w:rFonts w:ascii="Arial"/>
                <w:color w:val="auto"/>
                <w:sz w:val="21"/>
              </w:rPr>
            </w:pPr>
          </w:p>
        </w:tc>
        <w:tc>
          <w:tcPr>
            <w:tcW w:w="3019" w:type="dxa"/>
            <w:vAlign w:val="top"/>
          </w:tcPr>
          <w:p w14:paraId="7D162FAA">
            <w:pPr>
              <w:rPr>
                <w:rFonts w:ascii="Arial"/>
                <w:color w:val="auto"/>
                <w:sz w:val="21"/>
              </w:rPr>
            </w:pPr>
          </w:p>
        </w:tc>
        <w:tc>
          <w:tcPr>
            <w:tcW w:w="1417" w:type="dxa"/>
            <w:vAlign w:val="top"/>
          </w:tcPr>
          <w:p w14:paraId="2F6C5485">
            <w:pPr>
              <w:rPr>
                <w:rFonts w:ascii="Arial"/>
                <w:color w:val="auto"/>
                <w:sz w:val="21"/>
              </w:rPr>
            </w:pPr>
          </w:p>
        </w:tc>
        <w:tc>
          <w:tcPr>
            <w:tcW w:w="854" w:type="dxa"/>
            <w:vAlign w:val="top"/>
          </w:tcPr>
          <w:p w14:paraId="29FB0644">
            <w:pPr>
              <w:rPr>
                <w:rFonts w:ascii="Arial"/>
                <w:color w:val="auto"/>
                <w:sz w:val="21"/>
              </w:rPr>
            </w:pPr>
          </w:p>
        </w:tc>
      </w:tr>
    </w:tbl>
    <w:p w14:paraId="514EAE8D">
      <w:pPr>
        <w:pStyle w:val="3"/>
        <w:spacing w:line="250" w:lineRule="auto"/>
        <w:rPr>
          <w:color w:val="auto"/>
        </w:rPr>
      </w:pPr>
    </w:p>
    <w:p w14:paraId="3B75DDA0">
      <w:pPr>
        <w:pStyle w:val="3"/>
        <w:spacing w:line="250" w:lineRule="auto"/>
        <w:rPr>
          <w:color w:val="auto"/>
        </w:rPr>
      </w:pPr>
    </w:p>
    <w:p w14:paraId="4102BD00">
      <w:pPr>
        <w:spacing w:before="78" w:line="222" w:lineRule="auto"/>
        <w:ind w:left="66"/>
        <w:rPr>
          <w:rFonts w:ascii="仿宋" w:hAnsi="仿宋" w:eastAsia="仿宋" w:cs="仿宋"/>
          <w:color w:val="auto"/>
          <w:sz w:val="24"/>
          <w:szCs w:val="24"/>
        </w:rPr>
      </w:pPr>
      <w:r>
        <w:rPr>
          <w:rFonts w:ascii="仿宋" w:hAnsi="仿宋" w:eastAsia="仿宋" w:cs="仿宋"/>
          <w:color w:val="auto"/>
          <w:spacing w:val="-5"/>
          <w:sz w:val="24"/>
          <w:szCs w:val="24"/>
        </w:rPr>
        <w:t>投标人（企业电子章</w:t>
      </w:r>
      <w:r>
        <w:rPr>
          <w:rFonts w:ascii="仿宋" w:hAnsi="仿宋" w:eastAsia="仿宋" w:cs="仿宋"/>
          <w:color w:val="auto"/>
          <w:spacing w:val="-68"/>
          <w:sz w:val="24"/>
          <w:szCs w:val="24"/>
        </w:rPr>
        <w:t>）：</w:t>
      </w:r>
    </w:p>
    <w:p w14:paraId="4AE9A92B">
      <w:pPr>
        <w:pStyle w:val="3"/>
        <w:spacing w:line="280" w:lineRule="auto"/>
        <w:rPr>
          <w:color w:val="auto"/>
        </w:rPr>
      </w:pPr>
    </w:p>
    <w:p w14:paraId="6CFB145B">
      <w:pPr>
        <w:pStyle w:val="3"/>
        <w:spacing w:line="281" w:lineRule="auto"/>
        <w:rPr>
          <w:color w:val="auto"/>
        </w:rPr>
      </w:pPr>
    </w:p>
    <w:p w14:paraId="72216EF6">
      <w:pPr>
        <w:spacing w:before="78" w:line="230" w:lineRule="auto"/>
        <w:ind w:left="73"/>
        <w:rPr>
          <w:rFonts w:ascii="仿宋" w:hAnsi="仿宋" w:eastAsia="仿宋" w:cs="仿宋"/>
          <w:color w:val="auto"/>
          <w:sz w:val="24"/>
          <w:szCs w:val="24"/>
        </w:rPr>
      </w:pPr>
      <w:r>
        <w:rPr>
          <w:rFonts w:ascii="仿宋" w:hAnsi="仿宋" w:eastAsia="仿宋" w:cs="仿宋"/>
          <w:color w:val="auto"/>
          <w:spacing w:val="-12"/>
          <w:sz w:val="24"/>
          <w:szCs w:val="24"/>
        </w:rPr>
        <w:t>注：</w:t>
      </w:r>
    </w:p>
    <w:p w14:paraId="398BF787">
      <w:pPr>
        <w:spacing w:before="166" w:line="221" w:lineRule="auto"/>
        <w:ind w:left="559"/>
        <w:rPr>
          <w:rFonts w:ascii="仿宋" w:hAnsi="仿宋" w:eastAsia="仿宋" w:cs="仿宋"/>
          <w:color w:val="auto"/>
          <w:sz w:val="24"/>
          <w:szCs w:val="24"/>
        </w:rPr>
      </w:pPr>
      <w:r>
        <w:rPr>
          <w:rFonts w:ascii="仿宋" w:hAnsi="仿宋" w:eastAsia="仿宋" w:cs="仿宋"/>
          <w:color w:val="auto"/>
          <w:spacing w:val="-4"/>
          <w:sz w:val="24"/>
          <w:szCs w:val="24"/>
        </w:rPr>
        <w:t>1、投标人应根据招标要求逐条逐项表述说明投标响应情况。</w:t>
      </w:r>
    </w:p>
    <w:p w14:paraId="01C41FDE">
      <w:pPr>
        <w:spacing w:before="180" w:line="313" w:lineRule="auto"/>
        <w:ind w:left="68" w:right="168" w:firstLine="475"/>
        <w:rPr>
          <w:rFonts w:ascii="仿宋" w:hAnsi="仿宋" w:eastAsia="仿宋" w:cs="仿宋"/>
          <w:color w:val="auto"/>
          <w:sz w:val="24"/>
          <w:szCs w:val="24"/>
        </w:rPr>
      </w:pPr>
      <w:r>
        <w:rPr>
          <w:rFonts w:ascii="仿宋" w:hAnsi="仿宋" w:eastAsia="仿宋" w:cs="仿宋"/>
          <w:color w:val="auto"/>
          <w:spacing w:val="-4"/>
          <w:sz w:val="24"/>
          <w:szCs w:val="24"/>
        </w:rPr>
        <w:t>2、投标人提交的投标文件中的服务响应与招标文件的服务要求不同时，应逐条逐项</w:t>
      </w:r>
      <w:r>
        <w:rPr>
          <w:rFonts w:ascii="仿宋" w:hAnsi="仿宋" w:eastAsia="仿宋" w:cs="仿宋"/>
          <w:color w:val="auto"/>
          <w:spacing w:val="15"/>
          <w:sz w:val="24"/>
          <w:szCs w:val="24"/>
        </w:rPr>
        <w:t xml:space="preserve"> </w:t>
      </w:r>
      <w:r>
        <w:rPr>
          <w:rFonts w:ascii="仿宋" w:hAnsi="仿宋" w:eastAsia="仿宋" w:cs="仿宋"/>
          <w:color w:val="auto"/>
          <w:spacing w:val="-7"/>
          <w:sz w:val="24"/>
          <w:szCs w:val="24"/>
        </w:rPr>
        <w:t>如实填列在偏离表中。投标人不如实填写偏离情况、存在弄虚作假行为的，可能承担响应</w:t>
      </w:r>
      <w:r>
        <w:rPr>
          <w:rFonts w:ascii="仿宋" w:hAnsi="仿宋" w:eastAsia="仿宋" w:cs="仿宋"/>
          <w:color w:val="auto"/>
          <w:spacing w:val="14"/>
          <w:sz w:val="24"/>
          <w:szCs w:val="24"/>
        </w:rPr>
        <w:t xml:space="preserve"> </w:t>
      </w:r>
      <w:r>
        <w:rPr>
          <w:rFonts w:ascii="仿宋" w:hAnsi="仿宋" w:eastAsia="仿宋" w:cs="仿宋"/>
          <w:color w:val="auto"/>
          <w:spacing w:val="-5"/>
          <w:sz w:val="24"/>
          <w:szCs w:val="24"/>
        </w:rPr>
        <w:t>无效的后果。</w:t>
      </w:r>
    </w:p>
    <w:p w14:paraId="7C096B1E">
      <w:pPr>
        <w:spacing w:before="176" w:line="313" w:lineRule="auto"/>
        <w:ind w:left="67" w:right="170" w:firstLine="479"/>
        <w:rPr>
          <w:rFonts w:ascii="仿宋" w:hAnsi="仿宋" w:eastAsia="仿宋" w:cs="仿宋"/>
          <w:color w:val="auto"/>
          <w:sz w:val="24"/>
          <w:szCs w:val="24"/>
        </w:rPr>
      </w:pPr>
      <w:r>
        <w:rPr>
          <w:rFonts w:ascii="仿宋" w:hAnsi="仿宋" w:eastAsia="仿宋" w:cs="仿宋"/>
          <w:color w:val="auto"/>
          <w:spacing w:val="-4"/>
          <w:sz w:val="24"/>
          <w:szCs w:val="24"/>
        </w:rPr>
        <w:t>3、投标人应结合实际情况说明或描述其实际服务内容。如果完全复制粘贴本招标文</w:t>
      </w:r>
      <w:r>
        <w:rPr>
          <w:rFonts w:ascii="仿宋" w:hAnsi="仿宋" w:eastAsia="仿宋" w:cs="仿宋"/>
          <w:color w:val="auto"/>
          <w:spacing w:val="11"/>
          <w:sz w:val="24"/>
          <w:szCs w:val="24"/>
        </w:rPr>
        <w:t xml:space="preserve"> </w:t>
      </w:r>
      <w:r>
        <w:rPr>
          <w:rFonts w:ascii="仿宋" w:hAnsi="仿宋" w:eastAsia="仿宋" w:cs="仿宋"/>
          <w:color w:val="auto"/>
          <w:spacing w:val="-20"/>
          <w:sz w:val="24"/>
          <w:szCs w:val="24"/>
        </w:rPr>
        <w:t>件之服务要求，或者只注明“符合</w:t>
      </w:r>
      <w:r>
        <w:rPr>
          <w:rFonts w:ascii="仿宋" w:hAnsi="仿宋" w:eastAsia="仿宋" w:cs="仿宋"/>
          <w:color w:val="auto"/>
          <w:spacing w:val="-91"/>
          <w:sz w:val="24"/>
          <w:szCs w:val="24"/>
        </w:rPr>
        <w:t xml:space="preserve"> </w:t>
      </w:r>
      <w:r>
        <w:rPr>
          <w:rFonts w:ascii="仿宋" w:hAnsi="仿宋" w:eastAsia="仿宋" w:cs="仿宋"/>
          <w:color w:val="auto"/>
          <w:spacing w:val="-20"/>
          <w:sz w:val="24"/>
          <w:szCs w:val="24"/>
        </w:rPr>
        <w:t>”、“满足</w:t>
      </w:r>
      <w:r>
        <w:rPr>
          <w:rFonts w:ascii="仿宋" w:hAnsi="仿宋" w:eastAsia="仿宋" w:cs="仿宋"/>
          <w:color w:val="auto"/>
          <w:spacing w:val="-93"/>
          <w:sz w:val="24"/>
          <w:szCs w:val="24"/>
        </w:rPr>
        <w:t xml:space="preserve"> </w:t>
      </w:r>
      <w:r>
        <w:rPr>
          <w:rFonts w:ascii="仿宋" w:hAnsi="仿宋" w:eastAsia="仿宋" w:cs="仿宋"/>
          <w:color w:val="auto"/>
          <w:spacing w:val="-20"/>
          <w:sz w:val="24"/>
          <w:szCs w:val="24"/>
        </w:rPr>
        <w:t>”、“响应</w:t>
      </w:r>
      <w:r>
        <w:rPr>
          <w:rFonts w:ascii="仿宋" w:hAnsi="仿宋" w:eastAsia="仿宋" w:cs="仿宋"/>
          <w:color w:val="auto"/>
          <w:spacing w:val="-93"/>
          <w:sz w:val="24"/>
          <w:szCs w:val="24"/>
        </w:rPr>
        <w:t xml:space="preserve"> </w:t>
      </w:r>
      <w:r>
        <w:rPr>
          <w:rFonts w:ascii="仿宋" w:hAnsi="仿宋" w:eastAsia="仿宋" w:cs="仿宋"/>
          <w:color w:val="auto"/>
          <w:spacing w:val="-20"/>
          <w:sz w:val="24"/>
          <w:szCs w:val="24"/>
        </w:rPr>
        <w:t>”等类似无具体内容的表述，可能承</w:t>
      </w:r>
      <w:r>
        <w:rPr>
          <w:rFonts w:ascii="仿宋" w:hAnsi="仿宋" w:eastAsia="仿宋" w:cs="仿宋"/>
          <w:color w:val="auto"/>
          <w:sz w:val="24"/>
          <w:szCs w:val="24"/>
        </w:rPr>
        <w:t xml:space="preserve"> </w:t>
      </w:r>
      <w:r>
        <w:rPr>
          <w:rFonts w:ascii="仿宋" w:hAnsi="仿宋" w:eastAsia="仿宋" w:cs="仿宋"/>
          <w:color w:val="auto"/>
          <w:spacing w:val="-5"/>
          <w:sz w:val="24"/>
          <w:szCs w:val="24"/>
        </w:rPr>
        <w:t>担响应无效的后果。</w:t>
      </w:r>
    </w:p>
    <w:p w14:paraId="5C888001">
      <w:pPr>
        <w:spacing w:before="176" w:line="221" w:lineRule="auto"/>
        <w:ind w:left="478"/>
        <w:rPr>
          <w:rFonts w:ascii="仿宋" w:hAnsi="仿宋" w:eastAsia="仿宋" w:cs="仿宋"/>
          <w:color w:val="auto"/>
          <w:sz w:val="24"/>
          <w:szCs w:val="24"/>
        </w:rPr>
      </w:pPr>
      <w:r>
        <w:rPr>
          <w:rFonts w:ascii="仿宋" w:hAnsi="仿宋" w:eastAsia="仿宋" w:cs="仿宋"/>
          <w:color w:val="auto"/>
          <w:spacing w:val="-4"/>
          <w:sz w:val="24"/>
          <w:szCs w:val="24"/>
        </w:rPr>
        <w:t>4、投标人可根据需要自行增减表格行数。</w:t>
      </w:r>
    </w:p>
    <w:p w14:paraId="30055446">
      <w:pPr>
        <w:spacing w:line="221" w:lineRule="auto"/>
        <w:rPr>
          <w:rFonts w:ascii="仿宋" w:hAnsi="仿宋" w:eastAsia="仿宋" w:cs="仿宋"/>
          <w:color w:val="auto"/>
          <w:sz w:val="24"/>
          <w:szCs w:val="24"/>
        </w:rPr>
        <w:sectPr>
          <w:headerReference r:id="rId69" w:type="default"/>
          <w:footerReference r:id="rId70" w:type="default"/>
          <w:pgSz w:w="11906" w:h="16839"/>
          <w:pgMar w:top="999" w:right="1197" w:bottom="844" w:left="1367" w:header="698" w:footer="682" w:gutter="0"/>
          <w:pgNumType w:fmt="decimal"/>
          <w:cols w:space="720" w:num="1"/>
        </w:sectPr>
      </w:pPr>
    </w:p>
    <w:p w14:paraId="51C18BD0">
      <w:pPr>
        <w:pStyle w:val="3"/>
        <w:spacing w:line="418" w:lineRule="auto"/>
        <w:rPr>
          <w:color w:val="auto"/>
        </w:rPr>
      </w:pPr>
    </w:p>
    <w:p w14:paraId="612C7B2A">
      <w:pPr>
        <w:spacing w:before="91" w:line="219" w:lineRule="auto"/>
        <w:ind w:left="401"/>
        <w:rPr>
          <w:rFonts w:ascii="宋体" w:hAnsi="宋体" w:eastAsia="宋体" w:cs="宋体"/>
          <w:color w:val="auto"/>
          <w:sz w:val="28"/>
          <w:szCs w:val="28"/>
        </w:rPr>
      </w:pPr>
      <w:r>
        <w:rPr>
          <w:rFonts w:ascii="宋体" w:hAnsi="宋体" w:eastAsia="宋体" w:cs="宋体"/>
          <w:b/>
          <w:bCs/>
          <w:color w:val="auto"/>
          <w:spacing w:val="-25"/>
          <w:sz w:val="28"/>
          <w:szCs w:val="28"/>
        </w:rPr>
        <w:t>附件8:商务要求响应与偏差表</w:t>
      </w:r>
    </w:p>
    <w:p w14:paraId="7EC8C1CB">
      <w:pPr>
        <w:spacing w:before="133" w:line="223" w:lineRule="auto"/>
        <w:ind w:left="3572"/>
        <w:rPr>
          <w:rFonts w:ascii="仿宋" w:hAnsi="仿宋" w:eastAsia="仿宋" w:cs="仿宋"/>
          <w:color w:val="auto"/>
          <w:sz w:val="28"/>
          <w:szCs w:val="28"/>
        </w:rPr>
      </w:pPr>
      <w:r>
        <w:rPr>
          <w:rFonts w:ascii="仿宋" w:hAnsi="仿宋" w:eastAsia="仿宋" w:cs="仿宋"/>
          <w:color w:val="auto"/>
          <w:spacing w:val="-6"/>
          <w:sz w:val="28"/>
          <w:szCs w:val="28"/>
        </w:rPr>
        <w:t>商务要求响应与偏差表</w:t>
      </w:r>
    </w:p>
    <w:p w14:paraId="52923064">
      <w:pPr>
        <w:spacing w:line="34" w:lineRule="exact"/>
        <w:rPr>
          <w:color w:val="auto"/>
        </w:rPr>
      </w:pPr>
    </w:p>
    <w:tbl>
      <w:tblPr>
        <w:tblStyle w:val="10"/>
        <w:tblW w:w="99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3032"/>
        <w:gridCol w:w="2642"/>
        <w:gridCol w:w="2642"/>
        <w:gridCol w:w="976"/>
      </w:tblGrid>
      <w:tr w14:paraId="338E0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679" w:type="dxa"/>
            <w:vAlign w:val="top"/>
          </w:tcPr>
          <w:p w14:paraId="46084D5B">
            <w:pPr>
              <w:pStyle w:val="11"/>
              <w:spacing w:before="240" w:line="231" w:lineRule="auto"/>
              <w:ind w:left="122"/>
              <w:rPr>
                <w:color w:val="auto"/>
              </w:rPr>
            </w:pPr>
            <w:r>
              <w:rPr>
                <w:color w:val="auto"/>
                <w:spacing w:val="-3"/>
              </w:rPr>
              <w:t>序号</w:t>
            </w:r>
          </w:p>
        </w:tc>
        <w:tc>
          <w:tcPr>
            <w:tcW w:w="3032" w:type="dxa"/>
            <w:vAlign w:val="top"/>
          </w:tcPr>
          <w:p w14:paraId="35EB435E">
            <w:pPr>
              <w:pStyle w:val="11"/>
              <w:spacing w:before="240" w:line="231" w:lineRule="auto"/>
              <w:ind w:left="630"/>
              <w:rPr>
                <w:color w:val="auto"/>
              </w:rPr>
            </w:pPr>
            <w:r>
              <w:rPr>
                <w:color w:val="auto"/>
                <w:spacing w:val="-18"/>
              </w:rPr>
              <w:t>招标文件商务要求条款</w:t>
            </w:r>
          </w:p>
        </w:tc>
        <w:tc>
          <w:tcPr>
            <w:tcW w:w="2642" w:type="dxa"/>
            <w:vAlign w:val="top"/>
          </w:tcPr>
          <w:p w14:paraId="2550D307">
            <w:pPr>
              <w:pStyle w:val="11"/>
              <w:spacing w:before="240" w:line="231" w:lineRule="auto"/>
              <w:ind w:left="118"/>
              <w:rPr>
                <w:color w:val="auto"/>
              </w:rPr>
            </w:pPr>
            <w:r>
              <w:rPr>
                <w:color w:val="auto"/>
                <w:spacing w:val="-18"/>
              </w:rPr>
              <w:t>招标文件商务要求内容</w:t>
            </w:r>
          </w:p>
        </w:tc>
        <w:tc>
          <w:tcPr>
            <w:tcW w:w="2642" w:type="dxa"/>
            <w:vAlign w:val="top"/>
          </w:tcPr>
          <w:p w14:paraId="21653B4B">
            <w:pPr>
              <w:pStyle w:val="11"/>
              <w:spacing w:before="240" w:line="231" w:lineRule="auto"/>
              <w:ind w:left="119"/>
              <w:rPr>
                <w:color w:val="auto"/>
              </w:rPr>
            </w:pPr>
            <w:r>
              <w:rPr>
                <w:color w:val="auto"/>
                <w:spacing w:val="-18"/>
              </w:rPr>
              <w:t>投标人响应具体内容</w:t>
            </w:r>
          </w:p>
        </w:tc>
        <w:tc>
          <w:tcPr>
            <w:tcW w:w="976" w:type="dxa"/>
            <w:vAlign w:val="top"/>
          </w:tcPr>
          <w:p w14:paraId="143C3ACD">
            <w:pPr>
              <w:pStyle w:val="11"/>
              <w:spacing w:before="240" w:line="232" w:lineRule="auto"/>
              <w:ind w:left="121"/>
              <w:rPr>
                <w:color w:val="auto"/>
              </w:rPr>
            </w:pPr>
            <w:r>
              <w:rPr>
                <w:color w:val="auto"/>
                <w:spacing w:val="-13"/>
              </w:rPr>
              <w:t>偏差说明</w:t>
            </w:r>
          </w:p>
        </w:tc>
      </w:tr>
      <w:tr w14:paraId="477E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679" w:type="dxa"/>
            <w:vAlign w:val="top"/>
          </w:tcPr>
          <w:p w14:paraId="3A29774A">
            <w:pPr>
              <w:pStyle w:val="11"/>
              <w:spacing w:before="273" w:line="187" w:lineRule="auto"/>
              <w:ind w:left="316"/>
              <w:rPr>
                <w:color w:val="auto"/>
              </w:rPr>
            </w:pPr>
            <w:r>
              <w:rPr>
                <w:color w:val="auto"/>
              </w:rPr>
              <w:t>1</w:t>
            </w:r>
          </w:p>
        </w:tc>
        <w:tc>
          <w:tcPr>
            <w:tcW w:w="3032" w:type="dxa"/>
            <w:vAlign w:val="top"/>
          </w:tcPr>
          <w:p w14:paraId="37777F24">
            <w:pPr>
              <w:pStyle w:val="11"/>
              <w:spacing w:before="238" w:line="231" w:lineRule="auto"/>
              <w:ind w:left="117"/>
              <w:rPr>
                <w:color w:val="auto"/>
              </w:rPr>
            </w:pPr>
            <w:r>
              <w:rPr>
                <w:color w:val="auto"/>
                <w:spacing w:val="-12"/>
              </w:rPr>
              <w:t>服务期；</w:t>
            </w:r>
          </w:p>
        </w:tc>
        <w:tc>
          <w:tcPr>
            <w:tcW w:w="2642" w:type="dxa"/>
            <w:vAlign w:val="top"/>
          </w:tcPr>
          <w:p w14:paraId="7BA813C8">
            <w:pPr>
              <w:rPr>
                <w:rFonts w:ascii="Arial"/>
                <w:color w:val="auto"/>
                <w:sz w:val="21"/>
              </w:rPr>
            </w:pPr>
          </w:p>
        </w:tc>
        <w:tc>
          <w:tcPr>
            <w:tcW w:w="2642" w:type="dxa"/>
            <w:vAlign w:val="top"/>
          </w:tcPr>
          <w:p w14:paraId="66AD714D">
            <w:pPr>
              <w:rPr>
                <w:rFonts w:ascii="Arial"/>
                <w:color w:val="auto"/>
                <w:sz w:val="21"/>
              </w:rPr>
            </w:pPr>
          </w:p>
        </w:tc>
        <w:tc>
          <w:tcPr>
            <w:tcW w:w="976" w:type="dxa"/>
            <w:vAlign w:val="top"/>
          </w:tcPr>
          <w:p w14:paraId="5C747EDE">
            <w:pPr>
              <w:rPr>
                <w:rFonts w:ascii="Arial"/>
                <w:color w:val="auto"/>
                <w:sz w:val="21"/>
              </w:rPr>
            </w:pPr>
          </w:p>
        </w:tc>
      </w:tr>
      <w:tr w14:paraId="157B7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679" w:type="dxa"/>
            <w:vAlign w:val="top"/>
          </w:tcPr>
          <w:p w14:paraId="7128ED8A">
            <w:pPr>
              <w:pStyle w:val="11"/>
              <w:spacing w:before="274" w:line="186" w:lineRule="auto"/>
              <w:ind w:left="303"/>
              <w:rPr>
                <w:color w:val="auto"/>
              </w:rPr>
            </w:pPr>
            <w:r>
              <w:rPr>
                <w:color w:val="auto"/>
              </w:rPr>
              <w:t>2</w:t>
            </w:r>
          </w:p>
        </w:tc>
        <w:tc>
          <w:tcPr>
            <w:tcW w:w="3032" w:type="dxa"/>
            <w:vAlign w:val="top"/>
          </w:tcPr>
          <w:p w14:paraId="1C66DD23">
            <w:pPr>
              <w:pStyle w:val="11"/>
              <w:spacing w:before="238" w:line="231" w:lineRule="auto"/>
              <w:ind w:left="117"/>
              <w:rPr>
                <w:color w:val="auto"/>
              </w:rPr>
            </w:pPr>
            <w:r>
              <w:rPr>
                <w:color w:val="auto"/>
                <w:spacing w:val="-14"/>
              </w:rPr>
              <w:t>付款方式；</w:t>
            </w:r>
          </w:p>
        </w:tc>
        <w:tc>
          <w:tcPr>
            <w:tcW w:w="2642" w:type="dxa"/>
            <w:vAlign w:val="top"/>
          </w:tcPr>
          <w:p w14:paraId="2B629E34">
            <w:pPr>
              <w:rPr>
                <w:rFonts w:ascii="Arial"/>
                <w:color w:val="auto"/>
                <w:sz w:val="21"/>
              </w:rPr>
            </w:pPr>
          </w:p>
        </w:tc>
        <w:tc>
          <w:tcPr>
            <w:tcW w:w="2642" w:type="dxa"/>
            <w:vAlign w:val="top"/>
          </w:tcPr>
          <w:p w14:paraId="4B9C05CB">
            <w:pPr>
              <w:rPr>
                <w:rFonts w:ascii="Arial"/>
                <w:color w:val="auto"/>
                <w:sz w:val="21"/>
              </w:rPr>
            </w:pPr>
          </w:p>
        </w:tc>
        <w:tc>
          <w:tcPr>
            <w:tcW w:w="976" w:type="dxa"/>
            <w:vAlign w:val="top"/>
          </w:tcPr>
          <w:p w14:paraId="3A74470D">
            <w:pPr>
              <w:rPr>
                <w:rFonts w:ascii="Arial"/>
                <w:color w:val="auto"/>
                <w:sz w:val="21"/>
              </w:rPr>
            </w:pPr>
          </w:p>
        </w:tc>
      </w:tr>
      <w:tr w14:paraId="282A3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679" w:type="dxa"/>
            <w:vAlign w:val="top"/>
          </w:tcPr>
          <w:p w14:paraId="39FE71FD">
            <w:pPr>
              <w:pStyle w:val="11"/>
              <w:spacing w:before="238" w:line="329" w:lineRule="exact"/>
              <w:ind w:left="262"/>
              <w:rPr>
                <w:color w:val="auto"/>
              </w:rPr>
            </w:pPr>
            <w:r>
              <w:rPr>
                <w:color w:val="auto"/>
                <w:position w:val="3"/>
              </w:rPr>
              <w:t>…</w:t>
            </w:r>
          </w:p>
        </w:tc>
        <w:tc>
          <w:tcPr>
            <w:tcW w:w="3032" w:type="dxa"/>
            <w:vAlign w:val="top"/>
          </w:tcPr>
          <w:p w14:paraId="5E4528B5">
            <w:pPr>
              <w:rPr>
                <w:rFonts w:ascii="Arial"/>
                <w:color w:val="auto"/>
                <w:sz w:val="21"/>
              </w:rPr>
            </w:pPr>
          </w:p>
        </w:tc>
        <w:tc>
          <w:tcPr>
            <w:tcW w:w="2642" w:type="dxa"/>
            <w:vAlign w:val="top"/>
          </w:tcPr>
          <w:p w14:paraId="40DA892C">
            <w:pPr>
              <w:rPr>
                <w:rFonts w:ascii="Arial"/>
                <w:color w:val="auto"/>
                <w:sz w:val="21"/>
              </w:rPr>
            </w:pPr>
          </w:p>
        </w:tc>
        <w:tc>
          <w:tcPr>
            <w:tcW w:w="2642" w:type="dxa"/>
            <w:vAlign w:val="top"/>
          </w:tcPr>
          <w:p w14:paraId="1FA2B359">
            <w:pPr>
              <w:rPr>
                <w:rFonts w:ascii="Arial"/>
                <w:color w:val="auto"/>
                <w:sz w:val="21"/>
              </w:rPr>
            </w:pPr>
          </w:p>
        </w:tc>
        <w:tc>
          <w:tcPr>
            <w:tcW w:w="976" w:type="dxa"/>
            <w:vAlign w:val="top"/>
          </w:tcPr>
          <w:p w14:paraId="36253DBC">
            <w:pPr>
              <w:rPr>
                <w:rFonts w:ascii="Arial"/>
                <w:color w:val="auto"/>
                <w:sz w:val="21"/>
              </w:rPr>
            </w:pPr>
          </w:p>
        </w:tc>
      </w:tr>
      <w:tr w14:paraId="5E214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679" w:type="dxa"/>
            <w:vAlign w:val="top"/>
          </w:tcPr>
          <w:p w14:paraId="1CFAEDEB">
            <w:pPr>
              <w:pStyle w:val="11"/>
              <w:spacing w:before="241" w:line="328" w:lineRule="exact"/>
              <w:ind w:left="262"/>
              <w:rPr>
                <w:color w:val="auto"/>
              </w:rPr>
            </w:pPr>
            <w:r>
              <w:rPr>
                <w:color w:val="auto"/>
                <w:position w:val="3"/>
              </w:rPr>
              <w:t>…</w:t>
            </w:r>
          </w:p>
        </w:tc>
        <w:tc>
          <w:tcPr>
            <w:tcW w:w="3032" w:type="dxa"/>
            <w:vAlign w:val="top"/>
          </w:tcPr>
          <w:p w14:paraId="15113C85">
            <w:pPr>
              <w:rPr>
                <w:rFonts w:ascii="Arial"/>
                <w:color w:val="auto"/>
                <w:sz w:val="21"/>
              </w:rPr>
            </w:pPr>
          </w:p>
        </w:tc>
        <w:tc>
          <w:tcPr>
            <w:tcW w:w="2642" w:type="dxa"/>
            <w:vAlign w:val="top"/>
          </w:tcPr>
          <w:p w14:paraId="4C95D4BE">
            <w:pPr>
              <w:rPr>
                <w:rFonts w:ascii="Arial"/>
                <w:color w:val="auto"/>
                <w:sz w:val="21"/>
              </w:rPr>
            </w:pPr>
          </w:p>
        </w:tc>
        <w:tc>
          <w:tcPr>
            <w:tcW w:w="2642" w:type="dxa"/>
            <w:vAlign w:val="top"/>
          </w:tcPr>
          <w:p w14:paraId="12218662">
            <w:pPr>
              <w:rPr>
                <w:rFonts w:ascii="Arial"/>
                <w:color w:val="auto"/>
                <w:sz w:val="21"/>
              </w:rPr>
            </w:pPr>
          </w:p>
        </w:tc>
        <w:tc>
          <w:tcPr>
            <w:tcW w:w="976" w:type="dxa"/>
            <w:vAlign w:val="top"/>
          </w:tcPr>
          <w:p w14:paraId="613BF36A">
            <w:pPr>
              <w:rPr>
                <w:rFonts w:ascii="Arial"/>
                <w:color w:val="auto"/>
                <w:sz w:val="21"/>
              </w:rPr>
            </w:pPr>
          </w:p>
        </w:tc>
      </w:tr>
      <w:tr w14:paraId="2351E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679" w:type="dxa"/>
            <w:vAlign w:val="top"/>
          </w:tcPr>
          <w:p w14:paraId="3816406C">
            <w:pPr>
              <w:rPr>
                <w:rFonts w:ascii="Arial"/>
                <w:color w:val="auto"/>
                <w:sz w:val="21"/>
              </w:rPr>
            </w:pPr>
          </w:p>
        </w:tc>
        <w:tc>
          <w:tcPr>
            <w:tcW w:w="3032" w:type="dxa"/>
            <w:vAlign w:val="top"/>
          </w:tcPr>
          <w:p w14:paraId="1A5B7387">
            <w:pPr>
              <w:rPr>
                <w:rFonts w:ascii="Arial"/>
                <w:color w:val="auto"/>
                <w:sz w:val="21"/>
              </w:rPr>
            </w:pPr>
          </w:p>
        </w:tc>
        <w:tc>
          <w:tcPr>
            <w:tcW w:w="2642" w:type="dxa"/>
            <w:vAlign w:val="top"/>
          </w:tcPr>
          <w:p w14:paraId="6BC2BD7B">
            <w:pPr>
              <w:rPr>
                <w:rFonts w:ascii="Arial"/>
                <w:color w:val="auto"/>
                <w:sz w:val="21"/>
              </w:rPr>
            </w:pPr>
          </w:p>
        </w:tc>
        <w:tc>
          <w:tcPr>
            <w:tcW w:w="2642" w:type="dxa"/>
            <w:vAlign w:val="top"/>
          </w:tcPr>
          <w:p w14:paraId="5855BB88">
            <w:pPr>
              <w:rPr>
                <w:rFonts w:ascii="Arial"/>
                <w:color w:val="auto"/>
                <w:sz w:val="21"/>
              </w:rPr>
            </w:pPr>
          </w:p>
        </w:tc>
        <w:tc>
          <w:tcPr>
            <w:tcW w:w="976" w:type="dxa"/>
            <w:vAlign w:val="top"/>
          </w:tcPr>
          <w:p w14:paraId="6AB16D01">
            <w:pPr>
              <w:rPr>
                <w:rFonts w:ascii="Arial"/>
                <w:color w:val="auto"/>
                <w:sz w:val="21"/>
              </w:rPr>
            </w:pPr>
          </w:p>
        </w:tc>
      </w:tr>
    </w:tbl>
    <w:p w14:paraId="1DBAE241">
      <w:pPr>
        <w:pStyle w:val="3"/>
        <w:rPr>
          <w:color w:val="auto"/>
        </w:rPr>
      </w:pPr>
    </w:p>
    <w:p w14:paraId="615C3245">
      <w:pPr>
        <w:pStyle w:val="3"/>
        <w:spacing w:line="241" w:lineRule="auto"/>
        <w:rPr>
          <w:color w:val="auto"/>
        </w:rPr>
      </w:pPr>
    </w:p>
    <w:p w14:paraId="53F20877">
      <w:pPr>
        <w:pStyle w:val="3"/>
        <w:spacing w:line="241" w:lineRule="auto"/>
        <w:rPr>
          <w:color w:val="auto"/>
        </w:rPr>
      </w:pPr>
    </w:p>
    <w:p w14:paraId="150BBFD6">
      <w:pPr>
        <w:pStyle w:val="3"/>
        <w:spacing w:line="241" w:lineRule="auto"/>
        <w:rPr>
          <w:color w:val="auto"/>
        </w:rPr>
      </w:pPr>
    </w:p>
    <w:p w14:paraId="4ED2BFA1">
      <w:pPr>
        <w:spacing w:before="78" w:line="221" w:lineRule="auto"/>
        <w:ind w:left="383"/>
        <w:rPr>
          <w:rFonts w:ascii="仿宋" w:hAnsi="仿宋" w:eastAsia="仿宋" w:cs="仿宋"/>
          <w:color w:val="auto"/>
          <w:sz w:val="24"/>
          <w:szCs w:val="24"/>
        </w:rPr>
      </w:pPr>
      <w:r>
        <w:rPr>
          <w:rFonts w:ascii="仿宋" w:hAnsi="仿宋" w:eastAsia="仿宋" w:cs="仿宋"/>
          <w:color w:val="auto"/>
          <w:spacing w:val="-30"/>
          <w:sz w:val="24"/>
          <w:szCs w:val="24"/>
        </w:rPr>
        <w:t>投标人保证：除本表列出的商务偏差外，投标人响应招标文件的全部商务要求。</w:t>
      </w:r>
    </w:p>
    <w:p w14:paraId="5177A612">
      <w:pPr>
        <w:pStyle w:val="3"/>
        <w:spacing w:line="256" w:lineRule="auto"/>
        <w:rPr>
          <w:color w:val="auto"/>
        </w:rPr>
      </w:pPr>
    </w:p>
    <w:p w14:paraId="5F87228F">
      <w:pPr>
        <w:pStyle w:val="3"/>
        <w:spacing w:line="256" w:lineRule="auto"/>
        <w:rPr>
          <w:color w:val="auto"/>
        </w:rPr>
      </w:pPr>
    </w:p>
    <w:p w14:paraId="298C74DA">
      <w:pPr>
        <w:pStyle w:val="3"/>
        <w:spacing w:line="256" w:lineRule="auto"/>
        <w:rPr>
          <w:color w:val="auto"/>
        </w:rPr>
      </w:pPr>
    </w:p>
    <w:p w14:paraId="1FC0D6AA">
      <w:pPr>
        <w:pStyle w:val="3"/>
        <w:spacing w:line="257" w:lineRule="auto"/>
        <w:rPr>
          <w:color w:val="auto"/>
        </w:rPr>
      </w:pPr>
    </w:p>
    <w:p w14:paraId="4B672822">
      <w:pPr>
        <w:spacing w:before="78" w:line="222" w:lineRule="auto"/>
        <w:ind w:left="383"/>
        <w:rPr>
          <w:rFonts w:ascii="仿宋" w:hAnsi="仿宋" w:eastAsia="仿宋" w:cs="仿宋"/>
          <w:color w:val="auto"/>
          <w:sz w:val="24"/>
          <w:szCs w:val="24"/>
        </w:rPr>
      </w:pPr>
      <w:r>
        <w:rPr>
          <w:rFonts w:ascii="仿宋" w:hAnsi="仿宋" w:eastAsia="仿宋" w:cs="仿宋"/>
          <w:color w:val="auto"/>
          <w:spacing w:val="-30"/>
          <w:sz w:val="24"/>
          <w:szCs w:val="24"/>
        </w:rPr>
        <w:t>投标人（企业电子章</w:t>
      </w:r>
      <w:r>
        <w:rPr>
          <w:rFonts w:ascii="仿宋" w:hAnsi="仿宋" w:eastAsia="仿宋" w:cs="仿宋"/>
          <w:color w:val="auto"/>
          <w:spacing w:val="-62"/>
          <w:w w:val="91"/>
          <w:sz w:val="24"/>
          <w:szCs w:val="24"/>
        </w:rPr>
        <w:t>）：</w:t>
      </w:r>
    </w:p>
    <w:p w14:paraId="4167D0EF">
      <w:pPr>
        <w:pStyle w:val="3"/>
        <w:spacing w:line="256" w:lineRule="auto"/>
        <w:rPr>
          <w:color w:val="auto"/>
        </w:rPr>
      </w:pPr>
    </w:p>
    <w:p w14:paraId="77FB3F6B">
      <w:pPr>
        <w:pStyle w:val="3"/>
        <w:spacing w:line="256" w:lineRule="auto"/>
        <w:rPr>
          <w:color w:val="auto"/>
        </w:rPr>
      </w:pPr>
    </w:p>
    <w:p w14:paraId="71D05125">
      <w:pPr>
        <w:pStyle w:val="3"/>
        <w:spacing w:line="257" w:lineRule="auto"/>
        <w:rPr>
          <w:color w:val="auto"/>
        </w:rPr>
      </w:pPr>
    </w:p>
    <w:p w14:paraId="1C357CF9">
      <w:pPr>
        <w:pStyle w:val="3"/>
        <w:spacing w:line="257" w:lineRule="auto"/>
        <w:rPr>
          <w:color w:val="auto"/>
        </w:rPr>
      </w:pPr>
    </w:p>
    <w:p w14:paraId="4AEF9EC6">
      <w:pPr>
        <w:spacing w:before="78" w:line="230" w:lineRule="auto"/>
        <w:ind w:left="390"/>
        <w:rPr>
          <w:rFonts w:ascii="仿宋" w:hAnsi="仿宋" w:eastAsia="仿宋" w:cs="仿宋"/>
          <w:color w:val="auto"/>
          <w:sz w:val="24"/>
          <w:szCs w:val="24"/>
        </w:rPr>
      </w:pPr>
      <w:r>
        <w:rPr>
          <w:rFonts w:ascii="仿宋" w:hAnsi="仿宋" w:eastAsia="仿宋" w:cs="仿宋"/>
          <w:color w:val="auto"/>
          <w:spacing w:val="-12"/>
          <w:sz w:val="24"/>
          <w:szCs w:val="24"/>
        </w:rPr>
        <w:t>注：</w:t>
      </w:r>
    </w:p>
    <w:p w14:paraId="611830F0">
      <w:pPr>
        <w:spacing w:before="166" w:line="221" w:lineRule="auto"/>
        <w:ind w:left="876"/>
        <w:rPr>
          <w:rFonts w:ascii="仿宋" w:hAnsi="仿宋" w:eastAsia="仿宋" w:cs="仿宋"/>
          <w:color w:val="auto"/>
          <w:sz w:val="24"/>
          <w:szCs w:val="24"/>
        </w:rPr>
      </w:pPr>
      <w:r>
        <w:rPr>
          <w:rFonts w:ascii="仿宋" w:hAnsi="仿宋" w:eastAsia="仿宋" w:cs="仿宋"/>
          <w:color w:val="auto"/>
          <w:spacing w:val="-4"/>
          <w:sz w:val="24"/>
          <w:szCs w:val="24"/>
        </w:rPr>
        <w:t>1、本表已列示的条款，投标人应根据招标要求逐条逐项表述说明投标响应情况。</w:t>
      </w:r>
    </w:p>
    <w:p w14:paraId="63273E21">
      <w:pPr>
        <w:spacing w:before="180" w:line="348" w:lineRule="auto"/>
        <w:ind w:left="385" w:right="486" w:firstLine="475"/>
        <w:jc w:val="both"/>
        <w:rPr>
          <w:rFonts w:ascii="仿宋" w:hAnsi="仿宋" w:eastAsia="仿宋" w:cs="仿宋"/>
          <w:color w:val="auto"/>
          <w:sz w:val="24"/>
          <w:szCs w:val="24"/>
        </w:rPr>
      </w:pPr>
      <w:r>
        <w:rPr>
          <w:rFonts w:ascii="仿宋" w:hAnsi="仿宋" w:eastAsia="仿宋" w:cs="仿宋"/>
          <w:color w:val="auto"/>
          <w:spacing w:val="-4"/>
          <w:sz w:val="24"/>
          <w:szCs w:val="24"/>
        </w:rPr>
        <w:t>2、投标人提交的投标文件中的服务响应与招标文件的服务要求不同时，应逐条逐项</w:t>
      </w:r>
      <w:r>
        <w:rPr>
          <w:rFonts w:ascii="仿宋" w:hAnsi="仿宋" w:eastAsia="仿宋" w:cs="仿宋"/>
          <w:color w:val="auto"/>
          <w:spacing w:val="15"/>
          <w:sz w:val="24"/>
          <w:szCs w:val="24"/>
        </w:rPr>
        <w:t xml:space="preserve"> </w:t>
      </w:r>
      <w:r>
        <w:rPr>
          <w:rFonts w:ascii="仿宋" w:hAnsi="仿宋" w:eastAsia="仿宋" w:cs="仿宋"/>
          <w:color w:val="auto"/>
          <w:spacing w:val="-7"/>
          <w:sz w:val="24"/>
          <w:szCs w:val="24"/>
        </w:rPr>
        <w:t>如实填列在偏离表中。投标人不如实填写偏离情况、存在弄虚作假行为的，可能承担响应</w:t>
      </w:r>
      <w:r>
        <w:rPr>
          <w:rFonts w:ascii="仿宋" w:hAnsi="仿宋" w:eastAsia="仿宋" w:cs="仿宋"/>
          <w:color w:val="auto"/>
          <w:spacing w:val="14"/>
          <w:sz w:val="24"/>
          <w:szCs w:val="24"/>
        </w:rPr>
        <w:t xml:space="preserve"> </w:t>
      </w:r>
      <w:r>
        <w:rPr>
          <w:rFonts w:ascii="仿宋" w:hAnsi="仿宋" w:eastAsia="仿宋" w:cs="仿宋"/>
          <w:color w:val="auto"/>
          <w:spacing w:val="-5"/>
          <w:sz w:val="24"/>
          <w:szCs w:val="24"/>
        </w:rPr>
        <w:t>无效的后果。</w:t>
      </w:r>
    </w:p>
    <w:p w14:paraId="1DE84C95">
      <w:pPr>
        <w:spacing w:before="39" w:line="349" w:lineRule="auto"/>
        <w:ind w:left="384" w:right="488" w:firstLine="479"/>
        <w:jc w:val="both"/>
        <w:rPr>
          <w:rFonts w:ascii="仿宋" w:hAnsi="仿宋" w:eastAsia="仿宋" w:cs="仿宋"/>
          <w:color w:val="auto"/>
          <w:sz w:val="24"/>
          <w:szCs w:val="24"/>
        </w:rPr>
      </w:pPr>
      <w:r>
        <w:rPr>
          <w:rFonts w:ascii="仿宋" w:hAnsi="仿宋" w:eastAsia="仿宋" w:cs="仿宋"/>
          <w:color w:val="auto"/>
          <w:spacing w:val="-4"/>
          <w:sz w:val="24"/>
          <w:szCs w:val="24"/>
        </w:rPr>
        <w:t>3、投标人应结合实际情况说明或描述其实际服务内容。如果完全复制粘贴本招标文</w:t>
      </w:r>
      <w:r>
        <w:rPr>
          <w:rFonts w:ascii="仿宋" w:hAnsi="仿宋" w:eastAsia="仿宋" w:cs="仿宋"/>
          <w:color w:val="auto"/>
          <w:spacing w:val="11"/>
          <w:sz w:val="24"/>
          <w:szCs w:val="24"/>
        </w:rPr>
        <w:t xml:space="preserve"> </w:t>
      </w:r>
      <w:r>
        <w:rPr>
          <w:rFonts w:ascii="仿宋" w:hAnsi="仿宋" w:eastAsia="仿宋" w:cs="仿宋"/>
          <w:color w:val="auto"/>
          <w:spacing w:val="-20"/>
          <w:sz w:val="24"/>
          <w:szCs w:val="24"/>
        </w:rPr>
        <w:t>件之服务要求，或者只注明“符合</w:t>
      </w:r>
      <w:r>
        <w:rPr>
          <w:rFonts w:ascii="仿宋" w:hAnsi="仿宋" w:eastAsia="仿宋" w:cs="仿宋"/>
          <w:color w:val="auto"/>
          <w:spacing w:val="-91"/>
          <w:sz w:val="24"/>
          <w:szCs w:val="24"/>
        </w:rPr>
        <w:t xml:space="preserve"> </w:t>
      </w:r>
      <w:r>
        <w:rPr>
          <w:rFonts w:ascii="仿宋" w:hAnsi="仿宋" w:eastAsia="仿宋" w:cs="仿宋"/>
          <w:color w:val="auto"/>
          <w:spacing w:val="-20"/>
          <w:sz w:val="24"/>
          <w:szCs w:val="24"/>
        </w:rPr>
        <w:t>”、“满足</w:t>
      </w:r>
      <w:r>
        <w:rPr>
          <w:rFonts w:ascii="仿宋" w:hAnsi="仿宋" w:eastAsia="仿宋" w:cs="仿宋"/>
          <w:color w:val="auto"/>
          <w:spacing w:val="-93"/>
          <w:sz w:val="24"/>
          <w:szCs w:val="24"/>
        </w:rPr>
        <w:t xml:space="preserve"> </w:t>
      </w:r>
      <w:r>
        <w:rPr>
          <w:rFonts w:ascii="仿宋" w:hAnsi="仿宋" w:eastAsia="仿宋" w:cs="仿宋"/>
          <w:color w:val="auto"/>
          <w:spacing w:val="-20"/>
          <w:sz w:val="24"/>
          <w:szCs w:val="24"/>
        </w:rPr>
        <w:t>”、“响应</w:t>
      </w:r>
      <w:r>
        <w:rPr>
          <w:rFonts w:ascii="仿宋" w:hAnsi="仿宋" w:eastAsia="仿宋" w:cs="仿宋"/>
          <w:color w:val="auto"/>
          <w:spacing w:val="-93"/>
          <w:sz w:val="24"/>
          <w:szCs w:val="24"/>
        </w:rPr>
        <w:t xml:space="preserve"> </w:t>
      </w:r>
      <w:r>
        <w:rPr>
          <w:rFonts w:ascii="仿宋" w:hAnsi="仿宋" w:eastAsia="仿宋" w:cs="仿宋"/>
          <w:color w:val="auto"/>
          <w:spacing w:val="-20"/>
          <w:sz w:val="24"/>
          <w:szCs w:val="24"/>
        </w:rPr>
        <w:t>”等类似无具体内容的表述，可能承</w:t>
      </w:r>
      <w:r>
        <w:rPr>
          <w:rFonts w:ascii="仿宋" w:hAnsi="仿宋" w:eastAsia="仿宋" w:cs="仿宋"/>
          <w:color w:val="auto"/>
          <w:sz w:val="24"/>
          <w:szCs w:val="24"/>
        </w:rPr>
        <w:t xml:space="preserve"> </w:t>
      </w:r>
      <w:r>
        <w:rPr>
          <w:rFonts w:ascii="仿宋" w:hAnsi="仿宋" w:eastAsia="仿宋" w:cs="仿宋"/>
          <w:color w:val="auto"/>
          <w:spacing w:val="-5"/>
          <w:sz w:val="24"/>
          <w:szCs w:val="24"/>
        </w:rPr>
        <w:t>担响应无效的后果。</w:t>
      </w:r>
    </w:p>
    <w:p w14:paraId="32D440E3">
      <w:pPr>
        <w:spacing w:before="37" w:line="221" w:lineRule="auto"/>
        <w:ind w:left="795"/>
        <w:rPr>
          <w:rFonts w:ascii="仿宋" w:hAnsi="仿宋" w:eastAsia="仿宋" w:cs="仿宋"/>
          <w:color w:val="auto"/>
          <w:sz w:val="24"/>
          <w:szCs w:val="24"/>
        </w:rPr>
      </w:pPr>
      <w:r>
        <w:rPr>
          <w:rFonts w:ascii="仿宋" w:hAnsi="仿宋" w:eastAsia="仿宋" w:cs="仿宋"/>
          <w:color w:val="auto"/>
          <w:spacing w:val="-4"/>
          <w:sz w:val="24"/>
          <w:szCs w:val="24"/>
        </w:rPr>
        <w:t>4、投标人可根据需要自行增减表格行数。</w:t>
      </w:r>
    </w:p>
    <w:p w14:paraId="45FF6ABB">
      <w:pPr>
        <w:spacing w:line="221" w:lineRule="auto"/>
        <w:rPr>
          <w:rFonts w:ascii="仿宋" w:hAnsi="仿宋" w:eastAsia="仿宋" w:cs="仿宋"/>
          <w:color w:val="auto"/>
          <w:sz w:val="24"/>
          <w:szCs w:val="24"/>
        </w:rPr>
        <w:sectPr>
          <w:headerReference r:id="rId71" w:type="default"/>
          <w:footerReference r:id="rId72" w:type="default"/>
          <w:pgSz w:w="11906" w:h="16839"/>
          <w:pgMar w:top="999" w:right="879" w:bottom="844" w:left="1050" w:header="698" w:footer="682" w:gutter="0"/>
          <w:pgNumType w:fmt="decimal"/>
          <w:cols w:space="720" w:num="1"/>
        </w:sectPr>
      </w:pPr>
    </w:p>
    <w:p w14:paraId="4C4986DF">
      <w:pPr>
        <w:pStyle w:val="3"/>
        <w:rPr>
          <w:color w:val="auto"/>
        </w:rPr>
      </w:pPr>
    </w:p>
    <w:p w14:paraId="1C8B314D">
      <w:pPr>
        <w:pStyle w:val="3"/>
        <w:spacing w:line="418" w:lineRule="auto"/>
        <w:rPr>
          <w:color w:val="auto"/>
        </w:rPr>
      </w:pPr>
    </w:p>
    <w:p w14:paraId="07A39C7B">
      <w:pPr>
        <w:spacing w:before="91" w:line="219" w:lineRule="auto"/>
        <w:ind w:left="33"/>
        <w:outlineLvl w:val="1"/>
        <w:rPr>
          <w:rFonts w:ascii="宋体" w:hAnsi="宋体" w:eastAsia="宋体" w:cs="宋体"/>
          <w:color w:val="auto"/>
          <w:sz w:val="28"/>
          <w:szCs w:val="28"/>
        </w:rPr>
      </w:pPr>
      <w:bookmarkStart w:id="30" w:name="_Toc22748"/>
      <w:r>
        <w:rPr>
          <w:rFonts w:ascii="宋体" w:hAnsi="宋体" w:eastAsia="宋体" w:cs="宋体"/>
          <w:b/>
          <w:bCs/>
          <w:color w:val="auto"/>
          <w:spacing w:val="-22"/>
          <w:sz w:val="28"/>
          <w:szCs w:val="28"/>
        </w:rPr>
        <w:t>附件9:项目实施方案</w:t>
      </w:r>
      <w:bookmarkEnd w:id="30"/>
    </w:p>
    <w:p w14:paraId="605A358F">
      <w:pPr>
        <w:spacing w:before="288" w:line="226" w:lineRule="auto"/>
        <w:ind w:left="3364"/>
        <w:rPr>
          <w:rFonts w:ascii="仿宋" w:hAnsi="仿宋" w:eastAsia="仿宋" w:cs="仿宋"/>
          <w:color w:val="auto"/>
          <w:sz w:val="43"/>
          <w:szCs w:val="43"/>
        </w:rPr>
      </w:pPr>
      <w:r>
        <w:rPr>
          <w:rFonts w:ascii="仿宋" w:hAnsi="仿宋" w:eastAsia="仿宋" w:cs="仿宋"/>
          <w:color w:val="auto"/>
          <w:spacing w:val="-18"/>
          <w:sz w:val="43"/>
          <w:szCs w:val="43"/>
        </w:rPr>
        <w:t>项目实施方案</w:t>
      </w:r>
    </w:p>
    <w:p w14:paraId="5BD3FB73">
      <w:pPr>
        <w:pStyle w:val="3"/>
        <w:spacing w:line="251" w:lineRule="auto"/>
        <w:rPr>
          <w:color w:val="auto"/>
        </w:rPr>
      </w:pPr>
    </w:p>
    <w:p w14:paraId="68B96C71">
      <w:pPr>
        <w:pStyle w:val="3"/>
        <w:spacing w:line="251" w:lineRule="auto"/>
        <w:rPr>
          <w:color w:val="auto"/>
        </w:rPr>
      </w:pPr>
    </w:p>
    <w:p w14:paraId="4F2B9D15">
      <w:pPr>
        <w:pStyle w:val="3"/>
        <w:spacing w:line="251" w:lineRule="auto"/>
        <w:rPr>
          <w:color w:val="auto"/>
        </w:rPr>
      </w:pPr>
    </w:p>
    <w:p w14:paraId="31B36340">
      <w:pPr>
        <w:pStyle w:val="3"/>
        <w:spacing w:line="251" w:lineRule="auto"/>
        <w:rPr>
          <w:color w:val="auto"/>
        </w:rPr>
      </w:pPr>
    </w:p>
    <w:p w14:paraId="413F8FB9">
      <w:pPr>
        <w:pStyle w:val="3"/>
        <w:spacing w:line="251" w:lineRule="auto"/>
        <w:rPr>
          <w:color w:val="auto"/>
        </w:rPr>
      </w:pPr>
    </w:p>
    <w:p w14:paraId="6A5CBA37">
      <w:pPr>
        <w:pStyle w:val="3"/>
        <w:spacing w:line="251" w:lineRule="auto"/>
        <w:rPr>
          <w:color w:val="auto"/>
        </w:rPr>
      </w:pPr>
    </w:p>
    <w:p w14:paraId="38D757E3">
      <w:pPr>
        <w:pStyle w:val="3"/>
        <w:spacing w:line="252" w:lineRule="auto"/>
        <w:rPr>
          <w:color w:val="auto"/>
        </w:rPr>
      </w:pPr>
    </w:p>
    <w:p w14:paraId="07C153DF">
      <w:pPr>
        <w:pStyle w:val="3"/>
        <w:spacing w:line="252" w:lineRule="auto"/>
        <w:rPr>
          <w:color w:val="auto"/>
        </w:rPr>
      </w:pPr>
    </w:p>
    <w:p w14:paraId="2332CE5F">
      <w:pPr>
        <w:spacing w:before="91" w:line="222" w:lineRule="auto"/>
        <w:ind w:left="514"/>
        <w:rPr>
          <w:rFonts w:ascii="仿宋" w:hAnsi="仿宋" w:eastAsia="仿宋" w:cs="仿宋"/>
          <w:color w:val="auto"/>
          <w:sz w:val="28"/>
          <w:szCs w:val="28"/>
        </w:rPr>
      </w:pPr>
      <w:r>
        <w:rPr>
          <w:rFonts w:ascii="仿宋" w:hAnsi="仿宋" w:eastAsia="仿宋" w:cs="仿宋"/>
          <w:color w:val="auto"/>
          <w:spacing w:val="-29"/>
          <w:sz w:val="28"/>
          <w:szCs w:val="28"/>
        </w:rPr>
        <w:t>投标人根据招标项目要求及自身情况自行填报。</w:t>
      </w:r>
    </w:p>
    <w:p w14:paraId="5F0FF0A7">
      <w:pPr>
        <w:spacing w:before="127" w:line="302" w:lineRule="auto"/>
        <w:ind w:left="6" w:right="68" w:firstLine="511"/>
        <w:rPr>
          <w:rFonts w:ascii="仿宋" w:hAnsi="仿宋" w:eastAsia="仿宋" w:cs="仿宋"/>
          <w:color w:val="auto"/>
          <w:sz w:val="28"/>
          <w:szCs w:val="28"/>
        </w:rPr>
      </w:pPr>
      <w:r>
        <w:rPr>
          <w:rFonts w:ascii="仿宋" w:hAnsi="仿宋" w:eastAsia="仿宋" w:cs="仿宋"/>
          <w:color w:val="auto"/>
          <w:spacing w:val="-33"/>
          <w:sz w:val="28"/>
          <w:szCs w:val="28"/>
        </w:rPr>
        <w:t>如本项目为暗标，则投标人需要严格按照暗标规则填报，具体的暗标规则详见：</w:t>
      </w:r>
      <w:r>
        <w:rPr>
          <w:rFonts w:ascii="仿宋" w:hAnsi="仿宋" w:eastAsia="仿宋" w:cs="仿宋"/>
          <w:color w:val="auto"/>
          <w:spacing w:val="8"/>
          <w:sz w:val="28"/>
          <w:szCs w:val="28"/>
        </w:rPr>
        <w:t xml:space="preserve"> </w:t>
      </w:r>
      <w:r>
        <w:rPr>
          <w:color w:val="auto"/>
        </w:rPr>
        <w:fldChar w:fldCharType="begin"/>
      </w:r>
      <w:r>
        <w:rPr>
          <w:color w:val="auto"/>
        </w:rPr>
        <w:instrText xml:space="preserve"> HYPERLINK "https://lyggzyjy.ly.gov.cn/bszn/005002/005002001/20240725/be3be1b7-8ffc-4" </w:instrText>
      </w:r>
      <w:r>
        <w:rPr>
          <w:color w:val="auto"/>
        </w:rPr>
        <w:fldChar w:fldCharType="separate"/>
      </w:r>
      <w:r>
        <w:rPr>
          <w:rFonts w:ascii="仿宋" w:hAnsi="仿宋" w:eastAsia="仿宋" w:cs="仿宋"/>
          <w:color w:val="auto"/>
          <w:spacing w:val="-15"/>
          <w:sz w:val="28"/>
          <w:szCs w:val="28"/>
        </w:rPr>
        <w:t>https://lyggzyjy.ly.gov.cn/bszn/005002/</w:t>
      </w:r>
      <w:r>
        <w:rPr>
          <w:rFonts w:ascii="仿宋" w:hAnsi="仿宋" w:eastAsia="仿宋" w:cs="仿宋"/>
          <w:color w:val="auto"/>
          <w:spacing w:val="-16"/>
          <w:sz w:val="28"/>
          <w:szCs w:val="28"/>
        </w:rPr>
        <w:t>005002001/20240725/be3be1b7-8ffc-4</w:t>
      </w:r>
      <w:r>
        <w:rPr>
          <w:rFonts w:ascii="仿宋" w:hAnsi="仿宋" w:eastAsia="仿宋" w:cs="仿宋"/>
          <w:color w:val="auto"/>
          <w:spacing w:val="-16"/>
          <w:sz w:val="28"/>
          <w:szCs w:val="28"/>
        </w:rPr>
        <w:fldChar w:fldCharType="end"/>
      </w:r>
      <w:r>
        <w:rPr>
          <w:rFonts w:ascii="仿宋" w:hAnsi="仿宋" w:eastAsia="仿宋" w:cs="仿宋"/>
          <w:color w:val="auto"/>
          <w:sz w:val="28"/>
          <w:szCs w:val="28"/>
        </w:rPr>
        <w:t xml:space="preserve"> </w:t>
      </w:r>
      <w:r>
        <w:rPr>
          <w:rFonts w:ascii="仿宋" w:hAnsi="仿宋" w:eastAsia="仿宋" w:cs="仿宋"/>
          <w:color w:val="auto"/>
          <w:spacing w:val="-15"/>
          <w:sz w:val="28"/>
          <w:szCs w:val="28"/>
        </w:rPr>
        <w:t>ee1-aa3f-f82f3b5cc33b.html。</w:t>
      </w:r>
    </w:p>
    <w:p w14:paraId="20E37757">
      <w:pPr>
        <w:spacing w:line="302" w:lineRule="auto"/>
        <w:rPr>
          <w:rFonts w:ascii="仿宋" w:hAnsi="仿宋" w:eastAsia="仿宋" w:cs="仿宋"/>
          <w:color w:val="auto"/>
          <w:sz w:val="28"/>
          <w:szCs w:val="28"/>
        </w:rPr>
        <w:sectPr>
          <w:headerReference r:id="rId73" w:type="default"/>
          <w:footerReference r:id="rId74" w:type="default"/>
          <w:pgSz w:w="11906" w:h="16839"/>
          <w:pgMar w:top="999" w:right="1246" w:bottom="844" w:left="1418" w:header="698" w:footer="682" w:gutter="0"/>
          <w:pgNumType w:fmt="decimal"/>
          <w:cols w:space="720" w:num="1"/>
        </w:sectPr>
      </w:pPr>
    </w:p>
    <w:p w14:paraId="2B283CEE">
      <w:pPr>
        <w:pStyle w:val="3"/>
        <w:spacing w:line="418" w:lineRule="auto"/>
        <w:rPr>
          <w:color w:val="auto"/>
        </w:rPr>
      </w:pPr>
    </w:p>
    <w:p w14:paraId="20942088">
      <w:pPr>
        <w:spacing w:before="91" w:line="219" w:lineRule="auto"/>
        <w:ind w:left="146"/>
        <w:rPr>
          <w:rFonts w:ascii="宋体" w:hAnsi="宋体" w:eastAsia="宋体" w:cs="宋体"/>
          <w:color w:val="auto"/>
          <w:sz w:val="28"/>
          <w:szCs w:val="28"/>
        </w:rPr>
      </w:pPr>
      <w:r>
        <w:rPr>
          <w:rFonts w:ascii="宋体" w:hAnsi="宋体" w:eastAsia="宋体" w:cs="宋体"/>
          <w:b/>
          <w:bCs/>
          <w:color w:val="auto"/>
          <w:spacing w:val="-20"/>
          <w:sz w:val="28"/>
          <w:szCs w:val="28"/>
        </w:rPr>
        <w:t>附件10:辅助资料表</w:t>
      </w:r>
    </w:p>
    <w:p w14:paraId="01AD5773">
      <w:pPr>
        <w:spacing w:before="132" w:line="221" w:lineRule="auto"/>
        <w:ind w:left="4015"/>
        <w:rPr>
          <w:rFonts w:ascii="仿宋" w:hAnsi="仿宋" w:eastAsia="仿宋" w:cs="仿宋"/>
          <w:color w:val="auto"/>
          <w:sz w:val="28"/>
          <w:szCs w:val="28"/>
        </w:rPr>
      </w:pPr>
      <w:r>
        <w:rPr>
          <w:rFonts w:ascii="仿宋" w:hAnsi="仿宋" w:eastAsia="仿宋" w:cs="仿宋"/>
          <w:color w:val="auto"/>
          <w:spacing w:val="-10"/>
          <w:sz w:val="28"/>
          <w:szCs w:val="28"/>
        </w:rPr>
        <w:t>辅助资料表</w:t>
      </w:r>
    </w:p>
    <w:p w14:paraId="1C5D5321">
      <w:pPr>
        <w:pStyle w:val="3"/>
        <w:spacing w:line="268" w:lineRule="auto"/>
        <w:rPr>
          <w:color w:val="auto"/>
        </w:rPr>
      </w:pPr>
    </w:p>
    <w:p w14:paraId="260D39A5">
      <w:pPr>
        <w:pStyle w:val="3"/>
        <w:spacing w:line="268" w:lineRule="auto"/>
        <w:rPr>
          <w:color w:val="auto"/>
        </w:rPr>
      </w:pPr>
    </w:p>
    <w:p w14:paraId="683F161F">
      <w:pPr>
        <w:spacing w:before="78" w:line="222" w:lineRule="auto"/>
        <w:ind w:left="550"/>
        <w:rPr>
          <w:rFonts w:ascii="仿宋" w:hAnsi="仿宋" w:eastAsia="仿宋" w:cs="仿宋"/>
          <w:color w:val="auto"/>
          <w:sz w:val="24"/>
          <w:szCs w:val="24"/>
        </w:rPr>
      </w:pPr>
      <w:r>
        <w:rPr>
          <w:rFonts w:ascii="仿宋" w:hAnsi="仿宋" w:eastAsia="仿宋" w:cs="仿宋"/>
          <w:color w:val="auto"/>
          <w:spacing w:val="-27"/>
          <w:sz w:val="24"/>
          <w:szCs w:val="24"/>
        </w:rPr>
        <w:t>一、投标企业综合说明</w:t>
      </w:r>
    </w:p>
    <w:p w14:paraId="5421C78F">
      <w:pPr>
        <w:spacing w:before="176" w:line="221" w:lineRule="auto"/>
        <w:ind w:left="554"/>
        <w:rPr>
          <w:rFonts w:ascii="仿宋" w:hAnsi="仿宋" w:eastAsia="仿宋" w:cs="仿宋"/>
          <w:color w:val="auto"/>
          <w:sz w:val="24"/>
          <w:szCs w:val="24"/>
        </w:rPr>
      </w:pPr>
      <w:r>
        <w:rPr>
          <w:rFonts w:ascii="仿宋" w:hAnsi="仿宋" w:eastAsia="仿宋" w:cs="仿宋"/>
          <w:color w:val="auto"/>
          <w:spacing w:val="-30"/>
          <w:sz w:val="24"/>
          <w:szCs w:val="24"/>
        </w:rPr>
        <w:t>二、项目负责人简历表（必须包含以下内容）</w:t>
      </w:r>
    </w:p>
    <w:p w14:paraId="40E580D6">
      <w:pPr>
        <w:spacing w:line="66" w:lineRule="exact"/>
        <w:rPr>
          <w:color w:val="auto"/>
        </w:rPr>
      </w:pPr>
    </w:p>
    <w:tbl>
      <w:tblPr>
        <w:tblStyle w:val="10"/>
        <w:tblW w:w="94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5"/>
        <w:gridCol w:w="670"/>
        <w:gridCol w:w="1237"/>
        <w:gridCol w:w="653"/>
        <w:gridCol w:w="777"/>
        <w:gridCol w:w="1743"/>
        <w:gridCol w:w="1435"/>
        <w:gridCol w:w="1720"/>
      </w:tblGrid>
      <w:tr w14:paraId="54BD1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1225" w:type="dxa"/>
            <w:vAlign w:val="top"/>
          </w:tcPr>
          <w:p w14:paraId="4E63C286">
            <w:pPr>
              <w:pStyle w:val="11"/>
              <w:spacing w:before="297" w:line="224" w:lineRule="auto"/>
              <w:ind w:left="416"/>
              <w:rPr>
                <w:color w:val="auto"/>
                <w:sz w:val="24"/>
                <w:szCs w:val="24"/>
              </w:rPr>
            </w:pPr>
            <w:r>
              <w:rPr>
                <w:color w:val="auto"/>
                <w:spacing w:val="-8"/>
                <w:sz w:val="24"/>
                <w:szCs w:val="24"/>
              </w:rPr>
              <w:t>姓名</w:t>
            </w:r>
          </w:p>
        </w:tc>
        <w:tc>
          <w:tcPr>
            <w:tcW w:w="1907" w:type="dxa"/>
            <w:gridSpan w:val="2"/>
            <w:vAlign w:val="top"/>
          </w:tcPr>
          <w:p w14:paraId="2641AE97">
            <w:pPr>
              <w:rPr>
                <w:rFonts w:ascii="Arial"/>
                <w:color w:val="auto"/>
                <w:sz w:val="21"/>
              </w:rPr>
            </w:pPr>
          </w:p>
        </w:tc>
        <w:tc>
          <w:tcPr>
            <w:tcW w:w="1430" w:type="dxa"/>
            <w:gridSpan w:val="2"/>
            <w:vAlign w:val="top"/>
          </w:tcPr>
          <w:p w14:paraId="694C2F00">
            <w:pPr>
              <w:pStyle w:val="11"/>
              <w:spacing w:before="297" w:line="220" w:lineRule="auto"/>
              <w:ind w:left="521"/>
              <w:rPr>
                <w:color w:val="auto"/>
                <w:sz w:val="24"/>
                <w:szCs w:val="24"/>
              </w:rPr>
            </w:pPr>
            <w:r>
              <w:rPr>
                <w:color w:val="auto"/>
                <w:spacing w:val="-10"/>
                <w:sz w:val="24"/>
                <w:szCs w:val="24"/>
              </w:rPr>
              <w:t>性别</w:t>
            </w:r>
          </w:p>
        </w:tc>
        <w:tc>
          <w:tcPr>
            <w:tcW w:w="1743" w:type="dxa"/>
            <w:vAlign w:val="top"/>
          </w:tcPr>
          <w:p w14:paraId="447B4B05">
            <w:pPr>
              <w:rPr>
                <w:rFonts w:ascii="Arial"/>
                <w:color w:val="auto"/>
                <w:sz w:val="21"/>
              </w:rPr>
            </w:pPr>
          </w:p>
        </w:tc>
        <w:tc>
          <w:tcPr>
            <w:tcW w:w="1435" w:type="dxa"/>
            <w:vAlign w:val="top"/>
          </w:tcPr>
          <w:p w14:paraId="3F5EE6C3">
            <w:pPr>
              <w:pStyle w:val="11"/>
              <w:spacing w:before="297" w:line="222" w:lineRule="auto"/>
              <w:ind w:left="529"/>
              <w:rPr>
                <w:color w:val="auto"/>
                <w:sz w:val="24"/>
                <w:szCs w:val="24"/>
              </w:rPr>
            </w:pPr>
            <w:r>
              <w:rPr>
                <w:color w:val="auto"/>
                <w:spacing w:val="-11"/>
                <w:sz w:val="24"/>
                <w:szCs w:val="24"/>
              </w:rPr>
              <w:t>年龄</w:t>
            </w:r>
          </w:p>
        </w:tc>
        <w:tc>
          <w:tcPr>
            <w:tcW w:w="1720" w:type="dxa"/>
            <w:vAlign w:val="top"/>
          </w:tcPr>
          <w:p w14:paraId="5291189F">
            <w:pPr>
              <w:rPr>
                <w:rFonts w:ascii="Arial"/>
                <w:color w:val="auto"/>
                <w:sz w:val="21"/>
              </w:rPr>
            </w:pPr>
          </w:p>
        </w:tc>
      </w:tr>
      <w:tr w14:paraId="28E56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1225" w:type="dxa"/>
            <w:vAlign w:val="top"/>
          </w:tcPr>
          <w:p w14:paraId="07713840">
            <w:pPr>
              <w:pStyle w:val="11"/>
              <w:spacing w:before="293" w:line="223" w:lineRule="auto"/>
              <w:ind w:left="416"/>
              <w:rPr>
                <w:color w:val="auto"/>
                <w:sz w:val="24"/>
                <w:szCs w:val="24"/>
              </w:rPr>
            </w:pPr>
            <w:r>
              <w:rPr>
                <w:color w:val="auto"/>
                <w:spacing w:val="-8"/>
                <w:sz w:val="24"/>
                <w:szCs w:val="24"/>
              </w:rPr>
              <w:t>职务</w:t>
            </w:r>
          </w:p>
        </w:tc>
        <w:tc>
          <w:tcPr>
            <w:tcW w:w="1907" w:type="dxa"/>
            <w:gridSpan w:val="2"/>
            <w:vAlign w:val="top"/>
          </w:tcPr>
          <w:p w14:paraId="41ACBD9E">
            <w:pPr>
              <w:rPr>
                <w:rFonts w:ascii="Arial"/>
                <w:color w:val="auto"/>
                <w:sz w:val="21"/>
              </w:rPr>
            </w:pPr>
          </w:p>
        </w:tc>
        <w:tc>
          <w:tcPr>
            <w:tcW w:w="1430" w:type="dxa"/>
            <w:gridSpan w:val="2"/>
            <w:vAlign w:val="top"/>
          </w:tcPr>
          <w:p w14:paraId="57D8A492">
            <w:pPr>
              <w:pStyle w:val="11"/>
              <w:spacing w:before="293" w:line="221" w:lineRule="auto"/>
              <w:ind w:left="516"/>
              <w:rPr>
                <w:color w:val="auto"/>
                <w:sz w:val="24"/>
                <w:szCs w:val="24"/>
              </w:rPr>
            </w:pPr>
            <w:r>
              <w:rPr>
                <w:color w:val="auto"/>
                <w:spacing w:val="-8"/>
                <w:sz w:val="24"/>
                <w:szCs w:val="24"/>
              </w:rPr>
              <w:t>职称</w:t>
            </w:r>
          </w:p>
        </w:tc>
        <w:tc>
          <w:tcPr>
            <w:tcW w:w="1743" w:type="dxa"/>
            <w:vAlign w:val="top"/>
          </w:tcPr>
          <w:p w14:paraId="4F8D1231">
            <w:pPr>
              <w:rPr>
                <w:rFonts w:ascii="Arial"/>
                <w:color w:val="auto"/>
                <w:sz w:val="21"/>
              </w:rPr>
            </w:pPr>
          </w:p>
        </w:tc>
        <w:tc>
          <w:tcPr>
            <w:tcW w:w="1435" w:type="dxa"/>
            <w:vAlign w:val="top"/>
          </w:tcPr>
          <w:p w14:paraId="218A98D3">
            <w:pPr>
              <w:pStyle w:val="11"/>
              <w:spacing w:before="293" w:line="223" w:lineRule="auto"/>
              <w:ind w:left="534"/>
              <w:rPr>
                <w:color w:val="auto"/>
                <w:sz w:val="24"/>
                <w:szCs w:val="24"/>
              </w:rPr>
            </w:pPr>
            <w:r>
              <w:rPr>
                <w:color w:val="auto"/>
                <w:spacing w:val="-14"/>
                <w:sz w:val="24"/>
                <w:szCs w:val="24"/>
              </w:rPr>
              <w:t>学历</w:t>
            </w:r>
          </w:p>
        </w:tc>
        <w:tc>
          <w:tcPr>
            <w:tcW w:w="1720" w:type="dxa"/>
            <w:vAlign w:val="top"/>
          </w:tcPr>
          <w:p w14:paraId="7A717AFD">
            <w:pPr>
              <w:rPr>
                <w:rFonts w:ascii="Arial"/>
                <w:color w:val="auto"/>
                <w:sz w:val="21"/>
              </w:rPr>
            </w:pPr>
          </w:p>
        </w:tc>
      </w:tr>
      <w:tr w14:paraId="402D2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3132" w:type="dxa"/>
            <w:gridSpan w:val="3"/>
            <w:vAlign w:val="top"/>
          </w:tcPr>
          <w:p w14:paraId="27199F5E">
            <w:pPr>
              <w:pStyle w:val="11"/>
              <w:spacing w:before="294" w:line="220" w:lineRule="auto"/>
              <w:ind w:left="958"/>
              <w:rPr>
                <w:color w:val="auto"/>
                <w:sz w:val="24"/>
                <w:szCs w:val="24"/>
              </w:rPr>
            </w:pPr>
            <w:r>
              <w:rPr>
                <w:color w:val="auto"/>
                <w:spacing w:val="-25"/>
                <w:sz w:val="24"/>
                <w:szCs w:val="24"/>
              </w:rPr>
              <w:t>参加工作时间</w:t>
            </w:r>
          </w:p>
        </w:tc>
        <w:tc>
          <w:tcPr>
            <w:tcW w:w="6328" w:type="dxa"/>
            <w:gridSpan w:val="5"/>
            <w:vAlign w:val="top"/>
          </w:tcPr>
          <w:p w14:paraId="4070F685">
            <w:pPr>
              <w:rPr>
                <w:rFonts w:ascii="Arial"/>
                <w:color w:val="auto"/>
                <w:sz w:val="21"/>
              </w:rPr>
            </w:pPr>
          </w:p>
        </w:tc>
      </w:tr>
      <w:tr w14:paraId="1B863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9460" w:type="dxa"/>
            <w:gridSpan w:val="8"/>
            <w:vAlign w:val="top"/>
          </w:tcPr>
          <w:p w14:paraId="4A9B7E79">
            <w:pPr>
              <w:pStyle w:val="11"/>
              <w:spacing w:before="147" w:line="222" w:lineRule="auto"/>
              <w:ind w:left="4042"/>
              <w:rPr>
                <w:color w:val="auto"/>
                <w:sz w:val="24"/>
                <w:szCs w:val="24"/>
              </w:rPr>
            </w:pPr>
            <w:r>
              <w:rPr>
                <w:color w:val="auto"/>
                <w:spacing w:val="-29"/>
                <w:sz w:val="24"/>
                <w:szCs w:val="24"/>
              </w:rPr>
              <w:t>已完成项目情况</w:t>
            </w:r>
          </w:p>
        </w:tc>
      </w:tr>
      <w:tr w14:paraId="58C7A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1895" w:type="dxa"/>
            <w:gridSpan w:val="2"/>
            <w:vAlign w:val="top"/>
          </w:tcPr>
          <w:p w14:paraId="1D4EE9B9">
            <w:pPr>
              <w:pStyle w:val="11"/>
              <w:spacing w:before="296" w:line="221" w:lineRule="auto"/>
              <w:ind w:left="545"/>
              <w:rPr>
                <w:color w:val="auto"/>
                <w:sz w:val="24"/>
                <w:szCs w:val="24"/>
              </w:rPr>
            </w:pPr>
            <w:r>
              <w:rPr>
                <w:color w:val="auto"/>
                <w:spacing w:val="-21"/>
                <w:sz w:val="24"/>
                <w:szCs w:val="24"/>
              </w:rPr>
              <w:t>采购单位</w:t>
            </w:r>
          </w:p>
        </w:tc>
        <w:tc>
          <w:tcPr>
            <w:tcW w:w="1890" w:type="dxa"/>
            <w:gridSpan w:val="2"/>
            <w:vAlign w:val="top"/>
          </w:tcPr>
          <w:p w14:paraId="1FAAC2FE">
            <w:pPr>
              <w:pStyle w:val="11"/>
              <w:spacing w:before="296" w:line="221" w:lineRule="auto"/>
              <w:ind w:left="541"/>
              <w:rPr>
                <w:color w:val="auto"/>
                <w:sz w:val="24"/>
                <w:szCs w:val="24"/>
              </w:rPr>
            </w:pPr>
            <w:r>
              <w:rPr>
                <w:color w:val="auto"/>
                <w:spacing w:val="-20"/>
                <w:sz w:val="24"/>
                <w:szCs w:val="24"/>
              </w:rPr>
              <w:t>项目名称</w:t>
            </w:r>
          </w:p>
        </w:tc>
        <w:tc>
          <w:tcPr>
            <w:tcW w:w="3955" w:type="dxa"/>
            <w:gridSpan w:val="3"/>
            <w:vAlign w:val="top"/>
          </w:tcPr>
          <w:p w14:paraId="63EF570D">
            <w:pPr>
              <w:pStyle w:val="11"/>
              <w:spacing w:before="297" w:line="222" w:lineRule="auto"/>
              <w:ind w:left="1365"/>
              <w:rPr>
                <w:color w:val="auto"/>
                <w:sz w:val="24"/>
                <w:szCs w:val="24"/>
              </w:rPr>
            </w:pPr>
            <w:r>
              <w:rPr>
                <w:color w:val="auto"/>
                <w:spacing w:val="-24"/>
                <w:sz w:val="24"/>
                <w:szCs w:val="24"/>
              </w:rPr>
              <w:t>项目主要概况</w:t>
            </w:r>
          </w:p>
        </w:tc>
        <w:tc>
          <w:tcPr>
            <w:tcW w:w="1720" w:type="dxa"/>
            <w:vAlign w:val="top"/>
          </w:tcPr>
          <w:p w14:paraId="3869ED48">
            <w:pPr>
              <w:pStyle w:val="11"/>
              <w:spacing w:before="296" w:line="223" w:lineRule="auto"/>
              <w:ind w:left="669"/>
              <w:rPr>
                <w:color w:val="auto"/>
                <w:sz w:val="24"/>
                <w:szCs w:val="24"/>
              </w:rPr>
            </w:pPr>
            <w:r>
              <w:rPr>
                <w:color w:val="auto"/>
                <w:spacing w:val="-11"/>
                <w:sz w:val="24"/>
                <w:szCs w:val="24"/>
              </w:rPr>
              <w:t>工期</w:t>
            </w:r>
          </w:p>
        </w:tc>
      </w:tr>
      <w:tr w14:paraId="0D067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895" w:type="dxa"/>
            <w:gridSpan w:val="2"/>
            <w:vAlign w:val="top"/>
          </w:tcPr>
          <w:p w14:paraId="51D79679">
            <w:pPr>
              <w:rPr>
                <w:rFonts w:ascii="Arial"/>
                <w:color w:val="auto"/>
                <w:sz w:val="21"/>
              </w:rPr>
            </w:pPr>
          </w:p>
        </w:tc>
        <w:tc>
          <w:tcPr>
            <w:tcW w:w="1890" w:type="dxa"/>
            <w:gridSpan w:val="2"/>
            <w:vAlign w:val="top"/>
          </w:tcPr>
          <w:p w14:paraId="1554B8CB">
            <w:pPr>
              <w:rPr>
                <w:rFonts w:ascii="Arial"/>
                <w:color w:val="auto"/>
                <w:sz w:val="21"/>
              </w:rPr>
            </w:pPr>
          </w:p>
        </w:tc>
        <w:tc>
          <w:tcPr>
            <w:tcW w:w="3955" w:type="dxa"/>
            <w:gridSpan w:val="3"/>
            <w:vAlign w:val="top"/>
          </w:tcPr>
          <w:p w14:paraId="0BB15FB0">
            <w:pPr>
              <w:rPr>
                <w:rFonts w:ascii="Arial"/>
                <w:color w:val="auto"/>
                <w:sz w:val="21"/>
              </w:rPr>
            </w:pPr>
          </w:p>
        </w:tc>
        <w:tc>
          <w:tcPr>
            <w:tcW w:w="1720" w:type="dxa"/>
            <w:vAlign w:val="top"/>
          </w:tcPr>
          <w:p w14:paraId="53BDC4B6">
            <w:pPr>
              <w:rPr>
                <w:rFonts w:ascii="Arial"/>
                <w:color w:val="auto"/>
                <w:sz w:val="21"/>
              </w:rPr>
            </w:pPr>
          </w:p>
        </w:tc>
      </w:tr>
      <w:tr w14:paraId="4BF31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895" w:type="dxa"/>
            <w:gridSpan w:val="2"/>
            <w:vAlign w:val="top"/>
          </w:tcPr>
          <w:p w14:paraId="45C4DBC9">
            <w:pPr>
              <w:rPr>
                <w:rFonts w:ascii="Arial"/>
                <w:color w:val="auto"/>
                <w:sz w:val="21"/>
              </w:rPr>
            </w:pPr>
          </w:p>
        </w:tc>
        <w:tc>
          <w:tcPr>
            <w:tcW w:w="1890" w:type="dxa"/>
            <w:gridSpan w:val="2"/>
            <w:vAlign w:val="top"/>
          </w:tcPr>
          <w:p w14:paraId="7AFBD88F">
            <w:pPr>
              <w:rPr>
                <w:rFonts w:ascii="Arial"/>
                <w:color w:val="auto"/>
                <w:sz w:val="21"/>
              </w:rPr>
            </w:pPr>
          </w:p>
        </w:tc>
        <w:tc>
          <w:tcPr>
            <w:tcW w:w="3955" w:type="dxa"/>
            <w:gridSpan w:val="3"/>
            <w:vAlign w:val="top"/>
          </w:tcPr>
          <w:p w14:paraId="555364A1">
            <w:pPr>
              <w:rPr>
                <w:rFonts w:ascii="Arial"/>
                <w:color w:val="auto"/>
                <w:sz w:val="21"/>
              </w:rPr>
            </w:pPr>
          </w:p>
        </w:tc>
        <w:tc>
          <w:tcPr>
            <w:tcW w:w="1720" w:type="dxa"/>
            <w:vAlign w:val="top"/>
          </w:tcPr>
          <w:p w14:paraId="3DA54589">
            <w:pPr>
              <w:rPr>
                <w:rFonts w:ascii="Arial"/>
                <w:color w:val="auto"/>
                <w:sz w:val="21"/>
              </w:rPr>
            </w:pPr>
          </w:p>
        </w:tc>
      </w:tr>
      <w:tr w14:paraId="1C08D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895" w:type="dxa"/>
            <w:gridSpan w:val="2"/>
            <w:vAlign w:val="top"/>
          </w:tcPr>
          <w:p w14:paraId="6D35EE07">
            <w:pPr>
              <w:rPr>
                <w:rFonts w:ascii="Arial"/>
                <w:color w:val="auto"/>
                <w:sz w:val="21"/>
              </w:rPr>
            </w:pPr>
          </w:p>
        </w:tc>
        <w:tc>
          <w:tcPr>
            <w:tcW w:w="1890" w:type="dxa"/>
            <w:gridSpan w:val="2"/>
            <w:vAlign w:val="top"/>
          </w:tcPr>
          <w:p w14:paraId="0B5746B8">
            <w:pPr>
              <w:rPr>
                <w:rFonts w:ascii="Arial"/>
                <w:color w:val="auto"/>
                <w:sz w:val="21"/>
              </w:rPr>
            </w:pPr>
          </w:p>
        </w:tc>
        <w:tc>
          <w:tcPr>
            <w:tcW w:w="3955" w:type="dxa"/>
            <w:gridSpan w:val="3"/>
            <w:vAlign w:val="top"/>
          </w:tcPr>
          <w:p w14:paraId="5BDE62A0">
            <w:pPr>
              <w:rPr>
                <w:rFonts w:ascii="Arial"/>
                <w:color w:val="auto"/>
                <w:sz w:val="21"/>
              </w:rPr>
            </w:pPr>
          </w:p>
        </w:tc>
        <w:tc>
          <w:tcPr>
            <w:tcW w:w="1720" w:type="dxa"/>
            <w:vAlign w:val="top"/>
          </w:tcPr>
          <w:p w14:paraId="399F7DD2">
            <w:pPr>
              <w:rPr>
                <w:rFonts w:ascii="Arial"/>
                <w:color w:val="auto"/>
                <w:sz w:val="21"/>
              </w:rPr>
            </w:pPr>
          </w:p>
        </w:tc>
      </w:tr>
      <w:tr w14:paraId="1DAE8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895" w:type="dxa"/>
            <w:gridSpan w:val="2"/>
            <w:vAlign w:val="top"/>
          </w:tcPr>
          <w:p w14:paraId="2292CA36">
            <w:pPr>
              <w:rPr>
                <w:rFonts w:ascii="Arial"/>
                <w:color w:val="auto"/>
                <w:sz w:val="21"/>
              </w:rPr>
            </w:pPr>
          </w:p>
        </w:tc>
        <w:tc>
          <w:tcPr>
            <w:tcW w:w="1890" w:type="dxa"/>
            <w:gridSpan w:val="2"/>
            <w:vAlign w:val="top"/>
          </w:tcPr>
          <w:p w14:paraId="75D9D902">
            <w:pPr>
              <w:rPr>
                <w:rFonts w:ascii="Arial"/>
                <w:color w:val="auto"/>
                <w:sz w:val="21"/>
              </w:rPr>
            </w:pPr>
          </w:p>
        </w:tc>
        <w:tc>
          <w:tcPr>
            <w:tcW w:w="3955" w:type="dxa"/>
            <w:gridSpan w:val="3"/>
            <w:vAlign w:val="top"/>
          </w:tcPr>
          <w:p w14:paraId="095358F3">
            <w:pPr>
              <w:rPr>
                <w:rFonts w:ascii="Arial"/>
                <w:color w:val="auto"/>
                <w:sz w:val="21"/>
              </w:rPr>
            </w:pPr>
          </w:p>
        </w:tc>
        <w:tc>
          <w:tcPr>
            <w:tcW w:w="1720" w:type="dxa"/>
            <w:vAlign w:val="top"/>
          </w:tcPr>
          <w:p w14:paraId="3E87BB2F">
            <w:pPr>
              <w:rPr>
                <w:rFonts w:ascii="Arial"/>
                <w:color w:val="auto"/>
                <w:sz w:val="21"/>
              </w:rPr>
            </w:pPr>
          </w:p>
        </w:tc>
      </w:tr>
      <w:tr w14:paraId="3DD5C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895" w:type="dxa"/>
            <w:gridSpan w:val="2"/>
            <w:vAlign w:val="top"/>
          </w:tcPr>
          <w:p w14:paraId="321F2F53">
            <w:pPr>
              <w:rPr>
                <w:rFonts w:ascii="Arial"/>
                <w:color w:val="auto"/>
                <w:sz w:val="21"/>
              </w:rPr>
            </w:pPr>
          </w:p>
        </w:tc>
        <w:tc>
          <w:tcPr>
            <w:tcW w:w="1890" w:type="dxa"/>
            <w:gridSpan w:val="2"/>
            <w:vAlign w:val="top"/>
          </w:tcPr>
          <w:p w14:paraId="15C8233C">
            <w:pPr>
              <w:rPr>
                <w:rFonts w:ascii="Arial"/>
                <w:color w:val="auto"/>
                <w:sz w:val="21"/>
              </w:rPr>
            </w:pPr>
          </w:p>
        </w:tc>
        <w:tc>
          <w:tcPr>
            <w:tcW w:w="3955" w:type="dxa"/>
            <w:gridSpan w:val="3"/>
            <w:vAlign w:val="top"/>
          </w:tcPr>
          <w:p w14:paraId="76AA9E17">
            <w:pPr>
              <w:rPr>
                <w:rFonts w:ascii="Arial"/>
                <w:color w:val="auto"/>
                <w:sz w:val="21"/>
              </w:rPr>
            </w:pPr>
          </w:p>
        </w:tc>
        <w:tc>
          <w:tcPr>
            <w:tcW w:w="1720" w:type="dxa"/>
            <w:vAlign w:val="top"/>
          </w:tcPr>
          <w:p w14:paraId="69FD8F4A">
            <w:pPr>
              <w:rPr>
                <w:rFonts w:ascii="Arial"/>
                <w:color w:val="auto"/>
                <w:sz w:val="21"/>
              </w:rPr>
            </w:pPr>
          </w:p>
        </w:tc>
      </w:tr>
      <w:tr w14:paraId="78570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895" w:type="dxa"/>
            <w:gridSpan w:val="2"/>
            <w:vAlign w:val="top"/>
          </w:tcPr>
          <w:p w14:paraId="3FA2727D">
            <w:pPr>
              <w:rPr>
                <w:rFonts w:ascii="Arial"/>
                <w:color w:val="auto"/>
                <w:sz w:val="21"/>
              </w:rPr>
            </w:pPr>
          </w:p>
        </w:tc>
        <w:tc>
          <w:tcPr>
            <w:tcW w:w="1890" w:type="dxa"/>
            <w:gridSpan w:val="2"/>
            <w:vAlign w:val="top"/>
          </w:tcPr>
          <w:p w14:paraId="02DDC92E">
            <w:pPr>
              <w:rPr>
                <w:rFonts w:ascii="Arial"/>
                <w:color w:val="auto"/>
                <w:sz w:val="21"/>
              </w:rPr>
            </w:pPr>
          </w:p>
        </w:tc>
        <w:tc>
          <w:tcPr>
            <w:tcW w:w="3955" w:type="dxa"/>
            <w:gridSpan w:val="3"/>
            <w:vAlign w:val="top"/>
          </w:tcPr>
          <w:p w14:paraId="5A362E32">
            <w:pPr>
              <w:rPr>
                <w:rFonts w:ascii="Arial"/>
                <w:color w:val="auto"/>
                <w:sz w:val="21"/>
              </w:rPr>
            </w:pPr>
          </w:p>
        </w:tc>
        <w:tc>
          <w:tcPr>
            <w:tcW w:w="1720" w:type="dxa"/>
            <w:vAlign w:val="top"/>
          </w:tcPr>
          <w:p w14:paraId="00323882">
            <w:pPr>
              <w:rPr>
                <w:rFonts w:ascii="Arial"/>
                <w:color w:val="auto"/>
                <w:sz w:val="21"/>
              </w:rPr>
            </w:pPr>
          </w:p>
        </w:tc>
      </w:tr>
    </w:tbl>
    <w:p w14:paraId="219F099B">
      <w:pPr>
        <w:pStyle w:val="3"/>
        <w:spacing w:line="285" w:lineRule="auto"/>
        <w:rPr>
          <w:color w:val="auto"/>
        </w:rPr>
      </w:pPr>
    </w:p>
    <w:p w14:paraId="21EB8BEA">
      <w:pPr>
        <w:pStyle w:val="3"/>
        <w:spacing w:line="285" w:lineRule="auto"/>
        <w:rPr>
          <w:color w:val="auto"/>
        </w:rPr>
      </w:pPr>
    </w:p>
    <w:p w14:paraId="0F1E2910">
      <w:pPr>
        <w:pStyle w:val="3"/>
        <w:spacing w:line="285" w:lineRule="auto"/>
        <w:rPr>
          <w:color w:val="auto"/>
        </w:rPr>
      </w:pPr>
    </w:p>
    <w:p w14:paraId="7462CE6E">
      <w:pPr>
        <w:pStyle w:val="3"/>
        <w:spacing w:line="285" w:lineRule="auto"/>
        <w:rPr>
          <w:color w:val="auto"/>
        </w:rPr>
      </w:pPr>
    </w:p>
    <w:p w14:paraId="7731775E">
      <w:pPr>
        <w:pStyle w:val="3"/>
        <w:spacing w:line="285" w:lineRule="auto"/>
        <w:rPr>
          <w:color w:val="auto"/>
        </w:rPr>
      </w:pPr>
    </w:p>
    <w:p w14:paraId="100771A9">
      <w:pPr>
        <w:pStyle w:val="3"/>
        <w:spacing w:line="285" w:lineRule="auto"/>
        <w:rPr>
          <w:color w:val="auto"/>
        </w:rPr>
      </w:pPr>
    </w:p>
    <w:p w14:paraId="0BD12918">
      <w:pPr>
        <w:pStyle w:val="3"/>
        <w:spacing w:line="285" w:lineRule="auto"/>
        <w:rPr>
          <w:color w:val="auto"/>
        </w:rPr>
      </w:pPr>
    </w:p>
    <w:p w14:paraId="7BCEABD0">
      <w:pPr>
        <w:pStyle w:val="3"/>
        <w:spacing w:line="285" w:lineRule="auto"/>
        <w:rPr>
          <w:color w:val="auto"/>
        </w:rPr>
      </w:pPr>
    </w:p>
    <w:p w14:paraId="159F2845">
      <w:pPr>
        <w:pStyle w:val="3"/>
        <w:spacing w:line="285" w:lineRule="auto"/>
        <w:rPr>
          <w:color w:val="auto"/>
        </w:rPr>
      </w:pPr>
    </w:p>
    <w:p w14:paraId="0113BBC1">
      <w:pPr>
        <w:pStyle w:val="3"/>
        <w:spacing w:line="285" w:lineRule="auto"/>
        <w:rPr>
          <w:color w:val="auto"/>
        </w:rPr>
      </w:pPr>
    </w:p>
    <w:p w14:paraId="1A8085E7">
      <w:pPr>
        <w:pStyle w:val="3"/>
        <w:spacing w:line="285" w:lineRule="auto"/>
        <w:rPr>
          <w:color w:val="auto"/>
        </w:rPr>
      </w:pPr>
    </w:p>
    <w:p w14:paraId="30FA7A2A">
      <w:pPr>
        <w:pStyle w:val="3"/>
        <w:spacing w:line="285" w:lineRule="auto"/>
        <w:rPr>
          <w:color w:val="auto"/>
        </w:rPr>
      </w:pPr>
    </w:p>
    <w:p w14:paraId="6CBFA40F">
      <w:pPr>
        <w:pStyle w:val="3"/>
        <w:spacing w:line="285" w:lineRule="auto"/>
        <w:rPr>
          <w:color w:val="auto"/>
        </w:rPr>
      </w:pPr>
    </w:p>
    <w:p w14:paraId="0988C1A3">
      <w:pPr>
        <w:spacing w:before="78" w:line="222" w:lineRule="auto"/>
        <w:ind w:left="3743"/>
        <w:rPr>
          <w:rFonts w:ascii="仿宋" w:hAnsi="仿宋" w:eastAsia="仿宋" w:cs="仿宋"/>
          <w:color w:val="auto"/>
          <w:sz w:val="24"/>
          <w:szCs w:val="24"/>
        </w:rPr>
      </w:pPr>
      <w:r>
        <w:rPr>
          <w:rFonts w:ascii="仿宋" w:hAnsi="仿宋" w:eastAsia="仿宋" w:cs="仿宋"/>
          <w:b/>
          <w:bCs/>
          <w:color w:val="auto"/>
          <w:spacing w:val="-28"/>
          <w:sz w:val="24"/>
          <w:szCs w:val="24"/>
        </w:rPr>
        <w:t>拟投入本项目人员表</w:t>
      </w:r>
    </w:p>
    <w:p w14:paraId="05F1E679">
      <w:pPr>
        <w:spacing w:line="63" w:lineRule="exact"/>
        <w:rPr>
          <w:color w:val="auto"/>
        </w:rPr>
      </w:pPr>
    </w:p>
    <w:tbl>
      <w:tblPr>
        <w:tblStyle w:val="10"/>
        <w:tblW w:w="89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2"/>
        <w:gridCol w:w="1791"/>
        <w:gridCol w:w="560"/>
        <w:gridCol w:w="560"/>
        <w:gridCol w:w="1609"/>
        <w:gridCol w:w="1275"/>
        <w:gridCol w:w="2157"/>
      </w:tblGrid>
      <w:tr w14:paraId="55AF5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012" w:type="dxa"/>
            <w:vAlign w:val="top"/>
          </w:tcPr>
          <w:p w14:paraId="09A79434">
            <w:pPr>
              <w:pStyle w:val="11"/>
              <w:spacing w:before="117" w:line="312" w:lineRule="auto"/>
              <w:ind w:left="310" w:right="262"/>
              <w:rPr>
                <w:color w:val="auto"/>
                <w:sz w:val="24"/>
                <w:szCs w:val="24"/>
              </w:rPr>
            </w:pPr>
            <w:r>
              <w:rPr>
                <w:color w:val="auto"/>
                <w:spacing w:val="-24"/>
                <w:sz w:val="24"/>
                <w:szCs w:val="24"/>
              </w:rPr>
              <w:t>拟设</w:t>
            </w:r>
            <w:r>
              <w:rPr>
                <w:color w:val="auto"/>
                <w:sz w:val="24"/>
                <w:szCs w:val="24"/>
              </w:rPr>
              <w:t xml:space="preserve"> </w:t>
            </w:r>
            <w:r>
              <w:rPr>
                <w:color w:val="auto"/>
                <w:spacing w:val="-24"/>
                <w:sz w:val="24"/>
                <w:szCs w:val="24"/>
              </w:rPr>
              <w:t>职务</w:t>
            </w:r>
          </w:p>
        </w:tc>
        <w:tc>
          <w:tcPr>
            <w:tcW w:w="1791" w:type="dxa"/>
            <w:vAlign w:val="top"/>
          </w:tcPr>
          <w:p w14:paraId="4C9D8B48">
            <w:pPr>
              <w:pStyle w:val="11"/>
              <w:spacing w:before="118" w:line="224" w:lineRule="auto"/>
              <w:ind w:left="698"/>
              <w:rPr>
                <w:color w:val="auto"/>
                <w:sz w:val="24"/>
                <w:szCs w:val="24"/>
              </w:rPr>
            </w:pPr>
            <w:r>
              <w:rPr>
                <w:color w:val="auto"/>
                <w:spacing w:val="-8"/>
                <w:sz w:val="24"/>
                <w:szCs w:val="24"/>
              </w:rPr>
              <w:t>姓名</w:t>
            </w:r>
          </w:p>
        </w:tc>
        <w:tc>
          <w:tcPr>
            <w:tcW w:w="560" w:type="dxa"/>
            <w:textDirection w:val="tbRlV"/>
            <w:vAlign w:val="top"/>
          </w:tcPr>
          <w:p w14:paraId="135A84E3">
            <w:pPr>
              <w:pStyle w:val="11"/>
              <w:spacing w:before="144" w:line="197" w:lineRule="auto"/>
              <w:ind w:left="118"/>
              <w:rPr>
                <w:color w:val="auto"/>
                <w:sz w:val="24"/>
                <w:szCs w:val="24"/>
              </w:rPr>
            </w:pPr>
            <w:r>
              <w:rPr>
                <w:color w:val="auto"/>
                <w:spacing w:val="5"/>
                <w:sz w:val="24"/>
                <w:szCs w:val="24"/>
              </w:rPr>
              <w:t>性</w:t>
            </w:r>
            <w:r>
              <w:rPr>
                <w:color w:val="auto"/>
                <w:spacing w:val="100"/>
                <w:sz w:val="24"/>
                <w:szCs w:val="24"/>
              </w:rPr>
              <w:t xml:space="preserve"> </w:t>
            </w:r>
            <w:r>
              <w:rPr>
                <w:color w:val="auto"/>
                <w:spacing w:val="5"/>
                <w:sz w:val="24"/>
                <w:szCs w:val="24"/>
              </w:rPr>
              <w:t>别</w:t>
            </w:r>
          </w:p>
        </w:tc>
        <w:tc>
          <w:tcPr>
            <w:tcW w:w="560" w:type="dxa"/>
            <w:textDirection w:val="tbRlV"/>
            <w:vAlign w:val="top"/>
          </w:tcPr>
          <w:p w14:paraId="5D786E00">
            <w:pPr>
              <w:pStyle w:val="11"/>
              <w:spacing w:before="142" w:line="202" w:lineRule="auto"/>
              <w:ind w:left="118"/>
              <w:rPr>
                <w:color w:val="auto"/>
                <w:sz w:val="24"/>
                <w:szCs w:val="24"/>
              </w:rPr>
            </w:pPr>
            <w:r>
              <w:rPr>
                <w:color w:val="auto"/>
                <w:spacing w:val="5"/>
                <w:sz w:val="24"/>
                <w:szCs w:val="24"/>
              </w:rPr>
              <w:t>年</w:t>
            </w:r>
            <w:r>
              <w:rPr>
                <w:color w:val="auto"/>
                <w:spacing w:val="100"/>
                <w:sz w:val="24"/>
                <w:szCs w:val="24"/>
              </w:rPr>
              <w:t xml:space="preserve"> </w:t>
            </w:r>
            <w:r>
              <w:rPr>
                <w:color w:val="auto"/>
                <w:spacing w:val="5"/>
                <w:sz w:val="24"/>
                <w:szCs w:val="24"/>
              </w:rPr>
              <w:t>龄</w:t>
            </w:r>
          </w:p>
        </w:tc>
        <w:tc>
          <w:tcPr>
            <w:tcW w:w="1609" w:type="dxa"/>
            <w:vAlign w:val="top"/>
          </w:tcPr>
          <w:p w14:paraId="0C33F29E">
            <w:pPr>
              <w:pStyle w:val="11"/>
              <w:spacing w:before="117" w:line="221" w:lineRule="auto"/>
              <w:ind w:left="606"/>
              <w:rPr>
                <w:color w:val="auto"/>
                <w:sz w:val="24"/>
                <w:szCs w:val="24"/>
              </w:rPr>
            </w:pPr>
            <w:r>
              <w:rPr>
                <w:color w:val="auto"/>
                <w:spacing w:val="-8"/>
                <w:sz w:val="24"/>
                <w:szCs w:val="24"/>
              </w:rPr>
              <w:t>职称</w:t>
            </w:r>
          </w:p>
        </w:tc>
        <w:tc>
          <w:tcPr>
            <w:tcW w:w="1275" w:type="dxa"/>
            <w:vAlign w:val="top"/>
          </w:tcPr>
          <w:p w14:paraId="391CD46C">
            <w:pPr>
              <w:pStyle w:val="11"/>
              <w:spacing w:before="118" w:line="222" w:lineRule="auto"/>
              <w:ind w:left="120"/>
              <w:rPr>
                <w:color w:val="auto"/>
                <w:sz w:val="24"/>
                <w:szCs w:val="24"/>
              </w:rPr>
            </w:pPr>
            <w:r>
              <w:rPr>
                <w:color w:val="auto"/>
                <w:spacing w:val="-20"/>
                <w:sz w:val="24"/>
                <w:szCs w:val="24"/>
              </w:rPr>
              <w:t>服务年限</w:t>
            </w:r>
          </w:p>
        </w:tc>
        <w:tc>
          <w:tcPr>
            <w:tcW w:w="2157" w:type="dxa"/>
            <w:vAlign w:val="top"/>
          </w:tcPr>
          <w:p w14:paraId="0A92500C">
            <w:pPr>
              <w:pStyle w:val="11"/>
              <w:spacing w:before="118" w:line="223" w:lineRule="auto"/>
              <w:ind w:left="580"/>
              <w:rPr>
                <w:color w:val="auto"/>
                <w:sz w:val="24"/>
                <w:szCs w:val="24"/>
              </w:rPr>
            </w:pPr>
            <w:r>
              <w:rPr>
                <w:color w:val="auto"/>
                <w:spacing w:val="-24"/>
                <w:sz w:val="24"/>
                <w:szCs w:val="24"/>
              </w:rPr>
              <w:t>学历及专业</w:t>
            </w:r>
          </w:p>
        </w:tc>
      </w:tr>
      <w:tr w14:paraId="2DDDC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012" w:type="dxa"/>
            <w:vAlign w:val="top"/>
          </w:tcPr>
          <w:p w14:paraId="47FF2978">
            <w:pPr>
              <w:rPr>
                <w:rFonts w:ascii="Arial"/>
                <w:color w:val="auto"/>
                <w:sz w:val="21"/>
              </w:rPr>
            </w:pPr>
          </w:p>
        </w:tc>
        <w:tc>
          <w:tcPr>
            <w:tcW w:w="1791" w:type="dxa"/>
            <w:vAlign w:val="top"/>
          </w:tcPr>
          <w:p w14:paraId="72DB8C8E">
            <w:pPr>
              <w:rPr>
                <w:rFonts w:ascii="Arial"/>
                <w:color w:val="auto"/>
                <w:sz w:val="21"/>
              </w:rPr>
            </w:pPr>
          </w:p>
        </w:tc>
        <w:tc>
          <w:tcPr>
            <w:tcW w:w="560" w:type="dxa"/>
            <w:vAlign w:val="top"/>
          </w:tcPr>
          <w:p w14:paraId="7B33417F">
            <w:pPr>
              <w:rPr>
                <w:rFonts w:ascii="Arial"/>
                <w:color w:val="auto"/>
                <w:sz w:val="21"/>
              </w:rPr>
            </w:pPr>
          </w:p>
        </w:tc>
        <w:tc>
          <w:tcPr>
            <w:tcW w:w="560" w:type="dxa"/>
            <w:vAlign w:val="top"/>
          </w:tcPr>
          <w:p w14:paraId="34609651">
            <w:pPr>
              <w:rPr>
                <w:rFonts w:ascii="Arial"/>
                <w:color w:val="auto"/>
                <w:sz w:val="21"/>
              </w:rPr>
            </w:pPr>
          </w:p>
        </w:tc>
        <w:tc>
          <w:tcPr>
            <w:tcW w:w="1609" w:type="dxa"/>
            <w:vAlign w:val="top"/>
          </w:tcPr>
          <w:p w14:paraId="21AC81A5">
            <w:pPr>
              <w:rPr>
                <w:rFonts w:ascii="Arial"/>
                <w:color w:val="auto"/>
                <w:sz w:val="21"/>
              </w:rPr>
            </w:pPr>
          </w:p>
        </w:tc>
        <w:tc>
          <w:tcPr>
            <w:tcW w:w="1275" w:type="dxa"/>
            <w:vAlign w:val="top"/>
          </w:tcPr>
          <w:p w14:paraId="347535DC">
            <w:pPr>
              <w:rPr>
                <w:rFonts w:ascii="Arial"/>
                <w:color w:val="auto"/>
                <w:sz w:val="21"/>
              </w:rPr>
            </w:pPr>
          </w:p>
        </w:tc>
        <w:tc>
          <w:tcPr>
            <w:tcW w:w="2157" w:type="dxa"/>
            <w:vAlign w:val="top"/>
          </w:tcPr>
          <w:p w14:paraId="4B50DA36">
            <w:pPr>
              <w:rPr>
                <w:rFonts w:ascii="Arial"/>
                <w:color w:val="auto"/>
                <w:sz w:val="21"/>
              </w:rPr>
            </w:pPr>
          </w:p>
        </w:tc>
      </w:tr>
      <w:tr w14:paraId="18AC3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12" w:type="dxa"/>
            <w:vAlign w:val="top"/>
          </w:tcPr>
          <w:p w14:paraId="4C70E392">
            <w:pPr>
              <w:rPr>
                <w:rFonts w:ascii="Arial"/>
                <w:color w:val="auto"/>
                <w:sz w:val="21"/>
              </w:rPr>
            </w:pPr>
          </w:p>
        </w:tc>
        <w:tc>
          <w:tcPr>
            <w:tcW w:w="1791" w:type="dxa"/>
            <w:vAlign w:val="top"/>
          </w:tcPr>
          <w:p w14:paraId="5ADB58C7">
            <w:pPr>
              <w:rPr>
                <w:rFonts w:ascii="Arial"/>
                <w:color w:val="auto"/>
                <w:sz w:val="21"/>
              </w:rPr>
            </w:pPr>
          </w:p>
        </w:tc>
        <w:tc>
          <w:tcPr>
            <w:tcW w:w="560" w:type="dxa"/>
            <w:vAlign w:val="top"/>
          </w:tcPr>
          <w:p w14:paraId="5CCCEE26">
            <w:pPr>
              <w:rPr>
                <w:rFonts w:ascii="Arial"/>
                <w:color w:val="auto"/>
                <w:sz w:val="21"/>
              </w:rPr>
            </w:pPr>
          </w:p>
        </w:tc>
        <w:tc>
          <w:tcPr>
            <w:tcW w:w="560" w:type="dxa"/>
            <w:vAlign w:val="top"/>
          </w:tcPr>
          <w:p w14:paraId="63851D33">
            <w:pPr>
              <w:rPr>
                <w:rFonts w:ascii="Arial"/>
                <w:color w:val="auto"/>
                <w:sz w:val="21"/>
              </w:rPr>
            </w:pPr>
          </w:p>
        </w:tc>
        <w:tc>
          <w:tcPr>
            <w:tcW w:w="1609" w:type="dxa"/>
            <w:vAlign w:val="top"/>
          </w:tcPr>
          <w:p w14:paraId="2A3E0704">
            <w:pPr>
              <w:rPr>
                <w:rFonts w:ascii="Arial"/>
                <w:color w:val="auto"/>
                <w:sz w:val="21"/>
              </w:rPr>
            </w:pPr>
          </w:p>
        </w:tc>
        <w:tc>
          <w:tcPr>
            <w:tcW w:w="1275" w:type="dxa"/>
            <w:vAlign w:val="top"/>
          </w:tcPr>
          <w:p w14:paraId="4EAB999A">
            <w:pPr>
              <w:rPr>
                <w:rFonts w:ascii="Arial"/>
                <w:color w:val="auto"/>
                <w:sz w:val="21"/>
              </w:rPr>
            </w:pPr>
          </w:p>
        </w:tc>
        <w:tc>
          <w:tcPr>
            <w:tcW w:w="2157" w:type="dxa"/>
            <w:vAlign w:val="top"/>
          </w:tcPr>
          <w:p w14:paraId="4AF5A04B">
            <w:pPr>
              <w:rPr>
                <w:rFonts w:ascii="Arial"/>
                <w:color w:val="auto"/>
                <w:sz w:val="21"/>
              </w:rPr>
            </w:pPr>
          </w:p>
        </w:tc>
      </w:tr>
      <w:tr w14:paraId="2E385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12" w:type="dxa"/>
            <w:vAlign w:val="top"/>
          </w:tcPr>
          <w:p w14:paraId="0A9797A6">
            <w:pPr>
              <w:rPr>
                <w:rFonts w:ascii="Arial"/>
                <w:color w:val="auto"/>
                <w:sz w:val="21"/>
              </w:rPr>
            </w:pPr>
          </w:p>
        </w:tc>
        <w:tc>
          <w:tcPr>
            <w:tcW w:w="1791" w:type="dxa"/>
            <w:vAlign w:val="top"/>
          </w:tcPr>
          <w:p w14:paraId="456B44C4">
            <w:pPr>
              <w:rPr>
                <w:rFonts w:ascii="Arial"/>
                <w:color w:val="auto"/>
                <w:sz w:val="21"/>
              </w:rPr>
            </w:pPr>
          </w:p>
        </w:tc>
        <w:tc>
          <w:tcPr>
            <w:tcW w:w="560" w:type="dxa"/>
            <w:vAlign w:val="top"/>
          </w:tcPr>
          <w:p w14:paraId="06EED89B">
            <w:pPr>
              <w:rPr>
                <w:rFonts w:ascii="Arial"/>
                <w:color w:val="auto"/>
                <w:sz w:val="21"/>
              </w:rPr>
            </w:pPr>
          </w:p>
        </w:tc>
        <w:tc>
          <w:tcPr>
            <w:tcW w:w="560" w:type="dxa"/>
            <w:vAlign w:val="top"/>
          </w:tcPr>
          <w:p w14:paraId="2B0D0ADB">
            <w:pPr>
              <w:rPr>
                <w:rFonts w:ascii="Arial"/>
                <w:color w:val="auto"/>
                <w:sz w:val="21"/>
              </w:rPr>
            </w:pPr>
          </w:p>
        </w:tc>
        <w:tc>
          <w:tcPr>
            <w:tcW w:w="1609" w:type="dxa"/>
            <w:vAlign w:val="top"/>
          </w:tcPr>
          <w:p w14:paraId="6D901446">
            <w:pPr>
              <w:rPr>
                <w:rFonts w:ascii="Arial"/>
                <w:color w:val="auto"/>
                <w:sz w:val="21"/>
              </w:rPr>
            </w:pPr>
          </w:p>
        </w:tc>
        <w:tc>
          <w:tcPr>
            <w:tcW w:w="1275" w:type="dxa"/>
            <w:vAlign w:val="top"/>
          </w:tcPr>
          <w:p w14:paraId="62053672">
            <w:pPr>
              <w:rPr>
                <w:rFonts w:ascii="Arial"/>
                <w:color w:val="auto"/>
                <w:sz w:val="21"/>
              </w:rPr>
            </w:pPr>
          </w:p>
        </w:tc>
        <w:tc>
          <w:tcPr>
            <w:tcW w:w="2157" w:type="dxa"/>
            <w:vAlign w:val="top"/>
          </w:tcPr>
          <w:p w14:paraId="13035C74">
            <w:pPr>
              <w:rPr>
                <w:rFonts w:ascii="Arial"/>
                <w:color w:val="auto"/>
                <w:sz w:val="21"/>
              </w:rPr>
            </w:pPr>
          </w:p>
        </w:tc>
      </w:tr>
      <w:tr w14:paraId="31CE4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12" w:type="dxa"/>
            <w:vAlign w:val="top"/>
          </w:tcPr>
          <w:p w14:paraId="15666C9E">
            <w:pPr>
              <w:rPr>
                <w:rFonts w:ascii="Arial"/>
                <w:color w:val="auto"/>
                <w:sz w:val="21"/>
              </w:rPr>
            </w:pPr>
          </w:p>
        </w:tc>
        <w:tc>
          <w:tcPr>
            <w:tcW w:w="1791" w:type="dxa"/>
            <w:vAlign w:val="top"/>
          </w:tcPr>
          <w:p w14:paraId="0ACC3709">
            <w:pPr>
              <w:rPr>
                <w:rFonts w:ascii="Arial"/>
                <w:color w:val="auto"/>
                <w:sz w:val="21"/>
              </w:rPr>
            </w:pPr>
          </w:p>
        </w:tc>
        <w:tc>
          <w:tcPr>
            <w:tcW w:w="560" w:type="dxa"/>
            <w:vAlign w:val="top"/>
          </w:tcPr>
          <w:p w14:paraId="671ACE85">
            <w:pPr>
              <w:rPr>
                <w:rFonts w:ascii="Arial"/>
                <w:color w:val="auto"/>
                <w:sz w:val="21"/>
              </w:rPr>
            </w:pPr>
          </w:p>
        </w:tc>
        <w:tc>
          <w:tcPr>
            <w:tcW w:w="560" w:type="dxa"/>
            <w:vAlign w:val="top"/>
          </w:tcPr>
          <w:p w14:paraId="6EB3DED0">
            <w:pPr>
              <w:rPr>
                <w:rFonts w:ascii="Arial"/>
                <w:color w:val="auto"/>
                <w:sz w:val="21"/>
              </w:rPr>
            </w:pPr>
          </w:p>
        </w:tc>
        <w:tc>
          <w:tcPr>
            <w:tcW w:w="1609" w:type="dxa"/>
            <w:vAlign w:val="top"/>
          </w:tcPr>
          <w:p w14:paraId="39D66D52">
            <w:pPr>
              <w:rPr>
                <w:rFonts w:ascii="Arial"/>
                <w:color w:val="auto"/>
                <w:sz w:val="21"/>
              </w:rPr>
            </w:pPr>
          </w:p>
        </w:tc>
        <w:tc>
          <w:tcPr>
            <w:tcW w:w="1275" w:type="dxa"/>
            <w:vAlign w:val="top"/>
          </w:tcPr>
          <w:p w14:paraId="052AA3C8">
            <w:pPr>
              <w:rPr>
                <w:rFonts w:ascii="Arial"/>
                <w:color w:val="auto"/>
                <w:sz w:val="21"/>
              </w:rPr>
            </w:pPr>
          </w:p>
        </w:tc>
        <w:tc>
          <w:tcPr>
            <w:tcW w:w="2157" w:type="dxa"/>
            <w:vAlign w:val="top"/>
          </w:tcPr>
          <w:p w14:paraId="5CF642ED">
            <w:pPr>
              <w:rPr>
                <w:rFonts w:ascii="Arial"/>
                <w:color w:val="auto"/>
                <w:sz w:val="21"/>
              </w:rPr>
            </w:pPr>
          </w:p>
        </w:tc>
      </w:tr>
      <w:tr w14:paraId="3819C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12" w:type="dxa"/>
            <w:vAlign w:val="top"/>
          </w:tcPr>
          <w:p w14:paraId="7D0D8392">
            <w:pPr>
              <w:rPr>
                <w:rFonts w:ascii="Arial"/>
                <w:color w:val="auto"/>
                <w:sz w:val="21"/>
              </w:rPr>
            </w:pPr>
          </w:p>
        </w:tc>
        <w:tc>
          <w:tcPr>
            <w:tcW w:w="1791" w:type="dxa"/>
            <w:vAlign w:val="top"/>
          </w:tcPr>
          <w:p w14:paraId="3FC7DA1B">
            <w:pPr>
              <w:rPr>
                <w:rFonts w:ascii="Arial"/>
                <w:color w:val="auto"/>
                <w:sz w:val="21"/>
              </w:rPr>
            </w:pPr>
          </w:p>
        </w:tc>
        <w:tc>
          <w:tcPr>
            <w:tcW w:w="560" w:type="dxa"/>
            <w:vAlign w:val="top"/>
          </w:tcPr>
          <w:p w14:paraId="7B695779">
            <w:pPr>
              <w:rPr>
                <w:rFonts w:ascii="Arial"/>
                <w:color w:val="auto"/>
                <w:sz w:val="21"/>
              </w:rPr>
            </w:pPr>
          </w:p>
        </w:tc>
        <w:tc>
          <w:tcPr>
            <w:tcW w:w="560" w:type="dxa"/>
            <w:vAlign w:val="top"/>
          </w:tcPr>
          <w:p w14:paraId="56A788FA">
            <w:pPr>
              <w:rPr>
                <w:rFonts w:ascii="Arial"/>
                <w:color w:val="auto"/>
                <w:sz w:val="21"/>
              </w:rPr>
            </w:pPr>
          </w:p>
        </w:tc>
        <w:tc>
          <w:tcPr>
            <w:tcW w:w="1609" w:type="dxa"/>
            <w:vAlign w:val="top"/>
          </w:tcPr>
          <w:p w14:paraId="1EB699EA">
            <w:pPr>
              <w:rPr>
                <w:rFonts w:ascii="Arial"/>
                <w:color w:val="auto"/>
                <w:sz w:val="21"/>
              </w:rPr>
            </w:pPr>
          </w:p>
        </w:tc>
        <w:tc>
          <w:tcPr>
            <w:tcW w:w="1275" w:type="dxa"/>
            <w:vAlign w:val="top"/>
          </w:tcPr>
          <w:p w14:paraId="566833ED">
            <w:pPr>
              <w:rPr>
                <w:rFonts w:ascii="Arial"/>
                <w:color w:val="auto"/>
                <w:sz w:val="21"/>
              </w:rPr>
            </w:pPr>
          </w:p>
        </w:tc>
        <w:tc>
          <w:tcPr>
            <w:tcW w:w="2157" w:type="dxa"/>
            <w:vAlign w:val="top"/>
          </w:tcPr>
          <w:p w14:paraId="2FF04BF2">
            <w:pPr>
              <w:rPr>
                <w:rFonts w:ascii="Arial"/>
                <w:color w:val="auto"/>
                <w:sz w:val="21"/>
              </w:rPr>
            </w:pPr>
          </w:p>
        </w:tc>
      </w:tr>
      <w:tr w14:paraId="0C538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12" w:type="dxa"/>
            <w:vAlign w:val="top"/>
          </w:tcPr>
          <w:p w14:paraId="503E2950">
            <w:pPr>
              <w:rPr>
                <w:rFonts w:ascii="Arial"/>
                <w:color w:val="auto"/>
                <w:sz w:val="21"/>
              </w:rPr>
            </w:pPr>
          </w:p>
        </w:tc>
        <w:tc>
          <w:tcPr>
            <w:tcW w:w="1791" w:type="dxa"/>
            <w:vAlign w:val="top"/>
          </w:tcPr>
          <w:p w14:paraId="778299BA">
            <w:pPr>
              <w:rPr>
                <w:rFonts w:ascii="Arial"/>
                <w:color w:val="auto"/>
                <w:sz w:val="21"/>
              </w:rPr>
            </w:pPr>
          </w:p>
        </w:tc>
        <w:tc>
          <w:tcPr>
            <w:tcW w:w="560" w:type="dxa"/>
            <w:vAlign w:val="top"/>
          </w:tcPr>
          <w:p w14:paraId="0CB32B27">
            <w:pPr>
              <w:rPr>
                <w:rFonts w:ascii="Arial"/>
                <w:color w:val="auto"/>
                <w:sz w:val="21"/>
              </w:rPr>
            </w:pPr>
          </w:p>
        </w:tc>
        <w:tc>
          <w:tcPr>
            <w:tcW w:w="560" w:type="dxa"/>
            <w:vAlign w:val="top"/>
          </w:tcPr>
          <w:p w14:paraId="3256305A">
            <w:pPr>
              <w:rPr>
                <w:rFonts w:ascii="Arial"/>
                <w:color w:val="auto"/>
                <w:sz w:val="21"/>
              </w:rPr>
            </w:pPr>
          </w:p>
        </w:tc>
        <w:tc>
          <w:tcPr>
            <w:tcW w:w="1609" w:type="dxa"/>
            <w:vAlign w:val="top"/>
          </w:tcPr>
          <w:p w14:paraId="3EBED721">
            <w:pPr>
              <w:rPr>
                <w:rFonts w:ascii="Arial"/>
                <w:color w:val="auto"/>
                <w:sz w:val="21"/>
              </w:rPr>
            </w:pPr>
          </w:p>
        </w:tc>
        <w:tc>
          <w:tcPr>
            <w:tcW w:w="1275" w:type="dxa"/>
            <w:vAlign w:val="top"/>
          </w:tcPr>
          <w:p w14:paraId="75F24F5A">
            <w:pPr>
              <w:rPr>
                <w:rFonts w:ascii="Arial"/>
                <w:color w:val="auto"/>
                <w:sz w:val="21"/>
              </w:rPr>
            </w:pPr>
          </w:p>
        </w:tc>
        <w:tc>
          <w:tcPr>
            <w:tcW w:w="2157" w:type="dxa"/>
            <w:vAlign w:val="top"/>
          </w:tcPr>
          <w:p w14:paraId="71C5A68A">
            <w:pPr>
              <w:rPr>
                <w:rFonts w:ascii="Arial"/>
                <w:color w:val="auto"/>
                <w:sz w:val="21"/>
              </w:rPr>
            </w:pPr>
          </w:p>
        </w:tc>
      </w:tr>
      <w:tr w14:paraId="6044D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 w:hRule="atLeast"/>
        </w:trPr>
        <w:tc>
          <w:tcPr>
            <w:tcW w:w="8964" w:type="dxa"/>
            <w:gridSpan w:val="7"/>
            <w:vAlign w:val="top"/>
          </w:tcPr>
          <w:p w14:paraId="18D3521D">
            <w:pPr>
              <w:rPr>
                <w:rFonts w:ascii="Arial"/>
                <w:color w:val="auto"/>
                <w:sz w:val="21"/>
              </w:rPr>
            </w:pPr>
          </w:p>
        </w:tc>
      </w:tr>
    </w:tbl>
    <w:p w14:paraId="43B7C0A8">
      <w:pPr>
        <w:pStyle w:val="3"/>
        <w:rPr>
          <w:color w:val="auto"/>
        </w:rPr>
      </w:pPr>
    </w:p>
    <w:p w14:paraId="246EF968">
      <w:pPr>
        <w:rPr>
          <w:color w:val="auto"/>
        </w:rPr>
        <w:sectPr>
          <w:headerReference r:id="rId75" w:type="default"/>
          <w:footerReference r:id="rId76" w:type="default"/>
          <w:pgSz w:w="11906" w:h="16839"/>
          <w:pgMar w:top="999" w:right="1246" w:bottom="844" w:left="1305" w:header="698" w:footer="682" w:gutter="0"/>
          <w:pgNumType w:fmt="decimal"/>
          <w:cols w:space="720" w:num="1"/>
        </w:sectPr>
      </w:pPr>
    </w:p>
    <w:p w14:paraId="0844BB69">
      <w:pPr>
        <w:pStyle w:val="3"/>
        <w:spacing w:line="418" w:lineRule="auto"/>
        <w:rPr>
          <w:color w:val="auto"/>
        </w:rPr>
      </w:pPr>
    </w:p>
    <w:p w14:paraId="024A140B">
      <w:pPr>
        <w:spacing w:before="91" w:line="219" w:lineRule="auto"/>
        <w:ind w:left="33"/>
        <w:outlineLvl w:val="1"/>
        <w:rPr>
          <w:rFonts w:ascii="宋体" w:hAnsi="宋体" w:eastAsia="宋体" w:cs="宋体"/>
          <w:color w:val="auto"/>
          <w:sz w:val="28"/>
          <w:szCs w:val="28"/>
        </w:rPr>
      </w:pPr>
      <w:bookmarkStart w:id="31" w:name="_Toc8435"/>
      <w:r>
        <w:rPr>
          <w:rFonts w:ascii="宋体" w:hAnsi="宋体" w:eastAsia="宋体" w:cs="宋体"/>
          <w:b/>
          <w:bCs/>
          <w:color w:val="auto"/>
          <w:spacing w:val="-24"/>
          <w:sz w:val="28"/>
          <w:szCs w:val="28"/>
        </w:rPr>
        <w:t>附件11:后续服务及优惠条件</w:t>
      </w:r>
      <w:bookmarkEnd w:id="31"/>
    </w:p>
    <w:p w14:paraId="284FD9A7">
      <w:pPr>
        <w:spacing w:before="133" w:line="223" w:lineRule="auto"/>
        <w:ind w:left="3371"/>
        <w:rPr>
          <w:rFonts w:ascii="仿宋" w:hAnsi="仿宋" w:eastAsia="仿宋" w:cs="仿宋"/>
          <w:color w:val="auto"/>
          <w:sz w:val="28"/>
          <w:szCs w:val="28"/>
        </w:rPr>
      </w:pPr>
      <w:r>
        <w:rPr>
          <w:rFonts w:ascii="仿宋" w:hAnsi="仿宋" w:eastAsia="仿宋" w:cs="仿宋"/>
          <w:color w:val="auto"/>
          <w:spacing w:val="-11"/>
          <w:sz w:val="28"/>
          <w:szCs w:val="28"/>
        </w:rPr>
        <w:t>后续服务及优惠条件</w:t>
      </w:r>
    </w:p>
    <w:p w14:paraId="73CFAD06">
      <w:pPr>
        <w:pStyle w:val="3"/>
        <w:spacing w:line="266" w:lineRule="auto"/>
        <w:rPr>
          <w:color w:val="auto"/>
        </w:rPr>
      </w:pPr>
    </w:p>
    <w:p w14:paraId="25BBE4A1">
      <w:pPr>
        <w:pStyle w:val="3"/>
        <w:spacing w:line="266" w:lineRule="auto"/>
        <w:rPr>
          <w:color w:val="auto"/>
        </w:rPr>
      </w:pPr>
    </w:p>
    <w:p w14:paraId="7F9543E7">
      <w:pPr>
        <w:spacing w:before="78" w:line="221" w:lineRule="auto"/>
        <w:ind w:left="15"/>
        <w:rPr>
          <w:rFonts w:ascii="仿宋" w:hAnsi="仿宋" w:eastAsia="仿宋" w:cs="仿宋"/>
          <w:color w:val="auto"/>
          <w:sz w:val="24"/>
          <w:szCs w:val="24"/>
        </w:rPr>
      </w:pPr>
      <w:r>
        <w:rPr>
          <w:rFonts w:ascii="仿宋" w:hAnsi="仿宋" w:eastAsia="仿宋" w:cs="仿宋"/>
          <w:color w:val="auto"/>
          <w:spacing w:val="-11"/>
          <w:sz w:val="24"/>
          <w:szCs w:val="24"/>
        </w:rPr>
        <w:t>投标人根据采购项目要求及自身情况自行填报。</w:t>
      </w:r>
    </w:p>
    <w:p w14:paraId="458BD04B">
      <w:pPr>
        <w:pStyle w:val="3"/>
        <w:spacing w:line="257" w:lineRule="auto"/>
        <w:rPr>
          <w:color w:val="auto"/>
        </w:rPr>
      </w:pPr>
    </w:p>
    <w:p w14:paraId="6B5AE83D">
      <w:pPr>
        <w:pStyle w:val="3"/>
        <w:spacing w:line="257" w:lineRule="auto"/>
        <w:rPr>
          <w:color w:val="auto"/>
        </w:rPr>
      </w:pPr>
    </w:p>
    <w:p w14:paraId="07605598">
      <w:pPr>
        <w:pStyle w:val="3"/>
        <w:spacing w:line="257" w:lineRule="auto"/>
        <w:rPr>
          <w:color w:val="auto"/>
        </w:rPr>
      </w:pPr>
    </w:p>
    <w:p w14:paraId="70D57D94">
      <w:pPr>
        <w:pStyle w:val="3"/>
        <w:spacing w:line="257" w:lineRule="auto"/>
        <w:rPr>
          <w:color w:val="auto"/>
        </w:rPr>
      </w:pPr>
    </w:p>
    <w:p w14:paraId="7B3B7FC9">
      <w:pPr>
        <w:spacing w:before="78" w:line="222" w:lineRule="auto"/>
        <w:ind w:left="15"/>
        <w:rPr>
          <w:rFonts w:ascii="仿宋" w:hAnsi="仿宋" w:eastAsia="仿宋" w:cs="仿宋"/>
          <w:color w:val="auto"/>
          <w:sz w:val="24"/>
          <w:szCs w:val="24"/>
        </w:rPr>
      </w:pPr>
      <w:r>
        <w:rPr>
          <w:rFonts w:ascii="仿宋" w:hAnsi="仿宋" w:eastAsia="仿宋" w:cs="仿宋"/>
          <w:color w:val="auto"/>
          <w:spacing w:val="-12"/>
          <w:sz w:val="24"/>
          <w:szCs w:val="24"/>
        </w:rPr>
        <w:t>投标人（企业电子章</w:t>
      </w:r>
      <w:r>
        <w:rPr>
          <w:rFonts w:ascii="仿宋" w:hAnsi="仿宋" w:eastAsia="仿宋" w:cs="仿宋"/>
          <w:color w:val="auto"/>
          <w:spacing w:val="-5"/>
          <w:sz w:val="24"/>
          <w:szCs w:val="24"/>
        </w:rPr>
        <w:t>）：</w:t>
      </w:r>
    </w:p>
    <w:p w14:paraId="059DF89B">
      <w:pPr>
        <w:spacing w:line="222" w:lineRule="auto"/>
        <w:rPr>
          <w:rFonts w:ascii="仿宋" w:hAnsi="仿宋" w:eastAsia="仿宋" w:cs="仿宋"/>
          <w:color w:val="auto"/>
          <w:sz w:val="24"/>
          <w:szCs w:val="24"/>
        </w:rPr>
        <w:sectPr>
          <w:headerReference r:id="rId77" w:type="default"/>
          <w:footerReference r:id="rId78" w:type="default"/>
          <w:pgSz w:w="11906" w:h="16839"/>
          <w:pgMar w:top="999" w:right="1246" w:bottom="844" w:left="1418" w:header="698" w:footer="682" w:gutter="0"/>
          <w:pgNumType w:fmt="decimal"/>
          <w:cols w:space="720" w:num="1"/>
        </w:sectPr>
      </w:pPr>
    </w:p>
    <w:p w14:paraId="77BE1D6A">
      <w:pPr>
        <w:pStyle w:val="3"/>
        <w:spacing w:line="418" w:lineRule="auto"/>
        <w:rPr>
          <w:color w:val="auto"/>
        </w:rPr>
      </w:pPr>
    </w:p>
    <w:p w14:paraId="0C5FBD87">
      <w:pPr>
        <w:spacing w:before="91" w:line="219" w:lineRule="auto"/>
        <w:ind w:left="33"/>
        <w:outlineLvl w:val="1"/>
        <w:rPr>
          <w:rFonts w:ascii="宋体" w:hAnsi="宋体" w:eastAsia="宋体" w:cs="宋体"/>
          <w:color w:val="auto"/>
          <w:sz w:val="28"/>
          <w:szCs w:val="28"/>
        </w:rPr>
      </w:pPr>
      <w:bookmarkStart w:id="32" w:name="_Toc25232"/>
      <w:r>
        <w:rPr>
          <w:rFonts w:ascii="宋体" w:hAnsi="宋体" w:eastAsia="宋体" w:cs="宋体"/>
          <w:b/>
          <w:bCs/>
          <w:color w:val="auto"/>
          <w:spacing w:val="-24"/>
          <w:sz w:val="28"/>
          <w:szCs w:val="28"/>
        </w:rPr>
        <w:t>附件12:其他需要提供的资料</w:t>
      </w:r>
      <w:bookmarkEnd w:id="32"/>
    </w:p>
    <w:p w14:paraId="7D7F550A">
      <w:pPr>
        <w:spacing w:before="132" w:line="221" w:lineRule="auto"/>
        <w:ind w:left="3371"/>
        <w:rPr>
          <w:rFonts w:ascii="仿宋" w:hAnsi="仿宋" w:eastAsia="仿宋" w:cs="仿宋"/>
          <w:color w:val="auto"/>
          <w:sz w:val="28"/>
          <w:szCs w:val="28"/>
        </w:rPr>
      </w:pPr>
      <w:r>
        <w:rPr>
          <w:rFonts w:ascii="仿宋" w:hAnsi="仿宋" w:eastAsia="仿宋" w:cs="仿宋"/>
          <w:color w:val="auto"/>
          <w:spacing w:val="-11"/>
          <w:sz w:val="28"/>
          <w:szCs w:val="28"/>
        </w:rPr>
        <w:t>其他需要提供的资料</w:t>
      </w:r>
    </w:p>
    <w:p w14:paraId="28EFFA91">
      <w:pPr>
        <w:pStyle w:val="3"/>
        <w:spacing w:line="281" w:lineRule="auto"/>
        <w:rPr>
          <w:color w:val="auto"/>
        </w:rPr>
      </w:pPr>
    </w:p>
    <w:p w14:paraId="0A69C38E">
      <w:pPr>
        <w:pStyle w:val="3"/>
        <w:spacing w:line="282" w:lineRule="auto"/>
        <w:rPr>
          <w:color w:val="auto"/>
        </w:rPr>
      </w:pPr>
    </w:p>
    <w:p w14:paraId="68DD6C48">
      <w:pPr>
        <w:spacing w:before="65" w:line="229" w:lineRule="auto"/>
        <w:ind w:left="13"/>
        <w:rPr>
          <w:rFonts w:ascii="仿宋" w:hAnsi="仿宋" w:eastAsia="仿宋" w:cs="仿宋"/>
          <w:color w:val="auto"/>
          <w:sz w:val="20"/>
          <w:szCs w:val="20"/>
        </w:rPr>
      </w:pPr>
      <w:r>
        <w:rPr>
          <w:rFonts w:ascii="仿宋" w:hAnsi="仿宋" w:eastAsia="仿宋" w:cs="仿宋"/>
          <w:color w:val="auto"/>
          <w:spacing w:val="-2"/>
          <w:sz w:val="20"/>
          <w:szCs w:val="20"/>
        </w:rPr>
        <w:t>投标人根据招标项目要求及自身情况自行填报。</w:t>
      </w:r>
    </w:p>
    <w:p w14:paraId="171F29A9">
      <w:pPr>
        <w:spacing w:line="229" w:lineRule="auto"/>
        <w:rPr>
          <w:rFonts w:ascii="仿宋" w:hAnsi="仿宋" w:eastAsia="仿宋" w:cs="仿宋"/>
          <w:color w:val="auto"/>
          <w:sz w:val="20"/>
          <w:szCs w:val="20"/>
        </w:rPr>
        <w:sectPr>
          <w:footerReference r:id="rId79" w:type="default"/>
          <w:pgSz w:w="11906" w:h="16839"/>
          <w:pgMar w:top="999" w:right="1246" w:bottom="844" w:left="1418" w:header="698" w:footer="682" w:gutter="0"/>
          <w:pgNumType w:fmt="decimal"/>
          <w:cols w:space="720" w:num="1"/>
        </w:sectPr>
      </w:pPr>
    </w:p>
    <w:p w14:paraId="0B812A2C">
      <w:pPr>
        <w:pStyle w:val="3"/>
        <w:spacing w:line="418" w:lineRule="auto"/>
        <w:rPr>
          <w:color w:val="auto"/>
        </w:rPr>
      </w:pPr>
    </w:p>
    <w:p w14:paraId="3782640F">
      <w:pPr>
        <w:spacing w:before="91" w:line="219" w:lineRule="auto"/>
        <w:ind w:left="103"/>
        <w:outlineLvl w:val="1"/>
        <w:rPr>
          <w:rFonts w:ascii="宋体" w:hAnsi="宋体" w:eastAsia="宋体" w:cs="宋体"/>
          <w:color w:val="auto"/>
          <w:sz w:val="28"/>
          <w:szCs w:val="28"/>
        </w:rPr>
      </w:pPr>
      <w:bookmarkStart w:id="33" w:name="_Toc14766"/>
      <w:r>
        <w:rPr>
          <w:rFonts w:ascii="宋体" w:hAnsi="宋体" w:eastAsia="宋体" w:cs="宋体"/>
          <w:b/>
          <w:bCs/>
          <w:color w:val="auto"/>
          <w:spacing w:val="-27"/>
          <w:sz w:val="28"/>
          <w:szCs w:val="28"/>
        </w:rPr>
        <w:t>附件13:参与评审打分的证书（证件）一览表</w:t>
      </w:r>
      <w:bookmarkEnd w:id="33"/>
    </w:p>
    <w:p w14:paraId="4D67C3B0">
      <w:pPr>
        <w:spacing w:before="133" w:line="223" w:lineRule="auto"/>
        <w:ind w:left="2661"/>
        <w:rPr>
          <w:rFonts w:ascii="仿宋" w:hAnsi="仿宋" w:eastAsia="仿宋" w:cs="仿宋"/>
          <w:color w:val="auto"/>
          <w:sz w:val="28"/>
          <w:szCs w:val="28"/>
        </w:rPr>
      </w:pPr>
      <w:r>
        <w:rPr>
          <w:rFonts w:ascii="仿宋" w:hAnsi="仿宋" w:eastAsia="仿宋" w:cs="仿宋"/>
          <w:color w:val="auto"/>
          <w:spacing w:val="-29"/>
          <w:sz w:val="28"/>
          <w:szCs w:val="28"/>
        </w:rPr>
        <w:t>参与评审打分的证书（证件）一览表</w:t>
      </w:r>
    </w:p>
    <w:p w14:paraId="3FCAA867">
      <w:pPr>
        <w:spacing w:before="9"/>
        <w:rPr>
          <w:color w:val="auto"/>
        </w:rPr>
      </w:pPr>
    </w:p>
    <w:p w14:paraId="341613B0">
      <w:pPr>
        <w:spacing w:before="8"/>
        <w:rPr>
          <w:color w:val="auto"/>
        </w:rPr>
      </w:pPr>
    </w:p>
    <w:tbl>
      <w:tblPr>
        <w:tblStyle w:val="10"/>
        <w:tblW w:w="93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8"/>
        <w:gridCol w:w="2408"/>
        <w:gridCol w:w="2408"/>
        <w:gridCol w:w="2409"/>
        <w:gridCol w:w="1371"/>
      </w:tblGrid>
      <w:tr w14:paraId="3757A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778" w:type="dxa"/>
            <w:vAlign w:val="top"/>
          </w:tcPr>
          <w:p w14:paraId="4D121A8C">
            <w:pPr>
              <w:pStyle w:val="11"/>
              <w:spacing w:before="207" w:line="222" w:lineRule="auto"/>
              <w:ind w:left="124"/>
              <w:rPr>
                <w:color w:val="auto"/>
                <w:sz w:val="24"/>
                <w:szCs w:val="24"/>
              </w:rPr>
            </w:pPr>
            <w:r>
              <w:rPr>
                <w:color w:val="auto"/>
                <w:spacing w:val="-8"/>
                <w:sz w:val="24"/>
                <w:szCs w:val="24"/>
              </w:rPr>
              <w:t>序号</w:t>
            </w:r>
          </w:p>
        </w:tc>
        <w:tc>
          <w:tcPr>
            <w:tcW w:w="2408" w:type="dxa"/>
            <w:vAlign w:val="top"/>
          </w:tcPr>
          <w:p w14:paraId="4169E5F8">
            <w:pPr>
              <w:pStyle w:val="11"/>
              <w:spacing w:before="206" w:line="221" w:lineRule="auto"/>
              <w:ind w:left="118"/>
              <w:rPr>
                <w:color w:val="auto"/>
                <w:sz w:val="24"/>
                <w:szCs w:val="24"/>
              </w:rPr>
            </w:pPr>
            <w:r>
              <w:rPr>
                <w:color w:val="auto"/>
                <w:spacing w:val="-26"/>
                <w:sz w:val="24"/>
                <w:szCs w:val="24"/>
              </w:rPr>
              <w:t>证书（证件）名称</w:t>
            </w:r>
          </w:p>
        </w:tc>
        <w:tc>
          <w:tcPr>
            <w:tcW w:w="2408" w:type="dxa"/>
            <w:vAlign w:val="top"/>
          </w:tcPr>
          <w:p w14:paraId="510251E7">
            <w:pPr>
              <w:pStyle w:val="11"/>
              <w:spacing w:before="206" w:line="221" w:lineRule="auto"/>
              <w:ind w:left="122"/>
              <w:rPr>
                <w:color w:val="auto"/>
                <w:sz w:val="24"/>
                <w:szCs w:val="24"/>
              </w:rPr>
            </w:pPr>
            <w:r>
              <w:rPr>
                <w:color w:val="auto"/>
                <w:spacing w:val="-25"/>
                <w:sz w:val="24"/>
                <w:szCs w:val="24"/>
              </w:rPr>
              <w:t>持证单位（人）</w:t>
            </w:r>
          </w:p>
        </w:tc>
        <w:tc>
          <w:tcPr>
            <w:tcW w:w="2409" w:type="dxa"/>
            <w:vAlign w:val="top"/>
          </w:tcPr>
          <w:p w14:paraId="74167125">
            <w:pPr>
              <w:pStyle w:val="11"/>
              <w:spacing w:before="207" w:line="222" w:lineRule="auto"/>
              <w:ind w:left="128"/>
              <w:rPr>
                <w:color w:val="auto"/>
                <w:sz w:val="24"/>
                <w:szCs w:val="24"/>
              </w:rPr>
            </w:pPr>
            <w:r>
              <w:rPr>
                <w:color w:val="auto"/>
                <w:spacing w:val="-22"/>
                <w:sz w:val="24"/>
                <w:szCs w:val="24"/>
              </w:rPr>
              <w:t>发证机构</w:t>
            </w:r>
          </w:p>
        </w:tc>
        <w:tc>
          <w:tcPr>
            <w:tcW w:w="1371" w:type="dxa"/>
            <w:vAlign w:val="top"/>
          </w:tcPr>
          <w:p w14:paraId="74516C2D">
            <w:pPr>
              <w:pStyle w:val="11"/>
              <w:spacing w:before="206" w:line="223" w:lineRule="auto"/>
              <w:ind w:left="129"/>
              <w:rPr>
                <w:color w:val="auto"/>
                <w:sz w:val="24"/>
                <w:szCs w:val="24"/>
              </w:rPr>
            </w:pPr>
            <w:r>
              <w:rPr>
                <w:color w:val="auto"/>
                <w:spacing w:val="-22"/>
                <w:sz w:val="24"/>
                <w:szCs w:val="24"/>
              </w:rPr>
              <w:t>发证日期</w:t>
            </w:r>
          </w:p>
        </w:tc>
      </w:tr>
      <w:tr w14:paraId="10997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778" w:type="dxa"/>
            <w:vAlign w:val="top"/>
          </w:tcPr>
          <w:p w14:paraId="70A4797E">
            <w:pPr>
              <w:rPr>
                <w:rFonts w:ascii="Arial"/>
                <w:color w:val="auto"/>
                <w:sz w:val="21"/>
              </w:rPr>
            </w:pPr>
          </w:p>
        </w:tc>
        <w:tc>
          <w:tcPr>
            <w:tcW w:w="2408" w:type="dxa"/>
            <w:vAlign w:val="top"/>
          </w:tcPr>
          <w:p w14:paraId="4888B60C">
            <w:pPr>
              <w:rPr>
                <w:rFonts w:ascii="Arial"/>
                <w:color w:val="auto"/>
                <w:sz w:val="21"/>
              </w:rPr>
            </w:pPr>
          </w:p>
        </w:tc>
        <w:tc>
          <w:tcPr>
            <w:tcW w:w="2408" w:type="dxa"/>
            <w:vAlign w:val="top"/>
          </w:tcPr>
          <w:p w14:paraId="0D76999C">
            <w:pPr>
              <w:rPr>
                <w:rFonts w:ascii="Arial"/>
                <w:color w:val="auto"/>
                <w:sz w:val="21"/>
              </w:rPr>
            </w:pPr>
          </w:p>
        </w:tc>
        <w:tc>
          <w:tcPr>
            <w:tcW w:w="2409" w:type="dxa"/>
            <w:vAlign w:val="top"/>
          </w:tcPr>
          <w:p w14:paraId="07FED108">
            <w:pPr>
              <w:rPr>
                <w:rFonts w:ascii="Arial"/>
                <w:color w:val="auto"/>
                <w:sz w:val="21"/>
              </w:rPr>
            </w:pPr>
          </w:p>
        </w:tc>
        <w:tc>
          <w:tcPr>
            <w:tcW w:w="1371" w:type="dxa"/>
            <w:vAlign w:val="top"/>
          </w:tcPr>
          <w:p w14:paraId="7D47C2D4">
            <w:pPr>
              <w:rPr>
                <w:rFonts w:ascii="Arial"/>
                <w:color w:val="auto"/>
                <w:sz w:val="21"/>
              </w:rPr>
            </w:pPr>
          </w:p>
        </w:tc>
      </w:tr>
      <w:tr w14:paraId="201B6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778" w:type="dxa"/>
            <w:vAlign w:val="top"/>
          </w:tcPr>
          <w:p w14:paraId="419FD84C">
            <w:pPr>
              <w:rPr>
                <w:rFonts w:ascii="Arial"/>
                <w:color w:val="auto"/>
                <w:sz w:val="21"/>
              </w:rPr>
            </w:pPr>
          </w:p>
        </w:tc>
        <w:tc>
          <w:tcPr>
            <w:tcW w:w="2408" w:type="dxa"/>
            <w:vAlign w:val="top"/>
          </w:tcPr>
          <w:p w14:paraId="28A98AC9">
            <w:pPr>
              <w:rPr>
                <w:rFonts w:ascii="Arial"/>
                <w:color w:val="auto"/>
                <w:sz w:val="21"/>
              </w:rPr>
            </w:pPr>
          </w:p>
        </w:tc>
        <w:tc>
          <w:tcPr>
            <w:tcW w:w="2408" w:type="dxa"/>
            <w:vAlign w:val="top"/>
          </w:tcPr>
          <w:p w14:paraId="0E75C5A9">
            <w:pPr>
              <w:rPr>
                <w:rFonts w:ascii="Arial"/>
                <w:color w:val="auto"/>
                <w:sz w:val="21"/>
              </w:rPr>
            </w:pPr>
          </w:p>
        </w:tc>
        <w:tc>
          <w:tcPr>
            <w:tcW w:w="2409" w:type="dxa"/>
            <w:vAlign w:val="top"/>
          </w:tcPr>
          <w:p w14:paraId="7739EFB9">
            <w:pPr>
              <w:rPr>
                <w:rFonts w:ascii="Arial"/>
                <w:color w:val="auto"/>
                <w:sz w:val="21"/>
              </w:rPr>
            </w:pPr>
          </w:p>
        </w:tc>
        <w:tc>
          <w:tcPr>
            <w:tcW w:w="1371" w:type="dxa"/>
            <w:vAlign w:val="top"/>
          </w:tcPr>
          <w:p w14:paraId="44213B41">
            <w:pPr>
              <w:rPr>
                <w:rFonts w:ascii="Arial"/>
                <w:color w:val="auto"/>
                <w:sz w:val="21"/>
              </w:rPr>
            </w:pPr>
          </w:p>
        </w:tc>
      </w:tr>
      <w:tr w14:paraId="7CD00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778" w:type="dxa"/>
            <w:vAlign w:val="top"/>
          </w:tcPr>
          <w:p w14:paraId="7040A19D">
            <w:pPr>
              <w:rPr>
                <w:rFonts w:ascii="Arial"/>
                <w:color w:val="auto"/>
                <w:sz w:val="21"/>
              </w:rPr>
            </w:pPr>
          </w:p>
        </w:tc>
        <w:tc>
          <w:tcPr>
            <w:tcW w:w="2408" w:type="dxa"/>
            <w:vAlign w:val="top"/>
          </w:tcPr>
          <w:p w14:paraId="22408578">
            <w:pPr>
              <w:rPr>
                <w:rFonts w:ascii="Arial"/>
                <w:color w:val="auto"/>
                <w:sz w:val="21"/>
              </w:rPr>
            </w:pPr>
          </w:p>
        </w:tc>
        <w:tc>
          <w:tcPr>
            <w:tcW w:w="2408" w:type="dxa"/>
            <w:vAlign w:val="top"/>
          </w:tcPr>
          <w:p w14:paraId="1E3903E7">
            <w:pPr>
              <w:rPr>
                <w:rFonts w:ascii="Arial"/>
                <w:color w:val="auto"/>
                <w:sz w:val="21"/>
              </w:rPr>
            </w:pPr>
          </w:p>
        </w:tc>
        <w:tc>
          <w:tcPr>
            <w:tcW w:w="2409" w:type="dxa"/>
            <w:vAlign w:val="top"/>
          </w:tcPr>
          <w:p w14:paraId="112C26CB">
            <w:pPr>
              <w:rPr>
                <w:rFonts w:ascii="Arial"/>
                <w:color w:val="auto"/>
                <w:sz w:val="21"/>
              </w:rPr>
            </w:pPr>
          </w:p>
        </w:tc>
        <w:tc>
          <w:tcPr>
            <w:tcW w:w="1371" w:type="dxa"/>
            <w:vAlign w:val="top"/>
          </w:tcPr>
          <w:p w14:paraId="7D5B74C6">
            <w:pPr>
              <w:rPr>
                <w:rFonts w:ascii="Arial"/>
                <w:color w:val="auto"/>
                <w:sz w:val="21"/>
              </w:rPr>
            </w:pPr>
          </w:p>
        </w:tc>
      </w:tr>
      <w:tr w14:paraId="2F6E8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778" w:type="dxa"/>
            <w:vAlign w:val="top"/>
          </w:tcPr>
          <w:p w14:paraId="34ECC942">
            <w:pPr>
              <w:rPr>
                <w:rFonts w:ascii="Arial"/>
                <w:color w:val="auto"/>
                <w:sz w:val="21"/>
              </w:rPr>
            </w:pPr>
          </w:p>
        </w:tc>
        <w:tc>
          <w:tcPr>
            <w:tcW w:w="2408" w:type="dxa"/>
            <w:vAlign w:val="top"/>
          </w:tcPr>
          <w:p w14:paraId="60406F6A">
            <w:pPr>
              <w:rPr>
                <w:rFonts w:ascii="Arial"/>
                <w:color w:val="auto"/>
                <w:sz w:val="21"/>
              </w:rPr>
            </w:pPr>
          </w:p>
        </w:tc>
        <w:tc>
          <w:tcPr>
            <w:tcW w:w="2408" w:type="dxa"/>
            <w:vAlign w:val="top"/>
          </w:tcPr>
          <w:p w14:paraId="37E9DC97">
            <w:pPr>
              <w:rPr>
                <w:rFonts w:ascii="Arial"/>
                <w:color w:val="auto"/>
                <w:sz w:val="21"/>
              </w:rPr>
            </w:pPr>
          </w:p>
        </w:tc>
        <w:tc>
          <w:tcPr>
            <w:tcW w:w="2409" w:type="dxa"/>
            <w:vAlign w:val="top"/>
          </w:tcPr>
          <w:p w14:paraId="7A934CC1">
            <w:pPr>
              <w:rPr>
                <w:rFonts w:ascii="Arial"/>
                <w:color w:val="auto"/>
                <w:sz w:val="21"/>
              </w:rPr>
            </w:pPr>
          </w:p>
        </w:tc>
        <w:tc>
          <w:tcPr>
            <w:tcW w:w="1371" w:type="dxa"/>
            <w:vAlign w:val="top"/>
          </w:tcPr>
          <w:p w14:paraId="14090045">
            <w:pPr>
              <w:rPr>
                <w:rFonts w:ascii="Arial"/>
                <w:color w:val="auto"/>
                <w:sz w:val="21"/>
              </w:rPr>
            </w:pPr>
          </w:p>
        </w:tc>
      </w:tr>
      <w:tr w14:paraId="2B158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78" w:type="dxa"/>
            <w:vAlign w:val="top"/>
          </w:tcPr>
          <w:p w14:paraId="43EDEFD0">
            <w:pPr>
              <w:rPr>
                <w:rFonts w:ascii="Arial"/>
                <w:color w:val="auto"/>
                <w:sz w:val="21"/>
              </w:rPr>
            </w:pPr>
          </w:p>
        </w:tc>
        <w:tc>
          <w:tcPr>
            <w:tcW w:w="2408" w:type="dxa"/>
            <w:vAlign w:val="top"/>
          </w:tcPr>
          <w:p w14:paraId="1FF9CE03">
            <w:pPr>
              <w:rPr>
                <w:rFonts w:ascii="Arial"/>
                <w:color w:val="auto"/>
                <w:sz w:val="21"/>
              </w:rPr>
            </w:pPr>
          </w:p>
        </w:tc>
        <w:tc>
          <w:tcPr>
            <w:tcW w:w="2408" w:type="dxa"/>
            <w:vAlign w:val="top"/>
          </w:tcPr>
          <w:p w14:paraId="6F96838B">
            <w:pPr>
              <w:rPr>
                <w:rFonts w:ascii="Arial"/>
                <w:color w:val="auto"/>
                <w:sz w:val="21"/>
              </w:rPr>
            </w:pPr>
          </w:p>
        </w:tc>
        <w:tc>
          <w:tcPr>
            <w:tcW w:w="2409" w:type="dxa"/>
            <w:vAlign w:val="top"/>
          </w:tcPr>
          <w:p w14:paraId="3E87A017">
            <w:pPr>
              <w:rPr>
                <w:rFonts w:ascii="Arial"/>
                <w:color w:val="auto"/>
                <w:sz w:val="21"/>
              </w:rPr>
            </w:pPr>
          </w:p>
        </w:tc>
        <w:tc>
          <w:tcPr>
            <w:tcW w:w="1371" w:type="dxa"/>
            <w:vAlign w:val="top"/>
          </w:tcPr>
          <w:p w14:paraId="7EDDA9BF">
            <w:pPr>
              <w:rPr>
                <w:rFonts w:ascii="Arial"/>
                <w:color w:val="auto"/>
                <w:sz w:val="21"/>
              </w:rPr>
            </w:pPr>
          </w:p>
        </w:tc>
      </w:tr>
      <w:tr w14:paraId="2565A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78" w:type="dxa"/>
            <w:vAlign w:val="top"/>
          </w:tcPr>
          <w:p w14:paraId="7CFD974B">
            <w:pPr>
              <w:rPr>
                <w:rFonts w:ascii="Arial"/>
                <w:color w:val="auto"/>
                <w:sz w:val="21"/>
              </w:rPr>
            </w:pPr>
          </w:p>
        </w:tc>
        <w:tc>
          <w:tcPr>
            <w:tcW w:w="2408" w:type="dxa"/>
            <w:vAlign w:val="top"/>
          </w:tcPr>
          <w:p w14:paraId="4F19F751">
            <w:pPr>
              <w:rPr>
                <w:rFonts w:ascii="Arial"/>
                <w:color w:val="auto"/>
                <w:sz w:val="21"/>
              </w:rPr>
            </w:pPr>
          </w:p>
        </w:tc>
        <w:tc>
          <w:tcPr>
            <w:tcW w:w="2408" w:type="dxa"/>
            <w:vAlign w:val="top"/>
          </w:tcPr>
          <w:p w14:paraId="2E65026F">
            <w:pPr>
              <w:rPr>
                <w:rFonts w:ascii="Arial"/>
                <w:color w:val="auto"/>
                <w:sz w:val="21"/>
              </w:rPr>
            </w:pPr>
          </w:p>
        </w:tc>
        <w:tc>
          <w:tcPr>
            <w:tcW w:w="2409" w:type="dxa"/>
            <w:vAlign w:val="top"/>
          </w:tcPr>
          <w:p w14:paraId="5034AAAA">
            <w:pPr>
              <w:rPr>
                <w:rFonts w:ascii="Arial"/>
                <w:color w:val="auto"/>
                <w:sz w:val="21"/>
              </w:rPr>
            </w:pPr>
          </w:p>
        </w:tc>
        <w:tc>
          <w:tcPr>
            <w:tcW w:w="1371" w:type="dxa"/>
            <w:vAlign w:val="top"/>
          </w:tcPr>
          <w:p w14:paraId="2EAB13C7">
            <w:pPr>
              <w:rPr>
                <w:rFonts w:ascii="Arial"/>
                <w:color w:val="auto"/>
                <w:sz w:val="21"/>
              </w:rPr>
            </w:pPr>
          </w:p>
        </w:tc>
      </w:tr>
      <w:tr w14:paraId="18F9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778" w:type="dxa"/>
            <w:vAlign w:val="top"/>
          </w:tcPr>
          <w:p w14:paraId="053E64BE">
            <w:pPr>
              <w:rPr>
                <w:rFonts w:ascii="Arial"/>
                <w:color w:val="auto"/>
                <w:sz w:val="21"/>
              </w:rPr>
            </w:pPr>
          </w:p>
        </w:tc>
        <w:tc>
          <w:tcPr>
            <w:tcW w:w="2408" w:type="dxa"/>
            <w:vAlign w:val="top"/>
          </w:tcPr>
          <w:p w14:paraId="032BA764">
            <w:pPr>
              <w:rPr>
                <w:rFonts w:ascii="Arial"/>
                <w:color w:val="auto"/>
                <w:sz w:val="21"/>
              </w:rPr>
            </w:pPr>
          </w:p>
        </w:tc>
        <w:tc>
          <w:tcPr>
            <w:tcW w:w="2408" w:type="dxa"/>
            <w:vAlign w:val="top"/>
          </w:tcPr>
          <w:p w14:paraId="6F84E0C9">
            <w:pPr>
              <w:rPr>
                <w:rFonts w:ascii="Arial"/>
                <w:color w:val="auto"/>
                <w:sz w:val="21"/>
              </w:rPr>
            </w:pPr>
          </w:p>
        </w:tc>
        <w:tc>
          <w:tcPr>
            <w:tcW w:w="2409" w:type="dxa"/>
            <w:vAlign w:val="top"/>
          </w:tcPr>
          <w:p w14:paraId="2D8FC7D5">
            <w:pPr>
              <w:rPr>
                <w:rFonts w:ascii="Arial"/>
                <w:color w:val="auto"/>
                <w:sz w:val="21"/>
              </w:rPr>
            </w:pPr>
          </w:p>
        </w:tc>
        <w:tc>
          <w:tcPr>
            <w:tcW w:w="1371" w:type="dxa"/>
            <w:vAlign w:val="top"/>
          </w:tcPr>
          <w:p w14:paraId="4D076717">
            <w:pPr>
              <w:rPr>
                <w:rFonts w:ascii="Arial"/>
                <w:color w:val="auto"/>
                <w:sz w:val="21"/>
              </w:rPr>
            </w:pPr>
          </w:p>
        </w:tc>
      </w:tr>
    </w:tbl>
    <w:p w14:paraId="3FAA7401">
      <w:pPr>
        <w:spacing w:before="113" w:line="222" w:lineRule="auto"/>
        <w:ind w:left="85"/>
        <w:rPr>
          <w:rFonts w:ascii="仿宋" w:hAnsi="仿宋" w:eastAsia="仿宋" w:cs="仿宋"/>
          <w:color w:val="auto"/>
          <w:sz w:val="24"/>
          <w:szCs w:val="24"/>
        </w:rPr>
      </w:pPr>
      <w:r>
        <w:rPr>
          <w:rFonts w:ascii="仿宋" w:hAnsi="仿宋" w:eastAsia="仿宋" w:cs="仿宋"/>
          <w:color w:val="auto"/>
          <w:spacing w:val="-30"/>
          <w:sz w:val="24"/>
          <w:szCs w:val="24"/>
        </w:rPr>
        <w:t>投标人（企业电子章</w:t>
      </w:r>
      <w:r>
        <w:rPr>
          <w:rFonts w:ascii="仿宋" w:hAnsi="仿宋" w:eastAsia="仿宋" w:cs="仿宋"/>
          <w:color w:val="auto"/>
          <w:spacing w:val="-62"/>
          <w:w w:val="91"/>
          <w:sz w:val="24"/>
          <w:szCs w:val="24"/>
        </w:rPr>
        <w:t>）：</w:t>
      </w:r>
    </w:p>
    <w:p w14:paraId="7DB28676">
      <w:pPr>
        <w:pStyle w:val="3"/>
        <w:spacing w:line="281" w:lineRule="auto"/>
        <w:rPr>
          <w:color w:val="auto"/>
        </w:rPr>
      </w:pPr>
    </w:p>
    <w:p w14:paraId="5DECED81">
      <w:pPr>
        <w:pStyle w:val="3"/>
        <w:spacing w:line="281" w:lineRule="auto"/>
        <w:rPr>
          <w:color w:val="auto"/>
        </w:rPr>
      </w:pPr>
    </w:p>
    <w:p w14:paraId="32E6ECBF">
      <w:pPr>
        <w:spacing w:before="78" w:line="221" w:lineRule="auto"/>
        <w:ind w:left="92"/>
        <w:rPr>
          <w:rFonts w:ascii="仿宋" w:hAnsi="仿宋" w:eastAsia="仿宋" w:cs="仿宋"/>
          <w:color w:val="auto"/>
          <w:sz w:val="24"/>
          <w:szCs w:val="24"/>
        </w:rPr>
      </w:pPr>
      <w:r>
        <w:rPr>
          <w:rFonts w:ascii="仿宋" w:hAnsi="仿宋" w:eastAsia="仿宋" w:cs="仿宋"/>
          <w:color w:val="auto"/>
          <w:spacing w:val="-11"/>
          <w:sz w:val="24"/>
          <w:szCs w:val="24"/>
        </w:rPr>
        <w:t>注：1.投标人可根据需要自行增减表格行数。</w:t>
      </w:r>
    </w:p>
    <w:p w14:paraId="20F59098">
      <w:pPr>
        <w:spacing w:before="178" w:line="343" w:lineRule="auto"/>
        <w:ind w:left="88" w:right="160" w:firstLine="412"/>
        <w:rPr>
          <w:rFonts w:ascii="仿宋" w:hAnsi="仿宋" w:eastAsia="仿宋" w:cs="仿宋"/>
          <w:color w:val="auto"/>
          <w:sz w:val="24"/>
          <w:szCs w:val="24"/>
        </w:rPr>
      </w:pPr>
      <w:r>
        <w:rPr>
          <w:rFonts w:ascii="仿宋" w:hAnsi="仿宋" w:eastAsia="仿宋" w:cs="仿宋"/>
          <w:color w:val="auto"/>
          <w:spacing w:val="-32"/>
          <w:sz w:val="24"/>
          <w:szCs w:val="24"/>
        </w:rPr>
        <w:t>2.投标人对所报相关内容的真实性负责，采购代理机构有权将相关内容进行公示，因弄虚作假导</w:t>
      </w:r>
      <w:r>
        <w:rPr>
          <w:rFonts w:ascii="仿宋" w:hAnsi="仿宋" w:eastAsia="仿宋" w:cs="仿宋"/>
          <w:color w:val="auto"/>
          <w:spacing w:val="12"/>
          <w:sz w:val="24"/>
          <w:szCs w:val="24"/>
        </w:rPr>
        <w:t xml:space="preserve"> </w:t>
      </w:r>
      <w:r>
        <w:rPr>
          <w:rFonts w:ascii="仿宋" w:hAnsi="仿宋" w:eastAsia="仿宋" w:cs="仿宋"/>
          <w:color w:val="auto"/>
          <w:spacing w:val="-28"/>
          <w:sz w:val="24"/>
          <w:szCs w:val="24"/>
        </w:rPr>
        <w:t>致的后果由投标人自行承担。</w:t>
      </w:r>
    </w:p>
    <w:p w14:paraId="11E7074A">
      <w:pPr>
        <w:spacing w:line="343" w:lineRule="auto"/>
        <w:rPr>
          <w:rFonts w:ascii="仿宋" w:hAnsi="仿宋" w:eastAsia="仿宋" w:cs="仿宋"/>
          <w:color w:val="auto"/>
          <w:sz w:val="24"/>
          <w:szCs w:val="24"/>
        </w:rPr>
        <w:sectPr>
          <w:headerReference r:id="rId80" w:type="default"/>
          <w:footerReference r:id="rId81" w:type="default"/>
          <w:pgSz w:w="11906" w:h="16839"/>
          <w:pgMar w:top="999" w:right="1178" w:bottom="844" w:left="1348" w:header="698" w:footer="682" w:gutter="0"/>
          <w:pgNumType w:fmt="decimal"/>
          <w:cols w:space="720" w:num="1"/>
        </w:sectPr>
      </w:pPr>
    </w:p>
    <w:p w14:paraId="289F9CA7">
      <w:pPr>
        <w:pStyle w:val="3"/>
        <w:spacing w:line="418" w:lineRule="auto"/>
        <w:rPr>
          <w:color w:val="auto"/>
        </w:rPr>
      </w:pPr>
    </w:p>
    <w:p w14:paraId="5E4D1310">
      <w:pPr>
        <w:spacing w:before="91" w:line="219" w:lineRule="auto"/>
        <w:ind w:left="103"/>
        <w:rPr>
          <w:rFonts w:ascii="宋体" w:hAnsi="宋体" w:eastAsia="宋体" w:cs="宋体"/>
          <w:color w:val="auto"/>
          <w:sz w:val="28"/>
          <w:szCs w:val="28"/>
        </w:rPr>
      </w:pPr>
      <w:r>
        <w:rPr>
          <w:rFonts w:ascii="宋体" w:hAnsi="宋体" w:eastAsia="宋体" w:cs="宋体"/>
          <w:b/>
          <w:bCs/>
          <w:color w:val="auto"/>
          <w:spacing w:val="-26"/>
          <w:sz w:val="28"/>
          <w:szCs w:val="28"/>
        </w:rPr>
        <w:t>附件13-1:参与评审打分的证书（证件）扫描件</w:t>
      </w:r>
    </w:p>
    <w:p w14:paraId="0DA894BD">
      <w:pPr>
        <w:spacing w:before="179" w:line="221" w:lineRule="auto"/>
        <w:ind w:left="88"/>
        <w:outlineLvl w:val="1"/>
        <w:rPr>
          <w:rFonts w:ascii="仿宋" w:hAnsi="仿宋" w:eastAsia="仿宋" w:cs="仿宋"/>
          <w:color w:val="auto"/>
          <w:sz w:val="24"/>
          <w:szCs w:val="24"/>
        </w:rPr>
      </w:pPr>
    </w:p>
    <w:p w14:paraId="2F266942">
      <w:pPr>
        <w:spacing w:line="221" w:lineRule="auto"/>
        <w:rPr>
          <w:rFonts w:ascii="仿宋" w:hAnsi="仿宋" w:eastAsia="仿宋" w:cs="仿宋"/>
          <w:color w:val="auto"/>
          <w:sz w:val="24"/>
          <w:szCs w:val="24"/>
        </w:rPr>
        <w:sectPr>
          <w:footerReference r:id="rId82" w:type="default"/>
          <w:pgSz w:w="11906" w:h="16839"/>
          <w:pgMar w:top="999" w:right="1178" w:bottom="841" w:left="1348" w:header="698" w:footer="682" w:gutter="0"/>
          <w:pgNumType w:fmt="decimal"/>
          <w:cols w:space="720" w:num="1"/>
        </w:sectPr>
      </w:pPr>
    </w:p>
    <w:p w14:paraId="39930712">
      <w:pPr>
        <w:pStyle w:val="3"/>
        <w:spacing w:line="418" w:lineRule="auto"/>
        <w:rPr>
          <w:color w:val="auto"/>
        </w:rPr>
      </w:pPr>
    </w:p>
    <w:p w14:paraId="5D9A96F5">
      <w:pPr>
        <w:spacing w:before="91" w:line="219" w:lineRule="auto"/>
        <w:ind w:left="33"/>
        <w:outlineLvl w:val="1"/>
        <w:rPr>
          <w:rFonts w:ascii="宋体" w:hAnsi="宋体" w:eastAsia="宋体" w:cs="宋体"/>
          <w:color w:val="auto"/>
          <w:sz w:val="28"/>
          <w:szCs w:val="28"/>
        </w:rPr>
      </w:pPr>
      <w:bookmarkStart w:id="34" w:name="_Toc10335"/>
      <w:r>
        <w:rPr>
          <w:rFonts w:ascii="宋体" w:hAnsi="宋体" w:eastAsia="宋体" w:cs="宋体"/>
          <w:b/>
          <w:bCs/>
          <w:color w:val="auto"/>
          <w:spacing w:val="-26"/>
          <w:sz w:val="28"/>
          <w:szCs w:val="28"/>
        </w:rPr>
        <w:t>附件14:参与评审打分的合同业绩一览表</w:t>
      </w:r>
      <w:bookmarkEnd w:id="34"/>
    </w:p>
    <w:p w14:paraId="6DDDD590">
      <w:pPr>
        <w:spacing w:before="124" w:line="222" w:lineRule="auto"/>
        <w:ind w:left="2703"/>
        <w:rPr>
          <w:rFonts w:ascii="仿宋" w:hAnsi="仿宋" w:eastAsia="仿宋" w:cs="仿宋"/>
          <w:color w:val="auto"/>
          <w:sz w:val="30"/>
          <w:szCs w:val="30"/>
        </w:rPr>
      </w:pPr>
      <w:r>
        <w:rPr>
          <w:rFonts w:ascii="仿宋" w:hAnsi="仿宋" w:eastAsia="仿宋" w:cs="仿宋"/>
          <w:color w:val="auto"/>
          <w:spacing w:val="-29"/>
          <w:sz w:val="30"/>
          <w:szCs w:val="30"/>
        </w:rPr>
        <w:t>参与评审打分的合同业绩一览表</w:t>
      </w:r>
    </w:p>
    <w:p w14:paraId="1EA8ACAF">
      <w:pPr>
        <w:spacing w:before="2"/>
        <w:rPr>
          <w:color w:val="auto"/>
        </w:rPr>
      </w:pPr>
    </w:p>
    <w:p w14:paraId="557AEF73">
      <w:pPr>
        <w:spacing w:before="1"/>
        <w:rPr>
          <w:color w:val="auto"/>
        </w:rPr>
      </w:pPr>
    </w:p>
    <w:tbl>
      <w:tblPr>
        <w:tblStyle w:val="10"/>
        <w:tblW w:w="9149" w:type="dxa"/>
        <w:tblInd w:w="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7"/>
        <w:gridCol w:w="2338"/>
        <w:gridCol w:w="2550"/>
        <w:gridCol w:w="2125"/>
        <w:gridCol w:w="1259"/>
      </w:tblGrid>
      <w:tr w14:paraId="6F997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877" w:type="dxa"/>
            <w:vAlign w:val="top"/>
          </w:tcPr>
          <w:p w14:paraId="7B04C616">
            <w:pPr>
              <w:pStyle w:val="11"/>
              <w:spacing w:before="207" w:line="222" w:lineRule="auto"/>
              <w:ind w:left="124"/>
              <w:rPr>
                <w:color w:val="auto"/>
                <w:sz w:val="24"/>
                <w:szCs w:val="24"/>
              </w:rPr>
            </w:pPr>
            <w:r>
              <w:rPr>
                <w:color w:val="auto"/>
                <w:spacing w:val="-8"/>
                <w:sz w:val="24"/>
                <w:szCs w:val="24"/>
              </w:rPr>
              <w:t>序号</w:t>
            </w:r>
          </w:p>
        </w:tc>
        <w:tc>
          <w:tcPr>
            <w:tcW w:w="2338" w:type="dxa"/>
            <w:vAlign w:val="top"/>
          </w:tcPr>
          <w:p w14:paraId="670495DE">
            <w:pPr>
              <w:pStyle w:val="11"/>
              <w:spacing w:before="206" w:line="221" w:lineRule="auto"/>
              <w:ind w:left="121"/>
              <w:rPr>
                <w:color w:val="auto"/>
                <w:sz w:val="24"/>
                <w:szCs w:val="24"/>
              </w:rPr>
            </w:pPr>
            <w:r>
              <w:rPr>
                <w:color w:val="auto"/>
                <w:spacing w:val="-20"/>
                <w:sz w:val="24"/>
                <w:szCs w:val="24"/>
              </w:rPr>
              <w:t>项目名称</w:t>
            </w:r>
          </w:p>
        </w:tc>
        <w:tc>
          <w:tcPr>
            <w:tcW w:w="2550" w:type="dxa"/>
            <w:vAlign w:val="top"/>
          </w:tcPr>
          <w:p w14:paraId="729596DF">
            <w:pPr>
              <w:pStyle w:val="11"/>
              <w:spacing w:before="206" w:line="221" w:lineRule="auto"/>
              <w:ind w:left="122"/>
              <w:rPr>
                <w:color w:val="auto"/>
                <w:sz w:val="24"/>
                <w:szCs w:val="24"/>
              </w:rPr>
            </w:pPr>
            <w:r>
              <w:rPr>
                <w:color w:val="auto"/>
                <w:spacing w:val="-27"/>
                <w:sz w:val="24"/>
                <w:szCs w:val="24"/>
              </w:rPr>
              <w:t>采购单位（甲方）名称</w:t>
            </w:r>
          </w:p>
        </w:tc>
        <w:tc>
          <w:tcPr>
            <w:tcW w:w="2125" w:type="dxa"/>
            <w:vAlign w:val="top"/>
          </w:tcPr>
          <w:p w14:paraId="57EBA1FC">
            <w:pPr>
              <w:pStyle w:val="11"/>
              <w:spacing w:before="206" w:line="223" w:lineRule="auto"/>
              <w:ind w:left="128"/>
              <w:rPr>
                <w:color w:val="auto"/>
                <w:sz w:val="24"/>
                <w:szCs w:val="24"/>
              </w:rPr>
            </w:pPr>
            <w:r>
              <w:rPr>
                <w:color w:val="auto"/>
                <w:spacing w:val="-26"/>
                <w:sz w:val="24"/>
                <w:szCs w:val="24"/>
              </w:rPr>
              <w:t>合同金额（元）</w:t>
            </w:r>
          </w:p>
        </w:tc>
        <w:tc>
          <w:tcPr>
            <w:tcW w:w="1259" w:type="dxa"/>
            <w:vAlign w:val="top"/>
          </w:tcPr>
          <w:p w14:paraId="6D53CB09">
            <w:pPr>
              <w:pStyle w:val="11"/>
              <w:spacing w:before="206" w:line="223" w:lineRule="auto"/>
              <w:ind w:left="128"/>
              <w:rPr>
                <w:color w:val="auto"/>
                <w:sz w:val="24"/>
                <w:szCs w:val="24"/>
              </w:rPr>
            </w:pPr>
            <w:r>
              <w:rPr>
                <w:color w:val="auto"/>
                <w:spacing w:val="-22"/>
                <w:sz w:val="24"/>
                <w:szCs w:val="24"/>
              </w:rPr>
              <w:t>签订时间</w:t>
            </w:r>
          </w:p>
        </w:tc>
      </w:tr>
      <w:tr w14:paraId="11E30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877" w:type="dxa"/>
            <w:vAlign w:val="top"/>
          </w:tcPr>
          <w:p w14:paraId="5FC15990">
            <w:pPr>
              <w:rPr>
                <w:rFonts w:ascii="Arial"/>
                <w:color w:val="auto"/>
                <w:sz w:val="21"/>
              </w:rPr>
            </w:pPr>
          </w:p>
        </w:tc>
        <w:tc>
          <w:tcPr>
            <w:tcW w:w="2338" w:type="dxa"/>
            <w:vAlign w:val="top"/>
          </w:tcPr>
          <w:p w14:paraId="646FB15C">
            <w:pPr>
              <w:rPr>
                <w:rFonts w:ascii="Arial"/>
                <w:color w:val="auto"/>
                <w:sz w:val="21"/>
              </w:rPr>
            </w:pPr>
          </w:p>
        </w:tc>
        <w:tc>
          <w:tcPr>
            <w:tcW w:w="2550" w:type="dxa"/>
            <w:vAlign w:val="top"/>
          </w:tcPr>
          <w:p w14:paraId="3F64DF26">
            <w:pPr>
              <w:rPr>
                <w:rFonts w:ascii="Arial"/>
                <w:color w:val="auto"/>
                <w:sz w:val="21"/>
              </w:rPr>
            </w:pPr>
          </w:p>
        </w:tc>
        <w:tc>
          <w:tcPr>
            <w:tcW w:w="2125" w:type="dxa"/>
            <w:vAlign w:val="top"/>
          </w:tcPr>
          <w:p w14:paraId="36969BA5">
            <w:pPr>
              <w:rPr>
                <w:rFonts w:ascii="Arial"/>
                <w:color w:val="auto"/>
                <w:sz w:val="21"/>
              </w:rPr>
            </w:pPr>
          </w:p>
        </w:tc>
        <w:tc>
          <w:tcPr>
            <w:tcW w:w="1259" w:type="dxa"/>
            <w:vAlign w:val="top"/>
          </w:tcPr>
          <w:p w14:paraId="16C4C283">
            <w:pPr>
              <w:rPr>
                <w:rFonts w:ascii="Arial"/>
                <w:color w:val="auto"/>
                <w:sz w:val="21"/>
              </w:rPr>
            </w:pPr>
          </w:p>
        </w:tc>
      </w:tr>
      <w:tr w14:paraId="168EC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877" w:type="dxa"/>
            <w:vAlign w:val="top"/>
          </w:tcPr>
          <w:p w14:paraId="5E157E65">
            <w:pPr>
              <w:rPr>
                <w:rFonts w:ascii="Arial"/>
                <w:color w:val="auto"/>
                <w:sz w:val="21"/>
              </w:rPr>
            </w:pPr>
          </w:p>
        </w:tc>
        <w:tc>
          <w:tcPr>
            <w:tcW w:w="2338" w:type="dxa"/>
            <w:vAlign w:val="top"/>
          </w:tcPr>
          <w:p w14:paraId="2CA3A8BD">
            <w:pPr>
              <w:rPr>
                <w:rFonts w:ascii="Arial"/>
                <w:color w:val="auto"/>
                <w:sz w:val="21"/>
              </w:rPr>
            </w:pPr>
          </w:p>
        </w:tc>
        <w:tc>
          <w:tcPr>
            <w:tcW w:w="2550" w:type="dxa"/>
            <w:vAlign w:val="top"/>
          </w:tcPr>
          <w:p w14:paraId="04FE931F">
            <w:pPr>
              <w:rPr>
                <w:rFonts w:ascii="Arial"/>
                <w:color w:val="auto"/>
                <w:sz w:val="21"/>
              </w:rPr>
            </w:pPr>
          </w:p>
        </w:tc>
        <w:tc>
          <w:tcPr>
            <w:tcW w:w="2125" w:type="dxa"/>
            <w:vAlign w:val="top"/>
          </w:tcPr>
          <w:p w14:paraId="656EC7DD">
            <w:pPr>
              <w:rPr>
                <w:rFonts w:ascii="Arial"/>
                <w:color w:val="auto"/>
                <w:sz w:val="21"/>
              </w:rPr>
            </w:pPr>
          </w:p>
        </w:tc>
        <w:tc>
          <w:tcPr>
            <w:tcW w:w="1259" w:type="dxa"/>
            <w:vAlign w:val="top"/>
          </w:tcPr>
          <w:p w14:paraId="3ED5B2C5">
            <w:pPr>
              <w:rPr>
                <w:rFonts w:ascii="Arial"/>
                <w:color w:val="auto"/>
                <w:sz w:val="21"/>
              </w:rPr>
            </w:pPr>
          </w:p>
        </w:tc>
      </w:tr>
      <w:tr w14:paraId="10B30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877" w:type="dxa"/>
            <w:vAlign w:val="top"/>
          </w:tcPr>
          <w:p w14:paraId="769F5C2A">
            <w:pPr>
              <w:rPr>
                <w:rFonts w:ascii="Arial"/>
                <w:color w:val="auto"/>
                <w:sz w:val="21"/>
              </w:rPr>
            </w:pPr>
          </w:p>
        </w:tc>
        <w:tc>
          <w:tcPr>
            <w:tcW w:w="2338" w:type="dxa"/>
            <w:vAlign w:val="top"/>
          </w:tcPr>
          <w:p w14:paraId="25D9C080">
            <w:pPr>
              <w:rPr>
                <w:rFonts w:ascii="Arial"/>
                <w:color w:val="auto"/>
                <w:sz w:val="21"/>
              </w:rPr>
            </w:pPr>
          </w:p>
        </w:tc>
        <w:tc>
          <w:tcPr>
            <w:tcW w:w="2550" w:type="dxa"/>
            <w:vAlign w:val="top"/>
          </w:tcPr>
          <w:p w14:paraId="294C1C5A">
            <w:pPr>
              <w:rPr>
                <w:rFonts w:ascii="Arial"/>
                <w:color w:val="auto"/>
                <w:sz w:val="21"/>
              </w:rPr>
            </w:pPr>
          </w:p>
        </w:tc>
        <w:tc>
          <w:tcPr>
            <w:tcW w:w="2125" w:type="dxa"/>
            <w:vAlign w:val="top"/>
          </w:tcPr>
          <w:p w14:paraId="6AC9CA25">
            <w:pPr>
              <w:rPr>
                <w:rFonts w:ascii="Arial"/>
                <w:color w:val="auto"/>
                <w:sz w:val="21"/>
              </w:rPr>
            </w:pPr>
          </w:p>
        </w:tc>
        <w:tc>
          <w:tcPr>
            <w:tcW w:w="1259" w:type="dxa"/>
            <w:vAlign w:val="top"/>
          </w:tcPr>
          <w:p w14:paraId="4B5D5A75">
            <w:pPr>
              <w:rPr>
                <w:rFonts w:ascii="Arial"/>
                <w:color w:val="auto"/>
                <w:sz w:val="21"/>
              </w:rPr>
            </w:pPr>
          </w:p>
        </w:tc>
      </w:tr>
      <w:tr w14:paraId="5D5E5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877" w:type="dxa"/>
            <w:vAlign w:val="top"/>
          </w:tcPr>
          <w:p w14:paraId="68B074A6">
            <w:pPr>
              <w:rPr>
                <w:rFonts w:ascii="Arial"/>
                <w:color w:val="auto"/>
                <w:sz w:val="21"/>
              </w:rPr>
            </w:pPr>
          </w:p>
        </w:tc>
        <w:tc>
          <w:tcPr>
            <w:tcW w:w="2338" w:type="dxa"/>
            <w:vAlign w:val="top"/>
          </w:tcPr>
          <w:p w14:paraId="6C3A1391">
            <w:pPr>
              <w:rPr>
                <w:rFonts w:ascii="Arial"/>
                <w:color w:val="auto"/>
                <w:sz w:val="21"/>
              </w:rPr>
            </w:pPr>
          </w:p>
        </w:tc>
        <w:tc>
          <w:tcPr>
            <w:tcW w:w="2550" w:type="dxa"/>
            <w:vAlign w:val="top"/>
          </w:tcPr>
          <w:p w14:paraId="38FD690B">
            <w:pPr>
              <w:rPr>
                <w:rFonts w:ascii="Arial"/>
                <w:color w:val="auto"/>
                <w:sz w:val="21"/>
              </w:rPr>
            </w:pPr>
          </w:p>
        </w:tc>
        <w:tc>
          <w:tcPr>
            <w:tcW w:w="2125" w:type="dxa"/>
            <w:vAlign w:val="top"/>
          </w:tcPr>
          <w:p w14:paraId="4BB31DC2">
            <w:pPr>
              <w:rPr>
                <w:rFonts w:ascii="Arial"/>
                <w:color w:val="auto"/>
                <w:sz w:val="21"/>
              </w:rPr>
            </w:pPr>
          </w:p>
        </w:tc>
        <w:tc>
          <w:tcPr>
            <w:tcW w:w="1259" w:type="dxa"/>
            <w:vAlign w:val="top"/>
          </w:tcPr>
          <w:p w14:paraId="576E12F8">
            <w:pPr>
              <w:rPr>
                <w:rFonts w:ascii="Arial"/>
                <w:color w:val="auto"/>
                <w:sz w:val="21"/>
              </w:rPr>
            </w:pPr>
          </w:p>
        </w:tc>
      </w:tr>
      <w:tr w14:paraId="68CC6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77" w:type="dxa"/>
            <w:vAlign w:val="top"/>
          </w:tcPr>
          <w:p w14:paraId="0627A287">
            <w:pPr>
              <w:rPr>
                <w:rFonts w:ascii="Arial"/>
                <w:color w:val="auto"/>
                <w:sz w:val="21"/>
              </w:rPr>
            </w:pPr>
          </w:p>
        </w:tc>
        <w:tc>
          <w:tcPr>
            <w:tcW w:w="2338" w:type="dxa"/>
            <w:vAlign w:val="top"/>
          </w:tcPr>
          <w:p w14:paraId="0023ED7F">
            <w:pPr>
              <w:rPr>
                <w:rFonts w:ascii="Arial"/>
                <w:color w:val="auto"/>
                <w:sz w:val="21"/>
              </w:rPr>
            </w:pPr>
          </w:p>
        </w:tc>
        <w:tc>
          <w:tcPr>
            <w:tcW w:w="2550" w:type="dxa"/>
            <w:vAlign w:val="top"/>
          </w:tcPr>
          <w:p w14:paraId="09FC71D1">
            <w:pPr>
              <w:rPr>
                <w:rFonts w:ascii="Arial"/>
                <w:color w:val="auto"/>
                <w:sz w:val="21"/>
              </w:rPr>
            </w:pPr>
          </w:p>
        </w:tc>
        <w:tc>
          <w:tcPr>
            <w:tcW w:w="2125" w:type="dxa"/>
            <w:vAlign w:val="top"/>
          </w:tcPr>
          <w:p w14:paraId="32C05EF7">
            <w:pPr>
              <w:rPr>
                <w:rFonts w:ascii="Arial"/>
                <w:color w:val="auto"/>
                <w:sz w:val="21"/>
              </w:rPr>
            </w:pPr>
          </w:p>
        </w:tc>
        <w:tc>
          <w:tcPr>
            <w:tcW w:w="1259" w:type="dxa"/>
            <w:vAlign w:val="top"/>
          </w:tcPr>
          <w:p w14:paraId="3DFA5918">
            <w:pPr>
              <w:rPr>
                <w:rFonts w:ascii="Arial"/>
                <w:color w:val="auto"/>
                <w:sz w:val="21"/>
              </w:rPr>
            </w:pPr>
          </w:p>
        </w:tc>
      </w:tr>
      <w:tr w14:paraId="3718F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77" w:type="dxa"/>
            <w:vAlign w:val="top"/>
          </w:tcPr>
          <w:p w14:paraId="096C2F5D">
            <w:pPr>
              <w:rPr>
                <w:rFonts w:ascii="Arial"/>
                <w:color w:val="auto"/>
                <w:sz w:val="21"/>
              </w:rPr>
            </w:pPr>
          </w:p>
        </w:tc>
        <w:tc>
          <w:tcPr>
            <w:tcW w:w="2338" w:type="dxa"/>
            <w:vAlign w:val="top"/>
          </w:tcPr>
          <w:p w14:paraId="17BD13FA">
            <w:pPr>
              <w:rPr>
                <w:rFonts w:ascii="Arial"/>
                <w:color w:val="auto"/>
                <w:sz w:val="21"/>
              </w:rPr>
            </w:pPr>
          </w:p>
        </w:tc>
        <w:tc>
          <w:tcPr>
            <w:tcW w:w="2550" w:type="dxa"/>
            <w:vAlign w:val="top"/>
          </w:tcPr>
          <w:p w14:paraId="3178367D">
            <w:pPr>
              <w:rPr>
                <w:rFonts w:ascii="Arial"/>
                <w:color w:val="auto"/>
                <w:sz w:val="21"/>
              </w:rPr>
            </w:pPr>
          </w:p>
        </w:tc>
        <w:tc>
          <w:tcPr>
            <w:tcW w:w="2125" w:type="dxa"/>
            <w:vAlign w:val="top"/>
          </w:tcPr>
          <w:p w14:paraId="60CE5F7F">
            <w:pPr>
              <w:rPr>
                <w:rFonts w:ascii="Arial"/>
                <w:color w:val="auto"/>
                <w:sz w:val="21"/>
              </w:rPr>
            </w:pPr>
          </w:p>
        </w:tc>
        <w:tc>
          <w:tcPr>
            <w:tcW w:w="1259" w:type="dxa"/>
            <w:vAlign w:val="top"/>
          </w:tcPr>
          <w:p w14:paraId="064EE009">
            <w:pPr>
              <w:rPr>
                <w:rFonts w:ascii="Arial"/>
                <w:color w:val="auto"/>
                <w:sz w:val="21"/>
              </w:rPr>
            </w:pPr>
          </w:p>
        </w:tc>
      </w:tr>
      <w:tr w14:paraId="198F8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77" w:type="dxa"/>
            <w:vAlign w:val="top"/>
          </w:tcPr>
          <w:p w14:paraId="326BA4DC">
            <w:pPr>
              <w:rPr>
                <w:rFonts w:ascii="Arial"/>
                <w:color w:val="auto"/>
                <w:sz w:val="21"/>
              </w:rPr>
            </w:pPr>
          </w:p>
        </w:tc>
        <w:tc>
          <w:tcPr>
            <w:tcW w:w="2338" w:type="dxa"/>
            <w:vAlign w:val="top"/>
          </w:tcPr>
          <w:p w14:paraId="1CA55A2D">
            <w:pPr>
              <w:rPr>
                <w:rFonts w:ascii="Arial"/>
                <w:color w:val="auto"/>
                <w:sz w:val="21"/>
              </w:rPr>
            </w:pPr>
          </w:p>
        </w:tc>
        <w:tc>
          <w:tcPr>
            <w:tcW w:w="2550" w:type="dxa"/>
            <w:vAlign w:val="top"/>
          </w:tcPr>
          <w:p w14:paraId="00D855A3">
            <w:pPr>
              <w:rPr>
                <w:rFonts w:ascii="Arial"/>
                <w:color w:val="auto"/>
                <w:sz w:val="21"/>
              </w:rPr>
            </w:pPr>
          </w:p>
        </w:tc>
        <w:tc>
          <w:tcPr>
            <w:tcW w:w="2125" w:type="dxa"/>
            <w:vAlign w:val="top"/>
          </w:tcPr>
          <w:p w14:paraId="3E81A19E">
            <w:pPr>
              <w:rPr>
                <w:rFonts w:ascii="Arial"/>
                <w:color w:val="auto"/>
                <w:sz w:val="21"/>
              </w:rPr>
            </w:pPr>
          </w:p>
        </w:tc>
        <w:tc>
          <w:tcPr>
            <w:tcW w:w="1259" w:type="dxa"/>
            <w:vAlign w:val="top"/>
          </w:tcPr>
          <w:p w14:paraId="298B1B96">
            <w:pPr>
              <w:rPr>
                <w:rFonts w:ascii="Arial"/>
                <w:color w:val="auto"/>
                <w:sz w:val="21"/>
              </w:rPr>
            </w:pPr>
          </w:p>
        </w:tc>
      </w:tr>
    </w:tbl>
    <w:p w14:paraId="326A8089">
      <w:pPr>
        <w:spacing w:before="113" w:line="222" w:lineRule="auto"/>
        <w:ind w:left="15"/>
        <w:rPr>
          <w:rFonts w:ascii="仿宋" w:hAnsi="仿宋" w:eastAsia="仿宋" w:cs="仿宋"/>
          <w:color w:val="auto"/>
          <w:sz w:val="24"/>
          <w:szCs w:val="24"/>
        </w:rPr>
      </w:pPr>
      <w:r>
        <w:rPr>
          <w:rFonts w:ascii="仿宋" w:hAnsi="仿宋" w:eastAsia="仿宋" w:cs="仿宋"/>
          <w:color w:val="auto"/>
          <w:spacing w:val="-30"/>
          <w:sz w:val="24"/>
          <w:szCs w:val="24"/>
        </w:rPr>
        <w:t>投标人（企业电子章</w:t>
      </w:r>
      <w:r>
        <w:rPr>
          <w:rFonts w:ascii="仿宋" w:hAnsi="仿宋" w:eastAsia="仿宋" w:cs="仿宋"/>
          <w:color w:val="auto"/>
          <w:spacing w:val="-62"/>
          <w:w w:val="91"/>
          <w:sz w:val="24"/>
          <w:szCs w:val="24"/>
        </w:rPr>
        <w:t>）：</w:t>
      </w:r>
    </w:p>
    <w:p w14:paraId="653BAC22">
      <w:pPr>
        <w:pStyle w:val="3"/>
        <w:spacing w:line="256" w:lineRule="auto"/>
        <w:rPr>
          <w:color w:val="auto"/>
        </w:rPr>
      </w:pPr>
    </w:p>
    <w:p w14:paraId="6F32BF75">
      <w:pPr>
        <w:pStyle w:val="3"/>
        <w:spacing w:line="256" w:lineRule="auto"/>
        <w:rPr>
          <w:color w:val="auto"/>
        </w:rPr>
      </w:pPr>
    </w:p>
    <w:p w14:paraId="47CA5412">
      <w:pPr>
        <w:pStyle w:val="3"/>
        <w:spacing w:line="256" w:lineRule="auto"/>
        <w:rPr>
          <w:color w:val="auto"/>
        </w:rPr>
      </w:pPr>
    </w:p>
    <w:p w14:paraId="64A5FB4A">
      <w:pPr>
        <w:pStyle w:val="3"/>
        <w:spacing w:line="257" w:lineRule="auto"/>
        <w:rPr>
          <w:color w:val="auto"/>
        </w:rPr>
      </w:pPr>
    </w:p>
    <w:p w14:paraId="2F11EC77">
      <w:pPr>
        <w:spacing w:before="79" w:line="221" w:lineRule="auto"/>
        <w:ind w:left="22"/>
        <w:rPr>
          <w:rFonts w:ascii="仿宋" w:hAnsi="仿宋" w:eastAsia="仿宋" w:cs="仿宋"/>
          <w:color w:val="auto"/>
          <w:sz w:val="24"/>
          <w:szCs w:val="24"/>
        </w:rPr>
      </w:pPr>
      <w:r>
        <w:rPr>
          <w:rFonts w:ascii="仿宋" w:hAnsi="仿宋" w:eastAsia="仿宋" w:cs="仿宋"/>
          <w:color w:val="auto"/>
          <w:spacing w:val="-11"/>
          <w:sz w:val="24"/>
          <w:szCs w:val="24"/>
        </w:rPr>
        <w:t>注：1.投标人可根据需要自行增减表格行数。</w:t>
      </w:r>
    </w:p>
    <w:p w14:paraId="57ADBDDF">
      <w:pPr>
        <w:spacing w:before="177" w:line="343" w:lineRule="auto"/>
        <w:ind w:left="19" w:right="91" w:firstLine="412"/>
        <w:rPr>
          <w:rFonts w:ascii="仿宋" w:hAnsi="仿宋" w:eastAsia="仿宋" w:cs="仿宋"/>
          <w:color w:val="auto"/>
          <w:sz w:val="24"/>
          <w:szCs w:val="24"/>
        </w:rPr>
      </w:pPr>
      <w:r>
        <w:rPr>
          <w:rFonts w:ascii="仿宋" w:hAnsi="仿宋" w:eastAsia="仿宋" w:cs="仿宋"/>
          <w:color w:val="auto"/>
          <w:spacing w:val="-32"/>
          <w:sz w:val="24"/>
          <w:szCs w:val="24"/>
        </w:rPr>
        <w:t>2.投标人对所报相关内容的真实性负责，采购代理机构有权将相关内容进行公示，因弄虚作假导</w:t>
      </w:r>
      <w:r>
        <w:rPr>
          <w:rFonts w:ascii="仿宋" w:hAnsi="仿宋" w:eastAsia="仿宋" w:cs="仿宋"/>
          <w:color w:val="auto"/>
          <w:spacing w:val="12"/>
          <w:sz w:val="24"/>
          <w:szCs w:val="24"/>
        </w:rPr>
        <w:t xml:space="preserve"> </w:t>
      </w:r>
      <w:r>
        <w:rPr>
          <w:rFonts w:ascii="仿宋" w:hAnsi="仿宋" w:eastAsia="仿宋" w:cs="仿宋"/>
          <w:color w:val="auto"/>
          <w:spacing w:val="-28"/>
          <w:sz w:val="24"/>
          <w:szCs w:val="24"/>
        </w:rPr>
        <w:t>致的后果由投标人自行承担。</w:t>
      </w:r>
    </w:p>
    <w:p w14:paraId="56E6599A">
      <w:pPr>
        <w:spacing w:line="343" w:lineRule="auto"/>
        <w:rPr>
          <w:rFonts w:ascii="仿宋" w:hAnsi="仿宋" w:eastAsia="仿宋" w:cs="仿宋"/>
          <w:color w:val="auto"/>
          <w:sz w:val="24"/>
          <w:szCs w:val="24"/>
        </w:rPr>
        <w:sectPr>
          <w:headerReference r:id="rId83" w:type="default"/>
          <w:footerReference r:id="rId84" w:type="default"/>
          <w:pgSz w:w="11906" w:h="16839"/>
          <w:pgMar w:top="999" w:right="1246" w:bottom="844" w:left="1418" w:header="698" w:footer="682" w:gutter="0"/>
          <w:pgNumType w:fmt="decimal"/>
          <w:cols w:space="720" w:num="1"/>
        </w:sectPr>
      </w:pPr>
    </w:p>
    <w:p w14:paraId="0AE42705">
      <w:pPr>
        <w:pStyle w:val="3"/>
        <w:spacing w:line="418" w:lineRule="auto"/>
        <w:rPr>
          <w:color w:val="auto"/>
        </w:rPr>
      </w:pPr>
    </w:p>
    <w:p w14:paraId="5F996290">
      <w:pPr>
        <w:spacing w:before="91" w:line="219" w:lineRule="auto"/>
        <w:ind w:left="33"/>
        <w:outlineLvl w:val="1"/>
        <w:rPr>
          <w:rFonts w:ascii="宋体" w:hAnsi="宋体" w:eastAsia="宋体" w:cs="宋体"/>
          <w:color w:val="auto"/>
          <w:sz w:val="28"/>
          <w:szCs w:val="28"/>
        </w:rPr>
      </w:pPr>
      <w:bookmarkStart w:id="35" w:name="_Toc23450"/>
      <w:r>
        <w:rPr>
          <w:rFonts w:ascii="宋体" w:hAnsi="宋体" w:eastAsia="宋体" w:cs="宋体"/>
          <w:b/>
          <w:bCs/>
          <w:color w:val="auto"/>
          <w:spacing w:val="-26"/>
          <w:sz w:val="28"/>
          <w:szCs w:val="28"/>
        </w:rPr>
        <w:t>附件14-1:参与评审打分的合同业绩扫描件</w:t>
      </w:r>
      <w:bookmarkEnd w:id="35"/>
    </w:p>
    <w:p w14:paraId="5438CD66">
      <w:pPr>
        <w:spacing w:before="91" w:line="219" w:lineRule="auto"/>
        <w:rPr>
          <w:rFonts w:ascii="宋体" w:hAnsi="宋体" w:eastAsia="宋体" w:cs="宋体"/>
          <w:color w:val="auto"/>
          <w:sz w:val="28"/>
          <w:szCs w:val="28"/>
        </w:rPr>
      </w:pPr>
    </w:p>
    <w:sectPr>
      <w:footerReference r:id="rId85" w:type="default"/>
      <w:pgSz w:w="11906" w:h="16839"/>
      <w:pgMar w:top="999" w:right="1246" w:bottom="844" w:left="1418" w:header="698" w:footer="68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42D7D">
    <w:pPr>
      <w:pStyle w:val="4"/>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E259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fill on="f" focussize="0,0"/>
              <v:stroke on="f" weight="0.5pt"/>
              <v:imagedata o:title=""/>
              <o:lock v:ext="edit" aspectratio="f"/>
              <v:textbox inset="0mm,0mm,0mm,0mm" style="mso-fit-shape-to-text:t;">
                <w:txbxContent>
                  <w:p w14:paraId="0C5E259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BA436">
    <w:pPr>
      <w:pStyle w:val="4"/>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8AEE4">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3DA8AEE4">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DE062">
    <w:pPr>
      <w:pStyle w:val="4"/>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EFEC2">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2FAEFEC2">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3E9B8">
    <w:pPr>
      <w:pStyle w:val="4"/>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1ABBA">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0DD1ABBA">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F72BD">
    <w:pPr>
      <w:pStyle w:val="4"/>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382AA">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54A382AA">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BC7AA">
    <w:pPr>
      <w:pStyle w:val="4"/>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2EE8C">
                          <w:pPr>
                            <w:pStyle w:val="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3A92EE8C">
                    <w:pPr>
                      <w:pStyle w:val="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6674B">
    <w:pPr>
      <w:pStyle w:val="4"/>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E8BC1">
                          <w:pPr>
                            <w:pStyle w:val="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1BDE8BC1">
                    <w:pPr>
                      <w:pStyle w:val="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D553E">
    <w:pPr>
      <w:pStyle w:val="4"/>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D7C65">
                          <w:pPr>
                            <w:pStyle w:val="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719D7C65">
                    <w:pPr>
                      <w:pStyle w:val="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D4A87">
    <w:pPr>
      <w:pStyle w:val="4"/>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F4575">
                          <w:pPr>
                            <w:pStyle w:val="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Wav4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mr+NAIAAGUEAAAOAAAAAAAAAAEAIAAAAB8BAABkcnMvZTJvRG9jLnhtbFBL&#10;BQYAAAAABgAGAFkBAADFBQAAAAA=&#10;">
              <v:fill on="f" focussize="0,0"/>
              <v:stroke on="f" weight="0.5pt"/>
              <v:imagedata o:title=""/>
              <o:lock v:ext="edit" aspectratio="f"/>
              <v:textbox inset="0mm,0mm,0mm,0mm" style="mso-fit-shape-to-text:t;">
                <w:txbxContent>
                  <w:p w14:paraId="439F4575">
                    <w:pPr>
                      <w:pStyle w:val="4"/>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DBA24">
    <w:pPr>
      <w:pStyle w:val="4"/>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ED7B2">
                          <w:pPr>
                            <w:pStyle w:val="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35FED7B2">
                    <w:pPr>
                      <w:pStyle w:val="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70C20">
    <w:pPr>
      <w:pStyle w:val="4"/>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8A4FE">
                          <w:pPr>
                            <w:pStyle w:val="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2D28A4FE">
                    <w:pPr>
                      <w:pStyle w:val="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488E">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FD54B5">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0DFD54B5">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CD7A5">
    <w:pPr>
      <w:spacing w:line="226" w:lineRule="auto"/>
      <w:ind w:left="4575"/>
      <w:rPr>
        <w:rFonts w:ascii="仿宋" w:hAnsi="仿宋" w:eastAsia="仿宋" w:cs="仿宋"/>
        <w:sz w:val="18"/>
        <w:szCs w:val="18"/>
      </w:rPr>
    </w:pPr>
    <w:r>
      <w:rPr>
        <w:rFonts w:ascii="仿宋" w:hAnsi="仿宋" w:eastAsia="仿宋" w:cs="仿宋"/>
        <w:spacing w:val="-3"/>
        <w:sz w:val="18"/>
        <w:szCs w:val="18"/>
        <w:shd w:val="clear" w:fill="FFFFFE"/>
      </w:rPr>
      <w:t>34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20387">
    <w:pPr>
      <w:spacing w:line="226" w:lineRule="auto"/>
      <w:ind w:left="4575"/>
      <w:rPr>
        <w:rFonts w:ascii="仿宋" w:hAnsi="仿宋" w:eastAsia="仿宋" w:cs="仿宋"/>
        <w:sz w:val="18"/>
        <w:szCs w:val="18"/>
      </w:rPr>
    </w:pPr>
    <w:r>
      <w:rPr>
        <w:rFonts w:ascii="仿宋" w:hAnsi="仿宋" w:eastAsia="仿宋" w:cs="仿宋"/>
        <w:spacing w:val="-3"/>
        <w:sz w:val="18"/>
        <w:szCs w:val="18"/>
        <w:shd w:val="clear" w:fill="FFFFFE"/>
      </w:rPr>
      <w:t>35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D618C">
    <w:pPr>
      <w:spacing w:line="226" w:lineRule="auto"/>
      <w:ind w:left="4575"/>
      <w:rPr>
        <w:rFonts w:ascii="仿宋" w:hAnsi="仿宋" w:eastAsia="仿宋" w:cs="仿宋"/>
        <w:sz w:val="18"/>
        <w:szCs w:val="18"/>
      </w:rPr>
    </w:pPr>
    <w:r>
      <w:rPr>
        <w:rFonts w:ascii="仿宋" w:hAnsi="仿宋" w:eastAsia="仿宋" w:cs="仿宋"/>
        <w:spacing w:val="-3"/>
        <w:sz w:val="18"/>
        <w:szCs w:val="18"/>
        <w:shd w:val="clear" w:fill="FFFFFE"/>
      </w:rPr>
      <w:t>36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FFAEE">
    <w:pPr>
      <w:spacing w:line="226" w:lineRule="auto"/>
      <w:ind w:left="4575"/>
      <w:rPr>
        <w:rFonts w:ascii="仿宋" w:hAnsi="仿宋" w:eastAsia="仿宋" w:cs="仿宋"/>
        <w:sz w:val="18"/>
        <w:szCs w:val="18"/>
      </w:rPr>
    </w:pPr>
    <w:r>
      <w:rPr>
        <w:rFonts w:ascii="仿宋" w:hAnsi="仿宋" w:eastAsia="仿宋" w:cs="仿宋"/>
        <w:spacing w:val="-3"/>
        <w:sz w:val="18"/>
        <w:szCs w:val="18"/>
        <w:shd w:val="clear" w:fill="FFFFFE"/>
      </w:rPr>
      <w:t>37</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F97B0">
    <w:pPr>
      <w:spacing w:line="226" w:lineRule="auto"/>
      <w:ind w:left="4575"/>
      <w:rPr>
        <w:rFonts w:ascii="仿宋" w:hAnsi="仿宋" w:eastAsia="仿宋" w:cs="仿宋"/>
        <w:sz w:val="18"/>
        <w:szCs w:val="18"/>
      </w:rPr>
    </w:pPr>
    <w:r>
      <w:rPr>
        <w:rFonts w:ascii="仿宋" w:hAnsi="仿宋" w:eastAsia="仿宋" w:cs="仿宋"/>
        <w:spacing w:val="-3"/>
        <w:sz w:val="18"/>
        <w:szCs w:val="18"/>
        <w:shd w:val="clear" w:fill="FFFFFE"/>
      </w:rPr>
      <w:t>38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FD3B">
    <w:pPr>
      <w:pStyle w:val="4"/>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EC3A5">
                          <w:pPr>
                            <w:pStyle w:val="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14:paraId="225EC3A5">
                    <w:pPr>
                      <w:pStyle w:val="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6E9CF">
    <w:pPr>
      <w:pStyle w:val="4"/>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6EFD5">
                          <w:pPr>
                            <w:pStyle w:val="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45A6EFD5">
                    <w:pPr>
                      <w:pStyle w:val="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9864B">
    <w:pPr>
      <w:pStyle w:val="4"/>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D230A">
                          <w:pPr>
                            <w:pStyle w:val="4"/>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2AFD230A">
                    <w:pPr>
                      <w:pStyle w:val="4"/>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519C7">
    <w:pPr>
      <w:pStyle w:val="4"/>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4BB4C">
                          <w:pPr>
                            <w:pStyle w:val="4"/>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6CD4BB4C">
                    <w:pPr>
                      <w:pStyle w:val="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8437E">
    <w:pPr>
      <w:pStyle w:val="4"/>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EEC28">
                          <w:pPr>
                            <w:pStyle w:val="4"/>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1CDEEC28">
                    <w:pPr>
                      <w:pStyle w:val="4"/>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694C">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78293">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4EA78293">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F834F">
    <w:pPr>
      <w:pStyle w:val="4"/>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EABD3">
                          <w:pPr>
                            <w:pStyle w:val="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2ECEABD3">
                    <w:pPr>
                      <w:pStyle w:val="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7A5E8">
    <w:pPr>
      <w:pStyle w:val="4"/>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18E55">
                          <w:pPr>
                            <w:pStyle w:val="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14:paraId="6E318E55">
                    <w:pPr>
                      <w:pStyle w:val="4"/>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9DE4">
    <w:pPr>
      <w:pStyle w:val="4"/>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ADF93">
                          <w:pPr>
                            <w:pStyle w:val="4"/>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57EADF93">
                    <w:pPr>
                      <w:pStyle w:val="4"/>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1C9A4">
    <w:pPr>
      <w:pStyle w:val="4"/>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0293B">
                          <w:pPr>
                            <w:pStyle w:val="4"/>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7B80293B">
                    <w:pPr>
                      <w:pStyle w:val="4"/>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71EE3">
    <w:pPr>
      <w:pStyle w:val="4"/>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41B83">
                          <w:pPr>
                            <w:pStyle w:val="4"/>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7B141B83">
                    <w:pPr>
                      <w:pStyle w:val="4"/>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4B504">
    <w:pPr>
      <w:pStyle w:val="4"/>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9B4DB">
                          <w:pPr>
                            <w:pStyle w:val="4"/>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5299B4DB">
                    <w:pPr>
                      <w:pStyle w:val="4"/>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5F402">
    <w:pPr>
      <w:pStyle w:val="4"/>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F631D">
                          <w:pPr>
                            <w:pStyle w:val="4"/>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608F631D">
                    <w:pPr>
                      <w:pStyle w:val="4"/>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A25E5">
    <w:pPr>
      <w:pStyle w:val="4"/>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3CC14">
                          <w:pPr>
                            <w:pStyle w:val="4"/>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LIzM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dUb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SyMzNAIAAGUEAAAOAAAAAAAAAAEAIAAAAB8BAABkcnMvZTJvRG9jLnhtbFBL&#10;BQYAAAAABgAGAFkBAADFBQAAAAA=&#10;">
              <v:fill on="f" focussize="0,0"/>
              <v:stroke on="f" weight="0.5pt"/>
              <v:imagedata o:title=""/>
              <o:lock v:ext="edit" aspectratio="f"/>
              <v:textbox inset="0mm,0mm,0mm,0mm" style="mso-fit-shape-to-text:t;">
                <w:txbxContent>
                  <w:p w14:paraId="7043CC14">
                    <w:pPr>
                      <w:pStyle w:val="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EE3EB">
    <w:pPr>
      <w:pStyle w:val="4"/>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539B6">
                          <w:pPr>
                            <w:pStyle w:val="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y20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g8IZplPz04/vp&#10;58Pp1zeSDiFR48IMkfcOsbF9Z1uED+cBh4l5W3mdvuBE4IfAx4vAoo2Ep0vTyXSaw8XhGzbAzx6v&#10;Ox/ie2E1SUZBPSrYCcsOmxD70CEkZTN2LZXqqqgMaQp69fpt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iEy20zAgAAZQQAAA4AAAAAAAAAAQAgAAAAHwEAAGRycy9lMm9Eb2MueG1sUEsF&#10;BgAAAAAGAAYAWQEAAMQFAAAAAA==&#10;">
              <v:fill on="f" focussize="0,0"/>
              <v:stroke on="f" weight="0.5pt"/>
              <v:imagedata o:title=""/>
              <o:lock v:ext="edit" aspectratio="f"/>
              <v:textbox inset="0mm,0mm,0mm,0mm" style="mso-fit-shape-to-text:t;">
                <w:txbxContent>
                  <w:p w14:paraId="281539B6">
                    <w:pPr>
                      <w:pStyle w:val="4"/>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BE56">
    <w:pPr>
      <w:pStyle w:val="4"/>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3CDB3">
                          <w:pPr>
                            <w:pStyle w:val="4"/>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4VfE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dUb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jOFXxNAIAAGUEAAAOAAAAAAAAAAEAIAAAAB8BAABkcnMvZTJvRG9jLnhtbFBL&#10;BQYAAAAABgAGAFkBAADFBQAAAAA=&#10;">
              <v:fill on="f" focussize="0,0"/>
              <v:stroke on="f" weight="0.5pt"/>
              <v:imagedata o:title=""/>
              <o:lock v:ext="edit" aspectratio="f"/>
              <v:textbox inset="0mm,0mm,0mm,0mm" style="mso-fit-shape-to-text:t;">
                <w:txbxContent>
                  <w:p w14:paraId="12D3CDB3">
                    <w:pPr>
                      <w:pStyle w:val="4"/>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4E0CA">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8A71A">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12F8A71A">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B7C05">
    <w:pPr>
      <w:pStyle w:val="4"/>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895CD">
                          <w:pPr>
                            <w:pStyle w:val="4"/>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U5Igx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6VOSIMQIAAGUEAAAOAAAAAAAAAAEAIAAAAB8BAABkcnMvZTJvRG9jLnhtbFBLBQYA&#10;AAAABgAGAFkBAADCBQAAAAA=&#10;">
              <v:fill on="f" focussize="0,0"/>
              <v:stroke on="f" weight="0.5pt"/>
              <v:imagedata o:title=""/>
              <o:lock v:ext="edit" aspectratio="f"/>
              <v:textbox inset="0mm,0mm,0mm,0mm" style="mso-fit-shape-to-text:t;">
                <w:txbxContent>
                  <w:p w14:paraId="00F895CD">
                    <w:pPr>
                      <w:pStyle w:val="4"/>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496B6">
    <w:pPr>
      <w:pStyle w:val="4"/>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454C9">
                          <w:pPr>
                            <w:pStyle w:val="4"/>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oehQzAgAAZ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bq3G6cPEAXGrkiCS6YqMV2l3bM9uZ&#10;4gRiznTT4S3f1Ei+ZT7cM4dxQMF4MOEOSykNkpjeoqQy7uu/zmM8ugQvJQ3GK6car4kS+UGjewAM&#10;g+EGYzcY+qBuDeYV/UAtycQFF+Rgls6oL3hFq5gDLqY5MuU0DOZt6EYcr5CL1SoFHayr91V3AbNn&#10;WdjqB8tjmiikt6tDgJhJ4yhQp0qvG6Yvdal/KXG8/9yn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oehQzAgAAZQQAAA4AAAAAAAAAAQAgAAAAHwEAAGRycy9lMm9Eb2MueG1sUEsF&#10;BgAAAAAGAAYAWQEAAMQFAAAAAA==&#10;">
              <v:fill on="f" focussize="0,0"/>
              <v:stroke on="f" weight="0.5pt"/>
              <v:imagedata o:title=""/>
              <o:lock v:ext="edit" aspectratio="f"/>
              <v:textbox inset="0mm,0mm,0mm,0mm" style="mso-fit-shape-to-text:t;">
                <w:txbxContent>
                  <w:p w14:paraId="332454C9">
                    <w:pPr>
                      <w:pStyle w:val="4"/>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2582">
    <w:pPr>
      <w:pStyle w:val="4"/>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91983">
                          <w:pPr>
                            <w:pStyle w:val="4"/>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0qqGo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0qqGozAgAAZQQAAA4AAAAAAAAAAQAgAAAAHwEAAGRycy9lMm9Eb2MueG1sUEsF&#10;BgAAAAAGAAYAWQEAAMQFAAAAAA==&#10;">
              <v:fill on="f" focussize="0,0"/>
              <v:stroke on="f" weight="0.5pt"/>
              <v:imagedata o:title=""/>
              <o:lock v:ext="edit" aspectratio="f"/>
              <v:textbox inset="0mm,0mm,0mm,0mm" style="mso-fit-shape-to-text:t;">
                <w:txbxContent>
                  <w:p w14:paraId="37291983">
                    <w:pPr>
                      <w:pStyle w:val="4"/>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5CEB2">
    <w:pPr>
      <w:pStyle w:val="4"/>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FACF8">
                          <w:pPr>
                            <w:pStyle w:val="4"/>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WNvY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9R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ljb2NAIAAGUEAAAOAAAAAAAAAAEAIAAAAB8BAABkcnMvZTJvRG9jLnhtbFBL&#10;BQYAAAAABgAGAFkBAADFBQAAAAA=&#10;">
              <v:fill on="f" focussize="0,0"/>
              <v:stroke on="f" weight="0.5pt"/>
              <v:imagedata o:title=""/>
              <o:lock v:ext="edit" aspectratio="f"/>
              <v:textbox inset="0mm,0mm,0mm,0mm" style="mso-fit-shape-to-text:t;">
                <w:txbxContent>
                  <w:p w14:paraId="3FDFACF8">
                    <w:pPr>
                      <w:pStyle w:val="4"/>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90762">
    <w:pPr>
      <w:pStyle w:val="4"/>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C75BB">
                          <w:pPr>
                            <w:pStyle w:val="4"/>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vDZc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Vrw2XNAIAAGUEAAAOAAAAAAAAAAEAIAAAAB8BAABkcnMvZTJvRG9jLnhtbFBL&#10;BQYAAAAABgAGAFkBAADFBQAAAAA=&#10;">
              <v:fill on="f" focussize="0,0"/>
              <v:stroke on="f" weight="0.5pt"/>
              <v:imagedata o:title=""/>
              <o:lock v:ext="edit" aspectratio="f"/>
              <v:textbox inset="0mm,0mm,0mm,0mm" style="mso-fit-shape-to-text:t;">
                <w:txbxContent>
                  <w:p w14:paraId="0DBC75BB">
                    <w:pPr>
                      <w:pStyle w:val="4"/>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C76C">
    <w:pPr>
      <w:pStyle w:val="4"/>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E1CE7">
                          <w:pPr>
                            <w:pStyle w:val="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4TkwszAgAAZ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4TkwszAgAAZQQAAA4AAAAAAAAAAQAgAAAAHwEAAGRycy9lMm9Eb2MueG1sUEsF&#10;BgAAAAAGAAYAWQEAAMQFAAAAAA==&#10;">
              <v:fill on="f" focussize="0,0"/>
              <v:stroke on="f" weight="0.5pt"/>
              <v:imagedata o:title=""/>
              <o:lock v:ext="edit" aspectratio="f"/>
              <v:textbox inset="0mm,0mm,0mm,0mm" style="mso-fit-shape-to-text:t;">
                <w:txbxContent>
                  <w:p w14:paraId="66FE1CE7">
                    <w:pPr>
                      <w:pStyle w:val="4"/>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8CA14">
    <w:pPr>
      <w:pStyle w:val="4"/>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18713">
                          <w:pPr>
                            <w:pStyle w:val="4"/>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RQXU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LRQXUzAgAAZQQAAA4AAAAAAAAAAQAgAAAAHwEAAGRycy9lMm9Eb2MueG1sUEsF&#10;BgAAAAAGAAYAWQEAAMQFAAAAAA==&#10;">
              <v:fill on="f" focussize="0,0"/>
              <v:stroke on="f" weight="0.5pt"/>
              <v:imagedata o:title=""/>
              <o:lock v:ext="edit" aspectratio="f"/>
              <v:textbox inset="0mm,0mm,0mm,0mm" style="mso-fit-shape-to-text:t;">
                <w:txbxContent>
                  <w:p w14:paraId="5DA18713">
                    <w:pPr>
                      <w:pStyle w:val="4"/>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EA5B">
    <w:r>
      <w:rPr>
        <w:sz w:val="21"/>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EB03C">
                          <w:pPr>
                            <w:pStyle w:val="4"/>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t3+k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bd/pNAIAAGUEAAAOAAAAAAAAAAEAIAAAAB8BAABkcnMvZTJvRG9jLnhtbFBL&#10;BQYAAAAABgAGAFkBAADFBQAAAAA=&#10;">
              <v:fill on="f" focussize="0,0"/>
              <v:stroke on="f" weight="0.5pt"/>
              <v:imagedata o:title=""/>
              <o:lock v:ext="edit" aspectratio="f"/>
              <v:textbox inset="0mm,0mm,0mm,0mm" style="mso-fit-shape-to-text:t;">
                <w:txbxContent>
                  <w:p w14:paraId="17CEB03C">
                    <w:pPr>
                      <w:pStyle w:val="4"/>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A05BD">
    <w:pPr>
      <w:pStyle w:val="4"/>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F72F8">
                          <w:pPr>
                            <w:pStyle w:val="4"/>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iN7cz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bq3G6cPEAXGrkiCS6x0YrtLu2Z7Yz&#10;xQnEnOm6w1u+qZF8y3y4Zw7tgAdjYMIdllIaJDG9RUll3Nd/ncd4VAleShq0V041pokS+UGjegAM&#10;g+EGYzcY+qBuDfp1gkG0PJm44IIczNIZ9QVTtIo54GKaI1NOw2Dehq7FMYVcrFYp6GBdva+6C+g9&#10;y8JWP1ge00QhvV0dAsRMGkeBOlV63dB9qUr9pMT2/nOfop7+Dst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SiN7czAgAAZQQAAA4AAAAAAAAAAQAgAAAAHwEAAGRycy9lMm9Eb2MueG1sUEsF&#10;BgAAAAAGAAYAWQEAAMQFAAAAAA==&#10;">
              <v:fill on="f" focussize="0,0"/>
              <v:stroke on="f" weight="0.5pt"/>
              <v:imagedata o:title=""/>
              <o:lock v:ext="edit" aspectratio="f"/>
              <v:textbox inset="0mm,0mm,0mm,0mm" style="mso-fit-shape-to-text:t;">
                <w:txbxContent>
                  <w:p w14:paraId="391F72F8">
                    <w:pPr>
                      <w:pStyle w:val="4"/>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3F70A">
    <w:pPr>
      <w:pStyle w:val="4"/>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6497E">
                          <w:pPr>
                            <w:pStyle w:val="4"/>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8eqSs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HqkrNAIAAGUEAAAOAAAAAAAAAAEAIAAAAB8BAABkcnMvZTJvRG9jLnhtbFBL&#10;BQYAAAAABgAGAFkBAADFBQAAAAA=&#10;">
              <v:fill on="f" focussize="0,0"/>
              <v:stroke on="f" weight="0.5pt"/>
              <v:imagedata o:title=""/>
              <o:lock v:ext="edit" aspectratio="f"/>
              <v:textbox inset="0mm,0mm,0mm,0mm" style="mso-fit-shape-to-text:t;">
                <w:txbxContent>
                  <w:p w14:paraId="1896497E">
                    <w:pPr>
                      <w:pStyle w:val="4"/>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4D700">
    <w:pPr>
      <w:pStyle w:val="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1751B">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6021751B">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DF25">
    <w:pPr>
      <w:pStyle w:val="4"/>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834B8">
                          <w:pPr>
                            <w:pStyle w:val="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4kTw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ziRPDICAABlBAAADgAAAAAAAAABACAAAAAfAQAAZHJzL2Uyb0RvYy54bWxQSwUG&#10;AAAAAAYABgBZAQAAwwUAAAAA&#10;">
              <v:fill on="f" focussize="0,0"/>
              <v:stroke on="f" weight="0.5pt"/>
              <v:imagedata o:title=""/>
              <o:lock v:ext="edit" aspectratio="f"/>
              <v:textbox inset="0mm,0mm,0mm,0mm" style="mso-fit-shape-to-text:t;">
                <w:txbxContent>
                  <w:p w14:paraId="70C834B8">
                    <w:pPr>
                      <w:pStyle w:val="4"/>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DF51">
    <w:pPr>
      <w:pStyle w:val="4"/>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A221A">
                          <w:pPr>
                            <w:pStyle w:val="4"/>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IQPoDICAABlBAAADgAAAAAAAAABACAAAAAfAQAAZHJzL2Uyb0RvYy54bWxQSwUG&#10;AAAAAAYABgBZAQAAwwUAAAAA&#10;">
              <v:fill on="f" focussize="0,0"/>
              <v:stroke on="f" weight="0.5pt"/>
              <v:imagedata o:title=""/>
              <o:lock v:ext="edit" aspectratio="f"/>
              <v:textbox inset="0mm,0mm,0mm,0mm" style="mso-fit-shape-to-text:t;">
                <w:txbxContent>
                  <w:p w14:paraId="0C6A221A">
                    <w:pPr>
                      <w:pStyle w:val="4"/>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89FB">
    <w:pPr>
      <w:pStyle w:val="4"/>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15E6B">
                          <w:pPr>
                            <w:pStyle w:val="4"/>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G3d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mxK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G3d4zAgAAZQQAAA4AAAAAAAAAAQAgAAAAHwEAAGRycy9lMm9Eb2MueG1sUEsF&#10;BgAAAAAGAAYAWQEAAMQFAAAAAA==&#10;">
              <v:fill on="f" focussize="0,0"/>
              <v:stroke on="f" weight="0.5pt"/>
              <v:imagedata o:title=""/>
              <o:lock v:ext="edit" aspectratio="f"/>
              <v:textbox inset="0mm,0mm,0mm,0mm" style="mso-fit-shape-to-text:t;">
                <w:txbxContent>
                  <w:p w14:paraId="05815E6B">
                    <w:pPr>
                      <w:pStyle w:val="4"/>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04468">
    <w:pPr>
      <w:pStyle w:val="4"/>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FFF30">
                          <w:pPr>
                            <w:pStyle w:val="4"/>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6Q0I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P6Q0IzAgAAZQQAAA4AAAAAAAAAAQAgAAAAHwEAAGRycy9lMm9Eb2MueG1sUEsF&#10;BgAAAAAGAAYAWQEAAMQFAAAAAA==&#10;">
              <v:fill on="f" focussize="0,0"/>
              <v:stroke on="f" weight="0.5pt"/>
              <v:imagedata o:title=""/>
              <o:lock v:ext="edit" aspectratio="f"/>
              <v:textbox inset="0mm,0mm,0mm,0mm" style="mso-fit-shape-to-text:t;">
                <w:txbxContent>
                  <w:p w14:paraId="3D6FFF30">
                    <w:pPr>
                      <w:pStyle w:val="4"/>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C280C">
    <w:pPr>
      <w:pStyle w:val="4"/>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01559">
                          <w:pPr>
                            <w:pStyle w:val="4"/>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5r8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t/5r8zAgAAZQQAAA4AAAAAAAAAAQAgAAAAHwEAAGRycy9lMm9Eb2MueG1sUEsF&#10;BgAAAAAGAAYAWQEAAMQFAAAAAA==&#10;">
              <v:fill on="f" focussize="0,0"/>
              <v:stroke on="f" weight="0.5pt"/>
              <v:imagedata o:title=""/>
              <o:lock v:ext="edit" aspectratio="f"/>
              <v:textbox inset="0mm,0mm,0mm,0mm" style="mso-fit-shape-to-text:t;">
                <w:txbxContent>
                  <w:p w14:paraId="4A901559">
                    <w:pPr>
                      <w:pStyle w:val="4"/>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9CAF">
    <w:pPr>
      <w:pStyle w:val="4"/>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1BBEA">
                          <w:pPr>
                            <w:pStyle w:val="4"/>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Bql0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wBql0zAgAAZQQAAA4AAAAAAAAAAQAgAAAAHwEAAGRycy9lMm9Eb2MueG1sUEsF&#10;BgAAAAAGAAYAWQEAAMQFAAAAAA==&#10;">
              <v:fill on="f" focussize="0,0"/>
              <v:stroke on="f" weight="0.5pt"/>
              <v:imagedata o:title=""/>
              <o:lock v:ext="edit" aspectratio="f"/>
              <v:textbox inset="0mm,0mm,0mm,0mm" style="mso-fit-shape-to-text:t;">
                <w:txbxContent>
                  <w:p w14:paraId="4E51BBEA">
                    <w:pPr>
                      <w:pStyle w:val="4"/>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F09C">
    <w:pPr>
      <w:pStyle w:val="4"/>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0C230">
                          <w:pPr>
                            <w:pStyle w:val="4"/>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QgM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c5CAzICAABlBAAADgAAAAAAAAABACAAAAAfAQAAZHJzL2Uyb0RvYy54bWxQSwUG&#10;AAAAAAYABgBZAQAAwwUAAAAA&#10;">
              <v:fill on="f" focussize="0,0"/>
              <v:stroke on="f" weight="0.5pt"/>
              <v:imagedata o:title=""/>
              <o:lock v:ext="edit" aspectratio="f"/>
              <v:textbox inset="0mm,0mm,0mm,0mm" style="mso-fit-shape-to-text:t;">
                <w:txbxContent>
                  <w:p w14:paraId="48A0C230">
                    <w:pPr>
                      <w:pStyle w:val="4"/>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3D66C">
    <w:pPr>
      <w:pStyle w:val="4"/>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BF607">
                          <w:pPr>
                            <w:pStyle w:val="4"/>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3J8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py3J8zAgAAZQQAAA4AAAAAAAAAAQAgAAAAHwEAAGRycy9lMm9Eb2MueG1sUEsF&#10;BgAAAAAGAAYAWQEAAMQFAAAAAA==&#10;">
              <v:fill on="f" focussize="0,0"/>
              <v:stroke on="f" weight="0.5pt"/>
              <v:imagedata o:title=""/>
              <o:lock v:ext="edit" aspectratio="f"/>
              <v:textbox inset="0mm,0mm,0mm,0mm" style="mso-fit-shape-to-text:t;">
                <w:txbxContent>
                  <w:p w14:paraId="250BF607">
                    <w:pPr>
                      <w:pStyle w:val="4"/>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84F16">
    <w:pPr>
      <w:pStyle w:val="4"/>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7F1A0C">
                          <w:pPr>
                            <w:pStyle w:val="4"/>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ebeY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MebeYzAgAAZQQAAA4AAAAAAAAAAQAgAAAAHwEAAGRycy9lMm9Eb2MueG1sUEsF&#10;BgAAAAAGAAYAWQEAAMQFAAAAAA==&#10;">
              <v:fill on="f" focussize="0,0"/>
              <v:stroke on="f" weight="0.5pt"/>
              <v:imagedata o:title=""/>
              <o:lock v:ext="edit" aspectratio="f"/>
              <v:textbox inset="0mm,0mm,0mm,0mm" style="mso-fit-shape-to-text:t;">
                <w:txbxContent>
                  <w:p w14:paraId="117F1A0C">
                    <w:pPr>
                      <w:pStyle w:val="4"/>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0A76A">
    <w:pPr>
      <w:pStyle w:val="4"/>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3DC88">
                          <w:pPr>
                            <w:pStyle w:val="4"/>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i83oz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ii83ozAgAAZQQAAA4AAAAAAAAAAQAgAAAAHwEAAGRycy9lMm9Eb2MueG1sUEsF&#10;BgAAAAAGAAYAWQEAAMQFAAAAAA==&#10;">
              <v:fill on="f" focussize="0,0"/>
              <v:stroke on="f" weight="0.5pt"/>
              <v:imagedata o:title=""/>
              <o:lock v:ext="edit" aspectratio="f"/>
              <v:textbox inset="0mm,0mm,0mm,0mm" style="mso-fit-shape-to-text:t;">
                <w:txbxContent>
                  <w:p w14:paraId="0433DC88">
                    <w:pPr>
                      <w:pStyle w:val="4"/>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83151">
    <w:pPr>
      <w:pStyle w:val="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950D0">
                          <w:pPr>
                            <w:pStyle w:val="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1A4950D0">
                    <w:pPr>
                      <w:pStyle w:val="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F77B">
    <w:pPr>
      <w:pStyle w:val="4"/>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BD830">
                          <w:pPr>
                            <w:pStyle w:val="4"/>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v5g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3L+YNAIAAGUEAAAOAAAAAAAAAAEAIAAAAB8BAABkcnMvZTJvRG9jLnhtbFBL&#10;BQYAAAAABgAGAFkBAADFBQAAAAA=&#10;">
              <v:fill on="f" focussize="0,0"/>
              <v:stroke on="f" weight="0.5pt"/>
              <v:imagedata o:title=""/>
              <o:lock v:ext="edit" aspectratio="f"/>
              <v:textbox inset="0mm,0mm,0mm,0mm" style="mso-fit-shape-to-text:t;">
                <w:txbxContent>
                  <w:p w14:paraId="4C4BD830">
                    <w:pPr>
                      <w:pStyle w:val="4"/>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C53">
    <w:pPr>
      <w:pStyle w:val="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A48D1">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5CEA48D1">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056D2">
    <w:pPr>
      <w:pStyle w:val="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3AC98">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5D33AC98">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A618D">
    <w:pPr>
      <w:pStyle w:val="4"/>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EE13F">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592EE13F">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41E16">
    <w:pPr>
      <w:spacing w:before="13" w:line="232" w:lineRule="auto"/>
      <w:ind w:left="2"/>
      <w:rPr>
        <w:rFonts w:ascii="楷体" w:hAnsi="楷体" w:eastAsia="楷体" w:cs="楷体"/>
        <w:sz w:val="20"/>
        <w:szCs w:val="20"/>
      </w:rPr>
    </w:pPr>
    <w:r>
      <w:pict>
        <v:shape id="_x0000_s2051" o:spid="_x0000_s2051"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AD29E">
    <w:pPr>
      <w:spacing w:before="13" w:line="232" w:lineRule="auto"/>
      <w:ind w:left="2"/>
      <w:rPr>
        <w:rFonts w:ascii="楷体" w:hAnsi="楷体" w:eastAsia="楷体" w:cs="楷体"/>
        <w:sz w:val="20"/>
        <w:szCs w:val="20"/>
      </w:rPr>
    </w:pPr>
    <w:r>
      <w:pict>
        <v:shape id="_x0000_s2073" o:spid="_x0000_s2073"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0A3A9">
    <w:pPr>
      <w:spacing w:before="13" w:line="232" w:lineRule="auto"/>
      <w:ind w:left="2"/>
      <w:rPr>
        <w:rFonts w:ascii="楷体" w:hAnsi="楷体" w:eastAsia="楷体" w:cs="楷体"/>
        <w:sz w:val="20"/>
        <w:szCs w:val="20"/>
      </w:rPr>
    </w:pPr>
    <w:r>
      <w:pict>
        <v:shape id="_x0000_s2076" o:spid="_x0000_s2076" style="position:absolute;left:0pt;margin-left:70.9pt;margin-top:48.6pt;height:0.75pt;width:462.1pt;mso-position-horizontal-relative:page;mso-position-vertical-relative:page;z-index:251673600;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9F5D3">
    <w:pPr>
      <w:spacing w:before="13" w:line="232" w:lineRule="auto"/>
      <w:ind w:left="112"/>
      <w:rPr>
        <w:rFonts w:ascii="楷体" w:hAnsi="楷体" w:eastAsia="楷体" w:cs="楷体"/>
        <w:sz w:val="20"/>
        <w:szCs w:val="20"/>
      </w:rPr>
    </w:pPr>
    <w:r>
      <w:pict>
        <v:shape id="_x0000_s2077" o:spid="_x0000_s2077" style="position:absolute;left:0pt;margin-left:70.9pt;margin-top:48.6pt;height:0.75pt;width:462.1pt;mso-position-horizontal-relative:page;mso-position-vertical-relative:page;z-index:251674624;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ABC70">
    <w:pPr>
      <w:spacing w:line="305" w:lineRule="exact"/>
      <w:ind w:firstLine="60"/>
    </w:pPr>
    <w:r>
      <w:rPr>
        <w:position w:val="-7"/>
      </w:rPr>
      <mc:AlternateContent>
        <mc:Choice Requires="wpg">
          <w:drawing>
            <wp:inline distT="0" distB="0" distL="114300" distR="114300">
              <wp:extent cx="5913120" cy="200660"/>
              <wp:effectExtent l="0" t="0" r="0" b="12700"/>
              <wp:docPr id="6" name="组合 6"/>
              <wp:cNvGraphicFramePr/>
              <a:graphic xmlns:a="http://schemas.openxmlformats.org/drawingml/2006/main">
                <a:graphicData uri="http://schemas.microsoft.com/office/word/2010/wordprocessingGroup">
                  <wpg:wgp>
                    <wpg:cNvGrpSpPr/>
                    <wpg:grpSpPr>
                      <a:xfrm>
                        <a:off x="0" y="0"/>
                        <a:ext cx="5913120" cy="200660"/>
                        <a:chOff x="0" y="0"/>
                        <a:chExt cx="9312" cy="316"/>
                      </a:xfrm>
                    </wpg:grpSpPr>
                    <wps:wsp>
                      <wps:cNvPr id="3" name="矩形 3"/>
                      <wps:cNvSpPr/>
                      <wps:spPr>
                        <a:xfrm>
                          <a:off x="30" y="0"/>
                          <a:ext cx="9252" cy="286"/>
                        </a:xfrm>
                        <a:prstGeom prst="rect">
                          <a:avLst/>
                        </a:prstGeom>
                        <a:solidFill>
                          <a:srgbClr val="FFFFFF"/>
                        </a:solidFill>
                        <a:ln>
                          <a:noFill/>
                        </a:ln>
                      </wps:spPr>
                      <wps:bodyPr upright="1"/>
                    </wps:wsp>
                    <wps:wsp>
                      <wps:cNvPr id="4" name="文本框 4"/>
                      <wps:cNvSpPr txBox="1"/>
                      <wps:spPr>
                        <a:xfrm>
                          <a:off x="11" y="10"/>
                          <a:ext cx="2036" cy="250"/>
                        </a:xfrm>
                        <a:prstGeom prst="rect">
                          <a:avLst/>
                        </a:prstGeom>
                        <a:noFill/>
                        <a:ln>
                          <a:noFill/>
                        </a:ln>
                      </wps:spPr>
                      <wps:txbx>
                        <w:txbxContent>
                          <w:p w14:paraId="7FF8CCC9">
                            <w:pPr>
                              <w:spacing w:before="19" w:line="216" w:lineRule="auto"/>
                              <w:ind w:left="20"/>
                              <w:rPr>
                                <w:rFonts w:ascii="楷体" w:hAnsi="楷体" w:eastAsia="楷体" w:cs="楷体"/>
                                <w:sz w:val="21"/>
                                <w:szCs w:val="21"/>
                              </w:rPr>
                            </w:pPr>
                            <w:r>
                              <w:rPr>
                                <w:rFonts w:ascii="楷体" w:hAnsi="楷体" w:eastAsia="楷体" w:cs="楷体"/>
                                <w:sz w:val="21"/>
                                <w:szCs w:val="21"/>
                              </w:rPr>
                              <w:t>公开 公平 公正 诚信</w:t>
                            </w:r>
                          </w:p>
                        </w:txbxContent>
                      </wps:txbx>
                      <wps:bodyPr lIns="0" tIns="0" rIns="0" bIns="0" upright="1"/>
                    </wps:wsp>
                    <wps:wsp>
                      <wps:cNvPr id="5" name="任意多边形 5"/>
                      <wps:cNvSpPr/>
                      <wps:spPr>
                        <a:xfrm>
                          <a:off x="0" y="300"/>
                          <a:ext cx="9312" cy="15"/>
                        </a:xfrm>
                        <a:custGeom>
                          <a:avLst/>
                          <a:gdLst/>
                          <a:ahLst/>
                          <a:cxnLst/>
                          <a:pathLst>
                            <a:path w="9312" h="15">
                              <a:moveTo>
                                <a:pt x="0" y="15"/>
                              </a:moveTo>
                              <a:lnTo>
                                <a:pt x="9311" y="15"/>
                              </a:lnTo>
                              <a:lnTo>
                                <a:pt x="9311" y="0"/>
                              </a:lnTo>
                              <a:lnTo>
                                <a:pt x="0" y="0"/>
                              </a:lnTo>
                              <a:lnTo>
                                <a:pt x="0" y="15"/>
                              </a:lnTo>
                              <a:close/>
                            </a:path>
                          </a:pathLst>
                        </a:custGeom>
                        <a:solidFill>
                          <a:srgbClr val="000000"/>
                        </a:solidFill>
                        <a:ln>
                          <a:noFill/>
                        </a:ln>
                      </wps:spPr>
                      <wps:bodyPr upright="1"/>
                    </wps:wsp>
                  </wpg:wgp>
                </a:graphicData>
              </a:graphic>
            </wp:inline>
          </w:drawing>
        </mc:Choice>
        <mc:Fallback>
          <w:pict>
            <v:group id="_x0000_s1026" o:spid="_x0000_s1026" o:spt="203" style="height:15.8pt;width:465.6pt;" coordsize="9312,316" o:gfxdata="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Hz39Z1QAAAAQBAAAPAAAAAAAAAAEAIAAAACIAAABkcnMvZG93bnJldi54bWxQ&#10;SwECFAAUAAAACACHTuJAsy7/xRcDAACuCAAADgAAAAAAAAABACAAAAAkAQAAZHJzL2Uyb0RvYy54&#10;bWxQSwUGAAAAAAYABgBZAQAArQYAAAAA&#10;">
              <o:lock v:ext="edit" aspectratio="f"/>
              <v:rect id="_x0000_s1026" o:spid="_x0000_s1026" o:spt="1" style="position:absolute;left:30;top:0;height:286;width:9252;" fillcolor="#FFFFFF" filled="t" stroked="f" coordsize="21600,21600" o:gfxdata="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0kXOvQAA&#10;ANoAAAAPAAAAAAAAAAEAIAAAACIAAABkcnMvZG93bnJldi54bWxQSwECFAAUAAAACACHTuJAMy8F&#10;njsAAAA5AAAAEAAAAAAAAAABACAAAAAMAQAAZHJzL3NoYXBleG1sLnhtbFBLBQYAAAAABgAGAFsB&#10;AAC2AwAAAAA=&#10;">
                <v:fill on="t" focussize="0,0"/>
                <v:stroke on="f"/>
                <v:imagedata o:title=""/>
                <o:lock v:ext="edit" aspectratio="f"/>
              </v:rect>
              <v:shape id="_x0000_s1026" o:spid="_x0000_s1026" o:spt="202" type="#_x0000_t202" style="position:absolute;left:11;top:10;height:250;width:2036;"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FF8CCC9">
                      <w:pPr>
                        <w:spacing w:before="19" w:line="216" w:lineRule="auto"/>
                        <w:ind w:left="20"/>
                        <w:rPr>
                          <w:rFonts w:ascii="楷体" w:hAnsi="楷体" w:eastAsia="楷体" w:cs="楷体"/>
                          <w:sz w:val="21"/>
                          <w:szCs w:val="21"/>
                        </w:rPr>
                      </w:pPr>
                      <w:r>
                        <w:rPr>
                          <w:rFonts w:ascii="楷体" w:hAnsi="楷体" w:eastAsia="楷体" w:cs="楷体"/>
                          <w:sz w:val="21"/>
                          <w:szCs w:val="21"/>
                        </w:rPr>
                        <w:t>公开 公平 公正 诚信</w:t>
                      </w:r>
                    </w:p>
                  </w:txbxContent>
                </v:textbox>
              </v:shape>
              <v:shape id="_x0000_s1026" o:spid="_x0000_s1026" o:spt="100" style="position:absolute;left:0;top:300;height:15;width:9312;" fillcolor="#000000" filled="t" stroked="f" coordsize="9312,15" o:gfxdata="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xPXu8AAAA&#10;2gAAAA8AAAAAAAAAAQAgAAAAIgAAAGRycy9kb3ducmV2LnhtbFBLAQIUABQAAAAIAIdO4kAzLwWe&#10;OwAAADkAAAAQAAAAAAAAAAEAIAAAAAsBAABkcnMvc2hhcGV4bWwueG1sUEsFBgAAAAAGAAYAWwEA&#10;ALUDAAAAAA==&#10;" path="m0,15l9311,15,9311,0,0,0,0,15xe">
                <v:fill on="t" focussize="0,0"/>
                <v:stroke on="f"/>
                <v:imagedata o:title=""/>
                <o:lock v:ext="edit" aspectratio="f"/>
              </v:shape>
              <w10:wrap type="none"/>
              <w10:anchorlock/>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35E74">
    <w:pPr>
      <w:spacing w:before="13" w:line="232" w:lineRule="auto"/>
      <w:ind w:left="2"/>
      <w:rPr>
        <w:rFonts w:ascii="楷体" w:hAnsi="楷体" w:eastAsia="楷体" w:cs="楷体"/>
        <w:sz w:val="20"/>
        <w:szCs w:val="20"/>
      </w:rPr>
    </w:pPr>
    <w:r>
      <w:pict>
        <v:shape id="_x0000_s2078" o:spid="_x0000_s2078"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EEEB3">
    <w:pPr>
      <w:spacing w:before="13" w:line="232" w:lineRule="auto"/>
      <w:ind w:left="52"/>
      <w:rPr>
        <w:rFonts w:ascii="楷体" w:hAnsi="楷体" w:eastAsia="楷体" w:cs="楷体"/>
        <w:sz w:val="20"/>
        <w:szCs w:val="20"/>
      </w:rPr>
    </w:pPr>
    <w:r>
      <w:pict>
        <v:shape id="_x0000_s2079" o:spid="_x0000_s2079" style="position:absolute;left:0pt;margin-left:70.9pt;margin-top:48.6pt;height:0.75pt;width:462.1pt;mso-position-horizontal-relative:page;mso-position-vertical-relative:page;z-index:25167564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2509F">
    <w:pPr>
      <w:spacing w:before="13" w:line="232" w:lineRule="auto"/>
      <w:ind w:left="369"/>
      <w:rPr>
        <w:rFonts w:ascii="楷体" w:hAnsi="楷体" w:eastAsia="楷体" w:cs="楷体"/>
        <w:sz w:val="20"/>
        <w:szCs w:val="20"/>
      </w:rPr>
    </w:pPr>
    <w:r>
      <w:pict>
        <v:shape id="_x0000_s2080" o:spid="_x0000_s2080" style="position:absolute;left:0pt;margin-left:70.9pt;margin-top:48.6pt;height:0.75pt;width:462.1pt;mso-position-horizontal-relative:page;mso-position-vertical-relative:page;z-index:251676672;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32C8">
    <w:pPr>
      <w:spacing w:before="13" w:line="232" w:lineRule="auto"/>
      <w:ind w:left="2"/>
      <w:rPr>
        <w:rFonts w:ascii="楷体" w:hAnsi="楷体" w:eastAsia="楷体" w:cs="楷体"/>
        <w:sz w:val="20"/>
        <w:szCs w:val="20"/>
      </w:rPr>
    </w:pPr>
    <w:r>
      <w:pict>
        <v:shape id="_x0000_s2081" o:spid="_x0000_s2081"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A88A1">
    <w:pPr>
      <w:spacing w:before="13" w:line="232" w:lineRule="auto"/>
      <w:ind w:left="114"/>
      <w:rPr>
        <w:rFonts w:ascii="楷体" w:hAnsi="楷体" w:eastAsia="楷体" w:cs="楷体"/>
        <w:sz w:val="20"/>
        <w:szCs w:val="20"/>
      </w:rPr>
    </w:pPr>
    <w:r>
      <w:pict>
        <v:shape id="_x0000_s2083" o:spid="_x0000_s2083" style="position:absolute;left:0pt;margin-left:70.9pt;margin-top:48.6pt;height:0.75pt;width:462.1pt;mso-position-horizontal-relative:page;mso-position-vertical-relative:page;z-index:251677696;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FF141">
    <w:pPr>
      <w:spacing w:before="13" w:line="232" w:lineRule="auto"/>
      <w:ind w:left="2"/>
      <w:rPr>
        <w:rFonts w:ascii="楷体" w:hAnsi="楷体" w:eastAsia="楷体" w:cs="楷体"/>
        <w:sz w:val="20"/>
        <w:szCs w:val="20"/>
      </w:rPr>
    </w:pPr>
    <w:r>
      <w:pict>
        <v:shape id="_x0000_s2084" o:spid="_x0000_s2084"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205F">
    <w:pPr>
      <w:spacing w:before="13" w:line="232" w:lineRule="auto"/>
      <w:ind w:left="2"/>
      <w:rPr>
        <w:rFonts w:ascii="楷体" w:hAnsi="楷体" w:eastAsia="楷体" w:cs="楷体"/>
        <w:sz w:val="20"/>
        <w:szCs w:val="20"/>
      </w:rPr>
    </w:pPr>
    <w:r>
      <w:pict>
        <v:shape id="_x0000_s2053" o:spid="_x0000_s2053" style="position:absolute;left:0pt;margin-left:70.9pt;margin-top:48.6pt;height:0.75pt;width:462.1pt;mso-position-horizontal-relative:page;mso-position-vertical-relative:page;z-index:251662336;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DC050">
    <w:pPr>
      <w:spacing w:before="13" w:line="232" w:lineRule="auto"/>
      <w:ind w:left="71"/>
      <w:rPr>
        <w:rFonts w:ascii="楷体" w:hAnsi="楷体" w:eastAsia="楷体" w:cs="楷体"/>
        <w:sz w:val="20"/>
        <w:szCs w:val="20"/>
      </w:rPr>
    </w:pPr>
    <w:r>
      <w:pict>
        <v:shape id="_x0000_s2085" o:spid="_x0000_s2085" style="position:absolute;left:0pt;margin-left:70.9pt;margin-top:48.6pt;height:0.75pt;width:462.1pt;mso-position-horizontal-relative:page;mso-position-vertical-relative:page;z-index:251678720;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8AE8C">
    <w:pPr>
      <w:spacing w:before="13" w:line="232" w:lineRule="auto"/>
      <w:ind w:left="2"/>
      <w:rPr>
        <w:rFonts w:ascii="楷体" w:hAnsi="楷体" w:eastAsia="楷体" w:cs="楷体"/>
        <w:sz w:val="20"/>
        <w:szCs w:val="20"/>
      </w:rPr>
    </w:pPr>
    <w:r>
      <w:pict>
        <v:shape id="_x0000_s2086" o:spid="_x0000_s2086"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F4F3D">
    <w:pPr>
      <w:spacing w:before="13" w:line="232" w:lineRule="auto"/>
      <w:ind w:left="2"/>
      <w:rPr>
        <w:rFonts w:ascii="楷体" w:hAnsi="楷体" w:eastAsia="楷体" w:cs="楷体"/>
        <w:sz w:val="20"/>
        <w:szCs w:val="20"/>
      </w:rPr>
    </w:pPr>
    <w:r>
      <w:pict>
        <v:shape id="_x0000_s2055" o:spid="_x0000_s2055"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9CD6E">
    <w:pPr>
      <w:spacing w:before="13" w:line="232" w:lineRule="auto"/>
      <w:ind w:left="106"/>
      <w:rPr>
        <w:rFonts w:ascii="楷体" w:hAnsi="楷体" w:eastAsia="楷体" w:cs="楷体"/>
        <w:sz w:val="20"/>
        <w:szCs w:val="20"/>
      </w:rPr>
    </w:pPr>
    <w:r>
      <w:pict>
        <v:shape id="_x0000_s2056" o:spid="_x0000_s2056" style="position:absolute;left:0pt;margin-left:70.9pt;margin-top:48.6pt;height:0.75pt;width:462.1pt;mso-position-horizontal-relative:page;mso-position-vertical-relative:page;z-index:251663360;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7350">
    <w:pPr>
      <w:spacing w:before="13" w:line="232" w:lineRule="auto"/>
      <w:ind w:left="2"/>
      <w:rPr>
        <w:rFonts w:ascii="楷体" w:hAnsi="楷体" w:eastAsia="楷体" w:cs="楷体"/>
        <w:sz w:val="20"/>
        <w:szCs w:val="20"/>
      </w:rPr>
    </w:pPr>
    <w:r>
      <w:pict>
        <v:shape id="_x0000_s2065" o:spid="_x0000_s2065" style="position:absolute;left:0pt;margin-left:70.9pt;margin-top:48.6pt;height:0.75pt;width:462.1pt;mso-position-horizontal-relative:page;mso-position-vertical-relative:page;z-index:251671552;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D109C">
    <w:pPr>
      <w:spacing w:before="13" w:line="232" w:lineRule="auto"/>
      <w:ind w:left="2"/>
      <w:rPr>
        <w:rFonts w:ascii="楷体" w:hAnsi="楷体" w:eastAsia="楷体" w:cs="楷体"/>
        <w:sz w:val="20"/>
        <w:szCs w:val="20"/>
      </w:rPr>
    </w:pPr>
    <w:r>
      <w:pict>
        <v:shape id="_x0000_s2066" o:spid="_x0000_s2066" style="position:absolute;left:0pt;margin-left:70.9pt;margin-top:48.6pt;height:0.75pt;width:462.1pt;mso-position-horizontal-relative:page;mso-position-vertical-relative:page;z-index:25166540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7DAFA">
    <w:pPr>
      <w:spacing w:line="305" w:lineRule="exact"/>
    </w:pPr>
    <w:r>
      <w:rPr>
        <w:position w:val="-7"/>
      </w:rPr>
      <mc:AlternateContent>
        <mc:Choice Requires="wpg">
          <w:drawing>
            <wp:inline distT="0" distB="0" distL="114300" distR="114300">
              <wp:extent cx="5913120" cy="200660"/>
              <wp:effectExtent l="0" t="0" r="11430" b="8890"/>
              <wp:docPr id="11" name="组合 11"/>
              <wp:cNvGraphicFramePr/>
              <a:graphic xmlns:a="http://schemas.openxmlformats.org/drawingml/2006/main">
                <a:graphicData uri="http://schemas.microsoft.com/office/word/2010/wordprocessingGroup">
                  <wpg:wgp>
                    <wpg:cNvGrpSpPr/>
                    <wpg:grpSpPr>
                      <a:xfrm>
                        <a:off x="0" y="0"/>
                        <a:ext cx="5913120" cy="200660"/>
                        <a:chOff x="0" y="0"/>
                        <a:chExt cx="9312" cy="316"/>
                      </a:xfrm>
                    </wpg:grpSpPr>
                    <wps:wsp>
                      <wps:cNvPr id="13" name="矩形 13"/>
                      <wps:cNvSpPr/>
                      <wps:spPr>
                        <a:xfrm>
                          <a:off x="30" y="0"/>
                          <a:ext cx="9252" cy="286"/>
                        </a:xfrm>
                        <a:prstGeom prst="rect">
                          <a:avLst/>
                        </a:prstGeom>
                        <a:solidFill>
                          <a:srgbClr val="FFFFFF"/>
                        </a:solidFill>
                        <a:ln>
                          <a:noFill/>
                        </a:ln>
                      </wps:spPr>
                      <wps:bodyPr upright="1"/>
                    </wps:wsp>
                    <wps:wsp>
                      <wps:cNvPr id="15" name="文本框 15"/>
                      <wps:cNvSpPr txBox="1"/>
                      <wps:spPr>
                        <a:xfrm>
                          <a:off x="11" y="10"/>
                          <a:ext cx="2036" cy="250"/>
                        </a:xfrm>
                        <a:prstGeom prst="rect">
                          <a:avLst/>
                        </a:prstGeom>
                        <a:noFill/>
                        <a:ln>
                          <a:noFill/>
                        </a:ln>
                      </wps:spPr>
                      <wps:txbx>
                        <w:txbxContent>
                          <w:p w14:paraId="1B1B542B">
                            <w:pPr>
                              <w:spacing w:before="19" w:line="216" w:lineRule="auto"/>
                              <w:ind w:left="20"/>
                              <w:rPr>
                                <w:rFonts w:ascii="楷体" w:hAnsi="楷体" w:eastAsia="楷体" w:cs="楷体"/>
                                <w:sz w:val="21"/>
                                <w:szCs w:val="21"/>
                              </w:rPr>
                            </w:pPr>
                            <w:r>
                              <w:rPr>
                                <w:rFonts w:ascii="楷体" w:hAnsi="楷体" w:eastAsia="楷体" w:cs="楷体"/>
                                <w:sz w:val="21"/>
                                <w:szCs w:val="21"/>
                              </w:rPr>
                              <w:t>公开 公平 公正 诚信</w:t>
                            </w:r>
                          </w:p>
                        </w:txbxContent>
                      </wps:txbx>
                      <wps:bodyPr lIns="0" tIns="0" rIns="0" bIns="0" upright="1"/>
                    </wps:wsp>
                    <wps:wsp>
                      <wps:cNvPr id="17" name="任意多边形 17"/>
                      <wps:cNvSpPr/>
                      <wps:spPr>
                        <a:xfrm>
                          <a:off x="0" y="300"/>
                          <a:ext cx="9312" cy="15"/>
                        </a:xfrm>
                        <a:custGeom>
                          <a:avLst/>
                          <a:gdLst/>
                          <a:ahLst/>
                          <a:cxnLst/>
                          <a:pathLst>
                            <a:path w="9312" h="15">
                              <a:moveTo>
                                <a:pt x="0" y="15"/>
                              </a:moveTo>
                              <a:lnTo>
                                <a:pt x="9311" y="15"/>
                              </a:lnTo>
                              <a:lnTo>
                                <a:pt x="9311" y="0"/>
                              </a:lnTo>
                              <a:lnTo>
                                <a:pt x="0" y="0"/>
                              </a:lnTo>
                              <a:lnTo>
                                <a:pt x="0" y="15"/>
                              </a:lnTo>
                              <a:close/>
                            </a:path>
                          </a:pathLst>
                        </a:custGeom>
                        <a:solidFill>
                          <a:srgbClr val="000000"/>
                        </a:solidFill>
                        <a:ln>
                          <a:noFill/>
                        </a:ln>
                      </wps:spPr>
                      <wps:bodyPr upright="1"/>
                    </wps:wsp>
                  </wpg:wgp>
                </a:graphicData>
              </a:graphic>
            </wp:inline>
          </w:drawing>
        </mc:Choice>
        <mc:Fallback>
          <w:pict>
            <v:group id="_x0000_s1026" o:spid="_x0000_s1026" o:spt="203" style="height:15.8pt;width:465.6pt;" coordsize="9312,316" o:gfxdata="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x89/WdUAAAAEAQAADwAAAAAAAAABACAAAAAiAAAAZHJzL2Rvd25yZXYueG1sUEsB&#10;AhQAFAAAAAgAh07iQK7pV+QVAwAAtggAAA4AAAAAAAAAAQAgAAAAJAEAAGRycy9lMm9Eb2MueG1s&#10;UEsFBgAAAAAGAAYAWQEAAKsGAAAAAA==&#10;">
              <o:lock v:ext="edit" aspectratio="f"/>
              <v:rect id="_x0000_s1026" o:spid="_x0000_s1026" o:spt="1" style="position:absolute;left:30;top:0;height:286;width:9252;" fillcolor="#FFFFFF" filled="t" stroked="f" coordsize="21600,21600" o:gfxdata="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glWXrsAAADb&#10;AAAADwAAAAAAAAABACAAAAAiAAAAZHJzL2Rvd25yZXYueG1sUEsBAhQAFAAAAAgAh07iQDMvBZ47&#10;AAAAOQAAABAAAAAAAAAAAQAgAAAACgEAAGRycy9zaGFwZXhtbC54bWxQSwUGAAAAAAYABgBbAQAA&#10;tAMAAAAA&#10;">
                <v:fill on="t" focussize="0,0"/>
                <v:stroke on="f"/>
                <v:imagedata o:title=""/>
                <o:lock v:ext="edit" aspectratio="f"/>
              </v:rect>
              <v:shape id="_x0000_s1026" o:spid="_x0000_s1026" o:spt="202" type="#_x0000_t202" style="position:absolute;left:11;top:10;height:250;width:2036;"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B1B542B">
                      <w:pPr>
                        <w:spacing w:before="19" w:line="216" w:lineRule="auto"/>
                        <w:ind w:left="20"/>
                        <w:rPr>
                          <w:rFonts w:ascii="楷体" w:hAnsi="楷体" w:eastAsia="楷体" w:cs="楷体"/>
                          <w:sz w:val="21"/>
                          <w:szCs w:val="21"/>
                        </w:rPr>
                      </w:pPr>
                      <w:r>
                        <w:rPr>
                          <w:rFonts w:ascii="楷体" w:hAnsi="楷体" w:eastAsia="楷体" w:cs="楷体"/>
                          <w:sz w:val="21"/>
                          <w:szCs w:val="21"/>
                        </w:rPr>
                        <w:t>公开 公平 公正 诚信</w:t>
                      </w:r>
                    </w:p>
                  </w:txbxContent>
                </v:textbox>
              </v:shape>
              <v:shape id="_x0000_s1026" o:spid="_x0000_s1026" o:spt="100" style="position:absolute;left:0;top:300;height:15;width:9312;" fillcolor="#000000" filled="t" stroked="f" coordsize="9312,15" o:gfxdata="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Q7vFS5AAAA2wAA&#10;AA8AAAAAAAAAAQAgAAAAIgAAAGRycy9kb3ducmV2LnhtbFBLAQIUABQAAAAIAIdO4kAzLwWeOwAA&#10;ADkAAAAQAAAAAAAAAAEAIAAAAAgBAABkcnMvc2hhcGV4bWwueG1sUEsFBgAAAAAGAAYAWwEAALID&#10;AAAAAA==&#10;" path="m0,15l9311,15,9311,0,0,0,0,15xe">
                <v:fill on="t" focussize="0,0"/>
                <v:stroke on="f"/>
                <v:imagedata o:title=""/>
                <o:lock v:ext="edit" aspectratio="f"/>
              </v:shape>
              <w10:wrap type="none"/>
              <w10:anchorlock/>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1AAA4">
    <w:pPr>
      <w:spacing w:before="56" w:line="216" w:lineRule="auto"/>
      <w:ind w:left="31"/>
      <w:rPr>
        <w:rFonts w:ascii="楷体" w:hAnsi="楷体" w:eastAsia="楷体" w:cs="楷体"/>
        <w:sz w:val="21"/>
        <w:szCs w:val="21"/>
      </w:rPr>
    </w:pPr>
    <w:r>
      <mc:AlternateContent>
        <mc:Choice Requires="wps">
          <w:drawing>
            <wp:anchor distT="0" distB="0" distL="114300" distR="114300" simplePos="0" relativeHeight="251661312" behindDoc="0" locked="0" layoutInCell="0" allowOverlap="1">
              <wp:simplePos x="0" y="0"/>
              <wp:positionH relativeFrom="page">
                <wp:posOffset>887095</wp:posOffset>
              </wp:positionH>
              <wp:positionV relativeFrom="page">
                <wp:posOffset>619760</wp:posOffset>
              </wp:positionV>
              <wp:extent cx="5913120"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913120" cy="9525"/>
                      </a:xfrm>
                      <a:custGeom>
                        <a:avLst/>
                        <a:gdLst/>
                        <a:ahLst/>
                        <a:cxnLst/>
                        <a:pathLst>
                          <a:path w="9312" h="15">
                            <a:moveTo>
                              <a:pt x="0" y="15"/>
                            </a:moveTo>
                            <a:lnTo>
                              <a:pt x="9311" y="15"/>
                            </a:lnTo>
                            <a:lnTo>
                              <a:pt x="9311"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85pt;margin-top:48.8pt;height:0.75pt;width:465.6pt;mso-position-horizontal-relative:page;mso-position-vertical-relative:page;z-index:251661312;mso-width-relative:page;mso-height-relative:page;" fillcolor="#000000" filled="t" stroked="f" coordsize="9312,15" o:allowincell="f" o:gfxdata="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7o8GTWAAAACgEAAA8AAAAAAAAA&#10;AQAgAAAAIgAAAGRycy9kb3ducmV2LnhtbFBLAQIUABQAAAAIAIdO4kCJcGkDEwIAAHwEAAAOAAAA&#10;AAAAAAEAIAAAACUBAABkcnMvZTJvRG9jLnhtbFBLBQYAAAAABgAGAFkBAACqBQAAAAA=&#10;" path="m0,15l9311,15,9311,0,0,0,0,15xe">
              <v:fill on="t" focussize="0,0"/>
              <v:stroke on="f"/>
              <v:imagedata o:title=""/>
              <o:lock v:ext="edit" aspectratio="f"/>
            </v:shape>
          </w:pict>
        </mc:Fallback>
      </mc:AlternateContent>
    </w:r>
    <w:r>
      <w:rPr>
        <w:rFonts w:ascii="楷体" w:hAnsi="楷体" w:eastAsia="楷体" w:cs="楷体"/>
        <w:sz w:val="21"/>
        <w:szCs w:val="21"/>
      </w:rPr>
      <w:t>公开 公平 公正 诚信</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D3EF5">
    <w:pPr>
      <w:spacing w:before="13" w:line="232" w:lineRule="auto"/>
      <w:ind w:left="2"/>
      <w:rPr>
        <w:rFonts w:ascii="楷体" w:hAnsi="楷体" w:eastAsia="楷体" w:cs="楷体"/>
        <w:sz w:val="20"/>
        <w:szCs w:val="20"/>
      </w:rPr>
    </w:pPr>
    <w:r>
      <w:pict>
        <v:shape id="_x0000_s2071" o:spid="_x0000_s2071" style="position:absolute;left:0pt;margin-left:70.9pt;margin-top:48.6pt;height:0.75pt;width:462.1pt;mso-position-horizontal-relative:page;mso-position-vertical-relative:page;z-index:251660288;mso-width-relative:page;mso-height-relative:page;" fillcolor="#000000" filled="t" stroked="f" coordsize="9242,15" o:allowincell="f" path="m0,0l9241,0,9241,14,0,14,0,0xe">
          <v:path/>
          <v:fill on="t" focussize="0,0"/>
          <v:stroke on="f"/>
          <v:imagedata o:title=""/>
          <o:lock v:ext="edit"/>
        </v:shape>
      </w:pict>
    </w:r>
    <w:r>
      <w:rPr>
        <w:rFonts w:ascii="楷体" w:hAnsi="楷体" w:eastAsia="楷体" w:cs="楷体"/>
        <w:spacing w:val="8"/>
        <w:sz w:val="20"/>
        <w:szCs w:val="20"/>
      </w:rPr>
      <w:t>公开 公平 公正 诚信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410F1"/>
    <w:rsid w:val="021F454C"/>
    <w:rsid w:val="0225391E"/>
    <w:rsid w:val="02590AD9"/>
    <w:rsid w:val="03255B77"/>
    <w:rsid w:val="03EC5256"/>
    <w:rsid w:val="04BF393A"/>
    <w:rsid w:val="05410997"/>
    <w:rsid w:val="05C375FE"/>
    <w:rsid w:val="05E41A4E"/>
    <w:rsid w:val="06540256"/>
    <w:rsid w:val="065D35AE"/>
    <w:rsid w:val="06633BC2"/>
    <w:rsid w:val="082371A9"/>
    <w:rsid w:val="0A670558"/>
    <w:rsid w:val="0A95665E"/>
    <w:rsid w:val="0B077F8D"/>
    <w:rsid w:val="0B471607"/>
    <w:rsid w:val="0BE46D3E"/>
    <w:rsid w:val="0C0B13B7"/>
    <w:rsid w:val="0C4B68F0"/>
    <w:rsid w:val="0CDD2D53"/>
    <w:rsid w:val="0D1679F8"/>
    <w:rsid w:val="0E5232CD"/>
    <w:rsid w:val="10DC1AB7"/>
    <w:rsid w:val="121865DB"/>
    <w:rsid w:val="1303728B"/>
    <w:rsid w:val="13825809"/>
    <w:rsid w:val="1399374C"/>
    <w:rsid w:val="14353475"/>
    <w:rsid w:val="15810C31"/>
    <w:rsid w:val="17471E3D"/>
    <w:rsid w:val="182A4EA0"/>
    <w:rsid w:val="18625F4B"/>
    <w:rsid w:val="192D3FF3"/>
    <w:rsid w:val="194A1770"/>
    <w:rsid w:val="1A7D5B75"/>
    <w:rsid w:val="1B3965B1"/>
    <w:rsid w:val="1C7E47A3"/>
    <w:rsid w:val="1CC40B0B"/>
    <w:rsid w:val="1D0C42FA"/>
    <w:rsid w:val="1D8F5720"/>
    <w:rsid w:val="1E6A01BF"/>
    <w:rsid w:val="1F9F20EA"/>
    <w:rsid w:val="20F12E19"/>
    <w:rsid w:val="218157FA"/>
    <w:rsid w:val="22552F34"/>
    <w:rsid w:val="2322375E"/>
    <w:rsid w:val="23D71DF9"/>
    <w:rsid w:val="28940C5A"/>
    <w:rsid w:val="2B361462"/>
    <w:rsid w:val="2B5E7D3C"/>
    <w:rsid w:val="2BD63337"/>
    <w:rsid w:val="2BF120A2"/>
    <w:rsid w:val="2C7D37B3"/>
    <w:rsid w:val="2CE55F6D"/>
    <w:rsid w:val="2D8D1641"/>
    <w:rsid w:val="2DFD7EF2"/>
    <w:rsid w:val="2E1F2D74"/>
    <w:rsid w:val="2E834928"/>
    <w:rsid w:val="2E89643F"/>
    <w:rsid w:val="30C25BF4"/>
    <w:rsid w:val="31A0241D"/>
    <w:rsid w:val="32655415"/>
    <w:rsid w:val="33CB74FA"/>
    <w:rsid w:val="34203F3F"/>
    <w:rsid w:val="346F60D7"/>
    <w:rsid w:val="34A96B3D"/>
    <w:rsid w:val="35074561"/>
    <w:rsid w:val="351433FA"/>
    <w:rsid w:val="367E0853"/>
    <w:rsid w:val="39501341"/>
    <w:rsid w:val="395D29A2"/>
    <w:rsid w:val="39A9208B"/>
    <w:rsid w:val="3B9141E0"/>
    <w:rsid w:val="3D485717"/>
    <w:rsid w:val="3E127075"/>
    <w:rsid w:val="3EC15781"/>
    <w:rsid w:val="3F312907"/>
    <w:rsid w:val="410F49D4"/>
    <w:rsid w:val="41BB529A"/>
    <w:rsid w:val="43F02873"/>
    <w:rsid w:val="45E5269D"/>
    <w:rsid w:val="46CD560B"/>
    <w:rsid w:val="47B274BE"/>
    <w:rsid w:val="49BA174B"/>
    <w:rsid w:val="4A673681"/>
    <w:rsid w:val="4A8055D9"/>
    <w:rsid w:val="4B3C2D5F"/>
    <w:rsid w:val="4B6B0F4E"/>
    <w:rsid w:val="4CC76658"/>
    <w:rsid w:val="4D221AE1"/>
    <w:rsid w:val="4ECA2430"/>
    <w:rsid w:val="4EDB288F"/>
    <w:rsid w:val="4F05790C"/>
    <w:rsid w:val="4F563CC4"/>
    <w:rsid w:val="4FBF5D0D"/>
    <w:rsid w:val="4FCB2904"/>
    <w:rsid w:val="50EC093D"/>
    <w:rsid w:val="51383FC9"/>
    <w:rsid w:val="51DA37D0"/>
    <w:rsid w:val="51DC4954"/>
    <w:rsid w:val="51F67960"/>
    <w:rsid w:val="53193986"/>
    <w:rsid w:val="53C21073"/>
    <w:rsid w:val="54890E82"/>
    <w:rsid w:val="55760C1C"/>
    <w:rsid w:val="55A16ED2"/>
    <w:rsid w:val="56024BA5"/>
    <w:rsid w:val="56837EA6"/>
    <w:rsid w:val="569E667C"/>
    <w:rsid w:val="571C19D7"/>
    <w:rsid w:val="584B2834"/>
    <w:rsid w:val="58FE78A6"/>
    <w:rsid w:val="59613991"/>
    <w:rsid w:val="59C46A5A"/>
    <w:rsid w:val="5A6C32DD"/>
    <w:rsid w:val="5AD71125"/>
    <w:rsid w:val="5B3C3908"/>
    <w:rsid w:val="5C1F6FBF"/>
    <w:rsid w:val="5C3E5087"/>
    <w:rsid w:val="5C4E0F4B"/>
    <w:rsid w:val="5E2F405E"/>
    <w:rsid w:val="5F1A276E"/>
    <w:rsid w:val="61FE4473"/>
    <w:rsid w:val="626764BC"/>
    <w:rsid w:val="64E7279C"/>
    <w:rsid w:val="654436AD"/>
    <w:rsid w:val="677E1BB2"/>
    <w:rsid w:val="68534DEC"/>
    <w:rsid w:val="687C273D"/>
    <w:rsid w:val="68877AC3"/>
    <w:rsid w:val="69107B7A"/>
    <w:rsid w:val="69236EB5"/>
    <w:rsid w:val="6A9C2A7B"/>
    <w:rsid w:val="6B2E2BC2"/>
    <w:rsid w:val="6B9064A9"/>
    <w:rsid w:val="6E7D7067"/>
    <w:rsid w:val="6FE74798"/>
    <w:rsid w:val="706B4F99"/>
    <w:rsid w:val="714C1CC5"/>
    <w:rsid w:val="72666DB2"/>
    <w:rsid w:val="7327134F"/>
    <w:rsid w:val="7377746A"/>
    <w:rsid w:val="73AA6208"/>
    <w:rsid w:val="7426442E"/>
    <w:rsid w:val="74686F88"/>
    <w:rsid w:val="74795BDB"/>
    <w:rsid w:val="74E20B19"/>
    <w:rsid w:val="753F0BD2"/>
    <w:rsid w:val="75866801"/>
    <w:rsid w:val="77087785"/>
    <w:rsid w:val="78827754"/>
    <w:rsid w:val="79D044EF"/>
    <w:rsid w:val="79E16DFF"/>
    <w:rsid w:val="79F65524"/>
    <w:rsid w:val="7AD75DC5"/>
    <w:rsid w:val="7CEE79DE"/>
    <w:rsid w:val="7F7B2E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仿宋" w:hAnsi="仿宋" w:eastAsia="仿宋" w:cs="仿宋"/>
      <w:sz w:val="20"/>
      <w:szCs w:val="20"/>
      <w:lang w:val="en-US" w:eastAsia="en-US" w:bidi="ar-SA"/>
    </w:rPr>
  </w:style>
  <w:style w:type="paragraph" w:customStyle="1" w:styleId="12">
    <w:name w:val="*正文_0"/>
    <w:next w:val="13"/>
    <w:qFormat/>
    <w:uiPriority w:val="0"/>
    <w:pPr>
      <w:widowControl/>
      <w:ind w:firstLine="482"/>
      <w:jc w:val="both"/>
    </w:pPr>
    <w:rPr>
      <w:rFonts w:ascii="微软雅黑" w:hAnsi="微软雅黑" w:eastAsia="微软雅黑" w:cs="Times New Roman"/>
      <w:kern w:val="2"/>
      <w:sz w:val="21"/>
      <w:szCs w:val="22"/>
      <w:lang w:val="en-US" w:eastAsia="zh-CN" w:bidi="ar-SA"/>
    </w:rPr>
  </w:style>
  <w:style w:type="paragraph" w:customStyle="1" w:styleId="13">
    <w:name w:val="正文_0"/>
    <w:qFormat/>
    <w:uiPriority w:val="0"/>
    <w:pPr>
      <w:widowControl w:val="0"/>
      <w:jc w:val="both"/>
    </w:pPr>
    <w:rPr>
      <w:rFonts w:ascii="Times New Roman" w:hAnsi="Times New Roman" w:eastAsia="宋体" w:cs="Times New Roman"/>
      <w:lang w:val="en-US" w:eastAsia="zh-CN" w:bidi="ar-SA"/>
    </w:rPr>
  </w:style>
  <w:style w:type="paragraph" w:customStyle="1" w:styleId="14">
    <w:name w:val="正文_0_0"/>
    <w:qFormat/>
    <w:uiPriority w:val="0"/>
    <w:pPr>
      <w:widowControl w:val="0"/>
      <w:jc w:val="both"/>
    </w:pPr>
    <w:rPr>
      <w:rFonts w:ascii="Times New Roman" w:hAnsi="Times New Roman" w:eastAsia="宋体" w:cs="Times New Roman"/>
      <w:lang w:val="en-US" w:eastAsia="zh-CN" w:bidi="ar-SA"/>
    </w:rPr>
  </w:style>
  <w:style w:type="paragraph" w:customStyle="1" w:styleId="15">
    <w:name w:val="正文_1"/>
    <w:qFormat/>
    <w:uiPriority w:val="0"/>
    <w:pPr>
      <w:widowControl w:val="0"/>
      <w:jc w:val="both"/>
    </w:pPr>
    <w:rPr>
      <w:rFonts w:ascii="Times New Roman" w:hAnsi="Times New Roman" w:eastAsia="宋体" w:cs="Times New Roman"/>
      <w:lang w:val="en-US" w:eastAsia="zh-CN" w:bidi="ar-SA"/>
    </w:rPr>
  </w:style>
  <w:style w:type="paragraph" w:customStyle="1" w:styleId="16">
    <w:name w:val="正文_1_0"/>
    <w:qFormat/>
    <w:uiPriority w:val="0"/>
    <w:pPr>
      <w:widowControl w:val="0"/>
      <w:jc w:val="both"/>
    </w:pPr>
    <w:rPr>
      <w:rFonts w:ascii="Times New Roman" w:hAnsi="Times New Roman" w:eastAsia="宋体" w:cs="Times New Roman"/>
      <w:lang w:val="en-US" w:eastAsia="zh-CN" w:bidi="ar-SA"/>
    </w:rPr>
  </w:style>
  <w:style w:type="character" w:customStyle="1" w:styleId="17">
    <w:name w:val="first-child"/>
    <w:basedOn w:val="9"/>
    <w:qFormat/>
    <w:uiPriority w:val="0"/>
  </w:style>
  <w:style w:type="character" w:customStyle="1" w:styleId="18">
    <w:name w:val="layui-layer-tabnow"/>
    <w:basedOn w:val="9"/>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9" Type="http://schemas.openxmlformats.org/officeDocument/2006/relationships/image" Target="media/image13.png"/><Relationship Id="rId98" Type="http://schemas.openxmlformats.org/officeDocument/2006/relationships/image" Target="media/image12.png"/><Relationship Id="rId97" Type="http://schemas.openxmlformats.org/officeDocument/2006/relationships/image" Target="media/image11.png"/><Relationship Id="rId96" Type="http://schemas.openxmlformats.org/officeDocument/2006/relationships/image" Target="media/image10.png"/><Relationship Id="rId95" Type="http://schemas.openxmlformats.org/officeDocument/2006/relationships/image" Target="media/image9.png"/><Relationship Id="rId94" Type="http://schemas.openxmlformats.org/officeDocument/2006/relationships/image" Target="media/image8.png"/><Relationship Id="rId93" Type="http://schemas.openxmlformats.org/officeDocument/2006/relationships/image" Target="media/image7.png"/><Relationship Id="rId92" Type="http://schemas.openxmlformats.org/officeDocument/2006/relationships/image" Target="media/image6.png"/><Relationship Id="rId91" Type="http://schemas.openxmlformats.org/officeDocument/2006/relationships/image" Target="media/image5.png"/><Relationship Id="rId90" Type="http://schemas.openxmlformats.org/officeDocument/2006/relationships/image" Target="media/image4.png"/><Relationship Id="rId9" Type="http://schemas.openxmlformats.org/officeDocument/2006/relationships/footer" Target="footer4.xml"/><Relationship Id="rId89" Type="http://schemas.openxmlformats.org/officeDocument/2006/relationships/image" Target="media/image3.png"/><Relationship Id="rId88" Type="http://schemas.openxmlformats.org/officeDocument/2006/relationships/image" Target="media/image2.png"/><Relationship Id="rId87" Type="http://schemas.openxmlformats.org/officeDocument/2006/relationships/image" Target="media/image1.jpeg"/><Relationship Id="rId86" Type="http://schemas.openxmlformats.org/officeDocument/2006/relationships/theme" Target="theme/theme1.xml"/><Relationship Id="rId85" Type="http://schemas.openxmlformats.org/officeDocument/2006/relationships/footer" Target="footer60.xml"/><Relationship Id="rId84" Type="http://schemas.openxmlformats.org/officeDocument/2006/relationships/footer" Target="footer59.xml"/><Relationship Id="rId83" Type="http://schemas.openxmlformats.org/officeDocument/2006/relationships/header" Target="header21.xml"/><Relationship Id="rId82" Type="http://schemas.openxmlformats.org/officeDocument/2006/relationships/footer" Target="footer58.xml"/><Relationship Id="rId81" Type="http://schemas.openxmlformats.org/officeDocument/2006/relationships/footer" Target="footer57.xml"/><Relationship Id="rId80" Type="http://schemas.openxmlformats.org/officeDocument/2006/relationships/header" Target="header20.xml"/><Relationship Id="rId8" Type="http://schemas.openxmlformats.org/officeDocument/2006/relationships/footer" Target="footer3.xml"/><Relationship Id="rId79" Type="http://schemas.openxmlformats.org/officeDocument/2006/relationships/footer" Target="footer56.xml"/><Relationship Id="rId78" Type="http://schemas.openxmlformats.org/officeDocument/2006/relationships/footer" Target="footer55.xml"/><Relationship Id="rId77" Type="http://schemas.openxmlformats.org/officeDocument/2006/relationships/header" Target="header19.xml"/><Relationship Id="rId76" Type="http://schemas.openxmlformats.org/officeDocument/2006/relationships/footer" Target="footer54.xml"/><Relationship Id="rId75" Type="http://schemas.openxmlformats.org/officeDocument/2006/relationships/header" Target="header18.xml"/><Relationship Id="rId74" Type="http://schemas.openxmlformats.org/officeDocument/2006/relationships/footer" Target="footer53.xml"/><Relationship Id="rId73" Type="http://schemas.openxmlformats.org/officeDocument/2006/relationships/header" Target="header17.xml"/><Relationship Id="rId72" Type="http://schemas.openxmlformats.org/officeDocument/2006/relationships/footer" Target="footer52.xml"/><Relationship Id="rId71" Type="http://schemas.openxmlformats.org/officeDocument/2006/relationships/header" Target="header16.xml"/><Relationship Id="rId70" Type="http://schemas.openxmlformats.org/officeDocument/2006/relationships/footer" Target="footer51.xml"/><Relationship Id="rId7" Type="http://schemas.openxmlformats.org/officeDocument/2006/relationships/footer" Target="footer2.xml"/><Relationship Id="rId69" Type="http://schemas.openxmlformats.org/officeDocument/2006/relationships/header" Target="header15.xml"/><Relationship Id="rId68" Type="http://schemas.openxmlformats.org/officeDocument/2006/relationships/footer" Target="footer50.xml"/><Relationship Id="rId67" Type="http://schemas.openxmlformats.org/officeDocument/2006/relationships/footer" Target="footer49.xml"/><Relationship Id="rId66" Type="http://schemas.openxmlformats.org/officeDocument/2006/relationships/footer" Target="footer48.xml"/><Relationship Id="rId65" Type="http://schemas.openxmlformats.org/officeDocument/2006/relationships/footer" Target="footer47.xml"/><Relationship Id="rId64" Type="http://schemas.openxmlformats.org/officeDocument/2006/relationships/footer" Target="footer46.xml"/><Relationship Id="rId63" Type="http://schemas.openxmlformats.org/officeDocument/2006/relationships/footer" Target="footer45.xml"/><Relationship Id="rId62" Type="http://schemas.openxmlformats.org/officeDocument/2006/relationships/footer" Target="footer44.xml"/><Relationship Id="rId61" Type="http://schemas.openxmlformats.org/officeDocument/2006/relationships/footer" Target="footer43.xml"/><Relationship Id="rId60" Type="http://schemas.openxmlformats.org/officeDocument/2006/relationships/footer" Target="footer42.xml"/><Relationship Id="rId6" Type="http://schemas.openxmlformats.org/officeDocument/2006/relationships/footer" Target="footer1.xml"/><Relationship Id="rId59" Type="http://schemas.openxmlformats.org/officeDocument/2006/relationships/footer" Target="footer41.xml"/><Relationship Id="rId58" Type="http://schemas.openxmlformats.org/officeDocument/2006/relationships/footer" Target="footer40.xml"/><Relationship Id="rId57" Type="http://schemas.openxmlformats.org/officeDocument/2006/relationships/footer" Target="footer39.xml"/><Relationship Id="rId56" Type="http://schemas.openxmlformats.org/officeDocument/2006/relationships/footer" Target="footer38.xml"/><Relationship Id="rId55" Type="http://schemas.openxmlformats.org/officeDocument/2006/relationships/footer" Target="footer37.xml"/><Relationship Id="rId54" Type="http://schemas.openxmlformats.org/officeDocument/2006/relationships/footer" Target="footer36.xml"/><Relationship Id="rId53" Type="http://schemas.openxmlformats.org/officeDocument/2006/relationships/header" Target="header14.xml"/><Relationship Id="rId52" Type="http://schemas.openxmlformats.org/officeDocument/2006/relationships/footer" Target="footer35.xml"/><Relationship Id="rId51" Type="http://schemas.openxmlformats.org/officeDocument/2006/relationships/header" Target="header13.xml"/><Relationship Id="rId50" Type="http://schemas.openxmlformats.org/officeDocument/2006/relationships/footer" Target="footer34.xml"/><Relationship Id="rId5" Type="http://schemas.openxmlformats.org/officeDocument/2006/relationships/header" Target="header1.xml"/><Relationship Id="rId49" Type="http://schemas.openxmlformats.org/officeDocument/2006/relationships/header" Target="header12.xml"/><Relationship Id="rId48" Type="http://schemas.openxmlformats.org/officeDocument/2006/relationships/footer" Target="footer33.xml"/><Relationship Id="rId47" Type="http://schemas.openxmlformats.org/officeDocument/2006/relationships/header" Target="header11.xml"/><Relationship Id="rId46" Type="http://schemas.openxmlformats.org/officeDocument/2006/relationships/footer" Target="footer32.xml"/><Relationship Id="rId45" Type="http://schemas.openxmlformats.org/officeDocument/2006/relationships/header" Target="header10.xml"/><Relationship Id="rId44" Type="http://schemas.openxmlformats.org/officeDocument/2006/relationships/footer" Target="footer31.xml"/><Relationship Id="rId43" Type="http://schemas.openxmlformats.org/officeDocument/2006/relationships/footer" Target="footer30.xml"/><Relationship Id="rId42" Type="http://schemas.openxmlformats.org/officeDocument/2006/relationships/footer" Target="footer29.xml"/><Relationship Id="rId41" Type="http://schemas.openxmlformats.org/officeDocument/2006/relationships/footer" Target="footer28.xml"/><Relationship Id="rId40" Type="http://schemas.openxmlformats.org/officeDocument/2006/relationships/footer" Target="footer27.xml"/><Relationship Id="rId4" Type="http://schemas.openxmlformats.org/officeDocument/2006/relationships/endnotes" Target="endnotes.xml"/><Relationship Id="rId39" Type="http://schemas.openxmlformats.org/officeDocument/2006/relationships/header" Target="header9.xml"/><Relationship Id="rId38" Type="http://schemas.openxmlformats.org/officeDocument/2006/relationships/footer" Target="footer26.xml"/><Relationship Id="rId37" Type="http://schemas.openxmlformats.org/officeDocument/2006/relationships/footer" Target="footer25.xml"/><Relationship Id="rId36" Type="http://schemas.openxmlformats.org/officeDocument/2006/relationships/header" Target="header8.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header" Target="header7.xml"/><Relationship Id="rId3" Type="http://schemas.openxmlformats.org/officeDocument/2006/relationships/footnotes" Target="footnotes.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footer" Target="footer17.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header" Target="header6.xml"/><Relationship Id="rId23" Type="http://schemas.openxmlformats.org/officeDocument/2006/relationships/footer" Target="footer14.xml"/><Relationship Id="rId22" Type="http://schemas.openxmlformats.org/officeDocument/2006/relationships/header" Target="header5.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header" Target="header2.xml"/><Relationship Id="rId106" Type="http://schemas.openxmlformats.org/officeDocument/2006/relationships/fontTable" Target="fontTable.xml"/><Relationship Id="rId105" Type="http://schemas.openxmlformats.org/officeDocument/2006/relationships/customXml" Target="../customXml/item1.xml"/><Relationship Id="rId104" Type="http://schemas.openxmlformats.org/officeDocument/2006/relationships/image" Target="media/image18.png"/><Relationship Id="rId103" Type="http://schemas.openxmlformats.org/officeDocument/2006/relationships/image" Target="media/image17.png"/><Relationship Id="rId102" Type="http://schemas.openxmlformats.org/officeDocument/2006/relationships/image" Target="media/image16.png"/><Relationship Id="rId101" Type="http://schemas.openxmlformats.org/officeDocument/2006/relationships/image" Target="media/image15.png"/><Relationship Id="rId100" Type="http://schemas.openxmlformats.org/officeDocument/2006/relationships/image" Target="media/image14.png"/><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1026" textRotate="1"/>
    <customShpInfo spid="_x0000_s2053"/>
    <customShpInfo spid="_x0000_s2055"/>
    <customShpInfo spid="_x0000_s2056"/>
    <customShpInfo spid="_x0000_s2065"/>
    <customShpInfo spid="_x0000_s2066"/>
    <customShpInfo spid="_x0000_s2071"/>
    <customShpInfo spid="_x0000_s2073"/>
    <customShpInfo spid="_x0000_s2076"/>
    <customShpInfo spid="_x0000_s2077"/>
    <customShpInfo spid="_x0000_s2078"/>
    <customShpInfo spid="_x0000_s2079"/>
    <customShpInfo spid="_x0000_s2080"/>
    <customShpInfo spid="_x0000_s2081"/>
    <customShpInfo spid="_x0000_s2083"/>
    <customShpInfo spid="_x0000_s2084"/>
    <customShpInfo spid="_x0000_s2085"/>
    <customShpInfo spid="_x0000_s208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83</Pages>
  <Words>8010</Words>
  <Characters>8936</Characters>
  <TotalTime>0</TotalTime>
  <ScaleCrop>false</ScaleCrop>
  <LinksUpToDate>false</LinksUpToDate>
  <CharactersWithSpaces>9212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2025-03-06T16:01:00Z</dcterms:created>
  <dc:creator>USER</dc:creator>
  <cp:lastModifiedBy>       。</cp:lastModifiedBy>
  <dcterms:modified xsi:type="dcterms:W3CDTF">2026-08-05T08:43:15Z</dcterms:modified>
  <dc:title>洛阳市政府采购中心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2025-03-06T16:07:05Z</vt:filetime>
  </property>
  <property fmtid="{D5CDD505-2E9C-101B-9397-08002B2CF9AE}" pid="4" name="KSOTemplateDocerSaveRecord">
    <vt:lpwstr>eyJoZGlkIjoiN2VjNTU4OTQ2ODk4MjQ4MDU0MTE1Y2NjNTU0ZjYxNzciLCJ1c2VySWQiOiIyMDQ4NTkxNjMifQ==</vt:lpwstr>
  </property>
  <property fmtid="{D5CDD505-2E9C-101B-9397-08002B2CF9AE}" pid="5" name="KSOProductBuildVer">
    <vt:lpwstr>2052-12.1.0.28043</vt:lpwstr>
  </property>
  <property fmtid="{D5CDD505-2E9C-101B-9397-08002B2CF9AE}" pid="6" name="ICV">
    <vt:lpwstr>125831A2C05145FEA40C3C658159C8B5_13</vt:lpwstr>
  </property>
</Properties>
</file>