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72D21">
      <w:pPr>
        <w:widowControl w:val="0"/>
        <w:kinsoku/>
        <w:autoSpaceDE/>
        <w:autoSpaceDN/>
        <w:adjustRightInd/>
        <w:snapToGrid/>
        <w:spacing w:line="240" w:lineRule="auto"/>
        <w:ind w:firstLine="435"/>
        <w:jc w:val="center"/>
        <w:textAlignment w:val="auto"/>
        <w:outlineLvl w:val="0"/>
        <w:rPr>
          <w:rFonts w:hint="eastAsia" w:ascii="黑体" w:hAnsi="Times New Roman" w:eastAsia="黑体" w:cs="Times New Roman"/>
          <w:snapToGrid/>
          <w:color w:val="auto"/>
          <w:kern w:val="2"/>
          <w:sz w:val="32"/>
          <w:szCs w:val="32"/>
          <w:highlight w:val="none"/>
          <w:lang w:eastAsia="zh-CN"/>
        </w:rPr>
      </w:pPr>
      <w:bookmarkStart w:id="0" w:name="_Toc28754"/>
      <w:bookmarkStart w:id="1" w:name="_Toc17483"/>
      <w:bookmarkStart w:id="2" w:name="_Toc6212"/>
      <w:bookmarkStart w:id="3" w:name="_Toc25547"/>
      <w:bookmarkStart w:id="4" w:name="_Toc266"/>
      <w:r>
        <w:rPr>
          <w:rFonts w:hint="eastAsia" w:ascii="黑体" w:hAnsi="Times New Roman" w:eastAsia="黑体" w:cs="Times New Roman"/>
          <w:snapToGrid/>
          <w:color w:val="auto"/>
          <w:kern w:val="2"/>
          <w:sz w:val="32"/>
          <w:szCs w:val="32"/>
          <w:highlight w:val="none"/>
          <w:lang w:eastAsia="zh-CN"/>
        </w:rPr>
        <w:t>第一章  招标公告(未进行资格预审)</w:t>
      </w:r>
      <w:bookmarkEnd w:id="0"/>
      <w:bookmarkEnd w:id="1"/>
      <w:bookmarkEnd w:id="2"/>
      <w:bookmarkEnd w:id="3"/>
      <w:bookmarkEnd w:id="4"/>
    </w:p>
    <w:p w14:paraId="7C4A1ABC">
      <w:pPr>
        <w:widowControl w:val="0"/>
        <w:kinsoku/>
        <w:autoSpaceDE/>
        <w:autoSpaceDN/>
        <w:adjustRightInd/>
        <w:snapToGrid/>
        <w:spacing w:line="240" w:lineRule="auto"/>
        <w:ind w:firstLine="435"/>
        <w:jc w:val="both"/>
        <w:textAlignment w:val="auto"/>
        <w:rPr>
          <w:rFonts w:hint="eastAsia" w:ascii="Times New Roman" w:hAnsi="Times New Roman" w:eastAsia="宋体" w:cs="Times New Roman"/>
          <w:snapToGrid/>
          <w:color w:val="auto"/>
          <w:kern w:val="2"/>
          <w:szCs w:val="24"/>
          <w:highlight w:val="none"/>
          <w:lang w:eastAsia="zh-CN"/>
        </w:rPr>
      </w:pPr>
    </w:p>
    <w:p w14:paraId="71DD14CA">
      <w:pPr>
        <w:widowControl w:val="0"/>
        <w:kinsoku/>
        <w:autoSpaceDE/>
        <w:autoSpaceDN/>
        <w:adjustRightInd/>
        <w:snapToGrid/>
        <w:spacing w:line="240" w:lineRule="auto"/>
        <w:jc w:val="center"/>
        <w:textAlignment w:val="auto"/>
        <w:rPr>
          <w:rFonts w:hint="eastAsia" w:ascii="Times New Roman" w:hAnsi="Times New Roman" w:eastAsia="宋体" w:cs="Times New Roman"/>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u w:val="single"/>
          <w:lang w:eastAsia="zh-CN"/>
        </w:rPr>
        <w:t>嵩县县域医共体(县人民医院及田湖镇、车村镇中心卫生院)资源共享中心和中心药房建设项目-装饰改造工程项目</w:t>
      </w:r>
      <w:r>
        <w:rPr>
          <w:rFonts w:hint="eastAsia" w:ascii="黑体" w:hAnsi="Times New Roman" w:eastAsia="黑体" w:cs="Times New Roman"/>
          <w:snapToGrid/>
          <w:color w:val="auto"/>
          <w:kern w:val="2"/>
          <w:sz w:val="28"/>
          <w:szCs w:val="28"/>
          <w:highlight w:val="none"/>
          <w:lang w:eastAsia="zh-CN"/>
        </w:rPr>
        <w:t>施工招标公告</w:t>
      </w:r>
    </w:p>
    <w:p w14:paraId="7B618962">
      <w:pPr>
        <w:keepNext w:val="0"/>
        <w:keepLines w:val="0"/>
        <w:pageBreakBefore w:val="0"/>
        <w:widowControl w:val="0"/>
        <w:kinsoku/>
        <w:overflowPunct/>
        <w:topLinePunct w:val="0"/>
        <w:autoSpaceDE/>
        <w:autoSpaceDN/>
        <w:bidi w:val="0"/>
        <w:adjustRightInd/>
        <w:snapToGrid/>
        <w:spacing w:line="440" w:lineRule="exact"/>
        <w:jc w:val="both"/>
        <w:textAlignment w:val="auto"/>
        <w:outlineLvl w:val="1"/>
        <w:rPr>
          <w:rFonts w:hint="eastAsia" w:ascii="黑体" w:hAnsi="Times New Roman" w:eastAsia="黑体" w:cs="Times New Roman"/>
          <w:snapToGrid/>
          <w:color w:val="auto"/>
          <w:kern w:val="2"/>
          <w:sz w:val="24"/>
          <w:szCs w:val="24"/>
          <w:highlight w:val="none"/>
          <w:lang w:eastAsia="zh-CN"/>
        </w:rPr>
      </w:pPr>
      <w:bookmarkStart w:id="5" w:name="_Toc28076"/>
      <w:bookmarkStart w:id="6" w:name="_Toc31036"/>
      <w:bookmarkStart w:id="7" w:name="_Toc26630"/>
      <w:bookmarkStart w:id="8" w:name="_Toc27003"/>
      <w:bookmarkStart w:id="9" w:name="_Toc1228"/>
      <w:bookmarkStart w:id="10" w:name="_Toc19345"/>
      <w:r>
        <w:rPr>
          <w:rFonts w:hint="eastAsia" w:ascii="黑体" w:hAnsi="Times New Roman" w:eastAsia="黑体" w:cs="Times New Roman"/>
          <w:snapToGrid/>
          <w:color w:val="auto"/>
          <w:kern w:val="2"/>
          <w:sz w:val="24"/>
          <w:szCs w:val="24"/>
          <w:highlight w:val="none"/>
          <w:lang w:val="en-US" w:eastAsia="zh-CN"/>
        </w:rPr>
        <w:t>1.</w:t>
      </w:r>
      <w:r>
        <w:rPr>
          <w:rFonts w:hint="eastAsia" w:ascii="黑体" w:hAnsi="Times New Roman" w:eastAsia="黑体" w:cs="Times New Roman"/>
          <w:snapToGrid/>
          <w:color w:val="auto"/>
          <w:kern w:val="2"/>
          <w:sz w:val="24"/>
          <w:szCs w:val="24"/>
          <w:highlight w:val="none"/>
          <w:lang w:eastAsia="zh-CN"/>
        </w:rPr>
        <w:t>招标条件</w:t>
      </w:r>
      <w:bookmarkEnd w:id="5"/>
      <w:bookmarkEnd w:id="6"/>
      <w:bookmarkEnd w:id="7"/>
      <w:bookmarkEnd w:id="8"/>
      <w:bookmarkEnd w:id="9"/>
      <w:bookmarkEnd w:id="10"/>
    </w:p>
    <w:p w14:paraId="6698F9E2">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lang w:val="en-US" w:eastAsia="zh-CN"/>
        </w:rPr>
      </w:pPr>
      <w:r>
        <w:rPr>
          <w:rFonts w:hint="eastAsia" w:ascii="Times New Roman" w:hAnsi="Times New Roman" w:eastAsia="宋体" w:cs="Times New Roman"/>
          <w:snapToGrid/>
          <w:color w:val="auto"/>
          <w:kern w:val="2"/>
          <w:sz w:val="21"/>
          <w:szCs w:val="21"/>
          <w:highlight w:val="none"/>
          <w:lang w:val="en-US" w:eastAsia="zh-CN"/>
        </w:rPr>
        <w:t>本招标项目嵩县县域医共体(县人民医院及田湖镇、车村镇中心卫生院)资源共享中心和中心药房建设项目-装饰改造工程项目（项目名称）已由嵩县发展和改革委员会（项目审批、核准或备案机关名称）以《嵩县发展和改革委员会关于嵩县县域医共体(县人民医院及田湖镇、车村镇中心卫生院)资源共享中心和中心药房建设项目可行性研究报告的批复》（嵩发改[2026]25号）（批文名称及编号）批准建设（投资项目在线审批监管统一代码为 2504-410325-04-04-684444 ），招标人（项目业主）为嵩县人民医院 ，建设资金来自财政资金，项目出资比例为100% 。项目已具备招标条件，现对该项目的施工进行公开招标，招标编号为洛直工施招标(2026)0179号 。</w:t>
      </w:r>
    </w:p>
    <w:p w14:paraId="1C060363">
      <w:pPr>
        <w:keepNext w:val="0"/>
        <w:keepLines w:val="0"/>
        <w:pageBreakBefore w:val="0"/>
        <w:widowControl w:val="0"/>
        <w:kinsoku/>
        <w:overflowPunct/>
        <w:topLinePunct w:val="0"/>
        <w:autoSpaceDE/>
        <w:autoSpaceDN/>
        <w:bidi w:val="0"/>
        <w:adjustRightInd/>
        <w:snapToGrid/>
        <w:spacing w:line="440" w:lineRule="exact"/>
        <w:jc w:val="both"/>
        <w:textAlignment w:val="auto"/>
        <w:outlineLvl w:val="1"/>
        <w:rPr>
          <w:rFonts w:hint="eastAsia" w:ascii="黑体" w:hAnsi="Times New Roman" w:eastAsia="黑体" w:cs="Times New Roman"/>
          <w:snapToGrid/>
          <w:color w:val="auto"/>
          <w:kern w:val="2"/>
          <w:sz w:val="24"/>
          <w:szCs w:val="24"/>
          <w:highlight w:val="none"/>
          <w:lang w:eastAsia="zh-CN"/>
        </w:rPr>
      </w:pPr>
      <w:bookmarkStart w:id="11" w:name="_Toc9967"/>
      <w:bookmarkStart w:id="12" w:name="_Toc7917"/>
      <w:bookmarkStart w:id="13" w:name="_Toc25326"/>
      <w:bookmarkStart w:id="14" w:name="_Toc14190"/>
      <w:bookmarkStart w:id="15" w:name="_Toc18478"/>
      <w:bookmarkStart w:id="16" w:name="_Toc22222"/>
      <w:r>
        <w:rPr>
          <w:rFonts w:hint="eastAsia" w:ascii="黑体" w:hAnsi="Times New Roman" w:eastAsia="黑体" w:cs="Times New Roman"/>
          <w:snapToGrid/>
          <w:color w:val="auto"/>
          <w:kern w:val="2"/>
          <w:sz w:val="24"/>
          <w:szCs w:val="24"/>
          <w:highlight w:val="none"/>
          <w:lang w:val="en-US" w:eastAsia="zh-CN"/>
        </w:rPr>
        <w:t>2.</w:t>
      </w:r>
      <w:r>
        <w:rPr>
          <w:rFonts w:hint="eastAsia" w:ascii="黑体" w:hAnsi="Times New Roman" w:eastAsia="黑体" w:cs="Times New Roman"/>
          <w:snapToGrid/>
          <w:color w:val="auto"/>
          <w:kern w:val="2"/>
          <w:sz w:val="24"/>
          <w:szCs w:val="24"/>
          <w:highlight w:val="none"/>
          <w:lang w:eastAsia="zh-CN"/>
        </w:rPr>
        <w:t>项目概况与招标范围</w:t>
      </w:r>
      <w:bookmarkEnd w:id="11"/>
      <w:bookmarkEnd w:id="12"/>
      <w:bookmarkEnd w:id="13"/>
      <w:bookmarkEnd w:id="14"/>
      <w:bookmarkEnd w:id="15"/>
      <w:bookmarkEnd w:id="16"/>
    </w:p>
    <w:p w14:paraId="715E68B4">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u w:val="none"/>
          <w:lang w:val="en-US" w:eastAsia="zh-CN"/>
        </w:rPr>
      </w:pPr>
      <w:r>
        <w:rPr>
          <w:rFonts w:hint="eastAsia" w:ascii="Times New Roman" w:hAnsi="Times New Roman" w:eastAsia="宋体" w:cs="Times New Roman"/>
          <w:snapToGrid/>
          <w:color w:val="auto"/>
          <w:kern w:val="2"/>
          <w:sz w:val="21"/>
          <w:szCs w:val="21"/>
          <w:highlight w:val="none"/>
          <w:lang w:val="en-US" w:eastAsia="zh-CN"/>
        </w:rPr>
        <w:t>2.1项目概况：</w:t>
      </w:r>
      <w:r>
        <w:rPr>
          <w:rFonts w:hint="eastAsia" w:ascii="Times New Roman" w:hAnsi="Times New Roman" w:eastAsia="宋体" w:cs="Times New Roman"/>
          <w:snapToGrid/>
          <w:color w:val="auto"/>
          <w:kern w:val="2"/>
          <w:sz w:val="21"/>
          <w:szCs w:val="21"/>
          <w:highlight w:val="none"/>
          <w:u w:val="single"/>
          <w:lang w:val="en-US" w:eastAsia="zh-CN"/>
        </w:rPr>
        <w:t>项目建设依托于嵩县医疗卫生共同体总医院，具体实施于嵩县人民医院，位于河南省洛阳市嵩县纸房镇上纸路北 400米；车村镇中心卫生院，位于车村镇车村府前街；田湖镇中心卫生院，位于田湖镇毛庄村。项目按照县域医疗资源共享中心等有关建设指南，依托县域医共体总医院，对现有嵩县人民医院资源共享中心和中心药房进行室内建设装饰装修工程，二次装修面积 2000 平方米，实施包括县域医学影像、心电诊断、医学检验、消毒供应等资源共享中心和中心药房(共享中药房)升级工程。</w:t>
      </w:r>
      <w:r>
        <w:rPr>
          <w:rFonts w:hint="eastAsia" w:ascii="Times New Roman" w:hAnsi="Times New Roman" w:cs="Times New Roman"/>
          <w:snapToGrid/>
          <w:color w:val="auto"/>
          <w:kern w:val="2"/>
          <w:sz w:val="21"/>
          <w:szCs w:val="21"/>
          <w:highlight w:val="none"/>
          <w:u w:val="single"/>
          <w:lang w:val="en-US" w:eastAsia="zh-CN"/>
        </w:rPr>
        <w:t>项目</w:t>
      </w:r>
      <w:r>
        <w:rPr>
          <w:rFonts w:hint="eastAsia" w:ascii="Times New Roman" w:hAnsi="Times New Roman" w:eastAsia="宋体" w:cs="Times New Roman"/>
          <w:snapToGrid/>
          <w:color w:val="auto"/>
          <w:kern w:val="2"/>
          <w:sz w:val="21"/>
          <w:szCs w:val="21"/>
          <w:highlight w:val="none"/>
          <w:u w:val="single"/>
          <w:lang w:val="en-US" w:eastAsia="zh-CN"/>
        </w:rPr>
        <w:t>投资额为</w:t>
      </w:r>
      <w:r>
        <w:rPr>
          <w:rFonts w:hint="eastAsia" w:ascii="Times New Roman" w:hAnsi="Times New Roman" w:cs="Times New Roman"/>
          <w:snapToGrid/>
          <w:color w:val="auto"/>
          <w:kern w:val="2"/>
          <w:sz w:val="21"/>
          <w:szCs w:val="21"/>
          <w:highlight w:val="none"/>
          <w:u w:val="single"/>
          <w:lang w:val="en-US" w:eastAsia="zh-CN"/>
        </w:rPr>
        <w:t>6087194.02</w:t>
      </w:r>
      <w:r>
        <w:rPr>
          <w:rFonts w:hint="eastAsia" w:ascii="Times New Roman" w:hAnsi="Times New Roman" w:eastAsia="宋体" w:cs="Times New Roman"/>
          <w:snapToGrid/>
          <w:color w:val="auto"/>
          <w:kern w:val="2"/>
          <w:sz w:val="21"/>
          <w:szCs w:val="21"/>
          <w:highlight w:val="none"/>
          <w:u w:val="single"/>
          <w:lang w:val="en-US" w:eastAsia="zh-CN"/>
        </w:rPr>
        <w:t>元。</w:t>
      </w:r>
      <w:r>
        <w:rPr>
          <w:rFonts w:hint="eastAsia" w:ascii="Times New Roman" w:hAnsi="Times New Roman" w:eastAsia="宋体" w:cs="Times New Roman"/>
          <w:snapToGrid/>
          <w:color w:val="auto"/>
          <w:kern w:val="2"/>
          <w:sz w:val="21"/>
          <w:szCs w:val="21"/>
          <w:highlight w:val="none"/>
          <w:u w:val="none"/>
          <w:lang w:val="en-US" w:eastAsia="zh-CN"/>
        </w:rPr>
        <w:t>（明确项目建设地点、总投资额等 ）</w:t>
      </w:r>
    </w:p>
    <w:p w14:paraId="3CF5DF4C">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ascii="Times New Roman" w:hAnsi="Times New Roman" w:eastAsia="宋体" w:cs="Times New Roman"/>
          <w:snapToGrid/>
          <w:color w:val="auto"/>
          <w:kern w:val="2"/>
          <w:sz w:val="21"/>
          <w:szCs w:val="21"/>
          <w:highlight w:val="none"/>
          <w:u w:val="none"/>
          <w:lang w:val="en-US"/>
        </w:rPr>
      </w:pPr>
      <w:r>
        <w:rPr>
          <w:rFonts w:hint="eastAsia" w:ascii="Times New Roman" w:hAnsi="Times New Roman" w:eastAsia="宋体" w:cs="Times New Roman"/>
          <w:snapToGrid/>
          <w:color w:val="auto"/>
          <w:kern w:val="2"/>
          <w:sz w:val="21"/>
          <w:szCs w:val="21"/>
          <w:highlight w:val="none"/>
        </w:rPr>
        <w:t>2.</w:t>
      </w:r>
      <w:r>
        <w:rPr>
          <w:rFonts w:hint="eastAsia" w:ascii="Times New Roman" w:hAnsi="Times New Roman" w:eastAsia="宋体" w:cs="Times New Roman"/>
          <w:snapToGrid/>
          <w:color w:val="auto"/>
          <w:kern w:val="2"/>
          <w:sz w:val="21"/>
          <w:szCs w:val="21"/>
          <w:highlight w:val="none"/>
          <w:lang w:val="en-US"/>
        </w:rPr>
        <w:t>2</w:t>
      </w:r>
      <w:r>
        <w:rPr>
          <w:rFonts w:hint="eastAsia" w:ascii="Times New Roman" w:hAnsi="Times New Roman" w:eastAsia="宋体" w:cs="Times New Roman"/>
          <w:snapToGrid/>
          <w:color w:val="auto"/>
          <w:kern w:val="2"/>
          <w:sz w:val="21"/>
          <w:szCs w:val="21"/>
          <w:highlight w:val="none"/>
        </w:rPr>
        <w:t>招标范围：</w:t>
      </w:r>
      <w:r>
        <w:rPr>
          <w:rFonts w:hint="eastAsia" w:ascii="Times New Roman" w:hAnsi="Times New Roman" w:eastAsia="宋体" w:cs="Times New Roman"/>
          <w:snapToGrid/>
          <w:color w:val="auto"/>
          <w:kern w:val="2"/>
          <w:sz w:val="21"/>
          <w:szCs w:val="21"/>
          <w:highlight w:val="none"/>
          <w:lang w:val="en-US"/>
        </w:rPr>
        <w:t xml:space="preserve"> </w:t>
      </w:r>
      <w:r>
        <w:rPr>
          <w:rFonts w:hint="eastAsia" w:ascii="Times New Roman" w:hAnsi="Times New Roman" w:eastAsia="宋体" w:cs="Times New Roman"/>
          <w:snapToGrid/>
          <w:color w:val="auto"/>
          <w:kern w:val="2"/>
          <w:sz w:val="21"/>
          <w:szCs w:val="21"/>
          <w:highlight w:val="none"/>
          <w:u w:val="single"/>
          <w:lang w:val="en-US"/>
        </w:rPr>
        <w:t>本项目施工图纸、答疑（如有）及工程量清单范围内的全部内容。</w:t>
      </w:r>
      <w:r>
        <w:rPr>
          <w:rFonts w:hint="eastAsia" w:ascii="Times New Roman" w:hAnsi="Times New Roman" w:eastAsia="宋体" w:cs="Times New Roman"/>
          <w:snapToGrid/>
          <w:color w:val="auto"/>
          <w:kern w:val="2"/>
          <w:sz w:val="21"/>
          <w:szCs w:val="21"/>
          <w:highlight w:val="none"/>
          <w:u w:val="single"/>
        </w:rPr>
        <w:t xml:space="preserve"> </w:t>
      </w:r>
      <w:r>
        <w:rPr>
          <w:rFonts w:hint="eastAsia" w:ascii="Times New Roman" w:hAnsi="Times New Roman" w:eastAsia="宋体" w:cs="Times New Roman"/>
          <w:snapToGrid/>
          <w:color w:val="auto"/>
          <w:kern w:val="2"/>
          <w:sz w:val="21"/>
          <w:szCs w:val="21"/>
          <w:highlight w:val="none"/>
          <w:u w:val="none"/>
          <w:lang w:val="en-US" w:eastAsia="zh-CN"/>
        </w:rPr>
        <w:t>（明确本次招标总承包发包/专业工程发包/园林或其他的具体内容）</w:t>
      </w:r>
    </w:p>
    <w:p w14:paraId="4044DBFC">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u w:val="single"/>
          <w:lang w:val="en-US" w:eastAsia="zh-CN"/>
        </w:rPr>
      </w:pPr>
      <w:r>
        <w:rPr>
          <w:rFonts w:hint="eastAsia" w:ascii="Times New Roman" w:hAnsi="Times New Roman" w:eastAsia="宋体" w:cs="Times New Roman"/>
          <w:snapToGrid/>
          <w:color w:val="auto"/>
          <w:kern w:val="2"/>
          <w:sz w:val="21"/>
          <w:szCs w:val="21"/>
          <w:highlight w:val="none"/>
          <w:lang w:val="en-US"/>
        </w:rPr>
        <w:t>2.3</w:t>
      </w:r>
      <w:r>
        <w:rPr>
          <w:rFonts w:hint="eastAsia" w:ascii="Times New Roman" w:hAnsi="Times New Roman" w:eastAsia="宋体" w:cs="Times New Roman"/>
          <w:snapToGrid/>
          <w:color w:val="auto"/>
          <w:kern w:val="2"/>
          <w:sz w:val="21"/>
          <w:szCs w:val="21"/>
          <w:highlight w:val="none"/>
        </w:rPr>
        <w:t>招标规模：</w:t>
      </w:r>
      <w:r>
        <w:rPr>
          <w:rFonts w:hint="eastAsia" w:ascii="Times New Roman" w:hAnsi="Times New Roman" w:eastAsia="宋体" w:cs="Times New Roman"/>
          <w:snapToGrid/>
          <w:color w:val="auto"/>
          <w:kern w:val="2"/>
          <w:sz w:val="21"/>
          <w:szCs w:val="21"/>
          <w:highlight w:val="none"/>
          <w:u w:val="single"/>
        </w:rPr>
        <w:t xml:space="preserve"> </w:t>
      </w:r>
      <w:r>
        <w:rPr>
          <w:rFonts w:hint="eastAsia" w:ascii="Times New Roman" w:hAnsi="Times New Roman" w:eastAsia="宋体" w:cs="Times New Roman"/>
          <w:snapToGrid/>
          <w:color w:val="auto"/>
          <w:kern w:val="2"/>
          <w:sz w:val="21"/>
          <w:szCs w:val="21"/>
          <w:highlight w:val="none"/>
          <w:u w:val="single"/>
          <w:lang w:val="en-US" w:eastAsia="zh-CN"/>
        </w:rPr>
        <w:t>对现有嵩县人民医院资源共享中心和中心药房进行室内建设装饰装修工程，二次装修面积 2000 平方米，实施包括县域医学影像、心电诊断、医学检验、消毒供应等资源共享中心和中心药房(共享中药房)升级改造。</w:t>
      </w:r>
    </w:p>
    <w:p w14:paraId="1BA322B2">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ascii="Times New Roman" w:hAnsi="Times New Roman" w:eastAsia="宋体" w:cs="Times New Roman"/>
          <w:snapToGrid/>
          <w:color w:val="auto"/>
          <w:kern w:val="2"/>
          <w:sz w:val="21"/>
          <w:szCs w:val="21"/>
          <w:highlight w:val="none"/>
        </w:rPr>
      </w:pPr>
      <w:r>
        <w:rPr>
          <w:rFonts w:hint="eastAsia" w:ascii="Times New Roman" w:hAnsi="Times New Roman" w:eastAsia="宋体" w:cs="Times New Roman"/>
          <w:snapToGrid/>
          <w:color w:val="auto"/>
          <w:kern w:val="2"/>
          <w:sz w:val="21"/>
          <w:szCs w:val="21"/>
          <w:highlight w:val="none"/>
          <w:lang w:val="en-US"/>
        </w:rPr>
        <w:t>2.4</w:t>
      </w:r>
      <w:r>
        <w:rPr>
          <w:rFonts w:hint="eastAsia" w:ascii="Times New Roman" w:hAnsi="Times New Roman" w:eastAsia="宋体" w:cs="Times New Roman"/>
          <w:snapToGrid/>
          <w:color w:val="auto"/>
          <w:kern w:val="2"/>
          <w:sz w:val="21"/>
          <w:szCs w:val="21"/>
          <w:highlight w:val="none"/>
        </w:rPr>
        <w:t>最高投标限价：</w:t>
      </w:r>
      <w:r>
        <w:rPr>
          <w:rFonts w:hint="eastAsia" w:ascii="Times New Roman" w:hAnsi="Times New Roman" w:eastAsia="宋体" w:cs="Times New Roman"/>
          <w:snapToGrid/>
          <w:color w:val="auto"/>
          <w:kern w:val="2"/>
          <w:sz w:val="21"/>
          <w:szCs w:val="21"/>
          <w:highlight w:val="none"/>
          <w:u w:val="single"/>
          <w:lang w:val="en-US" w:eastAsia="zh-CN"/>
        </w:rPr>
        <w:t xml:space="preserve">  </w:t>
      </w:r>
      <w:r>
        <w:rPr>
          <w:rFonts w:hint="eastAsia" w:ascii="Times New Roman" w:hAnsi="Times New Roman" w:cs="Times New Roman"/>
          <w:snapToGrid/>
          <w:color w:val="auto"/>
          <w:kern w:val="2"/>
          <w:sz w:val="21"/>
          <w:szCs w:val="21"/>
          <w:highlight w:val="none"/>
          <w:u w:val="single"/>
          <w:lang w:val="en-US" w:eastAsia="zh-CN"/>
        </w:rPr>
        <w:t>6087194.02</w:t>
      </w:r>
      <w:r>
        <w:rPr>
          <w:rFonts w:hint="eastAsia" w:ascii="Times New Roman" w:hAnsi="Times New Roman" w:eastAsia="宋体" w:cs="Times New Roman"/>
          <w:snapToGrid/>
          <w:color w:val="auto"/>
          <w:kern w:val="2"/>
          <w:sz w:val="21"/>
          <w:szCs w:val="21"/>
          <w:highlight w:val="none"/>
          <w:u w:val="single"/>
          <w:lang w:val="en-US" w:eastAsia="zh-CN"/>
        </w:rPr>
        <w:t xml:space="preserve"> </w:t>
      </w:r>
      <w:r>
        <w:rPr>
          <w:rFonts w:hint="eastAsia" w:ascii="Times New Roman" w:hAnsi="Times New Roman" w:eastAsia="宋体" w:cs="Times New Roman"/>
          <w:snapToGrid/>
          <w:color w:val="auto"/>
          <w:kern w:val="2"/>
          <w:sz w:val="21"/>
          <w:szCs w:val="21"/>
          <w:highlight w:val="none"/>
        </w:rPr>
        <w:t>元</w:t>
      </w:r>
    </w:p>
    <w:p w14:paraId="7CC2D467">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default" w:ascii="Times New Roman" w:hAnsi="Times New Roman" w:eastAsia="宋体" w:cs="Times New Roman"/>
          <w:snapToGrid/>
          <w:color w:val="auto"/>
          <w:kern w:val="2"/>
          <w:sz w:val="21"/>
          <w:szCs w:val="21"/>
          <w:highlight w:val="none"/>
          <w:lang w:val="en-US" w:eastAsia="zh-CN"/>
        </w:rPr>
      </w:pPr>
      <w:r>
        <w:rPr>
          <w:rFonts w:hint="eastAsia" w:ascii="Times New Roman" w:hAnsi="Times New Roman" w:eastAsia="宋体" w:cs="Times New Roman"/>
          <w:snapToGrid/>
          <w:color w:val="auto"/>
          <w:kern w:val="2"/>
          <w:sz w:val="21"/>
          <w:szCs w:val="21"/>
          <w:highlight w:val="none"/>
          <w:lang w:val="en-US"/>
        </w:rPr>
        <w:t>2.5</w:t>
      </w:r>
      <w:r>
        <w:rPr>
          <w:rFonts w:hint="eastAsia" w:ascii="Times New Roman" w:hAnsi="Times New Roman" w:eastAsia="宋体" w:cs="Times New Roman"/>
          <w:snapToGrid/>
          <w:color w:val="auto"/>
          <w:kern w:val="2"/>
          <w:sz w:val="21"/>
          <w:szCs w:val="21"/>
          <w:highlight w:val="none"/>
        </w:rPr>
        <w:t>计划工期：</w:t>
      </w:r>
      <w:r>
        <w:rPr>
          <w:rFonts w:hint="eastAsia" w:ascii="Times New Roman" w:hAnsi="Times New Roman" w:eastAsia="宋体" w:cs="Times New Roman"/>
          <w:snapToGrid/>
          <w:color w:val="auto"/>
          <w:kern w:val="2"/>
          <w:sz w:val="21"/>
          <w:szCs w:val="21"/>
          <w:highlight w:val="none"/>
          <w:u w:val="single"/>
          <w:lang w:val="en-US" w:eastAsia="zh-CN"/>
        </w:rPr>
        <w:t xml:space="preserve">  90日历天     </w:t>
      </w:r>
    </w:p>
    <w:p w14:paraId="74948786">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ascii="Times New Roman" w:hAnsi="Times New Roman" w:eastAsia="宋体" w:cs="Times New Roman"/>
          <w:snapToGrid/>
          <w:color w:val="auto"/>
          <w:kern w:val="2"/>
          <w:sz w:val="21"/>
          <w:szCs w:val="21"/>
          <w:highlight w:val="none"/>
        </w:rPr>
      </w:pPr>
      <w:r>
        <w:rPr>
          <w:rFonts w:hint="eastAsia" w:ascii="Times New Roman" w:hAnsi="Times New Roman" w:eastAsia="宋体" w:cs="Times New Roman"/>
          <w:snapToGrid/>
          <w:color w:val="auto"/>
          <w:kern w:val="2"/>
          <w:sz w:val="21"/>
          <w:szCs w:val="21"/>
          <w:highlight w:val="none"/>
          <w:lang w:val="en-US"/>
        </w:rPr>
        <w:t>2.6</w:t>
      </w:r>
      <w:r>
        <w:rPr>
          <w:rFonts w:hint="eastAsia" w:ascii="Times New Roman" w:hAnsi="Times New Roman" w:eastAsia="宋体" w:cs="Times New Roman"/>
          <w:snapToGrid/>
          <w:color w:val="auto"/>
          <w:kern w:val="2"/>
          <w:sz w:val="21"/>
          <w:szCs w:val="21"/>
          <w:highlight w:val="none"/>
        </w:rPr>
        <w:t>标段划分：</w:t>
      </w:r>
      <w:r>
        <w:rPr>
          <w:rFonts w:hint="eastAsia" w:ascii="Times New Roman" w:hAnsi="Times New Roman" w:eastAsia="宋体" w:cs="Times New Roman"/>
          <w:snapToGrid/>
          <w:color w:val="auto"/>
          <w:kern w:val="2"/>
          <w:sz w:val="21"/>
          <w:szCs w:val="21"/>
          <w:highlight w:val="none"/>
          <w:u w:val="single"/>
          <w:lang w:val="en-US" w:eastAsia="zh-CN"/>
        </w:rPr>
        <w:t xml:space="preserve">  本项目共划分为一个标段     </w:t>
      </w:r>
    </w:p>
    <w:p w14:paraId="69D23490">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rPr>
      </w:pPr>
      <w:r>
        <w:rPr>
          <w:rFonts w:hint="eastAsia" w:ascii="Times New Roman" w:hAnsi="Times New Roman" w:eastAsia="宋体" w:cs="Times New Roman"/>
          <w:snapToGrid/>
          <w:color w:val="auto"/>
          <w:kern w:val="2"/>
          <w:sz w:val="21"/>
          <w:szCs w:val="21"/>
          <w:highlight w:val="none"/>
          <w:lang w:val="en-US"/>
        </w:rPr>
        <w:t>2.7</w:t>
      </w:r>
      <w:r>
        <w:rPr>
          <w:rFonts w:hint="eastAsia" w:ascii="Times New Roman" w:hAnsi="Times New Roman" w:eastAsia="宋体" w:cs="Times New Roman"/>
          <w:snapToGrid/>
          <w:color w:val="auto"/>
          <w:kern w:val="2"/>
          <w:sz w:val="21"/>
          <w:szCs w:val="21"/>
          <w:highlight w:val="none"/>
        </w:rPr>
        <w:t>是否属于政府采购工程：</w:t>
      </w:r>
      <w:r>
        <w:rPr>
          <w:rFonts w:hint="eastAsia" w:eastAsia="宋体"/>
          <w:snapToGrid/>
          <w:color w:val="auto"/>
          <w:highlight w:val="none"/>
          <w:lang w:eastAsia="zh-CN"/>
        </w:rPr>
        <w:t>☑</w:t>
      </w:r>
      <w:r>
        <w:rPr>
          <w:rFonts w:ascii="Times New Roman" w:hAnsi="Times New Roman" w:eastAsia="宋体" w:cs="Times New Roman"/>
          <w:snapToGrid/>
          <w:color w:val="auto"/>
          <w:kern w:val="2"/>
          <w:sz w:val="21"/>
          <w:szCs w:val="21"/>
          <w:highlight w:val="none"/>
        </w:rPr>
        <w:t>是</w:t>
      </w:r>
      <w:r>
        <w:rPr>
          <w:rFonts w:hint="eastAsia" w:ascii="Times New Roman" w:hAnsi="Times New Roman" w:eastAsia="宋体" w:cs="Times New Roman"/>
          <w:snapToGrid/>
          <w:color w:val="auto"/>
          <w:kern w:val="2"/>
          <w:sz w:val="21"/>
          <w:szCs w:val="21"/>
          <w:highlight w:val="none"/>
        </w:rPr>
        <w:t>，</w:t>
      </w:r>
      <w:r>
        <w:rPr>
          <w:rFonts w:ascii="Times New Roman" w:hAnsi="Times New Roman" w:eastAsia="宋体" w:cs="Times New Roman"/>
          <w:snapToGrid/>
          <w:color w:val="auto"/>
          <w:kern w:val="2"/>
          <w:sz w:val="21"/>
          <w:szCs w:val="21"/>
          <w:highlight w:val="none"/>
        </w:rPr>
        <w:t>本招标项目</w:t>
      </w:r>
      <w:r>
        <w:rPr>
          <w:rFonts w:hint="eastAsia" w:ascii="Times New Roman" w:hAnsi="Times New Roman" w:eastAsia="宋体" w:cs="Times New Roman"/>
          <w:snapToGrid/>
          <w:color w:val="auto"/>
          <w:kern w:val="2"/>
          <w:sz w:val="21"/>
          <w:szCs w:val="21"/>
          <w:highlight w:val="none"/>
        </w:rPr>
        <w:t>执行政府采购政策；</w:t>
      </w:r>
      <w:r>
        <w:rPr>
          <w:rFonts w:hint="eastAsia" w:eastAsia="宋体"/>
          <w:snapToGrid/>
          <w:color w:val="auto"/>
          <w:highlight w:val="none"/>
          <w:lang w:eastAsia="zh-CN"/>
        </w:rPr>
        <w:t>□</w:t>
      </w:r>
      <w:r>
        <w:rPr>
          <w:rFonts w:ascii="Times New Roman" w:hAnsi="Times New Roman" w:eastAsia="宋体" w:cs="Times New Roman"/>
          <w:snapToGrid/>
          <w:color w:val="auto"/>
          <w:kern w:val="2"/>
          <w:sz w:val="21"/>
          <w:szCs w:val="21"/>
          <w:highlight w:val="none"/>
        </w:rPr>
        <w:t>否</w:t>
      </w:r>
      <w:r>
        <w:rPr>
          <w:rFonts w:hint="eastAsia" w:ascii="Times New Roman" w:hAnsi="Times New Roman" w:eastAsia="宋体" w:cs="Times New Roman"/>
          <w:snapToGrid/>
          <w:color w:val="auto"/>
          <w:kern w:val="2"/>
          <w:sz w:val="21"/>
          <w:szCs w:val="21"/>
          <w:highlight w:val="none"/>
        </w:rPr>
        <w:t>。</w:t>
      </w:r>
    </w:p>
    <w:p w14:paraId="149E7E8E">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u w:val="single"/>
          <w:lang w:val="en-US" w:eastAsia="zh-CN"/>
        </w:rPr>
      </w:pPr>
      <w:r>
        <w:rPr>
          <w:rFonts w:hint="eastAsia" w:ascii="Times New Roman" w:hAnsi="Times New Roman" w:eastAsia="宋体" w:cs="Times New Roman"/>
          <w:snapToGrid/>
          <w:color w:val="auto"/>
          <w:kern w:val="2"/>
          <w:sz w:val="21"/>
          <w:szCs w:val="21"/>
          <w:highlight w:val="none"/>
          <w:lang w:val="en-US"/>
        </w:rPr>
        <w:t>2.8其他：</w:t>
      </w:r>
      <w:r>
        <w:rPr>
          <w:rFonts w:hint="eastAsia" w:ascii="Times New Roman" w:hAnsi="Times New Roman" w:eastAsia="宋体" w:cs="Times New Roman"/>
          <w:snapToGrid/>
          <w:color w:val="auto"/>
          <w:kern w:val="2"/>
          <w:sz w:val="21"/>
          <w:szCs w:val="21"/>
          <w:highlight w:val="none"/>
          <w:u w:val="single"/>
          <w:lang w:val="en-US" w:eastAsia="zh-CN"/>
        </w:rPr>
        <w:t xml:space="preserve"> </w:t>
      </w:r>
    </w:p>
    <w:p w14:paraId="5FFB81FE">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u w:val="single"/>
          <w:lang w:val="en-US" w:eastAsia="zh-CN"/>
        </w:rPr>
      </w:pPr>
      <w:r>
        <w:rPr>
          <w:rFonts w:hint="eastAsia" w:ascii="Times New Roman" w:hAnsi="Times New Roman" w:eastAsia="宋体" w:cs="Times New Roman"/>
          <w:snapToGrid/>
          <w:color w:val="auto"/>
          <w:kern w:val="2"/>
          <w:sz w:val="21"/>
          <w:szCs w:val="21"/>
          <w:highlight w:val="none"/>
          <w:u w:val="single"/>
          <w:lang w:val="en-US" w:eastAsia="zh-CN"/>
        </w:rPr>
        <w:t>2.8.1质量标准：符合现行国家有关工程施工验收规范和标准的要求（合格）。</w:t>
      </w:r>
    </w:p>
    <w:p w14:paraId="32DE9532">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u w:val="single"/>
          <w:lang w:val="en-US" w:eastAsia="zh-CN"/>
        </w:rPr>
      </w:pPr>
      <w:r>
        <w:rPr>
          <w:rFonts w:hint="eastAsia" w:ascii="Times New Roman" w:hAnsi="Times New Roman" w:eastAsia="宋体" w:cs="Times New Roman"/>
          <w:snapToGrid/>
          <w:color w:val="auto"/>
          <w:kern w:val="2"/>
          <w:sz w:val="21"/>
          <w:szCs w:val="21"/>
          <w:highlight w:val="none"/>
          <w:u w:val="single"/>
          <w:lang w:val="en-US" w:eastAsia="zh-CN"/>
        </w:rPr>
        <w:t>2.8.2安全目标：杜绝重伤、死亡事故。</w:t>
      </w:r>
    </w:p>
    <w:p w14:paraId="348CACB8">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u w:val="single"/>
          <w:lang w:val="en-US" w:eastAsia="zh-CN"/>
        </w:rPr>
      </w:pPr>
      <w:r>
        <w:rPr>
          <w:rFonts w:hint="eastAsia" w:ascii="Times New Roman" w:hAnsi="Times New Roman" w:eastAsia="宋体" w:cs="Times New Roman"/>
          <w:snapToGrid/>
          <w:color w:val="auto"/>
          <w:kern w:val="2"/>
          <w:sz w:val="21"/>
          <w:szCs w:val="21"/>
          <w:highlight w:val="none"/>
          <w:u w:val="single"/>
          <w:lang w:val="en-US" w:eastAsia="zh-CN"/>
        </w:rPr>
        <w:t>2.8.3文明工地目标：市级文明工地</w:t>
      </w:r>
      <w:r>
        <w:rPr>
          <w:rFonts w:hint="eastAsia" w:ascii="Times New Roman" w:hAnsi="Times New Roman" w:cs="Times New Roman"/>
          <w:snapToGrid/>
          <w:color w:val="auto"/>
          <w:kern w:val="2"/>
          <w:sz w:val="21"/>
          <w:szCs w:val="21"/>
          <w:highlight w:val="none"/>
          <w:u w:val="single"/>
          <w:lang w:val="en-US" w:eastAsia="zh-CN"/>
        </w:rPr>
        <w:t>标准</w:t>
      </w:r>
      <w:r>
        <w:rPr>
          <w:rFonts w:hint="eastAsia" w:ascii="Times New Roman" w:hAnsi="Times New Roman" w:eastAsia="宋体" w:cs="Times New Roman"/>
          <w:snapToGrid/>
          <w:color w:val="auto"/>
          <w:kern w:val="2"/>
          <w:sz w:val="21"/>
          <w:szCs w:val="21"/>
          <w:highlight w:val="none"/>
          <w:u w:val="single"/>
          <w:lang w:val="en-US" w:eastAsia="zh-CN"/>
        </w:rPr>
        <w:t>。</w:t>
      </w:r>
    </w:p>
    <w:p w14:paraId="0350A045">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u w:val="single"/>
          <w:lang w:val="en-US" w:eastAsia="zh-CN"/>
        </w:rPr>
      </w:pPr>
      <w:r>
        <w:rPr>
          <w:rFonts w:hint="eastAsia" w:ascii="Times New Roman" w:hAnsi="Times New Roman" w:eastAsia="宋体" w:cs="Times New Roman"/>
          <w:snapToGrid/>
          <w:color w:val="auto"/>
          <w:kern w:val="2"/>
          <w:sz w:val="21"/>
          <w:szCs w:val="21"/>
          <w:highlight w:val="none"/>
          <w:u w:val="single"/>
          <w:lang w:val="en-US" w:eastAsia="zh-CN"/>
        </w:rPr>
        <w:t>2.8.4扬尘防治目标：做到“七个100%，八个必须”，严格按照国家、省、市扬尘污染防治标准及各项扬尘管控指令，做到达标生产。</w:t>
      </w:r>
    </w:p>
    <w:p w14:paraId="713EA086">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u w:val="single"/>
          <w:lang w:val="en-US" w:eastAsia="zh-CN"/>
        </w:rPr>
      </w:pPr>
      <w:r>
        <w:rPr>
          <w:rFonts w:hint="eastAsia" w:ascii="Times New Roman" w:hAnsi="Times New Roman" w:eastAsia="宋体" w:cs="Times New Roman"/>
          <w:snapToGrid/>
          <w:color w:val="auto"/>
          <w:kern w:val="2"/>
          <w:sz w:val="21"/>
          <w:szCs w:val="21"/>
          <w:highlight w:val="none"/>
          <w:u w:val="single"/>
          <w:lang w:val="en-US" w:eastAsia="zh-CN"/>
        </w:rPr>
        <w:t>2.8.5缺陷责任期：24个月（自工程通过竣工验收之日起计算）。</w:t>
      </w:r>
    </w:p>
    <w:p w14:paraId="51165177">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 w:val="21"/>
          <w:szCs w:val="21"/>
          <w:highlight w:val="none"/>
          <w:u w:val="single"/>
          <w:lang w:val="en-US" w:eastAsia="zh-CN"/>
        </w:rPr>
      </w:pPr>
      <w:r>
        <w:rPr>
          <w:rFonts w:hint="eastAsia" w:ascii="Times New Roman" w:hAnsi="Times New Roman" w:eastAsia="宋体" w:cs="Times New Roman"/>
          <w:snapToGrid/>
          <w:color w:val="auto"/>
          <w:kern w:val="2"/>
          <w:sz w:val="21"/>
          <w:szCs w:val="21"/>
          <w:highlight w:val="none"/>
          <w:u w:val="single"/>
          <w:lang w:val="en-US" w:eastAsia="zh-CN"/>
        </w:rPr>
        <w:t>2.8.6（1）根据《政府采购促进中小企业发展管理办法》【财库（2020）46号】的规定，本项目支持中小微（监狱企业、残疾人福利性单位），节约能源，保护环境，落实绿色建筑、绿色建材，不发达、少数民族地区的企业，促进自主创新产业发展，支持脱贫攻坚；（2）根据洛财购[2021]4号文件要求，参加政府采购项目的中小微企业投标人，持中标通知书可向金融机构申请合同融资。详情请登录洛阳市政府采购 网(https://luoyang.zfcg.henan.gov.cn/)，进入网站飘窗或业务指南窗口了解金融机构提供的融资服务内容。</w:t>
      </w:r>
    </w:p>
    <w:p w14:paraId="53E82D61">
      <w:pPr>
        <w:pStyle w:val="4"/>
        <w:keepNext w:val="0"/>
        <w:keepLines w:val="0"/>
        <w:pageBreakBefore w:val="0"/>
        <w:kinsoku/>
        <w:overflowPunct/>
        <w:topLinePunct w:val="0"/>
        <w:bidi w:val="0"/>
        <w:adjustRightInd/>
        <w:snapToGrid/>
        <w:spacing w:line="440" w:lineRule="exact"/>
        <w:ind w:firstLine="420" w:firstLineChars="200"/>
        <w:jc w:val="both"/>
        <w:textAlignment w:val="auto"/>
        <w:rPr>
          <w:rFonts w:hint="eastAsia" w:eastAsia="宋体"/>
          <w:snapToGrid/>
          <w:color w:val="auto"/>
          <w:highlight w:val="none"/>
        </w:rPr>
      </w:pPr>
      <w:r>
        <w:rPr>
          <w:rFonts w:hint="eastAsia" w:ascii="Times New Roman" w:hAnsi="Times New Roman" w:eastAsia="宋体" w:cs="Times New Roman"/>
          <w:snapToGrid/>
          <w:color w:val="auto"/>
          <w:kern w:val="2"/>
          <w:sz w:val="21"/>
          <w:szCs w:val="21"/>
          <w:highlight w:val="none"/>
          <w:u w:val="single"/>
          <w:lang w:val="en-US" w:eastAsia="zh-CN"/>
        </w:rPr>
        <w:t>2.8.7本项目采用“评定分离”方式招标，定标方法：核查随机法。</w:t>
      </w:r>
    </w:p>
    <w:p w14:paraId="158E18A0">
      <w:pPr>
        <w:keepNext w:val="0"/>
        <w:keepLines w:val="0"/>
        <w:pageBreakBefore w:val="0"/>
        <w:widowControl w:val="0"/>
        <w:kinsoku/>
        <w:overflowPunct/>
        <w:topLinePunct w:val="0"/>
        <w:autoSpaceDE/>
        <w:autoSpaceDN/>
        <w:bidi w:val="0"/>
        <w:adjustRightInd/>
        <w:snapToGrid/>
        <w:spacing w:line="440" w:lineRule="exact"/>
        <w:jc w:val="both"/>
        <w:textAlignment w:val="auto"/>
        <w:outlineLvl w:val="1"/>
        <w:rPr>
          <w:rFonts w:hint="eastAsia" w:ascii="黑体" w:hAnsi="Times New Roman" w:eastAsia="黑体" w:cs="Times New Roman"/>
          <w:snapToGrid/>
          <w:color w:val="auto"/>
          <w:kern w:val="2"/>
          <w:sz w:val="24"/>
          <w:szCs w:val="24"/>
          <w:highlight w:val="none"/>
          <w:lang w:eastAsia="zh-CN"/>
        </w:rPr>
      </w:pPr>
      <w:bookmarkStart w:id="17" w:name="_Toc6655"/>
      <w:bookmarkStart w:id="18" w:name="_Toc8368"/>
      <w:bookmarkStart w:id="19" w:name="_Toc11959"/>
      <w:bookmarkStart w:id="20" w:name="_Toc32588"/>
      <w:bookmarkStart w:id="21" w:name="_Toc24097"/>
      <w:bookmarkStart w:id="22" w:name="_Toc23494"/>
      <w:r>
        <w:rPr>
          <w:rFonts w:hint="eastAsia" w:ascii="黑体" w:hAnsi="Times New Roman" w:eastAsia="黑体" w:cs="Times New Roman"/>
          <w:snapToGrid/>
          <w:color w:val="auto"/>
          <w:kern w:val="2"/>
          <w:sz w:val="24"/>
          <w:szCs w:val="24"/>
          <w:highlight w:val="none"/>
          <w:lang w:val="en-US" w:eastAsia="zh-CN"/>
        </w:rPr>
        <w:t>3.</w:t>
      </w:r>
      <w:r>
        <w:rPr>
          <w:rFonts w:hint="eastAsia" w:ascii="黑体" w:hAnsi="Times New Roman" w:eastAsia="黑体" w:cs="Times New Roman"/>
          <w:snapToGrid/>
          <w:color w:val="auto"/>
          <w:kern w:val="2"/>
          <w:sz w:val="24"/>
          <w:szCs w:val="24"/>
          <w:highlight w:val="none"/>
          <w:lang w:eastAsia="zh-CN"/>
        </w:rPr>
        <w:t>投标人资格要求</w:t>
      </w:r>
      <w:bookmarkEnd w:id="17"/>
      <w:bookmarkEnd w:id="18"/>
      <w:bookmarkEnd w:id="19"/>
      <w:bookmarkEnd w:id="20"/>
      <w:bookmarkEnd w:id="21"/>
      <w:bookmarkEnd w:id="22"/>
    </w:p>
    <w:p w14:paraId="5A973D52">
      <w:pPr>
        <w:keepNext w:val="0"/>
        <w:keepLines w:val="0"/>
        <w:pageBreakBefore w:val="0"/>
        <w:widowControl w:val="0"/>
        <w:kinsoku/>
        <w:wordWrap w:val="0"/>
        <w:overflowPunct/>
        <w:topLinePunct w:val="0"/>
        <w:autoSpaceDE/>
        <w:autoSpaceDN/>
        <w:bidi w:val="0"/>
        <w:adjustRightInd/>
        <w:snapToGrid/>
        <w:spacing w:line="440" w:lineRule="exact"/>
        <w:ind w:firstLine="437"/>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4"/>
          <w:highlight w:val="none"/>
          <w:lang w:eastAsia="zh-CN"/>
        </w:rPr>
        <w:t>3.</w:t>
      </w:r>
      <w:r>
        <w:rPr>
          <w:rFonts w:hint="eastAsia" w:ascii="宋体" w:hAnsi="宋体" w:eastAsia="宋体" w:cs="宋体"/>
          <w:snapToGrid/>
          <w:color w:val="auto"/>
          <w:kern w:val="2"/>
          <w:szCs w:val="21"/>
          <w:highlight w:val="none"/>
          <w:lang w:eastAsia="zh-CN"/>
        </w:rPr>
        <w:t>1资质条件：</w:t>
      </w:r>
    </w:p>
    <w:p w14:paraId="790D8B47">
      <w:pPr>
        <w:keepNext w:val="0"/>
        <w:keepLines w:val="0"/>
        <w:pageBreakBefore w:val="0"/>
        <w:widowControl w:val="0"/>
        <w:kinsoku/>
        <w:wordWrap w:val="0"/>
        <w:overflowPunct/>
        <w:topLinePunct w:val="0"/>
        <w:autoSpaceDE/>
        <w:autoSpaceDN/>
        <w:bidi w:val="0"/>
        <w:adjustRightInd/>
        <w:snapToGrid/>
        <w:spacing w:line="440" w:lineRule="exact"/>
        <w:ind w:firstLine="437"/>
        <w:jc w:val="both"/>
        <w:textAlignment w:val="auto"/>
        <w:rPr>
          <w:rFonts w:hint="eastAsia" w:ascii="宋体" w:hAnsi="宋体" w:eastAsia="宋体" w:cs="宋体"/>
          <w:snapToGrid/>
          <w:color w:val="auto"/>
          <w:kern w:val="2"/>
          <w:szCs w:val="21"/>
          <w:highlight w:val="none"/>
          <w:lang w:eastAsia="zh-CN"/>
        </w:rPr>
      </w:pPr>
      <w:r>
        <w:rPr>
          <w:rFonts w:hint="eastAsia"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1"/>
          <w:highlight w:val="none"/>
          <w:lang w:eastAsia="zh-CN"/>
        </w:rPr>
        <w:t>投标人须具备独立的法人资格，具有有效的营业执照，具有</w:t>
      </w:r>
      <w:r>
        <w:rPr>
          <w:rFonts w:hint="eastAsia" w:ascii="宋体" w:hAnsi="宋体" w:eastAsia="宋体" w:cs="宋体"/>
          <w:snapToGrid/>
          <w:color w:val="auto"/>
          <w:kern w:val="2"/>
          <w:szCs w:val="21"/>
          <w:highlight w:val="none"/>
          <w:u w:val="single"/>
          <w:lang w:eastAsia="zh-CN"/>
        </w:rPr>
        <w:t>[施工总承包·建筑工程·建筑工程叁级</w:t>
      </w:r>
      <w:r>
        <w:rPr>
          <w:rFonts w:hint="eastAsia" w:ascii="宋体" w:hAnsi="宋体" w:eastAsia="宋体" w:cs="宋体"/>
          <w:snapToGrid/>
          <w:color w:val="auto"/>
          <w:kern w:val="0"/>
          <w:sz w:val="20"/>
          <w:szCs w:val="20"/>
          <w:highlight w:val="none"/>
          <w:lang w:val="en-US" w:eastAsia="zh-CN" w:bidi="ar"/>
        </w:rPr>
        <w:t>]</w:t>
      </w:r>
      <w:r>
        <w:rPr>
          <w:rFonts w:hint="eastAsia" w:ascii="宋体" w:hAnsi="宋体" w:eastAsia="宋体" w:cs="宋体"/>
          <w:snapToGrid/>
          <w:color w:val="auto"/>
          <w:kern w:val="2"/>
          <w:szCs w:val="21"/>
          <w:highlight w:val="none"/>
          <w:lang w:eastAsia="zh-CN"/>
        </w:rPr>
        <w:t>资质，具有有效的安全生产许可证</w:t>
      </w:r>
      <w:r>
        <w:rPr>
          <w:rFonts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1"/>
          <w:highlight w:val="none"/>
          <w:lang w:eastAsia="zh-CN"/>
        </w:rPr>
        <w:t>（适用于非园林绿化工程）</w:t>
      </w:r>
    </w:p>
    <w:p w14:paraId="55D76DAF">
      <w:pPr>
        <w:keepNext w:val="0"/>
        <w:keepLines w:val="0"/>
        <w:pageBreakBefore w:val="0"/>
        <w:widowControl w:val="0"/>
        <w:kinsoku/>
        <w:wordWrap w:val="0"/>
        <w:overflowPunct/>
        <w:topLinePunct w:val="0"/>
        <w:autoSpaceDE/>
        <w:autoSpaceDN/>
        <w:bidi w:val="0"/>
        <w:adjustRightInd/>
        <w:snapToGrid/>
        <w:spacing w:line="440" w:lineRule="exact"/>
        <w:ind w:firstLine="437"/>
        <w:jc w:val="both"/>
        <w:textAlignment w:val="auto"/>
        <w:rPr>
          <w:rFonts w:hint="eastAsia" w:ascii="宋体" w:hAnsi="宋体" w:eastAsia="宋体" w:cs="宋体"/>
          <w:snapToGrid/>
          <w:color w:val="auto"/>
          <w:kern w:val="2"/>
          <w:szCs w:val="21"/>
          <w:highlight w:val="none"/>
          <w:lang w:eastAsia="zh-CN"/>
        </w:rPr>
      </w:pPr>
      <w:r>
        <w:rPr>
          <w:rFonts w:hint="eastAsia"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1"/>
          <w:highlight w:val="none"/>
          <w:lang w:eastAsia="zh-CN"/>
        </w:rPr>
        <w:t>投标人须具备独立的法人资格，具有有效的营业执照；（适用于园林绿化工程）</w:t>
      </w:r>
    </w:p>
    <w:p w14:paraId="658ACFCF">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Times New Roman" w:hAnsi="Times New Roman" w:eastAsia="宋体" w:cs="Times New Roman"/>
          <w:snapToGrid/>
          <w:color w:val="auto"/>
          <w:kern w:val="2"/>
          <w:szCs w:val="24"/>
          <w:highlight w:val="none"/>
          <w:lang w:eastAsia="zh-CN"/>
        </w:rPr>
      </w:pPr>
      <w:r>
        <w:rPr>
          <w:rFonts w:hint="eastAsia" w:ascii="Times New Roman" w:hAnsi="Times New Roman" w:eastAsia="宋体" w:cs="Times New Roman"/>
          <w:snapToGrid/>
          <w:color w:val="auto"/>
          <w:kern w:val="2"/>
          <w:szCs w:val="24"/>
          <w:highlight w:val="none"/>
          <w:lang w:eastAsia="zh-CN"/>
        </w:rPr>
        <w:t>3.2 □类似项目业绩要求：自</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lang w:eastAsia="zh-CN"/>
        </w:rPr>
        <w:t>年</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lang w:eastAsia="zh-CN"/>
        </w:rPr>
        <w:t>月</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lang w:eastAsia="zh-CN"/>
        </w:rPr>
        <w:t>日以来□承接过/□完成过</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lang w:eastAsia="zh-CN"/>
        </w:rPr>
        <w:t>业绩。</w:t>
      </w:r>
    </w:p>
    <w:p w14:paraId="7C81B7C8">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Times New Roman" w:hAnsi="Times New Roman" w:eastAsia="宋体" w:cs="Times New Roman"/>
          <w:snapToGrid/>
          <w:color w:val="auto"/>
          <w:kern w:val="2"/>
          <w:szCs w:val="21"/>
          <w:highlight w:val="none"/>
          <w:lang w:val="zh-CN" w:eastAsia="zh-CN" w:bidi="zh-CN"/>
        </w:rPr>
      </w:pPr>
      <w:r>
        <w:rPr>
          <w:rFonts w:hint="eastAsia" w:ascii="Times New Roman" w:hAnsi="Times New Roman" w:eastAsia="宋体" w:cs="Times New Roman"/>
          <w:snapToGrid/>
          <w:color w:val="auto"/>
          <w:kern w:val="2"/>
          <w:szCs w:val="21"/>
          <w:highlight w:val="none"/>
          <w:lang w:val="zh-CN" w:eastAsia="zh-CN" w:bidi="zh-CN"/>
        </w:rPr>
        <w:t>3.3人员要求：</w:t>
      </w:r>
    </w:p>
    <w:p w14:paraId="7CF464EB">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宋体" w:hAnsi="宋体" w:eastAsia="宋体" w:cs="宋体"/>
          <w:snapToGrid/>
          <w:color w:val="auto"/>
          <w:kern w:val="2"/>
          <w:szCs w:val="21"/>
          <w:highlight w:val="none"/>
          <w:lang w:eastAsia="zh-CN"/>
        </w:rPr>
      </w:pPr>
      <w:r>
        <w:rPr>
          <w:rFonts w:hint="eastAsia"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1"/>
          <w:highlight w:val="none"/>
          <w:lang w:eastAsia="zh-CN"/>
        </w:rPr>
        <w:t>投标人拟派项目经理须具备</w:t>
      </w:r>
      <w:r>
        <w:rPr>
          <w:rFonts w:hint="eastAsia" w:ascii="宋体" w:hAnsi="宋体" w:eastAsia="宋体" w:cs="宋体"/>
          <w:snapToGrid/>
          <w:color w:val="auto"/>
          <w:kern w:val="2"/>
          <w:szCs w:val="21"/>
          <w:highlight w:val="none"/>
          <w:u w:val="none"/>
          <w:lang w:eastAsia="zh-CN"/>
        </w:rPr>
        <w:t>[注册二级建造师·建筑工程]</w:t>
      </w:r>
      <w:r>
        <w:rPr>
          <w:rFonts w:hint="eastAsia" w:ascii="宋体" w:hAnsi="宋体" w:eastAsia="宋体" w:cs="宋体"/>
          <w:snapToGrid/>
          <w:color w:val="auto"/>
          <w:kern w:val="2"/>
          <w:szCs w:val="21"/>
          <w:highlight w:val="none"/>
          <w:lang w:eastAsia="zh-CN"/>
        </w:rPr>
        <w:t>资格（注册单位与投标人一致），具有有效的安全生产考核合格证书（B证），</w:t>
      </w:r>
      <w:r>
        <w:rPr>
          <w:rFonts w:ascii="Times New Roman" w:hAnsi="Times New Roman" w:eastAsia="宋体" w:cs="Times New Roman"/>
          <w:snapToGrid/>
          <w:color w:val="auto"/>
          <w:kern w:val="2"/>
          <w:szCs w:val="21"/>
          <w:highlight w:val="none"/>
          <w:lang w:eastAsia="zh-CN"/>
        </w:rPr>
        <w:t>且</w:t>
      </w:r>
      <w:r>
        <w:rPr>
          <w:rFonts w:hint="eastAsia" w:ascii="Times New Roman" w:hAnsi="Times New Roman" w:eastAsia="宋体" w:cs="Times New Roman"/>
          <w:snapToGrid/>
          <w:color w:val="auto"/>
          <w:kern w:val="2"/>
          <w:szCs w:val="21"/>
          <w:highlight w:val="none"/>
          <w:lang w:eastAsia="zh-CN"/>
        </w:rPr>
        <w:t>无</w:t>
      </w:r>
      <w:r>
        <w:rPr>
          <w:rFonts w:ascii="Times New Roman" w:hAnsi="Times New Roman" w:eastAsia="宋体" w:cs="Times New Roman"/>
          <w:snapToGrid/>
          <w:color w:val="auto"/>
          <w:kern w:val="2"/>
          <w:szCs w:val="21"/>
          <w:highlight w:val="none"/>
          <w:lang w:eastAsia="zh-CN"/>
        </w:rPr>
        <w:t>在岗项目</w:t>
      </w:r>
      <w:r>
        <w:rPr>
          <w:rFonts w:hint="eastAsia" w:ascii="Times New Roman" w:hAnsi="Times New Roman" w:eastAsia="宋体" w:cs="Times New Roman"/>
          <w:snapToGrid/>
          <w:color w:val="auto"/>
          <w:kern w:val="2"/>
          <w:szCs w:val="24"/>
          <w:highlight w:val="none"/>
          <w:lang w:eastAsia="zh-CN"/>
        </w:rPr>
        <w:t>；</w:t>
      </w:r>
      <w:r>
        <w:rPr>
          <w:rFonts w:ascii="Times New Roman" w:hAnsi="Times New Roman" w:eastAsia="宋体" w:cs="Times New Roman"/>
          <w:snapToGrid/>
          <w:color w:val="auto"/>
          <w:kern w:val="2"/>
          <w:szCs w:val="24"/>
          <w:highlight w:val="none"/>
          <w:lang w:eastAsia="zh-CN"/>
        </w:rPr>
        <w:t>拟派施工现场专职安全生产管理人员</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u w:val="single"/>
          <w:lang w:val="en-US" w:eastAsia="zh-CN"/>
        </w:rPr>
        <w:t>1</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lang w:eastAsia="zh-CN"/>
        </w:rPr>
        <w:t>人（</w:t>
      </w:r>
      <w:r>
        <w:rPr>
          <w:rFonts w:ascii="Times New Roman" w:hAnsi="Times New Roman" w:eastAsia="宋体" w:cs="Times New Roman"/>
          <w:snapToGrid/>
          <w:color w:val="auto"/>
          <w:kern w:val="2"/>
          <w:szCs w:val="24"/>
          <w:highlight w:val="none"/>
          <w:lang w:eastAsia="zh-CN"/>
        </w:rPr>
        <w:t>人数应符合住房和城乡建设部相关规定</w:t>
      </w:r>
      <w:r>
        <w:rPr>
          <w:rFonts w:hint="eastAsia" w:ascii="Times New Roman" w:hAnsi="Times New Roman" w:eastAsia="宋体" w:cs="Times New Roman"/>
          <w:snapToGrid/>
          <w:color w:val="auto"/>
          <w:kern w:val="2"/>
          <w:szCs w:val="24"/>
          <w:highlight w:val="none"/>
          <w:lang w:eastAsia="zh-CN"/>
        </w:rPr>
        <w:t>）</w:t>
      </w:r>
      <w:r>
        <w:rPr>
          <w:rFonts w:ascii="Times New Roman" w:hAnsi="Times New Roman" w:eastAsia="宋体" w:cs="Times New Roman"/>
          <w:snapToGrid/>
          <w:color w:val="auto"/>
          <w:kern w:val="2"/>
          <w:szCs w:val="24"/>
          <w:highlight w:val="none"/>
          <w:lang w:eastAsia="zh-CN"/>
        </w:rPr>
        <w:t>，均须具有有效的</w:t>
      </w:r>
      <w:r>
        <w:rPr>
          <w:rFonts w:hint="eastAsia" w:ascii="宋体" w:hAnsi="宋体" w:eastAsia="宋体" w:cs="宋体"/>
          <w:snapToGrid/>
          <w:color w:val="auto"/>
          <w:kern w:val="2"/>
          <w:szCs w:val="21"/>
          <w:highlight w:val="none"/>
          <w:lang w:eastAsia="zh-CN"/>
        </w:rPr>
        <w:t>安全生产考核合格证书（C证）</w:t>
      </w:r>
      <w:r>
        <w:rPr>
          <w:rFonts w:ascii="Times New Roman" w:hAnsi="Times New Roman" w:eastAsia="宋体" w:cs="Times New Roman"/>
          <w:snapToGrid/>
          <w:color w:val="auto"/>
          <w:kern w:val="2"/>
          <w:szCs w:val="24"/>
          <w:highlight w:val="none"/>
          <w:lang w:eastAsia="zh-CN"/>
        </w:rPr>
        <w:t>；</w:t>
      </w:r>
      <w:r>
        <w:rPr>
          <w:rFonts w:hint="eastAsia"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1"/>
          <w:highlight w:val="none"/>
          <w:lang w:eastAsia="zh-CN"/>
        </w:rPr>
        <w:t>适用于非园林绿化工程</w:t>
      </w:r>
      <w:r>
        <w:rPr>
          <w:rFonts w:hint="eastAsia" w:ascii="Times New Roman" w:hAnsi="Times New Roman" w:eastAsia="宋体" w:cs="Times New Roman"/>
          <w:snapToGrid/>
          <w:color w:val="auto"/>
          <w:kern w:val="2"/>
          <w:szCs w:val="24"/>
          <w:highlight w:val="none"/>
          <w:lang w:eastAsia="zh-CN"/>
        </w:rPr>
        <w:t>）</w:t>
      </w:r>
    </w:p>
    <w:p w14:paraId="5EDC5E0B">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Times New Roman" w:hAnsi="Times New Roman" w:eastAsia="宋体" w:cs="Times New Roman"/>
          <w:snapToGrid/>
          <w:color w:val="auto"/>
          <w:kern w:val="2"/>
          <w:szCs w:val="24"/>
          <w:highlight w:val="none"/>
          <w:lang w:eastAsia="zh-CN"/>
        </w:rPr>
      </w:pPr>
      <w:r>
        <w:rPr>
          <w:rFonts w:hint="eastAsia"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1"/>
          <w:highlight w:val="none"/>
          <w:lang w:eastAsia="zh-CN"/>
        </w:rPr>
        <w:t>投标人拟派项目负责人须具备</w:t>
      </w:r>
      <w:r>
        <w:rPr>
          <w:rFonts w:hint="eastAsia" w:ascii="宋体" w:hAnsi="宋体" w:eastAsia="宋体" w:cs="宋体"/>
          <w:snapToGrid/>
          <w:color w:val="auto"/>
          <w:kern w:val="2"/>
          <w:szCs w:val="21"/>
          <w:highlight w:val="none"/>
          <w:u w:val="none"/>
          <w:lang w:eastAsia="zh-CN"/>
        </w:rPr>
        <w:t>[注册二级建造师·建筑工程]</w:t>
      </w:r>
      <w:r>
        <w:rPr>
          <w:rFonts w:hint="eastAsia" w:ascii="宋体" w:hAnsi="宋体" w:eastAsia="宋体" w:cs="宋体"/>
          <w:snapToGrid/>
          <w:color w:val="auto"/>
          <w:kern w:val="2"/>
          <w:szCs w:val="21"/>
          <w:highlight w:val="none"/>
          <w:lang w:eastAsia="zh-CN"/>
        </w:rPr>
        <w:t>。</w:t>
      </w:r>
      <w:r>
        <w:rPr>
          <w:rFonts w:hint="eastAsia"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1"/>
          <w:highlight w:val="none"/>
          <w:lang w:eastAsia="zh-CN"/>
        </w:rPr>
        <w:t>适用于园林绿化工程</w:t>
      </w:r>
      <w:r>
        <w:rPr>
          <w:rFonts w:hint="eastAsia" w:ascii="Times New Roman" w:hAnsi="Times New Roman" w:eastAsia="宋体" w:cs="Times New Roman"/>
          <w:snapToGrid/>
          <w:color w:val="auto"/>
          <w:kern w:val="2"/>
          <w:szCs w:val="24"/>
          <w:highlight w:val="none"/>
          <w:lang w:eastAsia="zh-CN"/>
        </w:rPr>
        <w:t>）</w:t>
      </w:r>
    </w:p>
    <w:p w14:paraId="1C1F2361">
      <w:pPr>
        <w:pStyle w:val="7"/>
        <w:keepNext w:val="0"/>
        <w:keepLines w:val="0"/>
        <w:pageBreakBefore w:val="0"/>
        <w:kinsoku/>
        <w:overflowPunct/>
        <w:topLinePunct w:val="0"/>
        <w:autoSpaceDE/>
        <w:autoSpaceDN/>
        <w:bidi w:val="0"/>
        <w:adjustRightInd/>
        <w:snapToGrid/>
        <w:spacing w:line="440" w:lineRule="exac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3.4信誉要求：</w:t>
      </w:r>
      <w:r>
        <w:rPr>
          <w:rFonts w:hint="eastAsia" w:ascii="Times New Roman" w:hAnsi="Times New Roman" w:eastAsia="宋体" w:cs="Times New Roman"/>
          <w:color w:val="auto"/>
          <w:sz w:val="21"/>
          <w:highlight w:val="none"/>
        </w:rPr>
        <w:t>投标人及其法定代表人和拟派项目经理不得存在以下情形之一：</w:t>
      </w:r>
    </w:p>
    <w:p w14:paraId="508E9DA0">
      <w:pPr>
        <w:pStyle w:val="7"/>
        <w:keepNext w:val="0"/>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3.4.1被列入全国建筑市场监管公共服务平台“黑名单”；</w:t>
      </w:r>
    </w:p>
    <w:p w14:paraId="02D93285">
      <w:pPr>
        <w:pStyle w:val="7"/>
        <w:keepNext w:val="0"/>
        <w:keepLines w:val="0"/>
        <w:pageBreakBefore w:val="0"/>
        <w:kinsoku/>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3.4.2被列入国家企业信用信息公示系统“严重违法失信名单”；</w:t>
      </w:r>
    </w:p>
    <w:p w14:paraId="2A33E90D">
      <w:pPr>
        <w:pStyle w:val="7"/>
        <w:keepNext w:val="0"/>
        <w:keepLines w:val="0"/>
        <w:pageBreakBefore w:val="0"/>
        <w:kinsoku/>
        <w:overflowPunct/>
        <w:topLinePunct w:val="0"/>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3.4.3被列入信用中国网站“重点领域严重失信主体名单”；</w:t>
      </w:r>
    </w:p>
    <w:p w14:paraId="67367A43">
      <w:pPr>
        <w:pStyle w:val="7"/>
        <w:keepNext w:val="0"/>
        <w:keepLines w:val="0"/>
        <w:pageBreakBefore w:val="0"/>
        <w:kinsoku/>
        <w:overflowPunct/>
        <w:topLinePunct w:val="0"/>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3.4.4投标所需资质在河南省建筑市场公共服务平台资质状态栏被标注“注册人员不足”等异常情况；</w:t>
      </w:r>
    </w:p>
    <w:p w14:paraId="66A46C79">
      <w:pPr>
        <w:pStyle w:val="7"/>
        <w:keepNext w:val="0"/>
        <w:keepLines w:val="0"/>
        <w:pageBreakBefore w:val="0"/>
        <w:kinsoku/>
        <w:overflowPunct/>
        <w:topLinePunct w:val="0"/>
        <w:bidi w:val="0"/>
        <w:spacing w:line="44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3.4.5其他要求：</w:t>
      </w:r>
      <w:r>
        <w:rPr>
          <w:rFonts w:hint="eastAsia" w:ascii="宋体" w:hAnsi="宋体" w:eastAsia="宋体" w:cs="宋体"/>
          <w:color w:val="auto"/>
          <w:sz w:val="21"/>
          <w:szCs w:val="21"/>
          <w:highlight w:val="none"/>
          <w:u w:val="single"/>
        </w:rPr>
        <w:t xml:space="preserve"> 根据《河南省全面推行证明事项告知承诺制工作实施方案》（豫政办〔2021〕2号）文件，投标人须按照规定提供“信用承诺函”，招标人有权在签订合同前要求中标人提供相关证明材料以核实中标单位承诺事项的真实性，若提供的证明材料不合格，则取消其中标资格，投标时不再需要提供以下证明材料：（1）符合国家相关规定的财务状况报告；（2）依法缴纳税收的证明材料；（3）依法缴纳社会保障资金的证明材料；（4）具备履行合同所必需的设备和专业技术能力的证明材料；（5）参加招标活动前三年内在经营活动中没有重大违法记录的证明材料；（6）未被列入失信被执行人、重大税收违法失信主体、政府采购严重违法失信行为记录名单的证明材料</w:t>
      </w:r>
      <w:r>
        <w:rPr>
          <w:rFonts w:hint="eastAsia" w:ascii="宋体" w:hAnsi="宋体" w:eastAsia="宋体" w:cs="宋体"/>
          <w:color w:val="auto"/>
          <w:sz w:val="21"/>
          <w:szCs w:val="21"/>
          <w:highlight w:val="none"/>
        </w:rPr>
        <w:t>。</w:t>
      </w:r>
    </w:p>
    <w:p w14:paraId="31337A3A">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3.5本次招标</w:t>
      </w:r>
      <w:r>
        <w:rPr>
          <w:rFonts w:hint="eastAsia"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1"/>
          <w:highlight w:val="none"/>
          <w:lang w:eastAsia="zh-CN"/>
        </w:rPr>
        <w:t>不接受联合体投标；</w:t>
      </w:r>
    </w:p>
    <w:p w14:paraId="04722E26">
      <w:pPr>
        <w:keepNext w:val="0"/>
        <w:keepLines w:val="0"/>
        <w:pageBreakBefore w:val="0"/>
        <w:widowControl w:val="0"/>
        <w:kinsoku/>
        <w:overflowPunct/>
        <w:topLinePunct w:val="0"/>
        <w:autoSpaceDE/>
        <w:autoSpaceDN/>
        <w:bidi w:val="0"/>
        <w:adjustRightInd/>
        <w:snapToGrid/>
        <w:spacing w:line="440" w:lineRule="exact"/>
        <w:ind w:firstLine="1680" w:firstLineChars="800"/>
        <w:jc w:val="both"/>
        <w:textAlignment w:val="auto"/>
        <w:rPr>
          <w:rFonts w:hint="eastAsia" w:ascii="宋体" w:hAnsi="宋体" w:eastAsia="宋体" w:cs="宋体"/>
          <w:snapToGrid/>
          <w:color w:val="auto"/>
          <w:kern w:val="2"/>
          <w:szCs w:val="21"/>
          <w:highlight w:val="none"/>
          <w:lang w:eastAsia="zh-CN"/>
        </w:rPr>
      </w:pPr>
      <w:r>
        <w:rPr>
          <w:rFonts w:hint="eastAsia"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1"/>
          <w:highlight w:val="none"/>
          <w:lang w:eastAsia="zh-CN"/>
        </w:rPr>
        <w:t>接受联合体投标，应满足下列要求：</w:t>
      </w:r>
      <w:r>
        <w:rPr>
          <w:rFonts w:hint="eastAsia" w:ascii="宋体" w:hAnsi="宋体" w:eastAsia="宋体" w:cs="宋体"/>
          <w:snapToGrid/>
          <w:color w:val="auto"/>
          <w:kern w:val="2"/>
          <w:szCs w:val="21"/>
          <w:highlight w:val="none"/>
          <w:u w:val="single"/>
          <w:lang w:eastAsia="zh-CN"/>
        </w:rPr>
        <w:t xml:space="preserve">               </w:t>
      </w:r>
      <w:r>
        <w:rPr>
          <w:rFonts w:hint="eastAsia" w:ascii="宋体" w:hAnsi="宋体" w:eastAsia="宋体" w:cs="宋体"/>
          <w:snapToGrid/>
          <w:color w:val="auto"/>
          <w:kern w:val="2"/>
          <w:szCs w:val="21"/>
          <w:highlight w:val="none"/>
          <w:lang w:eastAsia="zh-CN"/>
        </w:rPr>
        <w:t>。</w:t>
      </w:r>
    </w:p>
    <w:p w14:paraId="04B81A61">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宋体" w:hAnsi="宋体" w:eastAsia="宋体" w:cs="宋体"/>
          <w:snapToGrid/>
          <w:color w:val="auto"/>
          <w:kern w:val="2"/>
          <w:szCs w:val="24"/>
          <w:highlight w:val="none"/>
          <w:lang w:eastAsia="zh-CN"/>
        </w:rPr>
      </w:pPr>
      <w:r>
        <w:rPr>
          <w:rFonts w:hint="eastAsia" w:ascii="宋体" w:hAnsi="宋体" w:eastAsia="宋体" w:cs="宋体"/>
          <w:snapToGrid/>
          <w:color w:val="auto"/>
          <w:kern w:val="2"/>
          <w:szCs w:val="24"/>
          <w:highlight w:val="none"/>
          <w:lang w:eastAsia="zh-CN"/>
        </w:rPr>
        <w:t xml:space="preserve">3.6 </w:t>
      </w:r>
      <w:r>
        <w:rPr>
          <w:rFonts w:hint="eastAsia" w:ascii="Times New Roman" w:hAnsi="Times New Roman" w:eastAsia="宋体" w:cs="Times New Roman"/>
          <w:snapToGrid/>
          <w:color w:val="auto"/>
          <w:kern w:val="2"/>
          <w:szCs w:val="24"/>
          <w:highlight w:val="none"/>
          <w:lang w:eastAsia="zh-CN"/>
        </w:rPr>
        <w:t>□</w:t>
      </w:r>
      <w:r>
        <w:rPr>
          <w:rFonts w:hint="eastAsia" w:ascii="宋体" w:hAnsi="宋体" w:eastAsia="宋体" w:cs="宋体"/>
          <w:snapToGrid/>
          <w:color w:val="auto"/>
          <w:kern w:val="2"/>
          <w:szCs w:val="24"/>
          <w:highlight w:val="none"/>
          <w:lang w:eastAsia="zh-CN"/>
        </w:rPr>
        <w:t>各投标人均可就本招标项目上述标段中的</w:t>
      </w:r>
      <w:r>
        <w:rPr>
          <w:rFonts w:hint="eastAsia" w:ascii="宋体" w:hAnsi="宋体" w:eastAsia="宋体" w:cs="宋体"/>
          <w:snapToGrid/>
          <w:color w:val="auto"/>
          <w:kern w:val="2"/>
          <w:szCs w:val="24"/>
          <w:highlight w:val="none"/>
          <w:u w:val="single"/>
          <w:lang w:eastAsia="zh-CN"/>
        </w:rPr>
        <w:t xml:space="preserve">          </w:t>
      </w:r>
      <w:r>
        <w:rPr>
          <w:rFonts w:hint="eastAsia" w:ascii="宋体" w:hAnsi="宋体" w:eastAsia="宋体" w:cs="宋体"/>
          <w:snapToGrid/>
          <w:color w:val="auto"/>
          <w:kern w:val="2"/>
          <w:szCs w:val="24"/>
          <w:highlight w:val="none"/>
          <w:lang w:eastAsia="zh-CN"/>
        </w:rPr>
        <w:t>（具体数量）个标段投标，但最多允许中标</w:t>
      </w:r>
      <w:r>
        <w:rPr>
          <w:rFonts w:hint="eastAsia" w:ascii="宋体" w:hAnsi="宋体" w:eastAsia="宋体" w:cs="宋体"/>
          <w:snapToGrid/>
          <w:color w:val="auto"/>
          <w:kern w:val="2"/>
          <w:szCs w:val="24"/>
          <w:highlight w:val="none"/>
          <w:u w:val="single"/>
          <w:lang w:eastAsia="zh-CN"/>
        </w:rPr>
        <w:t xml:space="preserve">       </w:t>
      </w:r>
      <w:r>
        <w:rPr>
          <w:rFonts w:hint="eastAsia" w:ascii="宋体" w:hAnsi="宋体" w:eastAsia="宋体" w:cs="宋体"/>
          <w:snapToGrid/>
          <w:color w:val="auto"/>
          <w:kern w:val="2"/>
          <w:szCs w:val="24"/>
          <w:highlight w:val="none"/>
          <w:lang w:eastAsia="zh-CN"/>
        </w:rPr>
        <w:t>（具体数量）个标段。（适用于分标段的招标项目）</w:t>
      </w:r>
    </w:p>
    <w:p w14:paraId="0182F786">
      <w:pPr>
        <w:keepNext w:val="0"/>
        <w:keepLines w:val="0"/>
        <w:pageBreakBefore w:val="0"/>
        <w:widowControl w:val="0"/>
        <w:kinsoku/>
        <w:overflowPunct/>
        <w:topLinePunct w:val="0"/>
        <w:autoSpaceDE/>
        <w:autoSpaceDN/>
        <w:bidi w:val="0"/>
        <w:adjustRightInd/>
        <w:snapToGrid/>
        <w:spacing w:line="440" w:lineRule="exact"/>
        <w:ind w:firstLine="437"/>
        <w:jc w:val="left"/>
        <w:textAlignment w:val="auto"/>
        <w:rPr>
          <w:rFonts w:hint="eastAsia" w:ascii="宋体" w:hAnsi="宋体" w:eastAsia="宋体" w:cs="宋体"/>
          <w:snapToGrid/>
          <w:color w:val="auto"/>
          <w:kern w:val="2"/>
          <w:szCs w:val="24"/>
          <w:highlight w:val="none"/>
          <w:u w:val="single"/>
          <w:lang w:eastAsia="zh-CN"/>
        </w:rPr>
      </w:pPr>
      <w:r>
        <w:rPr>
          <w:rFonts w:hint="eastAsia" w:ascii="宋体" w:hAnsi="宋体" w:eastAsia="宋体" w:cs="宋体"/>
          <w:snapToGrid/>
          <w:color w:val="auto"/>
          <w:kern w:val="2"/>
          <w:szCs w:val="24"/>
          <w:highlight w:val="none"/>
          <w:lang w:eastAsia="zh-CN"/>
        </w:rPr>
        <w:t>3.7 其他要求：</w:t>
      </w:r>
      <w:r>
        <w:rPr>
          <w:rFonts w:hint="eastAsia" w:ascii="宋体" w:hAnsi="宋体" w:eastAsia="宋体" w:cs="宋体"/>
          <w:snapToGrid/>
          <w:color w:val="auto"/>
          <w:kern w:val="2"/>
          <w:szCs w:val="24"/>
          <w:highlight w:val="none"/>
          <w:u w:val="single"/>
          <w:lang w:eastAsia="zh-CN"/>
        </w:rPr>
        <w:t>本次招标实行资格后审，资格审查的具体要求见招标文件。资格后审不合格的投标人的投标文件将按无效标处理。</w:t>
      </w:r>
    </w:p>
    <w:p w14:paraId="1E836D4E">
      <w:pPr>
        <w:keepNext w:val="0"/>
        <w:keepLines w:val="0"/>
        <w:pageBreakBefore w:val="0"/>
        <w:widowControl w:val="0"/>
        <w:kinsoku/>
        <w:wordWrap/>
        <w:overflowPunct/>
        <w:topLinePunct w:val="0"/>
        <w:autoSpaceDE/>
        <w:autoSpaceDN/>
        <w:bidi w:val="0"/>
        <w:adjustRightInd/>
        <w:snapToGrid w:val="0"/>
        <w:spacing w:line="440" w:lineRule="exact"/>
        <w:jc w:val="both"/>
        <w:textAlignment w:val="auto"/>
        <w:outlineLvl w:val="1"/>
        <w:rPr>
          <w:rFonts w:hint="eastAsia" w:ascii="黑体" w:hAnsi="Times New Roman" w:eastAsia="黑体" w:cs="Times New Roman"/>
          <w:snapToGrid/>
          <w:color w:val="auto"/>
          <w:kern w:val="2"/>
          <w:sz w:val="24"/>
          <w:szCs w:val="24"/>
          <w:highlight w:val="none"/>
          <w:lang w:eastAsia="zh-CN"/>
        </w:rPr>
      </w:pPr>
      <w:bookmarkStart w:id="23" w:name="_Toc10271"/>
      <w:bookmarkStart w:id="24" w:name="_Toc7013"/>
      <w:bookmarkStart w:id="25" w:name="_Toc27332"/>
      <w:bookmarkStart w:id="26" w:name="_Toc2417"/>
      <w:bookmarkStart w:id="27" w:name="_Toc17228"/>
      <w:bookmarkStart w:id="28" w:name="_Toc23553"/>
      <w:r>
        <w:rPr>
          <w:rFonts w:hint="eastAsia" w:ascii="黑体" w:hAnsi="Times New Roman" w:eastAsia="黑体" w:cs="Times New Roman"/>
          <w:snapToGrid/>
          <w:color w:val="auto"/>
          <w:kern w:val="2"/>
          <w:sz w:val="24"/>
          <w:szCs w:val="24"/>
          <w:highlight w:val="none"/>
          <w:lang w:val="en-US" w:eastAsia="zh-CN"/>
        </w:rPr>
        <w:t>4.</w:t>
      </w:r>
      <w:r>
        <w:rPr>
          <w:rFonts w:hint="eastAsia" w:ascii="黑体" w:hAnsi="Times New Roman" w:eastAsia="黑体" w:cs="Times New Roman"/>
          <w:snapToGrid/>
          <w:color w:val="auto"/>
          <w:kern w:val="2"/>
          <w:sz w:val="24"/>
          <w:szCs w:val="24"/>
          <w:highlight w:val="none"/>
          <w:lang w:eastAsia="zh-CN"/>
        </w:rPr>
        <w:t>招标文件的获取</w:t>
      </w:r>
      <w:bookmarkEnd w:id="23"/>
      <w:bookmarkEnd w:id="24"/>
      <w:bookmarkEnd w:id="25"/>
      <w:bookmarkEnd w:id="26"/>
      <w:bookmarkEnd w:id="27"/>
      <w:bookmarkEnd w:id="28"/>
    </w:p>
    <w:p w14:paraId="4EBF4D63">
      <w:pPr>
        <w:keepNext w:val="0"/>
        <w:keepLines w:val="0"/>
        <w:pageBreakBefore w:val="0"/>
        <w:widowControl/>
        <w:kinsoku w:val="0"/>
        <w:overflowPunct/>
        <w:topLinePunct w:val="0"/>
        <w:autoSpaceDE w:val="0"/>
        <w:autoSpaceDN w:val="0"/>
        <w:bidi w:val="0"/>
        <w:adjustRightInd w:val="0"/>
        <w:snapToGrid w:val="0"/>
        <w:spacing w:before="238" w:line="440" w:lineRule="exact"/>
        <w:ind w:left="424"/>
        <w:jc w:val="left"/>
        <w:textAlignment w:val="baseline"/>
        <w:rPr>
          <w:rFonts w:ascii="宋体" w:hAnsi="宋体" w:eastAsia="宋体" w:cs="宋体"/>
          <w:snapToGrid w:val="0"/>
          <w:color w:val="000000"/>
          <w:kern w:val="0"/>
          <w:sz w:val="21"/>
          <w:szCs w:val="21"/>
          <w:highlight w:val="none"/>
          <w:lang w:eastAsia="en-US"/>
        </w:rPr>
      </w:pPr>
      <w:bookmarkStart w:id="29" w:name="_Toc26952"/>
      <w:r>
        <w:rPr>
          <w:rFonts w:ascii="宋体" w:hAnsi="宋体" w:eastAsia="宋体" w:cs="宋体"/>
          <w:snapToGrid w:val="0"/>
          <w:color w:val="000000"/>
          <w:spacing w:val="4"/>
          <w:kern w:val="0"/>
          <w:sz w:val="21"/>
          <w:szCs w:val="21"/>
          <w:highlight w:val="none"/>
          <w:lang w:eastAsia="en-US"/>
        </w:rPr>
        <w:t>4.1</w:t>
      </w:r>
      <w:r>
        <w:rPr>
          <w:rFonts w:ascii="宋体" w:hAnsi="宋体" w:eastAsia="宋体" w:cs="宋体"/>
          <w:snapToGrid w:val="0"/>
          <w:color w:val="000000"/>
          <w:spacing w:val="-26"/>
          <w:kern w:val="0"/>
          <w:sz w:val="21"/>
          <w:szCs w:val="21"/>
          <w:highlight w:val="none"/>
          <w:lang w:eastAsia="en-US"/>
        </w:rPr>
        <w:t xml:space="preserve"> </w:t>
      </w:r>
      <w:r>
        <w:rPr>
          <w:rFonts w:ascii="宋体" w:hAnsi="宋体" w:eastAsia="宋体" w:cs="宋体"/>
          <w:snapToGrid w:val="0"/>
          <w:color w:val="000000"/>
          <w:spacing w:val="4"/>
          <w:kern w:val="0"/>
          <w:sz w:val="21"/>
          <w:szCs w:val="21"/>
          <w:highlight w:val="none"/>
          <w:lang w:eastAsia="en-US"/>
        </w:rPr>
        <w:t>招标文件的获取时间：</w:t>
      </w:r>
      <w:r>
        <w:rPr>
          <w:rFonts w:ascii="宋体" w:hAnsi="宋体" w:eastAsia="宋体" w:cs="宋体"/>
          <w:snapToGrid w:val="0"/>
          <w:color w:val="0000FF"/>
          <w:spacing w:val="4"/>
          <w:kern w:val="0"/>
          <w:sz w:val="21"/>
          <w:szCs w:val="21"/>
          <w:highlight w:val="none"/>
          <w:lang w:eastAsia="en-US"/>
        </w:rPr>
        <w:t>2026-</w:t>
      </w:r>
      <w:r>
        <w:rPr>
          <w:rFonts w:hint="eastAsia" w:ascii="宋体" w:hAnsi="宋体" w:eastAsia="宋体" w:cs="宋体"/>
          <w:snapToGrid w:val="0"/>
          <w:color w:val="0000FF"/>
          <w:spacing w:val="4"/>
          <w:kern w:val="0"/>
          <w:sz w:val="21"/>
          <w:szCs w:val="21"/>
          <w:highlight w:val="none"/>
          <w:lang w:eastAsia="zh-CN"/>
        </w:rPr>
        <w:t>09-01</w:t>
      </w:r>
      <w:r>
        <w:rPr>
          <w:rFonts w:hint="eastAsia" w:ascii="宋体" w:hAnsi="宋体" w:eastAsia="宋体" w:cs="宋体"/>
          <w:snapToGrid w:val="0"/>
          <w:color w:val="0000FF"/>
          <w:spacing w:val="4"/>
          <w:kern w:val="0"/>
          <w:sz w:val="21"/>
          <w:szCs w:val="21"/>
          <w:highlight w:val="none"/>
          <w:lang w:val="en-US" w:eastAsia="zh-CN"/>
        </w:rPr>
        <w:t xml:space="preserve"> 00:00</w:t>
      </w:r>
      <w:r>
        <w:rPr>
          <w:rFonts w:ascii="宋体" w:hAnsi="宋体" w:eastAsia="宋体" w:cs="宋体"/>
          <w:snapToGrid w:val="0"/>
          <w:color w:val="0000FF"/>
          <w:spacing w:val="-39"/>
          <w:kern w:val="0"/>
          <w:sz w:val="21"/>
          <w:szCs w:val="21"/>
          <w:highlight w:val="none"/>
          <w:lang w:eastAsia="en-US"/>
        </w:rPr>
        <w:t xml:space="preserve"> </w:t>
      </w:r>
      <w:r>
        <w:rPr>
          <w:rFonts w:ascii="宋体" w:hAnsi="宋体" w:eastAsia="宋体" w:cs="宋体"/>
          <w:snapToGrid w:val="0"/>
          <w:color w:val="000000"/>
          <w:spacing w:val="4"/>
          <w:kern w:val="0"/>
          <w:sz w:val="21"/>
          <w:szCs w:val="21"/>
          <w:highlight w:val="none"/>
          <w:lang w:eastAsia="en-US"/>
        </w:rPr>
        <w:t>至</w:t>
      </w:r>
      <w:r>
        <w:rPr>
          <w:rFonts w:ascii="宋体" w:hAnsi="宋体" w:eastAsia="宋体" w:cs="宋体"/>
          <w:snapToGrid w:val="0"/>
          <w:color w:val="000000"/>
          <w:spacing w:val="-37"/>
          <w:kern w:val="0"/>
          <w:sz w:val="21"/>
          <w:szCs w:val="21"/>
          <w:highlight w:val="none"/>
          <w:lang w:eastAsia="en-US"/>
        </w:rPr>
        <w:t xml:space="preserve"> </w:t>
      </w:r>
      <w:r>
        <w:rPr>
          <w:rFonts w:ascii="宋体" w:hAnsi="宋体" w:eastAsia="宋体" w:cs="宋体"/>
          <w:snapToGrid w:val="0"/>
          <w:color w:val="0000FF"/>
          <w:spacing w:val="4"/>
          <w:kern w:val="0"/>
          <w:sz w:val="21"/>
          <w:szCs w:val="21"/>
          <w:highlight w:val="none"/>
          <w:lang w:eastAsia="en-US"/>
        </w:rPr>
        <w:t>2026-</w:t>
      </w:r>
      <w:r>
        <w:rPr>
          <w:rFonts w:hint="eastAsia" w:ascii="宋体" w:hAnsi="宋体" w:eastAsia="宋体" w:cs="宋体"/>
          <w:snapToGrid w:val="0"/>
          <w:color w:val="0000FF"/>
          <w:spacing w:val="4"/>
          <w:kern w:val="0"/>
          <w:sz w:val="21"/>
          <w:szCs w:val="21"/>
          <w:highlight w:val="none"/>
          <w:lang w:val="en-US" w:eastAsia="zh-CN"/>
        </w:rPr>
        <w:t>09-07</w:t>
      </w:r>
      <w:r>
        <w:rPr>
          <w:rFonts w:ascii="宋体" w:hAnsi="宋体" w:eastAsia="宋体" w:cs="宋体"/>
          <w:snapToGrid w:val="0"/>
          <w:color w:val="0000FF"/>
          <w:spacing w:val="4"/>
          <w:kern w:val="0"/>
          <w:sz w:val="21"/>
          <w:szCs w:val="21"/>
          <w:highlight w:val="none"/>
          <w:lang w:eastAsia="en-US"/>
        </w:rPr>
        <w:t xml:space="preserve"> </w:t>
      </w:r>
      <w:r>
        <w:rPr>
          <w:rFonts w:hint="eastAsia" w:ascii="宋体" w:hAnsi="宋体" w:eastAsia="宋体" w:cs="宋体"/>
          <w:snapToGrid w:val="0"/>
          <w:color w:val="000000"/>
          <w:spacing w:val="4"/>
          <w:kern w:val="0"/>
          <w:sz w:val="21"/>
          <w:szCs w:val="21"/>
          <w:highlight w:val="none"/>
          <w:lang w:val="en-US" w:eastAsia="zh-CN"/>
        </w:rPr>
        <w:t>24</w:t>
      </w:r>
      <w:r>
        <w:rPr>
          <w:rFonts w:ascii="宋体" w:hAnsi="宋体" w:eastAsia="宋体" w:cs="宋体"/>
          <w:snapToGrid w:val="0"/>
          <w:color w:val="000000"/>
          <w:spacing w:val="-59"/>
          <w:kern w:val="0"/>
          <w:sz w:val="21"/>
          <w:szCs w:val="21"/>
          <w:highlight w:val="none"/>
          <w:lang w:eastAsia="en-US"/>
        </w:rPr>
        <w:t xml:space="preserve"> </w:t>
      </w:r>
      <w:r>
        <w:rPr>
          <w:rFonts w:ascii="宋体" w:hAnsi="宋体" w:eastAsia="宋体" w:cs="宋体"/>
          <w:snapToGrid w:val="0"/>
          <w:color w:val="000000"/>
          <w:spacing w:val="4"/>
          <w:kern w:val="0"/>
          <w:sz w:val="21"/>
          <w:szCs w:val="21"/>
          <w:highlight w:val="none"/>
          <w:lang w:eastAsia="en-US"/>
        </w:rPr>
        <w:t>:</w:t>
      </w:r>
      <w:r>
        <w:rPr>
          <w:rFonts w:hint="eastAsia" w:ascii="宋体" w:hAnsi="宋体" w:eastAsia="宋体" w:cs="宋体"/>
          <w:snapToGrid w:val="0"/>
          <w:color w:val="000000"/>
          <w:spacing w:val="4"/>
          <w:kern w:val="0"/>
          <w:sz w:val="21"/>
          <w:szCs w:val="21"/>
          <w:highlight w:val="none"/>
          <w:lang w:val="en-US" w:eastAsia="zh-CN"/>
        </w:rPr>
        <w:t>00</w:t>
      </w:r>
      <w:r>
        <w:rPr>
          <w:rFonts w:ascii="宋体" w:hAnsi="宋体" w:eastAsia="宋体" w:cs="宋体"/>
          <w:snapToGrid w:val="0"/>
          <w:color w:val="000000"/>
          <w:spacing w:val="4"/>
          <w:kern w:val="0"/>
          <w:sz w:val="21"/>
          <w:szCs w:val="21"/>
          <w:highlight w:val="none"/>
          <w:lang w:eastAsia="en-US"/>
        </w:rPr>
        <w:t>。</w:t>
      </w:r>
    </w:p>
    <w:p w14:paraId="184AE4FC">
      <w:pPr>
        <w:keepNext w:val="0"/>
        <w:keepLines w:val="0"/>
        <w:pageBreakBefore w:val="0"/>
        <w:widowControl/>
        <w:kinsoku w:val="0"/>
        <w:overflowPunct/>
        <w:topLinePunct w:val="0"/>
        <w:autoSpaceDE w:val="0"/>
        <w:autoSpaceDN w:val="0"/>
        <w:bidi w:val="0"/>
        <w:adjustRightInd w:val="0"/>
        <w:snapToGrid w:val="0"/>
        <w:spacing w:before="256" w:line="440" w:lineRule="exact"/>
        <w:ind w:left="6" w:firstLine="418"/>
        <w:jc w:val="left"/>
        <w:textAlignment w:val="baseline"/>
        <w:rPr>
          <w:rFonts w:ascii="宋体" w:hAnsi="宋体" w:eastAsia="宋体" w:cs="宋体"/>
          <w:snapToGrid w:val="0"/>
          <w:color w:val="000000"/>
          <w:kern w:val="0"/>
          <w:sz w:val="21"/>
          <w:szCs w:val="21"/>
          <w:highlight w:val="none"/>
          <w:lang w:eastAsia="en-US"/>
        </w:rPr>
      </w:pPr>
      <w:r>
        <w:rPr>
          <w:rFonts w:ascii="宋体" w:hAnsi="宋体" w:eastAsia="宋体" w:cs="宋体"/>
          <w:snapToGrid w:val="0"/>
          <w:color w:val="000000"/>
          <w:spacing w:val="8"/>
          <w:kern w:val="0"/>
          <w:sz w:val="21"/>
          <w:szCs w:val="21"/>
          <w:highlight w:val="none"/>
          <w:lang w:eastAsia="en-US"/>
        </w:rPr>
        <w:t>4.2</w:t>
      </w:r>
      <w:r>
        <w:rPr>
          <w:rFonts w:ascii="宋体" w:hAnsi="宋体" w:eastAsia="宋体" w:cs="宋体"/>
          <w:snapToGrid w:val="0"/>
          <w:color w:val="000000"/>
          <w:spacing w:val="-40"/>
          <w:kern w:val="0"/>
          <w:sz w:val="21"/>
          <w:szCs w:val="21"/>
          <w:highlight w:val="none"/>
          <w:lang w:eastAsia="en-US"/>
        </w:rPr>
        <w:t xml:space="preserve"> </w:t>
      </w:r>
      <w:r>
        <w:rPr>
          <w:rFonts w:ascii="宋体" w:hAnsi="宋体" w:eastAsia="宋体" w:cs="宋体"/>
          <w:snapToGrid w:val="0"/>
          <w:color w:val="000000"/>
          <w:spacing w:val="8"/>
          <w:kern w:val="0"/>
          <w:sz w:val="21"/>
          <w:szCs w:val="21"/>
          <w:highlight w:val="none"/>
          <w:lang w:eastAsia="en-US"/>
        </w:rPr>
        <w:t>招标文件的获取方式：本项目采用电子招标投标，投标人通过洛阳市公</w:t>
      </w:r>
      <w:r>
        <w:rPr>
          <w:rFonts w:ascii="宋体" w:hAnsi="宋体" w:eastAsia="宋体" w:cs="宋体"/>
          <w:snapToGrid w:val="0"/>
          <w:color w:val="000000"/>
          <w:spacing w:val="7"/>
          <w:kern w:val="0"/>
          <w:sz w:val="21"/>
          <w:szCs w:val="21"/>
          <w:highlight w:val="none"/>
          <w:lang w:eastAsia="en-US"/>
        </w:rPr>
        <w:t>共资源交易中</w:t>
      </w:r>
      <w:r>
        <w:rPr>
          <w:rFonts w:ascii="宋体" w:hAnsi="宋体" w:eastAsia="宋体" w:cs="宋体"/>
          <w:snapToGrid w:val="0"/>
          <w:color w:val="000000"/>
          <w:spacing w:val="12"/>
          <w:kern w:val="0"/>
          <w:sz w:val="21"/>
          <w:szCs w:val="21"/>
          <w:highlight w:val="none"/>
          <w:lang w:eastAsia="en-US"/>
        </w:rPr>
        <w:t>心网站登录洛阳市电子招投标交易平台免费获取招标文件。如投多个标段，应分别获取所投</w:t>
      </w:r>
      <w:r>
        <w:rPr>
          <w:rFonts w:ascii="宋体" w:hAnsi="宋体" w:eastAsia="宋体" w:cs="宋体"/>
          <w:snapToGrid w:val="0"/>
          <w:color w:val="000000"/>
          <w:spacing w:val="11"/>
          <w:kern w:val="0"/>
          <w:sz w:val="21"/>
          <w:szCs w:val="21"/>
          <w:highlight w:val="none"/>
          <w:lang w:eastAsia="en-US"/>
        </w:rPr>
        <w:t>各标段的招标文件。联合体投标的，</w:t>
      </w:r>
      <w:r>
        <w:rPr>
          <w:rFonts w:ascii="宋体" w:hAnsi="宋体" w:eastAsia="宋体" w:cs="宋体"/>
          <w:snapToGrid w:val="0"/>
          <w:color w:val="000000"/>
          <w:spacing w:val="-47"/>
          <w:kern w:val="0"/>
          <w:sz w:val="21"/>
          <w:szCs w:val="21"/>
          <w:highlight w:val="none"/>
          <w:lang w:eastAsia="en-US"/>
        </w:rPr>
        <w:t xml:space="preserve"> </w:t>
      </w:r>
      <w:r>
        <w:rPr>
          <w:rFonts w:ascii="宋体" w:hAnsi="宋体" w:eastAsia="宋体" w:cs="宋体"/>
          <w:snapToGrid w:val="0"/>
          <w:color w:val="000000"/>
          <w:spacing w:val="11"/>
          <w:kern w:val="0"/>
          <w:sz w:val="21"/>
          <w:szCs w:val="21"/>
          <w:highlight w:val="none"/>
          <w:lang w:eastAsia="en-US"/>
        </w:rPr>
        <w:t>由联合体牵头人获取招标文件。投标人主体注册的具体</w:t>
      </w:r>
      <w:r>
        <w:rPr>
          <w:rFonts w:ascii="宋体" w:hAnsi="宋体" w:eastAsia="宋体" w:cs="宋体"/>
          <w:snapToGrid w:val="0"/>
          <w:color w:val="000000"/>
          <w:spacing w:val="9"/>
          <w:kern w:val="0"/>
          <w:sz w:val="21"/>
          <w:szCs w:val="21"/>
          <w:highlight w:val="none"/>
          <w:lang w:eastAsia="en-US"/>
        </w:rPr>
        <w:t>方法见洛阳市公共资源交易中心网站—办事指南—办事流程。</w:t>
      </w:r>
    </w:p>
    <w:p w14:paraId="66F846F6">
      <w:pPr>
        <w:keepNext w:val="0"/>
        <w:keepLines w:val="0"/>
        <w:pageBreakBefore w:val="0"/>
        <w:widowControl w:val="0"/>
        <w:kinsoku/>
        <w:wordWrap/>
        <w:overflowPunct/>
        <w:topLinePunct w:val="0"/>
        <w:autoSpaceDE/>
        <w:autoSpaceDN/>
        <w:bidi w:val="0"/>
        <w:adjustRightInd/>
        <w:snapToGrid w:val="0"/>
        <w:spacing w:line="440" w:lineRule="exact"/>
        <w:jc w:val="both"/>
        <w:textAlignment w:val="auto"/>
        <w:outlineLvl w:val="1"/>
        <w:rPr>
          <w:rFonts w:hint="eastAsia" w:ascii="黑体" w:hAnsi="Times New Roman" w:eastAsia="黑体" w:cs="Times New Roman"/>
          <w:snapToGrid/>
          <w:color w:val="auto"/>
          <w:kern w:val="2"/>
          <w:sz w:val="24"/>
          <w:szCs w:val="24"/>
          <w:highlight w:val="none"/>
          <w:lang w:eastAsia="zh-CN"/>
        </w:rPr>
      </w:pPr>
      <w:bookmarkStart w:id="30" w:name="_Toc29939"/>
      <w:bookmarkStart w:id="31" w:name="_Toc31039"/>
      <w:bookmarkStart w:id="32" w:name="_Toc23714"/>
      <w:bookmarkStart w:id="33" w:name="_Toc1195"/>
      <w:bookmarkStart w:id="34" w:name="_Toc3396"/>
      <w:r>
        <w:rPr>
          <w:rFonts w:hint="eastAsia" w:ascii="黑体" w:hAnsi="Times New Roman" w:eastAsia="黑体" w:cs="Times New Roman"/>
          <w:snapToGrid/>
          <w:color w:val="auto"/>
          <w:kern w:val="2"/>
          <w:sz w:val="24"/>
          <w:szCs w:val="24"/>
          <w:highlight w:val="none"/>
          <w:lang w:val="en-US" w:eastAsia="zh-CN"/>
        </w:rPr>
        <w:t>5.</w:t>
      </w:r>
      <w:r>
        <w:rPr>
          <w:rFonts w:hint="eastAsia" w:ascii="黑体" w:hAnsi="Times New Roman" w:eastAsia="黑体" w:cs="Times New Roman"/>
          <w:snapToGrid/>
          <w:color w:val="auto"/>
          <w:kern w:val="2"/>
          <w:sz w:val="24"/>
          <w:szCs w:val="24"/>
          <w:highlight w:val="none"/>
          <w:lang w:eastAsia="zh-CN"/>
        </w:rPr>
        <w:t>投标文件的递交</w:t>
      </w:r>
      <w:bookmarkEnd w:id="29"/>
      <w:bookmarkEnd w:id="30"/>
      <w:bookmarkEnd w:id="31"/>
      <w:bookmarkEnd w:id="32"/>
      <w:bookmarkEnd w:id="33"/>
      <w:bookmarkEnd w:id="34"/>
      <w:bookmarkStart w:id="35" w:name="_Toc24907"/>
    </w:p>
    <w:p w14:paraId="310D20B5">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Times New Roman" w:hAnsi="Times New Roman" w:eastAsia="宋体" w:cs="Times New Roman"/>
          <w:snapToGrid/>
          <w:color w:val="auto"/>
          <w:kern w:val="2"/>
          <w:szCs w:val="24"/>
          <w:highlight w:val="none"/>
          <w:lang w:eastAsia="en-US"/>
        </w:rPr>
      </w:pPr>
      <w:r>
        <w:rPr>
          <w:rFonts w:hint="eastAsia" w:ascii="Times New Roman" w:hAnsi="Times New Roman" w:eastAsia="宋体" w:cs="Times New Roman"/>
          <w:snapToGrid/>
          <w:color w:val="auto"/>
          <w:kern w:val="2"/>
          <w:szCs w:val="24"/>
          <w:highlight w:val="none"/>
          <w:lang w:eastAsia="en-US"/>
        </w:rPr>
        <w:t>5.1 投标文件的递交截止时间（投标截止时间）：2026-</w:t>
      </w:r>
      <w:r>
        <w:rPr>
          <w:rFonts w:hint="eastAsia" w:ascii="Times New Roman" w:hAnsi="Times New Roman" w:eastAsia="宋体" w:cs="Times New Roman"/>
          <w:snapToGrid/>
          <w:color w:val="auto"/>
          <w:kern w:val="2"/>
          <w:szCs w:val="24"/>
          <w:highlight w:val="none"/>
          <w:lang w:val="en-US" w:eastAsia="zh-CN"/>
        </w:rPr>
        <w:t>09-21</w:t>
      </w:r>
      <w:r>
        <w:rPr>
          <w:rFonts w:hint="eastAsia" w:ascii="Times New Roman" w:hAnsi="Times New Roman" w:eastAsia="宋体" w:cs="Times New Roman"/>
          <w:snapToGrid/>
          <w:color w:val="auto"/>
          <w:kern w:val="2"/>
          <w:szCs w:val="24"/>
          <w:highlight w:val="none"/>
          <w:lang w:eastAsia="en-US"/>
        </w:rPr>
        <w:t xml:space="preserve"> 09</w:t>
      </w:r>
      <w:r>
        <w:rPr>
          <w:rFonts w:hint="eastAsia" w:ascii="Times New Roman" w:hAnsi="Times New Roman" w:eastAsia="宋体" w:cs="Times New Roman"/>
          <w:snapToGrid/>
          <w:color w:val="auto"/>
          <w:kern w:val="2"/>
          <w:szCs w:val="24"/>
          <w:highlight w:val="none"/>
          <w:lang w:eastAsia="zh-CN"/>
        </w:rPr>
        <w:t>：</w:t>
      </w:r>
      <w:r>
        <w:rPr>
          <w:rFonts w:hint="eastAsia" w:ascii="Times New Roman" w:hAnsi="Times New Roman" w:eastAsia="宋体" w:cs="Times New Roman"/>
          <w:snapToGrid/>
          <w:color w:val="auto"/>
          <w:kern w:val="2"/>
          <w:szCs w:val="24"/>
          <w:highlight w:val="none"/>
          <w:lang w:val="en-US" w:eastAsia="zh-CN"/>
        </w:rPr>
        <w:t>20</w:t>
      </w:r>
      <w:r>
        <w:rPr>
          <w:rFonts w:hint="eastAsia" w:ascii="Times New Roman" w:hAnsi="Times New Roman" w:eastAsia="宋体" w:cs="Times New Roman"/>
          <w:snapToGrid/>
          <w:color w:val="auto"/>
          <w:kern w:val="2"/>
          <w:szCs w:val="24"/>
          <w:highlight w:val="none"/>
          <w:lang w:eastAsia="en-US"/>
        </w:rPr>
        <w:t>。</w:t>
      </w:r>
    </w:p>
    <w:p w14:paraId="15AD220A">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Times New Roman" w:hAnsi="Times New Roman" w:eastAsia="宋体" w:cs="Times New Roman"/>
          <w:snapToGrid/>
          <w:color w:val="auto"/>
          <w:kern w:val="2"/>
          <w:szCs w:val="24"/>
          <w:highlight w:val="none"/>
          <w:lang w:eastAsia="en-US"/>
        </w:rPr>
      </w:pPr>
      <w:r>
        <w:rPr>
          <w:rFonts w:hint="eastAsia" w:ascii="Times New Roman" w:hAnsi="Times New Roman" w:eastAsia="宋体" w:cs="Times New Roman"/>
          <w:snapToGrid/>
          <w:color w:val="auto"/>
          <w:kern w:val="2"/>
          <w:szCs w:val="24"/>
          <w:highlight w:val="none"/>
          <w:lang w:eastAsia="en-US"/>
        </w:rPr>
        <w:t>5.2 投标文件的递交方式：本项目采用电子招标投标，投标人应在投标截止时间前登录洛阳市公共资源交易中心网站，将加密的投标文件上传至洛阳市电子招投标交易平台，上传成功后将收到确认通知。</w:t>
      </w:r>
    </w:p>
    <w:p w14:paraId="2E32DF1A">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宋体" w:hAnsi="宋体" w:eastAsia="宋体" w:cs="宋体"/>
          <w:snapToGrid/>
          <w:color w:val="auto"/>
          <w:kern w:val="2"/>
          <w:szCs w:val="21"/>
          <w:highlight w:val="none"/>
          <w:lang w:eastAsia="zh-CN"/>
        </w:rPr>
      </w:pPr>
      <w:r>
        <w:rPr>
          <w:rFonts w:hint="eastAsia" w:ascii="Times New Roman" w:hAnsi="Times New Roman" w:eastAsia="宋体" w:cs="Times New Roman"/>
          <w:snapToGrid/>
          <w:color w:val="auto"/>
          <w:kern w:val="2"/>
          <w:szCs w:val="24"/>
          <w:highlight w:val="none"/>
          <w:lang w:eastAsia="en-US"/>
        </w:rPr>
        <w:t>5.3 逾期或未按照指定方式递交的投标文件，将不予接受。</w:t>
      </w:r>
    </w:p>
    <w:bookmarkEnd w:id="35"/>
    <w:p w14:paraId="02FF1ABB">
      <w:pPr>
        <w:keepNext w:val="0"/>
        <w:keepLines w:val="0"/>
        <w:pageBreakBefore w:val="0"/>
        <w:widowControl w:val="0"/>
        <w:kinsoku/>
        <w:overflowPunct/>
        <w:topLinePunct w:val="0"/>
        <w:autoSpaceDE/>
        <w:autoSpaceDN/>
        <w:bidi w:val="0"/>
        <w:adjustRightInd/>
        <w:snapToGrid/>
        <w:spacing w:line="440" w:lineRule="exact"/>
        <w:jc w:val="both"/>
        <w:textAlignment w:val="auto"/>
        <w:outlineLvl w:val="1"/>
        <w:rPr>
          <w:rFonts w:hint="eastAsia" w:ascii="黑体" w:hAnsi="Times New Roman" w:eastAsia="黑体" w:cs="Times New Roman"/>
          <w:snapToGrid/>
          <w:color w:val="auto"/>
          <w:kern w:val="2"/>
          <w:sz w:val="24"/>
          <w:szCs w:val="24"/>
          <w:highlight w:val="none"/>
          <w:lang w:eastAsia="zh-CN"/>
        </w:rPr>
      </w:pPr>
      <w:bookmarkStart w:id="36" w:name="_Toc22399"/>
      <w:bookmarkStart w:id="37" w:name="_Toc19023"/>
      <w:bookmarkStart w:id="38" w:name="_Toc29800"/>
      <w:bookmarkStart w:id="39" w:name="_Toc18091"/>
      <w:bookmarkStart w:id="40" w:name="_Toc23945"/>
      <w:r>
        <w:rPr>
          <w:rFonts w:hint="eastAsia" w:ascii="黑体" w:hAnsi="Times New Roman" w:eastAsia="黑体" w:cs="Times New Roman"/>
          <w:snapToGrid/>
          <w:color w:val="auto"/>
          <w:kern w:val="2"/>
          <w:sz w:val="24"/>
          <w:szCs w:val="24"/>
          <w:highlight w:val="none"/>
          <w:lang w:val="en-US" w:eastAsia="zh-CN"/>
        </w:rPr>
        <w:t>6.</w:t>
      </w:r>
      <w:r>
        <w:rPr>
          <w:rFonts w:hint="eastAsia" w:ascii="黑体" w:hAnsi="Times New Roman" w:eastAsia="黑体" w:cs="Times New Roman"/>
          <w:snapToGrid/>
          <w:color w:val="auto"/>
          <w:kern w:val="2"/>
          <w:sz w:val="24"/>
          <w:szCs w:val="24"/>
          <w:highlight w:val="none"/>
          <w:lang w:eastAsia="zh-CN"/>
        </w:rPr>
        <w:t>发布公告的媒体</w:t>
      </w:r>
      <w:bookmarkEnd w:id="36"/>
      <w:bookmarkEnd w:id="37"/>
      <w:bookmarkEnd w:id="38"/>
      <w:bookmarkEnd w:id="39"/>
      <w:bookmarkEnd w:id="40"/>
    </w:p>
    <w:p w14:paraId="562E6477">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Times New Roman" w:hAnsi="Times New Roman" w:eastAsia="宋体" w:cs="Times New Roman"/>
          <w:snapToGrid/>
          <w:color w:val="auto"/>
          <w:kern w:val="2"/>
          <w:szCs w:val="24"/>
          <w:highlight w:val="none"/>
          <w:u w:val="none"/>
          <w:lang w:eastAsia="zh-CN"/>
        </w:rPr>
      </w:pPr>
      <w:r>
        <w:rPr>
          <w:rFonts w:hint="eastAsia" w:ascii="Times New Roman" w:hAnsi="Times New Roman" w:eastAsia="宋体" w:cs="Times New Roman"/>
          <w:snapToGrid/>
          <w:color w:val="auto"/>
          <w:kern w:val="2"/>
          <w:szCs w:val="24"/>
          <w:highlight w:val="none"/>
          <w:u w:val="none"/>
          <w:lang w:val="en-US" w:eastAsia="zh-CN"/>
        </w:rPr>
        <w:t>1、</w:t>
      </w:r>
      <w:r>
        <w:rPr>
          <w:rFonts w:hint="eastAsia" w:ascii="Times New Roman" w:hAnsi="Times New Roman" w:eastAsia="宋体" w:cs="Times New Roman"/>
          <w:snapToGrid/>
          <w:color w:val="auto"/>
          <w:kern w:val="2"/>
          <w:szCs w:val="24"/>
          <w:highlight w:val="none"/>
          <w:u w:val="none"/>
          <w:lang w:eastAsia="zh-CN"/>
        </w:rPr>
        <w:t>本次招标公告同时在《中国招标投标公共服务平台》、《河南省电子招标投标公共服务平台》、《洛阳市公共资源交易公共服务平台》、《河南省政府采购网》、《洛阳市政府采购网》</w:t>
      </w:r>
      <w:r>
        <w:rPr>
          <w:rFonts w:hint="eastAsia" w:ascii="Times New Roman" w:hAnsi="Times New Roman" w:eastAsia="宋体" w:cs="Times New Roman"/>
          <w:snapToGrid/>
          <w:color w:val="auto"/>
          <w:kern w:val="2"/>
          <w:szCs w:val="24"/>
          <w:highlight w:val="none"/>
          <w:u w:val="none"/>
          <w:lang w:val="en-US" w:eastAsia="zh-CN"/>
        </w:rPr>
        <w:t>上</w:t>
      </w:r>
      <w:r>
        <w:rPr>
          <w:rFonts w:hint="eastAsia" w:ascii="Times New Roman" w:hAnsi="Times New Roman" w:eastAsia="宋体" w:cs="Times New Roman"/>
          <w:snapToGrid/>
          <w:color w:val="auto"/>
          <w:kern w:val="2"/>
          <w:szCs w:val="24"/>
          <w:highlight w:val="none"/>
          <w:u w:val="none"/>
          <w:lang w:eastAsia="zh-CN"/>
        </w:rPr>
        <w:t>发布。</w:t>
      </w:r>
    </w:p>
    <w:p w14:paraId="0F2B899E">
      <w:pPr>
        <w:keepNext w:val="0"/>
        <w:keepLines w:val="0"/>
        <w:pageBreakBefore w:val="0"/>
        <w:widowControl w:val="0"/>
        <w:kinsoku/>
        <w:overflowPunct/>
        <w:topLinePunct w:val="0"/>
        <w:autoSpaceDE/>
        <w:autoSpaceDN/>
        <w:bidi w:val="0"/>
        <w:adjustRightInd/>
        <w:snapToGrid/>
        <w:spacing w:line="440" w:lineRule="exact"/>
        <w:ind w:firstLine="437"/>
        <w:jc w:val="both"/>
        <w:textAlignment w:val="auto"/>
        <w:rPr>
          <w:rFonts w:hint="eastAsia" w:ascii="Times New Roman" w:hAnsi="Times New Roman" w:eastAsia="宋体" w:cs="Times New Roman"/>
          <w:snapToGrid/>
          <w:color w:val="auto"/>
          <w:kern w:val="2"/>
          <w:szCs w:val="24"/>
          <w:highlight w:val="none"/>
          <w:u w:val="none"/>
          <w:lang w:val="en-US" w:eastAsia="zh-CN"/>
        </w:rPr>
      </w:pPr>
      <w:r>
        <w:rPr>
          <w:rFonts w:hint="eastAsia" w:ascii="Times New Roman" w:hAnsi="Times New Roman" w:eastAsia="宋体" w:cs="Times New Roman"/>
          <w:snapToGrid/>
          <w:color w:val="auto"/>
          <w:kern w:val="2"/>
          <w:szCs w:val="24"/>
          <w:highlight w:val="none"/>
          <w:u w:val="none"/>
          <w:lang w:val="en-US" w:eastAsia="zh-CN"/>
        </w:rPr>
        <w:t>2、投标人在参与本项目招标采购活动期间应及时关注本网站获取相关澄清或变更等信息。</w:t>
      </w:r>
    </w:p>
    <w:p w14:paraId="50D95BC9">
      <w:pPr>
        <w:keepNext w:val="0"/>
        <w:keepLines w:val="0"/>
        <w:pageBreakBefore w:val="0"/>
        <w:widowControl w:val="0"/>
        <w:kinsoku/>
        <w:overflowPunct/>
        <w:topLinePunct w:val="0"/>
        <w:autoSpaceDE/>
        <w:autoSpaceDN/>
        <w:bidi w:val="0"/>
        <w:adjustRightInd/>
        <w:snapToGrid/>
        <w:spacing w:line="440" w:lineRule="exact"/>
        <w:jc w:val="both"/>
        <w:textAlignment w:val="auto"/>
        <w:outlineLvl w:val="1"/>
        <w:rPr>
          <w:rFonts w:hint="eastAsia" w:ascii="黑体" w:hAnsi="Times New Roman" w:eastAsia="黑体" w:cs="Times New Roman"/>
          <w:snapToGrid/>
          <w:color w:val="auto"/>
          <w:kern w:val="2"/>
          <w:sz w:val="24"/>
          <w:szCs w:val="24"/>
          <w:highlight w:val="none"/>
          <w:lang w:eastAsia="zh-CN"/>
        </w:rPr>
      </w:pPr>
      <w:bookmarkStart w:id="41" w:name="_Toc31853"/>
      <w:bookmarkStart w:id="42" w:name="_Toc22380"/>
      <w:bookmarkStart w:id="43" w:name="_Toc2278"/>
      <w:bookmarkStart w:id="44" w:name="_Toc1767"/>
      <w:bookmarkStart w:id="45" w:name="_Toc28707"/>
      <w:bookmarkStart w:id="46" w:name="_Toc2022"/>
      <w:r>
        <w:rPr>
          <w:rFonts w:hint="eastAsia" w:ascii="黑体" w:hAnsi="Times New Roman" w:eastAsia="黑体" w:cs="Times New Roman"/>
          <w:snapToGrid/>
          <w:color w:val="auto"/>
          <w:kern w:val="2"/>
          <w:sz w:val="24"/>
          <w:szCs w:val="24"/>
          <w:highlight w:val="none"/>
          <w:lang w:val="en-US" w:eastAsia="zh-CN"/>
        </w:rPr>
        <w:t>7.</w:t>
      </w:r>
      <w:r>
        <w:rPr>
          <w:rFonts w:hint="eastAsia" w:ascii="黑体" w:hAnsi="Times New Roman" w:eastAsia="黑体" w:cs="Times New Roman"/>
          <w:snapToGrid/>
          <w:color w:val="auto"/>
          <w:kern w:val="2"/>
          <w:sz w:val="24"/>
          <w:szCs w:val="24"/>
          <w:highlight w:val="none"/>
          <w:lang w:eastAsia="zh-CN"/>
        </w:rPr>
        <w:t>联系方式</w:t>
      </w:r>
      <w:bookmarkEnd w:id="41"/>
      <w:bookmarkEnd w:id="42"/>
      <w:bookmarkEnd w:id="43"/>
      <w:bookmarkEnd w:id="44"/>
      <w:bookmarkEnd w:id="45"/>
      <w:bookmarkEnd w:id="46"/>
    </w:p>
    <w:p w14:paraId="2BA6440F">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Times New Roman" w:hAnsi="Times New Roman" w:eastAsia="宋体" w:cs="Times New Roman"/>
          <w:snapToGrid/>
          <w:color w:val="auto"/>
          <w:kern w:val="2"/>
          <w:szCs w:val="24"/>
          <w:highlight w:val="none"/>
          <w:lang w:eastAsia="zh-CN"/>
        </w:rPr>
        <w:t>招标人</w:t>
      </w:r>
      <w:r>
        <w:rPr>
          <w:rFonts w:hint="eastAsia" w:ascii="宋体" w:hAnsi="宋体" w:eastAsia="宋体" w:cs="宋体"/>
          <w:snapToGrid/>
          <w:color w:val="auto"/>
          <w:kern w:val="2"/>
          <w:szCs w:val="21"/>
          <w:highlight w:val="none"/>
          <w:lang w:eastAsia="zh-CN"/>
        </w:rPr>
        <w:t>：</w:t>
      </w:r>
      <w:r>
        <w:rPr>
          <w:rFonts w:hint="eastAsia" w:ascii="Times New Roman" w:hAnsi="Times New Roman" w:eastAsia="宋体" w:cs="Times New Roman"/>
          <w:snapToGrid/>
          <w:color w:val="auto"/>
          <w:kern w:val="2"/>
          <w:szCs w:val="24"/>
          <w:highlight w:val="none"/>
          <w:u w:val="single"/>
          <w:lang w:eastAsia="zh-CN"/>
        </w:rPr>
        <w:t xml:space="preserve">   嵩县人民医院    </w:t>
      </w:r>
      <w:r>
        <w:rPr>
          <w:rFonts w:hint="eastAsia" w:ascii="宋体" w:hAnsi="宋体" w:eastAsia="宋体" w:cs="宋体"/>
          <w:snapToGrid/>
          <w:color w:val="auto"/>
          <w:kern w:val="2"/>
          <w:szCs w:val="21"/>
          <w:highlight w:val="none"/>
          <w:lang w:eastAsia="zh-CN"/>
        </w:rPr>
        <w:t xml:space="preserve"> </w:t>
      </w:r>
    </w:p>
    <w:p w14:paraId="5E1A2CD0">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地  址：</w:t>
      </w:r>
      <w:r>
        <w:rPr>
          <w:rFonts w:hint="eastAsia" w:ascii="Times New Roman" w:hAnsi="Times New Roman" w:eastAsia="宋体" w:cs="Times New Roman"/>
          <w:snapToGrid/>
          <w:color w:val="auto"/>
          <w:kern w:val="2"/>
          <w:szCs w:val="24"/>
          <w:highlight w:val="none"/>
          <w:u w:val="single"/>
          <w:lang w:eastAsia="zh-CN"/>
        </w:rPr>
        <w:t xml:space="preserve">   洛阳市嵩县嵩州路28号    </w:t>
      </w:r>
      <w:r>
        <w:rPr>
          <w:rFonts w:hint="eastAsia" w:ascii="宋体" w:hAnsi="宋体" w:eastAsia="宋体" w:cs="宋体"/>
          <w:snapToGrid/>
          <w:color w:val="auto"/>
          <w:kern w:val="2"/>
          <w:szCs w:val="21"/>
          <w:highlight w:val="none"/>
          <w:lang w:eastAsia="zh-CN"/>
        </w:rPr>
        <w:t xml:space="preserve"> </w:t>
      </w:r>
    </w:p>
    <w:p w14:paraId="347AF7A5">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联系人：</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u w:val="single"/>
          <w:lang w:val="en-US" w:eastAsia="zh-CN"/>
        </w:rPr>
        <w:t>王先生</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宋体" w:hAnsi="宋体" w:eastAsia="宋体" w:cs="宋体"/>
          <w:snapToGrid/>
          <w:color w:val="auto"/>
          <w:kern w:val="2"/>
          <w:szCs w:val="21"/>
          <w:highlight w:val="none"/>
          <w:lang w:eastAsia="zh-CN"/>
        </w:rPr>
        <w:t xml:space="preserve"> </w:t>
      </w:r>
    </w:p>
    <w:p w14:paraId="0C2A756C">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电  话：</w:t>
      </w:r>
      <w:r>
        <w:rPr>
          <w:rFonts w:hint="eastAsia" w:ascii="Times New Roman" w:hAnsi="Times New Roman" w:eastAsia="宋体" w:cs="Times New Roman"/>
          <w:snapToGrid/>
          <w:color w:val="auto"/>
          <w:kern w:val="2"/>
          <w:szCs w:val="24"/>
          <w:highlight w:val="none"/>
          <w:u w:val="single"/>
          <w:lang w:eastAsia="zh-CN"/>
        </w:rPr>
        <w:t xml:space="preserve">    0379-66319770  </w:t>
      </w:r>
      <w:r>
        <w:rPr>
          <w:rFonts w:hint="eastAsia" w:ascii="宋体" w:hAnsi="宋体" w:eastAsia="宋体" w:cs="宋体"/>
          <w:snapToGrid/>
          <w:color w:val="auto"/>
          <w:kern w:val="2"/>
          <w:szCs w:val="21"/>
          <w:highlight w:val="none"/>
          <w:lang w:eastAsia="zh-CN"/>
        </w:rPr>
        <w:t xml:space="preserve"> </w:t>
      </w:r>
    </w:p>
    <w:p w14:paraId="305BA733">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项目联系人：</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u w:val="single"/>
          <w:lang w:val="en-US" w:eastAsia="zh-CN"/>
        </w:rPr>
        <w:t>行先生</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宋体" w:hAnsi="宋体" w:eastAsia="宋体" w:cs="宋体"/>
          <w:snapToGrid/>
          <w:color w:val="auto"/>
          <w:kern w:val="2"/>
          <w:szCs w:val="21"/>
          <w:highlight w:val="none"/>
          <w:lang w:eastAsia="zh-CN"/>
        </w:rPr>
        <w:t xml:space="preserve"> </w:t>
      </w:r>
    </w:p>
    <w:p w14:paraId="17387D6B">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电  话：</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u w:val="single"/>
          <w:lang w:val="en-US" w:eastAsia="zh-CN"/>
        </w:rPr>
        <w:t>15037925369</w:t>
      </w:r>
      <w:r>
        <w:rPr>
          <w:rFonts w:hint="eastAsia" w:ascii="Times New Roman" w:hAnsi="Times New Roman" w:eastAsia="宋体" w:cs="Times New Roman"/>
          <w:snapToGrid/>
          <w:color w:val="auto"/>
          <w:kern w:val="2"/>
          <w:szCs w:val="24"/>
          <w:highlight w:val="none"/>
          <w:u w:val="single"/>
          <w:lang w:eastAsia="zh-CN"/>
        </w:rPr>
        <w:t xml:space="preserve"> </w:t>
      </w:r>
    </w:p>
    <w:p w14:paraId="7EC2B19E">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Times New Roman" w:hAnsi="Times New Roman" w:eastAsia="宋体" w:cs="Times New Roman"/>
          <w:snapToGrid/>
          <w:color w:val="auto"/>
          <w:kern w:val="2"/>
          <w:szCs w:val="24"/>
          <w:highlight w:val="none"/>
          <w:lang w:eastAsia="zh-CN"/>
        </w:rPr>
        <w:t>代理机构</w:t>
      </w:r>
      <w:r>
        <w:rPr>
          <w:rFonts w:hint="eastAsia" w:ascii="宋体" w:hAnsi="宋体" w:eastAsia="宋体" w:cs="宋体"/>
          <w:snapToGrid/>
          <w:color w:val="auto"/>
          <w:kern w:val="2"/>
          <w:szCs w:val="21"/>
          <w:highlight w:val="none"/>
          <w:lang w:eastAsia="zh-CN"/>
        </w:rPr>
        <w:t>：</w:t>
      </w:r>
      <w:r>
        <w:rPr>
          <w:rFonts w:hint="eastAsia" w:ascii="Times New Roman" w:hAnsi="Times New Roman" w:eastAsia="宋体" w:cs="Times New Roman"/>
          <w:snapToGrid/>
          <w:color w:val="auto"/>
          <w:kern w:val="2"/>
          <w:szCs w:val="24"/>
          <w:highlight w:val="none"/>
          <w:u w:val="single"/>
          <w:lang w:eastAsia="zh-CN"/>
        </w:rPr>
        <w:t xml:space="preserve"> 河南正信工程咨询有限公司 </w:t>
      </w:r>
      <w:r>
        <w:rPr>
          <w:rFonts w:hint="eastAsia" w:ascii="宋体" w:hAnsi="宋体" w:eastAsia="宋体" w:cs="宋体"/>
          <w:snapToGrid/>
          <w:color w:val="auto"/>
          <w:kern w:val="2"/>
          <w:szCs w:val="21"/>
          <w:highlight w:val="none"/>
          <w:lang w:eastAsia="zh-CN"/>
        </w:rPr>
        <w:t xml:space="preserve"> </w:t>
      </w:r>
    </w:p>
    <w:p w14:paraId="7E8A25DB">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地  址：</w:t>
      </w:r>
      <w:r>
        <w:rPr>
          <w:rFonts w:hint="eastAsia" w:ascii="Times New Roman" w:hAnsi="Times New Roman" w:eastAsia="宋体" w:cs="Times New Roman"/>
          <w:snapToGrid/>
          <w:color w:val="auto"/>
          <w:kern w:val="2"/>
          <w:szCs w:val="24"/>
          <w:highlight w:val="none"/>
          <w:u w:val="single"/>
          <w:lang w:eastAsia="zh-CN"/>
        </w:rPr>
        <w:t xml:space="preserve">  洛阳市洛龙区开元大道与长夏门街交叉口863创智广场2栋2108室 </w:t>
      </w:r>
      <w:r>
        <w:rPr>
          <w:rFonts w:hint="eastAsia" w:ascii="宋体" w:hAnsi="宋体" w:eastAsia="宋体" w:cs="宋体"/>
          <w:snapToGrid/>
          <w:color w:val="auto"/>
          <w:kern w:val="2"/>
          <w:szCs w:val="21"/>
          <w:highlight w:val="none"/>
          <w:lang w:eastAsia="zh-CN"/>
        </w:rPr>
        <w:t xml:space="preserve"> </w:t>
      </w:r>
    </w:p>
    <w:p w14:paraId="2CFC7876">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联系人：</w:t>
      </w:r>
      <w:r>
        <w:rPr>
          <w:rFonts w:hint="eastAsia" w:ascii="Times New Roman" w:hAnsi="Times New Roman" w:eastAsia="宋体" w:cs="Times New Roman"/>
          <w:snapToGrid/>
          <w:color w:val="auto"/>
          <w:kern w:val="2"/>
          <w:szCs w:val="24"/>
          <w:highlight w:val="none"/>
          <w:u w:val="single"/>
          <w:lang w:eastAsia="zh-CN"/>
        </w:rPr>
        <w:t xml:space="preserve">  刘复信 </w:t>
      </w:r>
      <w:r>
        <w:rPr>
          <w:rFonts w:hint="eastAsia" w:ascii="宋体" w:hAnsi="宋体" w:eastAsia="宋体" w:cs="宋体"/>
          <w:snapToGrid/>
          <w:color w:val="auto"/>
          <w:kern w:val="2"/>
          <w:szCs w:val="21"/>
          <w:highlight w:val="none"/>
          <w:lang w:eastAsia="zh-CN"/>
        </w:rPr>
        <w:t xml:space="preserve"> </w:t>
      </w:r>
    </w:p>
    <w:p w14:paraId="0D792605">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电  话：</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u w:val="single"/>
          <w:lang w:val="en-US" w:eastAsia="zh-CN"/>
        </w:rPr>
        <w:t>18638808023</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宋体" w:hAnsi="宋体" w:eastAsia="宋体" w:cs="宋体"/>
          <w:snapToGrid/>
          <w:color w:val="auto"/>
          <w:kern w:val="2"/>
          <w:szCs w:val="21"/>
          <w:highlight w:val="none"/>
          <w:lang w:eastAsia="zh-CN"/>
        </w:rPr>
        <w:t xml:space="preserve"> </w:t>
      </w:r>
    </w:p>
    <w:p w14:paraId="20B36A9B">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snapToGrid/>
          <w:color w:val="auto"/>
          <w:kern w:val="2"/>
          <w:szCs w:val="21"/>
          <w:highlight w:val="none"/>
          <w:lang w:eastAsia="en-US"/>
        </w:rPr>
      </w:pPr>
      <w:r>
        <w:rPr>
          <w:rFonts w:hint="eastAsia" w:ascii="宋体" w:hAnsi="宋体" w:eastAsia="宋体" w:cs="Times New Roman"/>
          <w:snapToGrid/>
          <w:color w:val="auto"/>
          <w:kern w:val="2"/>
          <w:szCs w:val="21"/>
          <w:highlight w:val="none"/>
          <w:lang w:eastAsia="en-US"/>
        </w:rPr>
        <w:t>交易中心：洛阳市公共资源交易中心</w:t>
      </w:r>
    </w:p>
    <w:p w14:paraId="0D7BACF2">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snapToGrid/>
          <w:color w:val="auto"/>
          <w:kern w:val="2"/>
          <w:szCs w:val="21"/>
          <w:highlight w:val="none"/>
          <w:lang w:eastAsia="en-US"/>
        </w:rPr>
      </w:pPr>
      <w:r>
        <w:rPr>
          <w:rFonts w:hint="eastAsia" w:ascii="宋体" w:hAnsi="宋体" w:eastAsia="宋体" w:cs="Times New Roman"/>
          <w:snapToGrid/>
          <w:color w:val="auto"/>
          <w:kern w:val="2"/>
          <w:szCs w:val="21"/>
          <w:highlight w:val="none"/>
          <w:lang w:eastAsia="en-US"/>
        </w:rPr>
        <w:t>地  址：洛龙区开元大道与永泰街交叉口西南角洛阳市民之家六楼</w:t>
      </w:r>
    </w:p>
    <w:p w14:paraId="3EF7D676">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snapToGrid/>
          <w:color w:val="auto"/>
          <w:kern w:val="2"/>
          <w:szCs w:val="21"/>
          <w:highlight w:val="none"/>
          <w:lang w:eastAsia="en-US"/>
        </w:rPr>
      </w:pPr>
      <w:r>
        <w:rPr>
          <w:rFonts w:hint="eastAsia" w:ascii="宋体" w:hAnsi="宋体" w:eastAsia="宋体" w:cs="Times New Roman"/>
          <w:snapToGrid/>
          <w:color w:val="auto"/>
          <w:kern w:val="2"/>
          <w:szCs w:val="21"/>
          <w:highlight w:val="none"/>
          <w:lang w:eastAsia="en-US"/>
        </w:rPr>
        <w:t>电  话：0379-69921065、0379-69921063</w:t>
      </w:r>
    </w:p>
    <w:p w14:paraId="29AE8616">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Cs w:val="24"/>
          <w:highlight w:val="none"/>
          <w:u w:val="single"/>
          <w:lang w:eastAsia="zh-CN"/>
        </w:rPr>
      </w:pPr>
      <w:r>
        <w:rPr>
          <w:rFonts w:hint="eastAsia" w:ascii="宋体" w:hAnsi="宋体" w:eastAsia="宋体" w:cs="Times New Roman"/>
          <w:snapToGrid/>
          <w:color w:val="auto"/>
          <w:kern w:val="2"/>
          <w:szCs w:val="21"/>
          <w:highlight w:val="none"/>
          <w:lang w:eastAsia="zh-CN"/>
        </w:rPr>
        <w:t>监管部门：</w:t>
      </w:r>
      <w:r>
        <w:rPr>
          <w:rFonts w:hint="eastAsia" w:ascii="Times New Roman" w:hAnsi="Times New Roman" w:eastAsia="宋体" w:cs="Times New Roman"/>
          <w:snapToGrid/>
          <w:color w:val="auto"/>
          <w:kern w:val="2"/>
          <w:szCs w:val="24"/>
          <w:highlight w:val="none"/>
          <w:u w:val="single"/>
          <w:lang w:eastAsia="zh-CN"/>
        </w:rPr>
        <w:t xml:space="preserve"> </w:t>
      </w:r>
      <w:r>
        <w:rPr>
          <w:rFonts w:hint="eastAsia" w:ascii="Times New Roman" w:hAnsi="Times New Roman" w:eastAsia="宋体" w:cs="Times New Roman"/>
          <w:snapToGrid/>
          <w:color w:val="auto"/>
          <w:kern w:val="2"/>
          <w:szCs w:val="24"/>
          <w:highlight w:val="none"/>
          <w:u w:val="single"/>
          <w:lang w:val="en-US" w:eastAsia="zh-CN"/>
        </w:rPr>
        <w:t>嵩县住房和城乡建设局</w:t>
      </w:r>
      <w:r>
        <w:rPr>
          <w:rFonts w:hint="eastAsia" w:ascii="Times New Roman" w:hAnsi="Times New Roman" w:eastAsia="宋体" w:cs="Times New Roman"/>
          <w:snapToGrid/>
          <w:color w:val="auto"/>
          <w:kern w:val="2"/>
          <w:szCs w:val="24"/>
          <w:highlight w:val="none"/>
          <w:u w:val="single"/>
          <w:lang w:eastAsia="zh-CN"/>
        </w:rPr>
        <w:t xml:space="preserve">  </w:t>
      </w:r>
    </w:p>
    <w:p w14:paraId="72AE32E3">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snapToGrid/>
          <w:color w:val="auto"/>
          <w:kern w:val="2"/>
          <w:szCs w:val="21"/>
          <w:highlight w:val="none"/>
          <w:lang w:eastAsia="zh-CN"/>
        </w:rPr>
      </w:pPr>
      <w:r>
        <w:rPr>
          <w:rFonts w:hint="eastAsia" w:ascii="Times New Roman" w:hAnsi="Times New Roman" w:eastAsia="宋体" w:cs="Times New Roman"/>
          <w:snapToGrid/>
          <w:color w:val="auto"/>
          <w:kern w:val="2"/>
          <w:szCs w:val="24"/>
          <w:highlight w:val="none"/>
          <w:lang w:val="en-US" w:eastAsia="zh-CN"/>
        </w:rPr>
        <w:t>监督部门联系人</w:t>
      </w:r>
      <w:r>
        <w:rPr>
          <w:rFonts w:hint="eastAsia" w:ascii="Times New Roman" w:hAnsi="Times New Roman" w:eastAsia="宋体" w:cs="Times New Roman"/>
          <w:snapToGrid/>
          <w:color w:val="auto"/>
          <w:kern w:val="2"/>
          <w:szCs w:val="24"/>
          <w:highlight w:val="none"/>
          <w:lang w:eastAsia="zh-CN"/>
        </w:rPr>
        <w:t>：</w:t>
      </w:r>
      <w:r>
        <w:rPr>
          <w:rFonts w:hint="eastAsia" w:ascii="Times New Roman" w:hAnsi="Times New Roman" w:eastAsia="宋体" w:cs="Times New Roman"/>
          <w:snapToGrid/>
          <w:color w:val="auto"/>
          <w:kern w:val="2"/>
          <w:szCs w:val="24"/>
          <w:highlight w:val="none"/>
          <w:u w:val="single"/>
          <w:lang w:eastAsia="zh-CN"/>
        </w:rPr>
        <w:t xml:space="preserve"> 孟丽霞</w:t>
      </w:r>
    </w:p>
    <w:p w14:paraId="30C02AAC">
      <w:pPr>
        <w:keepNext w:val="0"/>
        <w:keepLines w:val="0"/>
        <w:pageBreakBefore w:val="0"/>
        <w:widowControl w:val="0"/>
        <w:kinsoku/>
        <w:overflowPunct/>
        <w:topLinePunct w:val="0"/>
        <w:autoSpaceDE/>
        <w:autoSpaceDN/>
        <w:bidi w:val="0"/>
        <w:adjustRightInd/>
        <w:snapToGrid/>
        <w:spacing w:line="440" w:lineRule="exact"/>
        <w:ind w:firstLine="420" w:firstLineChars="200"/>
        <w:jc w:val="both"/>
        <w:textAlignment w:val="auto"/>
        <w:rPr>
          <w:rFonts w:hint="eastAsia" w:ascii="Times New Roman" w:hAnsi="Times New Roman" w:eastAsia="宋体" w:cs="Times New Roman"/>
          <w:snapToGrid/>
          <w:color w:val="auto"/>
          <w:kern w:val="2"/>
          <w:szCs w:val="24"/>
          <w:highlight w:val="none"/>
          <w:u w:val="single"/>
          <w:lang w:eastAsia="zh-CN"/>
        </w:rPr>
      </w:pPr>
      <w:r>
        <w:rPr>
          <w:rFonts w:hint="eastAsia" w:ascii="宋体" w:hAnsi="宋体" w:eastAsia="宋体" w:cs="Times New Roman"/>
          <w:snapToGrid/>
          <w:color w:val="auto"/>
          <w:kern w:val="2"/>
          <w:szCs w:val="21"/>
          <w:highlight w:val="none"/>
          <w:lang w:eastAsia="zh-CN"/>
        </w:rPr>
        <w:t>监管部门联系方式：</w:t>
      </w:r>
      <w:r>
        <w:rPr>
          <w:rFonts w:hint="eastAsia" w:ascii="Times New Roman" w:hAnsi="Times New Roman" w:eastAsia="宋体" w:cs="Times New Roman"/>
          <w:snapToGrid/>
          <w:color w:val="auto"/>
          <w:kern w:val="2"/>
          <w:szCs w:val="24"/>
          <w:highlight w:val="none"/>
          <w:u w:val="single"/>
          <w:lang w:eastAsia="zh-CN"/>
        </w:rPr>
        <w:t xml:space="preserve">   15036321789  </w:t>
      </w:r>
    </w:p>
    <w:p w14:paraId="6399BCAF">
      <w:r>
        <w:rPr>
          <w:rFonts w:hint="eastAsia" w:ascii="宋体" w:hAnsi="宋体" w:eastAsia="宋体" w:cs="Times New Roman"/>
          <w:snapToGrid/>
          <w:color w:val="auto"/>
          <w:kern w:val="2"/>
          <w:szCs w:val="21"/>
          <w:highlight w:val="none"/>
          <w:u w:val="single"/>
          <w:lang w:val="en-US" w:eastAsia="zh-CN"/>
        </w:rPr>
        <w:t>2026</w:t>
      </w:r>
      <w:r>
        <w:rPr>
          <w:rFonts w:hint="eastAsia" w:ascii="宋体" w:hAnsi="宋体" w:eastAsia="宋体" w:cs="Times New Roman"/>
          <w:snapToGrid/>
          <w:color w:val="auto"/>
          <w:kern w:val="2"/>
          <w:szCs w:val="21"/>
          <w:highlight w:val="none"/>
          <w:lang w:eastAsia="zh-CN"/>
        </w:rPr>
        <w:t>年</w:t>
      </w:r>
      <w:r>
        <w:rPr>
          <w:rFonts w:hint="eastAsia" w:ascii="宋体" w:hAnsi="宋体" w:eastAsia="宋体" w:cs="Times New Roman"/>
          <w:snapToGrid/>
          <w:color w:val="auto"/>
          <w:kern w:val="2"/>
          <w:szCs w:val="21"/>
          <w:highlight w:val="none"/>
          <w:u w:val="single"/>
          <w:lang w:val="en-US" w:eastAsia="zh-CN"/>
        </w:rPr>
        <w:t>08</w:t>
      </w:r>
      <w:r>
        <w:rPr>
          <w:rFonts w:hint="eastAsia" w:ascii="宋体" w:hAnsi="宋体" w:eastAsia="宋体" w:cs="Times New Roman"/>
          <w:snapToGrid/>
          <w:color w:val="auto"/>
          <w:kern w:val="2"/>
          <w:szCs w:val="21"/>
          <w:highlight w:val="none"/>
          <w:lang w:eastAsia="zh-CN"/>
        </w:rPr>
        <w:t>月</w:t>
      </w:r>
      <w:r>
        <w:rPr>
          <w:rFonts w:hint="eastAsia" w:ascii="宋体" w:hAnsi="宋体" w:eastAsia="宋体" w:cs="Times New Roman"/>
          <w:snapToGrid/>
          <w:color w:val="auto"/>
          <w:kern w:val="2"/>
          <w:szCs w:val="21"/>
          <w:highlight w:val="none"/>
          <w:u w:val="single"/>
          <w:lang w:val="en-US" w:eastAsia="zh-CN"/>
        </w:rPr>
        <w:t xml:space="preserve"> 31 </w:t>
      </w:r>
      <w:r>
        <w:rPr>
          <w:rFonts w:hint="eastAsia" w:ascii="宋体" w:hAnsi="宋体" w:eastAsia="宋体" w:cs="Times New Roman"/>
          <w:snapToGrid/>
          <w:color w:val="auto"/>
          <w:kern w:val="2"/>
          <w:szCs w:val="21"/>
          <w:highlight w:val="none"/>
          <w:lang w:eastAsia="zh-CN"/>
        </w:rPr>
        <w:t>日</w:t>
      </w:r>
      <w:bookmarkStart w:id="47" w:name="_GoBack"/>
      <w:bookmarkEnd w:id="47"/>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897294"/>
    <w:rsid w:val="3FE948EE"/>
    <w:rsid w:val="50897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caption"/>
    <w:next w:val="1"/>
    <w:qFormat/>
    <w:uiPriority w:val="0"/>
    <w:pPr>
      <w:widowControl w:val="0"/>
      <w:spacing w:line="360" w:lineRule="auto"/>
      <w:ind w:firstLine="420" w:firstLineChars="200"/>
      <w:jc w:val="both"/>
    </w:pPr>
    <w:rPr>
      <w:rFonts w:ascii="Cambria" w:hAnsi="Cambria" w:eastAsia="黑体" w:cs="Times New Roman"/>
      <w:kern w:val="2"/>
      <w:lang w:val="en-US" w:eastAsia="zh-CN" w:bidi="ar-SA"/>
    </w:rPr>
  </w:style>
  <w:style w:type="paragraph" w:styleId="3">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4">
    <w:name w:val="Normal (Web)"/>
    <w:qFormat/>
    <w:uiPriority w:val="99"/>
    <w:pPr>
      <w:widowControl w:val="0"/>
      <w:autoSpaceDE w:val="0"/>
      <w:autoSpaceDN w:val="0"/>
      <w:jc w:val="left"/>
    </w:pPr>
    <w:rPr>
      <w:rFonts w:ascii="Calibri" w:hAnsi="Calibri" w:eastAsia="宋体" w:cs="宋体"/>
      <w:kern w:val="0"/>
      <w:sz w:val="24"/>
      <w:szCs w:val="22"/>
      <w:lang w:val="zh-CN" w:eastAsia="zh-CN" w:bidi="zh-CN"/>
    </w:rPr>
  </w:style>
  <w:style w:type="paragraph" w:customStyle="1" w:styleId="7">
    <w:name w:val="无间隔1"/>
    <w:next w:val="2"/>
    <w:qFormat/>
    <w:uiPriority w:val="1"/>
    <w:pPr>
      <w:widowControl w:val="0"/>
      <w:spacing w:line="400" w:lineRule="exact"/>
      <w:ind w:firstLine="420" w:firstLineChars="200"/>
      <w:jc w:val="both"/>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2026-08-31T02:49:00Z</dcterms:created>
  <dc:creator>7uili</dc:creator>
  <cp:lastModifiedBy>7uili</cp:lastModifiedBy>
  <dcterms:modified xsi:type="dcterms:W3CDTF">2026-08-31T02:49:51Z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F4FBB273D4904D6981210260EE73F49E_11</vt:lpwstr>
  </property>
  <property fmtid="{D5CDD505-2E9C-101B-9397-08002B2CF9AE}" pid="4" name="KSOTemplateDocerSaveRecord">
    <vt:lpwstr>eyJoZGlkIjoiNjdmODg5MTUwNmU3NTBhM2I0NWYyNTYxOWUxOGRlNmMiLCJ1c2VySWQiOiI3ODk4MjQ5MjAifQ==</vt:lpwstr>
  </property>
</Properties>
</file>