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A98FA">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pPr>
    </w:p>
    <w:p w14:paraId="2238074D">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outlineLvl w:val="0"/>
        <w:rPr>
          <w:rFonts w:hint="eastAsia" w:ascii="宋体" w:hAnsi="宋体" w:eastAsia="宋体" w:cs="宋体"/>
          <w:sz w:val="52"/>
          <w:szCs w:val="52"/>
        </w:rPr>
      </w:pPr>
      <w:r>
        <w:rPr>
          <w:rFonts w:hint="eastAsia" w:ascii="宋体" w:hAnsi="宋体" w:eastAsia="宋体" w:cs="宋体"/>
          <w:spacing w:val="-2"/>
          <w:sz w:val="52"/>
          <w:szCs w:val="52"/>
          <w:lang w:eastAsia="zh-CN"/>
          <w14:textOutline w14:w="3844" w14:cap="flat" w14:cmpd="sng">
            <w14:solidFill>
              <w14:srgbClr w14:val="000000"/>
            </w14:solidFill>
            <w14:prstDash w14:val="solid"/>
            <w14:miter w14:val="0"/>
          </w14:textOutline>
        </w:rPr>
        <w:t>南阳市</w:t>
      </w:r>
      <w:r>
        <w:rPr>
          <w:rFonts w:hint="eastAsia" w:ascii="宋体" w:hAnsi="宋体" w:eastAsia="宋体" w:cs="宋体"/>
          <w:spacing w:val="-2"/>
          <w:sz w:val="52"/>
          <w:szCs w:val="52"/>
          <w14:textOutline w14:w="3844" w14:cap="flat" w14:cmpd="sng">
            <w14:solidFill>
              <w14:srgbClr w14:val="000000"/>
            </w14:solidFill>
            <w14:prstDash w14:val="solid"/>
            <w14:miter w14:val="0"/>
          </w14:textOutline>
        </w:rPr>
        <w:t>政府采购项目</w:t>
      </w:r>
    </w:p>
    <w:p w14:paraId="78EE3614">
      <w:pPr>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sz w:val="52"/>
          <w:szCs w:val="52"/>
        </w:rPr>
      </w:pP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竞争性</w:t>
      </w:r>
      <w:r>
        <w:rPr>
          <w:rFonts w:hint="eastAsia" w:ascii="宋体" w:hAnsi="宋体" w:eastAsia="宋体" w:cs="宋体"/>
          <w:spacing w:val="-1"/>
          <w:sz w:val="52"/>
          <w:szCs w:val="52"/>
          <w:lang w:eastAsia="zh-CN"/>
          <w14:textOutline w14:w="3844" w14:cap="flat" w14:cmpd="sng">
            <w14:solidFill>
              <w14:srgbClr w14:val="000000"/>
            </w14:solidFill>
            <w14:prstDash w14:val="solid"/>
            <w14:miter w14:val="0"/>
          </w14:textOutline>
        </w:rPr>
        <w:t>谈判</w:t>
      </w:r>
      <w:r>
        <w:rPr>
          <w:rFonts w:hint="eastAsia" w:ascii="宋体" w:hAnsi="宋体" w:eastAsia="宋体" w:cs="宋体"/>
          <w:spacing w:val="-1"/>
          <w:sz w:val="52"/>
          <w:szCs w:val="52"/>
          <w14:textOutline w14:w="3844" w14:cap="flat" w14:cmpd="sng">
            <w14:solidFill>
              <w14:srgbClr w14:val="000000"/>
            </w14:solidFill>
            <w14:prstDash w14:val="solid"/>
            <w14:miter w14:val="0"/>
          </w14:textOutline>
        </w:rPr>
        <w:t>文件</w:t>
      </w:r>
    </w:p>
    <w:p w14:paraId="4FA379B1">
      <w:pPr>
        <w:spacing w:line="248" w:lineRule="auto"/>
        <w:rPr>
          <w:rFonts w:ascii="Arial"/>
          <w:sz w:val="21"/>
        </w:rPr>
      </w:pPr>
    </w:p>
    <w:p w14:paraId="3D267F4B">
      <w:pPr>
        <w:spacing w:line="249" w:lineRule="auto"/>
        <w:rPr>
          <w:rFonts w:ascii="Arial"/>
          <w:sz w:val="21"/>
        </w:rPr>
      </w:pPr>
    </w:p>
    <w:p w14:paraId="14CBBA72">
      <w:pPr>
        <w:spacing w:line="249" w:lineRule="auto"/>
        <w:rPr>
          <w:rFonts w:ascii="Arial"/>
          <w:sz w:val="21"/>
        </w:rPr>
      </w:pPr>
    </w:p>
    <w:p w14:paraId="2595DF1C">
      <w:pPr>
        <w:spacing w:line="249" w:lineRule="auto"/>
        <w:rPr>
          <w:rFonts w:ascii="Arial"/>
          <w:sz w:val="21"/>
        </w:rPr>
      </w:pPr>
    </w:p>
    <w:p w14:paraId="104F075E">
      <w:pPr>
        <w:spacing w:line="249" w:lineRule="auto"/>
        <w:rPr>
          <w:rFonts w:ascii="Arial"/>
          <w:sz w:val="21"/>
        </w:rPr>
      </w:pPr>
    </w:p>
    <w:p w14:paraId="2D85D5AD">
      <w:pPr>
        <w:spacing w:line="249" w:lineRule="auto"/>
        <w:rPr>
          <w:rFonts w:ascii="Arial"/>
          <w:sz w:val="21"/>
        </w:rPr>
      </w:pPr>
    </w:p>
    <w:p w14:paraId="78C66840">
      <w:pPr>
        <w:spacing w:line="249" w:lineRule="auto"/>
        <w:rPr>
          <w:rFonts w:ascii="Arial"/>
          <w:sz w:val="21"/>
        </w:rPr>
      </w:pPr>
    </w:p>
    <w:p w14:paraId="779AB9B1">
      <w:pPr>
        <w:spacing w:line="249" w:lineRule="auto"/>
        <w:rPr>
          <w:rFonts w:ascii="Arial"/>
          <w:sz w:val="21"/>
        </w:rPr>
      </w:pPr>
    </w:p>
    <w:p w14:paraId="3E9F128D">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项目名称：</w:t>
      </w:r>
      <w:r>
        <w:rPr>
          <w:rFonts w:hint="eastAsia" w:asciiTheme="minorEastAsia" w:hAnsiTheme="minorEastAsia" w:eastAsiaTheme="minorEastAsia" w:cstheme="minorEastAsia"/>
          <w:b/>
          <w:bCs/>
          <w:spacing w:val="-17"/>
          <w:sz w:val="32"/>
          <w:szCs w:val="32"/>
          <w:u w:val="single"/>
          <w:lang w:val="en-US" w:eastAsia="zh-CN"/>
        </w:rPr>
        <w:t xml:space="preserve">  南阳医学高等专科学校综合型考试实训 </w:t>
      </w:r>
    </w:p>
    <w:p w14:paraId="58B3DD06">
      <w:pPr>
        <w:keepNext w:val="0"/>
        <w:keepLines w:val="0"/>
        <w:pageBreakBefore w:val="0"/>
        <w:widowControl/>
        <w:kinsoku/>
        <w:wordWrap w:val="0"/>
        <w:overflowPunct/>
        <w:topLinePunct w:val="0"/>
        <w:autoSpaceDE w:val="0"/>
        <w:autoSpaceDN w:val="0"/>
        <w:bidi w:val="0"/>
        <w:adjustRightInd w:val="0"/>
        <w:snapToGrid w:val="0"/>
        <w:spacing w:line="360" w:lineRule="auto"/>
        <w:ind w:left="1277" w:leftChars="608" w:firstLine="0" w:firstLineChars="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u w:val="none"/>
          <w:lang w:val="en-US" w:eastAsia="zh-CN"/>
        </w:rPr>
        <w:t xml:space="preserve">         </w:t>
      </w:r>
      <w:r>
        <w:rPr>
          <w:rFonts w:hint="eastAsia" w:asciiTheme="minorEastAsia" w:hAnsiTheme="minorEastAsia" w:eastAsiaTheme="minorEastAsia" w:cstheme="minorEastAsia"/>
          <w:b/>
          <w:bCs/>
          <w:spacing w:val="-17"/>
          <w:sz w:val="32"/>
          <w:szCs w:val="32"/>
          <w:u w:val="single"/>
          <w:lang w:val="en-US" w:eastAsia="zh-CN"/>
        </w:rPr>
        <w:t xml:space="preserve"> 基地2期（医学影像数智化虚拟仿真实训 </w:t>
      </w:r>
      <w:r>
        <w:rPr>
          <w:rFonts w:hint="eastAsia" w:asciiTheme="minorEastAsia" w:hAnsiTheme="minorEastAsia" w:eastAsiaTheme="minorEastAsia" w:cstheme="minorEastAsia"/>
          <w:b/>
          <w:bCs/>
          <w:spacing w:val="-17"/>
          <w:sz w:val="32"/>
          <w:szCs w:val="32"/>
          <w:u w:val="none"/>
          <w:lang w:val="en-US" w:eastAsia="zh-CN"/>
        </w:rPr>
        <w:t xml:space="preserve">         </w:t>
      </w:r>
      <w:r>
        <w:rPr>
          <w:rFonts w:hint="eastAsia" w:asciiTheme="minorEastAsia" w:hAnsiTheme="minorEastAsia" w:eastAsiaTheme="minorEastAsia" w:cstheme="minorEastAsia"/>
          <w:b/>
          <w:bCs/>
          <w:spacing w:val="-17"/>
          <w:sz w:val="32"/>
          <w:szCs w:val="32"/>
          <w:u w:val="single"/>
          <w:lang w:val="en-US" w:eastAsia="zh-CN"/>
        </w:rPr>
        <w:t xml:space="preserve">             基地）建设项目            </w:t>
      </w:r>
    </w:p>
    <w:p w14:paraId="5F0C4F83">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lang w:eastAsia="zh-CN"/>
        </w:rPr>
      </w:pPr>
      <w:r>
        <w:rPr>
          <w:rFonts w:hint="eastAsia" w:asciiTheme="minorEastAsia" w:hAnsiTheme="minorEastAsia" w:eastAsiaTheme="minorEastAsia" w:cstheme="minorEastAsia"/>
          <w:b/>
          <w:bCs/>
          <w:spacing w:val="-17"/>
          <w:sz w:val="32"/>
          <w:szCs w:val="32"/>
        </w:rPr>
        <w:t>项目编号</w:t>
      </w:r>
      <w:r>
        <w:rPr>
          <w:rFonts w:hint="eastAsia" w:asciiTheme="minorEastAsia" w:hAnsiTheme="minorEastAsia" w:eastAsiaTheme="minorEastAsia" w:cstheme="minorEastAsia"/>
          <w:b/>
          <w:bCs/>
          <w:spacing w:val="-17"/>
          <w:sz w:val="32"/>
          <w:szCs w:val="32"/>
          <w:lang w:eastAsia="zh-CN"/>
        </w:rPr>
        <w:t>：</w:t>
      </w:r>
      <w:r>
        <w:rPr>
          <w:rFonts w:hint="eastAsia" w:asciiTheme="minorEastAsia" w:hAnsiTheme="minorEastAsia" w:eastAsiaTheme="minorEastAsia" w:cstheme="minorEastAsia"/>
          <w:b/>
          <w:bCs/>
          <w:spacing w:val="-17"/>
          <w:sz w:val="32"/>
          <w:szCs w:val="32"/>
          <w:u w:val="single"/>
          <w:lang w:val="en-US" w:eastAsia="zh-CN"/>
        </w:rPr>
        <w:t xml:space="preserve">         南阳政采谈判-2026-7          </w:t>
      </w:r>
    </w:p>
    <w:p w14:paraId="3A2E3898">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eastAsia" w:asciiTheme="minorEastAsia" w:hAnsiTheme="minorEastAsia" w:eastAsiaTheme="minorEastAsia" w:cstheme="minorEastAsia"/>
          <w:b/>
          <w:bCs/>
          <w:spacing w:val="-17"/>
          <w:sz w:val="32"/>
          <w:szCs w:val="32"/>
        </w:rPr>
      </w:pPr>
      <w:r>
        <w:rPr>
          <w:rFonts w:hint="eastAsia" w:asciiTheme="minorEastAsia" w:hAnsiTheme="minorEastAsia" w:eastAsiaTheme="minorEastAsia" w:cstheme="minorEastAsia"/>
          <w:b/>
          <w:bCs/>
          <w:spacing w:val="-17"/>
          <w:sz w:val="32"/>
          <w:szCs w:val="32"/>
          <w:lang w:val="en-US" w:eastAsia="zh-CN"/>
        </w:rPr>
        <w:t>标段编号</w:t>
      </w:r>
      <w:r>
        <w:rPr>
          <w:rFonts w:hint="eastAsia" w:asciiTheme="minorEastAsia" w:hAnsiTheme="minorEastAsia" w:eastAsiaTheme="minorEastAsia" w:cstheme="minorEastAsia"/>
          <w:b/>
          <w:bCs/>
          <w:spacing w:val="-17"/>
          <w:sz w:val="32"/>
          <w:szCs w:val="32"/>
        </w:rPr>
        <w:t>：</w:t>
      </w:r>
      <w:r>
        <w:rPr>
          <w:rFonts w:hint="eastAsia" w:asciiTheme="minorEastAsia" w:hAnsiTheme="minorEastAsia" w:eastAsiaTheme="minorEastAsia" w:cstheme="minorEastAsia"/>
          <w:b/>
          <w:bCs/>
          <w:spacing w:val="-17"/>
          <w:sz w:val="32"/>
          <w:szCs w:val="32"/>
          <w:u w:val="single"/>
          <w:lang w:val="en-US" w:eastAsia="zh-CN"/>
        </w:rPr>
        <w:t xml:space="preserve">        南阳政采谈判-2026-7-1         </w:t>
      </w:r>
    </w:p>
    <w:p w14:paraId="6B7F2435">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lang w:val="en-US"/>
        </w:rPr>
      </w:pPr>
      <w:r>
        <w:rPr>
          <w:rFonts w:hint="eastAsia" w:asciiTheme="minorEastAsia" w:hAnsiTheme="minorEastAsia" w:eastAsiaTheme="minorEastAsia" w:cstheme="minorEastAsia"/>
          <w:b/>
          <w:bCs/>
          <w:spacing w:val="-17"/>
          <w:sz w:val="32"/>
          <w:szCs w:val="32"/>
        </w:rPr>
        <w:t>采购人：</w:t>
      </w:r>
      <w:r>
        <w:rPr>
          <w:rFonts w:hint="eastAsia" w:asciiTheme="minorEastAsia" w:hAnsiTheme="minorEastAsia" w:eastAsiaTheme="minorEastAsia" w:cstheme="minorEastAsia"/>
          <w:b/>
          <w:bCs/>
          <w:spacing w:val="-17"/>
          <w:sz w:val="32"/>
          <w:szCs w:val="32"/>
          <w:u w:val="single"/>
          <w:lang w:val="en-US" w:eastAsia="zh-CN"/>
        </w:rPr>
        <w:t xml:space="preserve">           南阳医学高等专科学校         </w:t>
      </w:r>
    </w:p>
    <w:p w14:paraId="6661C7CE">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1149" w:firstLineChars="400"/>
        <w:jc w:val="both"/>
        <w:textAlignment w:val="baseline"/>
        <w:rPr>
          <w:rFonts w:hint="default" w:asciiTheme="minorEastAsia" w:hAnsiTheme="minorEastAsia" w:eastAsiaTheme="minorEastAsia" w:cstheme="minorEastAsia"/>
          <w:b/>
          <w:bCs/>
          <w:spacing w:val="-17"/>
          <w:sz w:val="32"/>
          <w:szCs w:val="32"/>
          <w:u w:val="single"/>
          <w:lang w:val="en-US" w:eastAsia="zh-CN"/>
        </w:rPr>
      </w:pPr>
      <w:r>
        <w:rPr>
          <w:rFonts w:hint="eastAsia" w:asciiTheme="minorEastAsia" w:hAnsiTheme="minorEastAsia" w:eastAsiaTheme="minorEastAsia" w:cstheme="minorEastAsia"/>
          <w:b/>
          <w:bCs/>
          <w:spacing w:val="-17"/>
          <w:sz w:val="32"/>
          <w:szCs w:val="32"/>
        </w:rPr>
        <w:t>采购代理机构：</w:t>
      </w:r>
      <w:r>
        <w:rPr>
          <w:rFonts w:hint="eastAsia" w:asciiTheme="minorEastAsia" w:hAnsiTheme="minorEastAsia" w:eastAsiaTheme="minorEastAsia" w:cstheme="minorEastAsia"/>
          <w:b/>
          <w:bCs/>
          <w:spacing w:val="-17"/>
          <w:sz w:val="32"/>
          <w:szCs w:val="32"/>
          <w:u w:val="single"/>
          <w:lang w:val="en-US" w:eastAsia="zh-CN"/>
        </w:rPr>
        <w:t xml:space="preserve">     南阳市公共资源交易中心      </w:t>
      </w:r>
    </w:p>
    <w:p w14:paraId="13CF32E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14:paraId="1364DA78">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17"/>
          <w:sz w:val="32"/>
          <w:szCs w:val="32"/>
          <w:u w:val="single"/>
          <w:lang w:val="en-US" w:eastAsia="zh-CN"/>
        </w:rPr>
      </w:pPr>
    </w:p>
    <w:p w14:paraId="01948F50">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ascii="宋体" w:hAnsi="宋体" w:eastAsia="宋体" w:cs="宋体"/>
          <w:sz w:val="36"/>
          <w:szCs w:val="36"/>
        </w:rPr>
        <w:sectPr>
          <w:footerReference r:id="rId5" w:type="default"/>
          <w:pgSz w:w="11906" w:h="16839"/>
          <w:pgMar w:top="1440" w:right="1800" w:bottom="1440" w:left="1800" w:header="0" w:footer="0" w:gutter="0"/>
          <w:pgNumType w:fmt="decimal" w:start="1"/>
          <w:cols w:space="720" w:num="1"/>
        </w:sectPr>
      </w:pPr>
    </w:p>
    <w:p w14:paraId="06868F55">
      <w:pPr>
        <w:keepNext w:val="0"/>
        <w:keepLines w:val="0"/>
        <w:pageBreakBefore w:val="0"/>
        <w:kinsoku/>
        <w:wordWrap w:val="0"/>
        <w:overflowPunct/>
        <w:topLinePunct w:val="0"/>
        <w:bidi w:val="0"/>
        <w:spacing w:line="326" w:lineRule="auto"/>
        <w:jc w:val="both"/>
        <w:rPr>
          <w:rFonts w:ascii="Arial"/>
          <w:sz w:val="21"/>
        </w:rPr>
      </w:pPr>
    </w:p>
    <w:sdt>
      <w:sdtPr>
        <w:rPr>
          <w:rFonts w:ascii="宋体" w:hAnsi="宋体" w:eastAsia="宋体" w:cs="宋体"/>
          <w:sz w:val="36"/>
          <w:szCs w:val="36"/>
        </w:rPr>
        <w:id w:val="1"/>
        <w:docPartObj>
          <w:docPartGallery w:val="Table of Contents"/>
          <w:docPartUnique/>
        </w:docPartObj>
      </w:sdtPr>
      <w:sdtEndPr>
        <w:rPr>
          <w:rFonts w:ascii="宋体" w:hAnsi="宋体" w:eastAsia="宋体" w:cs="宋体"/>
          <w:sz w:val="28"/>
          <w:szCs w:val="28"/>
        </w:rPr>
      </w:sdtEndPr>
      <w:sdtContent>
        <w:p w14:paraId="504490FB">
          <w:pPr>
            <w:pStyle w:val="5"/>
            <w:keepNext w:val="0"/>
            <w:keepLines w:val="0"/>
            <w:pageBreakBefore w:val="0"/>
            <w:kinsoku/>
            <w:wordWrap w:val="0"/>
            <w:overflowPunct/>
            <w:topLinePunct w:val="0"/>
            <w:bidi w:val="0"/>
            <w:spacing w:before="117" w:line="222" w:lineRule="auto"/>
            <w:ind w:left="3716"/>
            <w:jc w:val="both"/>
            <w:rPr>
              <w:spacing w:val="-42"/>
              <w:sz w:val="36"/>
              <w:szCs w:val="36"/>
              <w14:textOutline w14:w="2306" w14:cap="flat" w14:cmpd="sng">
                <w14:solidFill>
                  <w14:srgbClr w14:val="000000"/>
                </w14:solidFill>
                <w14:prstDash w14:val="solid"/>
                <w14:miter w14:val="0"/>
              </w14:textOutline>
            </w:rPr>
          </w:pPr>
          <w:bookmarkStart w:id="0" w:name="bookmark1"/>
          <w:bookmarkEnd w:id="0"/>
          <w:r>
            <w:rPr>
              <w:spacing w:val="-42"/>
              <w:sz w:val="36"/>
              <w:szCs w:val="36"/>
              <w14:textOutline w14:w="2306" w14:cap="flat" w14:cmpd="sng">
                <w14:solidFill>
                  <w14:srgbClr w14:val="000000"/>
                </w14:solidFill>
                <w14:prstDash w14:val="solid"/>
                <w14:miter w14:val="0"/>
              </w14:textOutline>
            </w:rPr>
            <w:t>目</w:t>
          </w:r>
          <w:r>
            <w:rPr>
              <w:rFonts w:hint="eastAsia"/>
              <w:spacing w:val="-42"/>
              <w:sz w:val="36"/>
              <w:szCs w:val="36"/>
              <w:lang w:val="en-US" w:eastAsia="zh-CN"/>
              <w14:textOutline w14:w="2306" w14:cap="flat" w14:cmpd="sng">
                <w14:solidFill>
                  <w14:srgbClr w14:val="000000"/>
                </w14:solidFill>
                <w14:prstDash w14:val="solid"/>
                <w14:miter w14:val="0"/>
              </w14:textOutline>
            </w:rPr>
            <w:t xml:space="preserve">  </w:t>
          </w:r>
          <w:r>
            <w:rPr>
              <w:spacing w:val="-42"/>
              <w:sz w:val="36"/>
              <w:szCs w:val="36"/>
              <w14:textOutline w14:w="2306" w14:cap="flat" w14:cmpd="sng">
                <w14:solidFill>
                  <w14:srgbClr w14:val="000000"/>
                </w14:solidFill>
                <w14:prstDash w14:val="solid"/>
                <w14:miter w14:val="0"/>
              </w14:textOutline>
            </w:rPr>
            <w:t>录</w:t>
          </w:r>
        </w:p>
        <w:p w14:paraId="7FD6E412">
          <w:pPr>
            <w:pStyle w:val="17"/>
          </w:pPr>
        </w:p>
        <w:p w14:paraId="7E1CB4F8">
          <w:pPr>
            <w:pStyle w:val="5"/>
            <w:bidi w:val="0"/>
            <w:spacing w:line="360" w:lineRule="auto"/>
            <w:rPr>
              <w:sz w:val="28"/>
              <w:szCs w:val="28"/>
            </w:rPr>
          </w:pPr>
          <w:r>
            <w:rPr>
              <w:sz w:val="28"/>
              <w:szCs w:val="28"/>
            </w:rPr>
            <w:fldChar w:fldCharType="begin"/>
          </w:r>
          <w:r>
            <w:rPr>
              <w:sz w:val="28"/>
              <w:szCs w:val="28"/>
            </w:rPr>
            <w:instrText xml:space="preserve">HYPERLINK\l"bookmark1"</w:instrText>
          </w:r>
          <w:r>
            <w:rPr>
              <w:sz w:val="28"/>
              <w:szCs w:val="28"/>
            </w:rPr>
            <w:fldChar w:fldCharType="separate"/>
          </w:r>
          <w:r>
            <w:rPr>
              <w:sz w:val="28"/>
              <w:szCs w:val="28"/>
            </w:rPr>
            <w:t>第一章</w:t>
          </w:r>
          <w:r>
            <w:rPr>
              <w:rFonts w:hint="eastAsia"/>
              <w:sz w:val="28"/>
              <w:szCs w:val="28"/>
              <w:lang w:val="en-US" w:eastAsia="zh-CN"/>
            </w:rPr>
            <w:t xml:space="preserve"> </w:t>
          </w:r>
          <w:r>
            <w:rPr>
              <w:rFonts w:hint="eastAsia"/>
              <w:sz w:val="28"/>
              <w:szCs w:val="28"/>
              <w:lang w:eastAsia="zh-CN"/>
            </w:rPr>
            <w:t>竞争性谈判公告</w:t>
          </w:r>
          <w:r>
            <w:rPr>
              <w:sz w:val="28"/>
              <w:szCs w:val="28"/>
            </w:rPr>
            <w:fldChar w:fldCharType="end"/>
          </w:r>
        </w:p>
        <w:p w14:paraId="06A42858">
          <w:pPr>
            <w:pStyle w:val="5"/>
            <w:bidi w:val="0"/>
            <w:spacing w:line="360" w:lineRule="auto"/>
            <w:rPr>
              <w:rFonts w:hint="eastAsia"/>
              <w:sz w:val="28"/>
              <w:szCs w:val="28"/>
              <w:lang w:eastAsia="zh-CN"/>
            </w:rPr>
          </w:pPr>
          <w:r>
            <w:rPr>
              <w:sz w:val="28"/>
              <w:szCs w:val="28"/>
            </w:rPr>
            <w:t>第二章</w:t>
          </w:r>
          <w:r>
            <w:rPr>
              <w:rFonts w:hint="eastAsia"/>
              <w:sz w:val="28"/>
              <w:szCs w:val="28"/>
              <w:lang w:val="en-US" w:eastAsia="zh-CN"/>
            </w:rPr>
            <w:t xml:space="preserve"> </w:t>
          </w:r>
          <w:r>
            <w:rPr>
              <w:sz w:val="28"/>
              <w:szCs w:val="28"/>
            </w:rPr>
            <w:t>采购需求</w:t>
          </w:r>
        </w:p>
        <w:p w14:paraId="1C865CAD">
          <w:pPr>
            <w:pStyle w:val="5"/>
            <w:bidi w:val="0"/>
            <w:spacing w:line="360" w:lineRule="auto"/>
            <w:rPr>
              <w:rFonts w:hint="eastAsia"/>
              <w:sz w:val="28"/>
              <w:szCs w:val="28"/>
              <w:lang w:eastAsia="zh-CN"/>
            </w:rPr>
          </w:pPr>
          <w:r>
            <w:rPr>
              <w:sz w:val="28"/>
              <w:szCs w:val="28"/>
            </w:rPr>
            <w:t>第三章</w:t>
          </w:r>
          <w:r>
            <w:rPr>
              <w:rFonts w:hint="eastAsia"/>
              <w:sz w:val="28"/>
              <w:szCs w:val="28"/>
              <w:lang w:val="en-US" w:eastAsia="zh-CN"/>
            </w:rPr>
            <w:t xml:space="preserve"> </w:t>
          </w:r>
          <w:r>
            <w:rPr>
              <w:sz w:val="28"/>
              <w:szCs w:val="28"/>
            </w:rPr>
            <w:t>供应商须知</w:t>
          </w:r>
        </w:p>
        <w:p w14:paraId="0B598676">
          <w:pPr>
            <w:pStyle w:val="5"/>
            <w:bidi w:val="0"/>
            <w:spacing w:line="360" w:lineRule="auto"/>
            <w:rPr>
              <w:rFonts w:hint="default"/>
              <w:sz w:val="28"/>
              <w:szCs w:val="28"/>
              <w:lang w:val="en-US" w:eastAsia="zh-CN"/>
            </w:rPr>
          </w:pPr>
          <w:r>
            <w:rPr>
              <w:sz w:val="28"/>
              <w:szCs w:val="28"/>
            </w:rPr>
            <w:t>第四章</w:t>
          </w:r>
          <w:r>
            <w:rPr>
              <w:rFonts w:hint="eastAsia"/>
              <w:sz w:val="28"/>
              <w:szCs w:val="28"/>
              <w:lang w:val="en-US" w:eastAsia="zh-CN"/>
            </w:rPr>
            <w:t xml:space="preserve"> </w:t>
          </w:r>
          <w:r>
            <w:rPr>
              <w:rFonts w:hint="eastAsia"/>
              <w:sz w:val="28"/>
              <w:szCs w:val="28"/>
              <w:lang w:eastAsia="zh-CN"/>
            </w:rPr>
            <w:t>评审程序和评定成交的标准</w:t>
          </w:r>
        </w:p>
        <w:p w14:paraId="308C3D4B">
          <w:pPr>
            <w:pStyle w:val="5"/>
            <w:bidi w:val="0"/>
            <w:spacing w:line="360" w:lineRule="auto"/>
            <w:rPr>
              <w:rFonts w:hint="default"/>
              <w:sz w:val="28"/>
              <w:szCs w:val="28"/>
              <w:lang w:val="en-US" w:eastAsia="zh-CN"/>
            </w:rPr>
          </w:pPr>
          <w:r>
            <w:rPr>
              <w:sz w:val="28"/>
              <w:szCs w:val="28"/>
            </w:rPr>
            <w:t>第五章</w:t>
          </w:r>
          <w:r>
            <w:rPr>
              <w:rFonts w:hint="eastAsia"/>
              <w:sz w:val="28"/>
              <w:szCs w:val="28"/>
              <w:lang w:val="en-US" w:eastAsia="zh-CN"/>
            </w:rPr>
            <w:t xml:space="preserve"> </w:t>
          </w:r>
          <w:r>
            <w:rPr>
              <w:rFonts w:hint="eastAsia"/>
              <w:sz w:val="28"/>
              <w:szCs w:val="28"/>
              <w:lang w:eastAsia="zh-CN"/>
            </w:rPr>
            <w:t>政府采购合同（草案）</w:t>
          </w:r>
        </w:p>
        <w:p w14:paraId="698B6695">
          <w:pPr>
            <w:pStyle w:val="5"/>
            <w:bidi w:val="0"/>
            <w:spacing w:line="360" w:lineRule="auto"/>
            <w:rPr>
              <w:sz w:val="28"/>
              <w:szCs w:val="28"/>
            </w:rPr>
          </w:pPr>
          <w:r>
            <w:rPr>
              <w:sz w:val="28"/>
              <w:szCs w:val="28"/>
            </w:rPr>
            <w:t>第六章</w:t>
          </w:r>
          <w:r>
            <w:rPr>
              <w:rFonts w:hint="eastAsia"/>
              <w:sz w:val="28"/>
              <w:szCs w:val="28"/>
              <w:lang w:val="en-US" w:eastAsia="zh-CN"/>
            </w:rPr>
            <w:t xml:space="preserve"> </w:t>
          </w:r>
          <w:r>
            <w:rPr>
              <w:sz w:val="28"/>
              <w:szCs w:val="28"/>
            </w:rPr>
            <w:t>响应文件格式</w:t>
          </w:r>
        </w:p>
      </w:sdtContent>
    </w:sdt>
    <w:p w14:paraId="6152077B">
      <w:pPr>
        <w:pStyle w:val="5"/>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050FC3DD">
      <w:pPr>
        <w:pStyle w:val="5"/>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17A2AD03">
      <w:pPr>
        <w:pStyle w:val="5"/>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234F9115">
      <w:pPr>
        <w:pStyle w:val="5"/>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06DD43D8">
      <w:pPr>
        <w:pStyle w:val="5"/>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4C5B9FF9">
      <w:pPr>
        <w:pStyle w:val="5"/>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32081826">
      <w:pPr>
        <w:pStyle w:val="5"/>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41893DD2">
      <w:pPr>
        <w:pStyle w:val="5"/>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02E75DC0">
      <w:pPr>
        <w:pStyle w:val="5"/>
        <w:keepNext w:val="0"/>
        <w:keepLines w:val="0"/>
        <w:pageBreakBefore w:val="0"/>
        <w:kinsoku/>
        <w:wordWrap w:val="0"/>
        <w:overflowPunct/>
        <w:topLinePunct w:val="0"/>
        <w:bidi w:val="0"/>
        <w:spacing w:before="358" w:line="360" w:lineRule="auto"/>
        <w:ind w:left="3129"/>
        <w:jc w:val="both"/>
        <w:rPr>
          <w:spacing w:val="-1"/>
          <w:sz w:val="36"/>
          <w:szCs w:val="36"/>
          <w14:textOutline w14:w="2306" w14:cap="flat" w14:cmpd="sng">
            <w14:solidFill>
              <w14:srgbClr w14:val="000000"/>
            </w14:solidFill>
            <w14:prstDash w14:val="solid"/>
            <w14:miter w14:val="0"/>
          </w14:textOutline>
        </w:rPr>
      </w:pPr>
    </w:p>
    <w:p w14:paraId="7BD4D269">
      <w:pPr>
        <w:pStyle w:val="5"/>
        <w:keepNext w:val="0"/>
        <w:keepLines w:val="0"/>
        <w:pageBreakBefore w:val="0"/>
        <w:kinsoku/>
        <w:wordWrap w:val="0"/>
        <w:overflowPunct/>
        <w:topLinePunct w:val="0"/>
        <w:bidi w:val="0"/>
        <w:spacing w:before="358" w:line="360" w:lineRule="auto"/>
        <w:jc w:val="center"/>
        <w:rPr>
          <w:rFonts w:hint="eastAsia" w:eastAsia="宋体"/>
          <w:sz w:val="36"/>
          <w:szCs w:val="36"/>
          <w:lang w:eastAsia="zh-CN"/>
        </w:rPr>
      </w:pPr>
      <w:r>
        <w:rPr>
          <w:spacing w:val="-1"/>
          <w:sz w:val="36"/>
          <w:szCs w:val="36"/>
          <w14:textOutline w14:w="2306" w14:cap="flat" w14:cmpd="sng">
            <w14:solidFill>
              <w14:srgbClr w14:val="000000"/>
            </w14:solidFill>
            <w14:prstDash w14:val="solid"/>
            <w14:miter w14:val="0"/>
          </w14:textOutline>
        </w:rPr>
        <w:t>第一章</w:t>
      </w:r>
      <w:r>
        <w:rPr>
          <w:rFonts w:hint="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spacing w:val="-1"/>
          <w:sz w:val="36"/>
          <w:szCs w:val="36"/>
          <w:lang w:eastAsia="zh-CN"/>
          <w14:textOutline w14:w="2306" w14:cap="flat" w14:cmpd="sng">
            <w14:solidFill>
              <w14:srgbClr w14:val="000000"/>
            </w14:solidFill>
            <w14:prstDash w14:val="solid"/>
            <w14:miter w14:val="0"/>
          </w14:textOutline>
        </w:rPr>
        <w:t>竞争性谈判公告</w:t>
      </w:r>
    </w:p>
    <w:p w14:paraId="08E4673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56" w:firstLineChars="200"/>
        <w:jc w:val="both"/>
        <w:textAlignment w:val="baseline"/>
        <w:outlineLvl w:val="1"/>
        <w:rPr>
          <w:spacing w:val="-6"/>
          <w:sz w:val="24"/>
          <w:szCs w:val="24"/>
        </w:rPr>
      </w:pPr>
      <w:r>
        <w:rPr>
          <w:spacing w:val="-6"/>
          <w:sz w:val="24"/>
          <w:szCs w:val="24"/>
        </w:rPr>
        <w:t>采购人拟就下述项目以</w:t>
      </w:r>
      <w:r>
        <w:rPr>
          <w:rFonts w:hint="eastAsia"/>
          <w:spacing w:val="-6"/>
          <w:sz w:val="24"/>
          <w:szCs w:val="24"/>
          <w:lang w:val="en-US" w:eastAsia="zh-CN"/>
        </w:rPr>
        <w:t>竞争性谈判</w:t>
      </w:r>
      <w:r>
        <w:rPr>
          <w:spacing w:val="-6"/>
          <w:sz w:val="24"/>
          <w:szCs w:val="24"/>
        </w:rPr>
        <w:t>方式组织采购活动，</w:t>
      </w:r>
      <w:r>
        <w:rPr>
          <w:rFonts w:hint="eastAsia"/>
          <w:spacing w:val="-6"/>
          <w:sz w:val="24"/>
          <w:szCs w:val="24"/>
          <w:lang w:val="en-US" w:eastAsia="zh-CN"/>
        </w:rPr>
        <w:t>欢迎潜在供应商</w:t>
      </w:r>
      <w:r>
        <w:rPr>
          <w:spacing w:val="-6"/>
          <w:sz w:val="24"/>
          <w:szCs w:val="24"/>
        </w:rPr>
        <w:t>参与本项目</w:t>
      </w:r>
      <w:r>
        <w:rPr>
          <w:rFonts w:hint="eastAsia"/>
          <w:spacing w:val="-6"/>
          <w:sz w:val="24"/>
          <w:szCs w:val="24"/>
          <w:lang w:val="en-US" w:eastAsia="zh-CN"/>
        </w:rPr>
        <w:t>谈判</w:t>
      </w:r>
      <w:r>
        <w:rPr>
          <w:spacing w:val="-6"/>
          <w:sz w:val="24"/>
          <w:szCs w:val="24"/>
        </w:rPr>
        <w:t>。</w:t>
      </w:r>
    </w:p>
    <w:p w14:paraId="0352A327">
      <w:pPr>
        <w:pStyle w:val="5"/>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1"/>
        <w:rPr>
          <w:spacing w:val="-2"/>
          <w:sz w:val="24"/>
          <w:szCs w:val="24"/>
          <w14:textOutline w14:w="1537" w14:cap="flat" w14:cmpd="sng">
            <w14:solidFill>
              <w14:srgbClr w14:val="000000"/>
            </w14:solidFill>
            <w14:prstDash w14:val="solid"/>
            <w14:miter w14:val="0"/>
          </w14:textOutline>
        </w:rPr>
      </w:pPr>
    </w:p>
    <w:p w14:paraId="0F720009">
      <w:pPr>
        <w:pStyle w:val="5"/>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outlineLvl w:val="1"/>
        <w:rPr>
          <w:sz w:val="24"/>
          <w:szCs w:val="24"/>
        </w:rPr>
      </w:pPr>
      <w:r>
        <w:rPr>
          <w:spacing w:val="-2"/>
          <w:sz w:val="24"/>
          <w:szCs w:val="24"/>
          <w14:textOutline w14:w="1537" w14:cap="flat" w14:cmpd="sng">
            <w14:solidFill>
              <w14:srgbClr w14:val="000000"/>
            </w14:solidFill>
            <w14:prstDash w14:val="solid"/>
            <w14:miter w14:val="0"/>
          </w14:textOutline>
        </w:rPr>
        <w:t>一、项目基本情况</w:t>
      </w:r>
    </w:p>
    <w:p w14:paraId="0869F28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5"/>
          <w:sz w:val="24"/>
          <w:szCs w:val="24"/>
        </w:rPr>
        <w:t>1.项目编号：南阳政采谈判-2026-7</w:t>
      </w:r>
    </w:p>
    <w:p w14:paraId="65961B4D">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3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2.项目名称：南阳医学高等专科学校综合型考试实训基地2期（医学影像数智化虚拟仿真实训基地）建设项目</w:t>
      </w:r>
    </w:p>
    <w:p w14:paraId="474F3E7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3.项目预算金额：</w:t>
      </w:r>
      <w:r>
        <w:rPr>
          <w:rFonts w:hint="eastAsia" w:asciiTheme="minorEastAsia" w:hAnsiTheme="minorEastAsia" w:eastAsiaTheme="minorEastAsia" w:cstheme="minorEastAsia"/>
          <w:spacing w:val="-14"/>
          <w:sz w:val="24"/>
          <w:szCs w:val="24"/>
          <w:u w:val="single"/>
          <w:lang w:val="en-US" w:eastAsia="zh-CN"/>
        </w:rPr>
        <w:t xml:space="preserve"> 89.18 </w:t>
      </w:r>
      <w:r>
        <w:rPr>
          <w:rFonts w:hint="eastAsia" w:asciiTheme="minorEastAsia" w:hAnsiTheme="minorEastAsia" w:eastAsiaTheme="minorEastAsia" w:cstheme="minorEastAsia"/>
          <w:spacing w:val="-14"/>
          <w:sz w:val="24"/>
          <w:szCs w:val="24"/>
        </w:rPr>
        <w:t>万元、项目最高限价（如有</w:t>
      </w:r>
      <w:r>
        <w:rPr>
          <w:rFonts w:hint="eastAsia" w:asciiTheme="minorEastAsia" w:hAnsiTheme="minorEastAsia" w:eastAsiaTheme="minorEastAsia" w:cstheme="minorEastAsia"/>
          <w:spacing w:val="5"/>
          <w:sz w:val="24"/>
          <w:szCs w:val="24"/>
        </w:rPr>
        <w:t>）：</w:t>
      </w:r>
      <w:r>
        <w:rPr>
          <w:rFonts w:hint="eastAsia" w:asciiTheme="minorEastAsia" w:hAnsiTheme="minorEastAsia" w:eastAsiaTheme="minorEastAsia" w:cstheme="minorEastAsia"/>
          <w:spacing w:val="5"/>
          <w:sz w:val="24"/>
          <w:szCs w:val="24"/>
          <w:u w:val="single"/>
          <w:lang w:val="en-US" w:eastAsia="zh-CN"/>
        </w:rPr>
        <w:t xml:space="preserve"> 89.18 </w:t>
      </w:r>
      <w:r>
        <w:rPr>
          <w:rFonts w:hint="eastAsia" w:asciiTheme="minorEastAsia" w:hAnsiTheme="minorEastAsia" w:eastAsiaTheme="minorEastAsia" w:cstheme="minorEastAsia"/>
          <w:spacing w:val="-14"/>
          <w:sz w:val="24"/>
          <w:szCs w:val="24"/>
        </w:rPr>
        <w:t>万元</w:t>
      </w:r>
    </w:p>
    <w:p w14:paraId="73B7FBA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4.采购需求：</w:t>
      </w:r>
    </w:p>
    <w:tbl>
      <w:tblPr>
        <w:tblStyle w:val="19"/>
        <w:tblW w:w="81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35"/>
        <w:gridCol w:w="4215"/>
        <w:gridCol w:w="2321"/>
      </w:tblGrid>
      <w:tr w14:paraId="168AF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1635" w:type="dxa"/>
            <w:vAlign w:val="center"/>
          </w:tcPr>
          <w:p w14:paraId="3AFA1575">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包号</w:t>
            </w:r>
          </w:p>
        </w:tc>
        <w:tc>
          <w:tcPr>
            <w:tcW w:w="4215" w:type="dxa"/>
            <w:vAlign w:val="center"/>
          </w:tcPr>
          <w:p w14:paraId="510117BA">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包</w:t>
            </w:r>
            <w:r>
              <w:rPr>
                <w:rFonts w:hint="eastAsia" w:asciiTheme="minorEastAsia" w:hAnsiTheme="minorEastAsia" w:eastAsiaTheme="minorEastAsia" w:cstheme="minorEastAsia"/>
                <w:spacing w:val="7"/>
                <w:sz w:val="24"/>
                <w:szCs w:val="24"/>
              </w:rPr>
              <w:t>名称</w:t>
            </w:r>
          </w:p>
        </w:tc>
        <w:tc>
          <w:tcPr>
            <w:tcW w:w="2321" w:type="dxa"/>
            <w:vAlign w:val="center"/>
          </w:tcPr>
          <w:p w14:paraId="38DB1FED">
            <w:pPr>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包预算</w:t>
            </w:r>
            <w:r>
              <w:rPr>
                <w:rFonts w:hint="eastAsia" w:asciiTheme="minorEastAsia" w:hAnsiTheme="minorEastAsia" w:eastAsiaTheme="minorEastAsia" w:cstheme="minorEastAsia"/>
                <w:sz w:val="24"/>
                <w:szCs w:val="24"/>
              </w:rPr>
              <w:t>（元）</w:t>
            </w:r>
          </w:p>
        </w:tc>
      </w:tr>
      <w:tr w14:paraId="592DC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635" w:type="dxa"/>
            <w:vAlign w:val="center"/>
          </w:tcPr>
          <w:p w14:paraId="19E5076B">
            <w:pPr>
              <w:pStyle w:val="20"/>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lang w:val="en-US" w:eastAsia="zh-CN"/>
              </w:rPr>
              <w:t>南阳政采谈判-2026-7-</w:t>
            </w:r>
            <w:r>
              <w:rPr>
                <w:rFonts w:hint="eastAsia" w:asciiTheme="minorEastAsia" w:hAnsiTheme="minorEastAsia" w:eastAsiaTheme="minorEastAsia" w:cstheme="minorEastAsia"/>
                <w:spacing w:val="14"/>
                <w:sz w:val="24"/>
                <w:szCs w:val="24"/>
              </w:rPr>
              <w:t>1</w:t>
            </w:r>
          </w:p>
        </w:tc>
        <w:tc>
          <w:tcPr>
            <w:tcW w:w="4215" w:type="dxa"/>
            <w:vAlign w:val="center"/>
          </w:tcPr>
          <w:p w14:paraId="589EE9C0">
            <w:pPr>
              <w:pStyle w:val="20"/>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南阳医学高等专科学校综合型考试实训基地2期（医学影像数智化虚拟仿真实训基地）建设项目</w:t>
            </w:r>
          </w:p>
        </w:tc>
        <w:tc>
          <w:tcPr>
            <w:tcW w:w="2321" w:type="dxa"/>
            <w:vAlign w:val="center"/>
          </w:tcPr>
          <w:p w14:paraId="04DF4E61">
            <w:pPr>
              <w:pStyle w:val="20"/>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891800</w:t>
            </w:r>
          </w:p>
        </w:tc>
      </w:tr>
    </w:tbl>
    <w:p w14:paraId="2F71D1E9">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left"/>
        <w:textAlignment w:val="baseline"/>
        <w:rPr>
          <w:rFonts w:hint="default"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5.采购清单</w:t>
      </w:r>
    </w:p>
    <w:tbl>
      <w:tblPr>
        <w:tblStyle w:val="13"/>
        <w:tblW w:w="8175"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Layout w:type="fixed"/>
        <w:tblCellMar>
          <w:top w:w="0" w:type="dxa"/>
          <w:left w:w="108" w:type="dxa"/>
          <w:bottom w:w="0" w:type="dxa"/>
          <w:right w:w="108" w:type="dxa"/>
        </w:tblCellMar>
      </w:tblPr>
      <w:tblGrid>
        <w:gridCol w:w="1632"/>
        <w:gridCol w:w="3855"/>
        <w:gridCol w:w="1365"/>
        <w:gridCol w:w="1323"/>
      </w:tblGrid>
      <w:tr w14:paraId="5084B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679FC398">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序号</w:t>
            </w:r>
          </w:p>
        </w:tc>
        <w:tc>
          <w:tcPr>
            <w:tcW w:w="3855" w:type="dxa"/>
            <w:shd w:val="clear" w:color="000000" w:fill="FFFFFF"/>
            <w:noWrap w:val="0"/>
            <w:vAlign w:val="center"/>
          </w:tcPr>
          <w:p w14:paraId="53011E2B">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名称</w:t>
            </w:r>
          </w:p>
        </w:tc>
        <w:tc>
          <w:tcPr>
            <w:tcW w:w="1365" w:type="dxa"/>
            <w:shd w:val="clear" w:color="000000" w:fill="FFFFFF"/>
            <w:noWrap w:val="0"/>
            <w:vAlign w:val="center"/>
          </w:tcPr>
          <w:p w14:paraId="59727A51">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单位</w:t>
            </w:r>
          </w:p>
        </w:tc>
        <w:tc>
          <w:tcPr>
            <w:tcW w:w="1323" w:type="dxa"/>
            <w:shd w:val="clear" w:color="000000" w:fill="FFFFFF"/>
            <w:noWrap w:val="0"/>
            <w:vAlign w:val="center"/>
          </w:tcPr>
          <w:p w14:paraId="7C982452">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b/>
                <w:bCs/>
                <w:color w:val="000000"/>
                <w:sz w:val="24"/>
                <w:szCs w:val="24"/>
                <w:lang w:bidi="ar"/>
              </w:rPr>
            </w:pPr>
            <w:r>
              <w:rPr>
                <w:rFonts w:hint="eastAsia" w:ascii="宋体" w:hAnsi="宋体" w:eastAsia="宋体" w:cs="宋体"/>
                <w:b/>
                <w:bCs/>
                <w:color w:val="000000"/>
                <w:sz w:val="24"/>
                <w:szCs w:val="24"/>
                <w:lang w:bidi="ar"/>
              </w:rPr>
              <w:t>数量</w:t>
            </w:r>
          </w:p>
        </w:tc>
      </w:tr>
      <w:tr w14:paraId="1AA4C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1B76634A">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1</w:t>
            </w:r>
          </w:p>
        </w:tc>
        <w:tc>
          <w:tcPr>
            <w:tcW w:w="3855" w:type="dxa"/>
            <w:shd w:val="clear" w:color="000000" w:fill="FFFFFF"/>
            <w:noWrap w:val="0"/>
            <w:vAlign w:val="center"/>
          </w:tcPr>
          <w:p w14:paraId="06B61DAE">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计算机（学生机）</w:t>
            </w:r>
          </w:p>
        </w:tc>
        <w:tc>
          <w:tcPr>
            <w:tcW w:w="1365" w:type="dxa"/>
            <w:shd w:val="clear" w:color="000000" w:fill="FFFFFF"/>
            <w:noWrap w:val="0"/>
            <w:vAlign w:val="center"/>
          </w:tcPr>
          <w:p w14:paraId="41C5DF83">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323" w:type="dxa"/>
            <w:shd w:val="clear" w:color="000000" w:fill="FFFFFF"/>
            <w:noWrap w:val="0"/>
            <w:vAlign w:val="center"/>
          </w:tcPr>
          <w:p w14:paraId="19DD2B54">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72</w:t>
            </w:r>
          </w:p>
        </w:tc>
      </w:tr>
      <w:tr w14:paraId="2218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4D174216">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3855" w:type="dxa"/>
            <w:shd w:val="clear" w:color="000000" w:fill="FFFFFF"/>
            <w:noWrap w:val="0"/>
            <w:vAlign w:val="center"/>
          </w:tcPr>
          <w:p w14:paraId="3996520D">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计算机（教师机）</w:t>
            </w:r>
          </w:p>
        </w:tc>
        <w:tc>
          <w:tcPr>
            <w:tcW w:w="1365" w:type="dxa"/>
            <w:shd w:val="clear" w:color="000000" w:fill="FFFFFF"/>
            <w:noWrap w:val="0"/>
            <w:vAlign w:val="center"/>
          </w:tcPr>
          <w:p w14:paraId="086E20BA">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323" w:type="dxa"/>
            <w:shd w:val="clear" w:color="000000" w:fill="FFFFFF"/>
            <w:noWrap w:val="0"/>
            <w:vAlign w:val="center"/>
          </w:tcPr>
          <w:p w14:paraId="607AC448">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41646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6CA6757F">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3855" w:type="dxa"/>
            <w:shd w:val="clear" w:color="000000" w:fill="FFFFFF"/>
            <w:noWrap w:val="0"/>
            <w:vAlign w:val="center"/>
          </w:tcPr>
          <w:p w14:paraId="30CBD8DC">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管理软件</w:t>
            </w:r>
          </w:p>
        </w:tc>
        <w:tc>
          <w:tcPr>
            <w:tcW w:w="1365" w:type="dxa"/>
            <w:shd w:val="clear" w:color="000000" w:fill="FFFFFF"/>
            <w:noWrap w:val="0"/>
            <w:vAlign w:val="center"/>
          </w:tcPr>
          <w:p w14:paraId="60080D1A">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323" w:type="dxa"/>
            <w:shd w:val="clear" w:color="000000" w:fill="FFFFFF"/>
            <w:noWrap w:val="0"/>
            <w:vAlign w:val="center"/>
          </w:tcPr>
          <w:p w14:paraId="11C29047">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72</w:t>
            </w:r>
          </w:p>
        </w:tc>
      </w:tr>
      <w:tr w14:paraId="4994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735324FD">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3855" w:type="dxa"/>
            <w:shd w:val="clear" w:color="000000" w:fill="FFFFFF"/>
            <w:noWrap w:val="0"/>
            <w:vAlign w:val="center"/>
          </w:tcPr>
          <w:p w14:paraId="13CD8B67">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交换机</w:t>
            </w:r>
          </w:p>
        </w:tc>
        <w:tc>
          <w:tcPr>
            <w:tcW w:w="1365" w:type="dxa"/>
            <w:shd w:val="clear" w:color="000000" w:fill="FFFFFF"/>
            <w:noWrap w:val="0"/>
            <w:vAlign w:val="center"/>
          </w:tcPr>
          <w:p w14:paraId="78340D58">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台</w:t>
            </w:r>
          </w:p>
        </w:tc>
        <w:tc>
          <w:tcPr>
            <w:tcW w:w="1323" w:type="dxa"/>
            <w:shd w:val="clear" w:color="000000" w:fill="FFFFFF"/>
            <w:noWrap w:val="0"/>
            <w:vAlign w:val="center"/>
          </w:tcPr>
          <w:p w14:paraId="0AF4233A">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364F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5E3A107D">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3855" w:type="dxa"/>
            <w:shd w:val="clear" w:color="000000" w:fill="FFFFFF"/>
            <w:noWrap w:val="0"/>
            <w:vAlign w:val="center"/>
          </w:tcPr>
          <w:p w14:paraId="36A8D409">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机柜</w:t>
            </w:r>
          </w:p>
        </w:tc>
        <w:tc>
          <w:tcPr>
            <w:tcW w:w="1365" w:type="dxa"/>
            <w:shd w:val="clear" w:color="000000" w:fill="FFFFFF"/>
            <w:noWrap w:val="0"/>
            <w:vAlign w:val="center"/>
          </w:tcPr>
          <w:p w14:paraId="24CFBF3E">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个</w:t>
            </w:r>
          </w:p>
        </w:tc>
        <w:tc>
          <w:tcPr>
            <w:tcW w:w="1323" w:type="dxa"/>
            <w:shd w:val="clear" w:color="000000" w:fill="FFFFFF"/>
            <w:noWrap w:val="0"/>
            <w:vAlign w:val="center"/>
          </w:tcPr>
          <w:p w14:paraId="7A67CBA2">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4EFA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12468777">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3855" w:type="dxa"/>
            <w:shd w:val="clear" w:color="000000" w:fill="FFFFFF"/>
            <w:noWrap w:val="0"/>
            <w:vAlign w:val="center"/>
          </w:tcPr>
          <w:p w14:paraId="2B6CE5A3">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学生桌椅</w:t>
            </w:r>
          </w:p>
        </w:tc>
        <w:tc>
          <w:tcPr>
            <w:tcW w:w="1365" w:type="dxa"/>
            <w:shd w:val="clear" w:color="000000" w:fill="FFFFFF"/>
            <w:noWrap w:val="0"/>
            <w:vAlign w:val="center"/>
          </w:tcPr>
          <w:p w14:paraId="19ECA6FB">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组</w:t>
            </w:r>
          </w:p>
        </w:tc>
        <w:tc>
          <w:tcPr>
            <w:tcW w:w="1323" w:type="dxa"/>
            <w:shd w:val="clear" w:color="000000" w:fill="FFFFFF"/>
            <w:noWrap w:val="0"/>
            <w:vAlign w:val="center"/>
          </w:tcPr>
          <w:p w14:paraId="3CA80579">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70</w:t>
            </w:r>
          </w:p>
        </w:tc>
      </w:tr>
      <w:tr w14:paraId="69655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1DFA3385">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3855" w:type="dxa"/>
            <w:shd w:val="clear" w:color="000000" w:fill="FFFFFF"/>
            <w:noWrap w:val="0"/>
            <w:vAlign w:val="center"/>
          </w:tcPr>
          <w:p w14:paraId="690B1801">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机房音响功放设备</w:t>
            </w:r>
          </w:p>
        </w:tc>
        <w:tc>
          <w:tcPr>
            <w:tcW w:w="1365" w:type="dxa"/>
            <w:shd w:val="clear" w:color="000000" w:fill="FFFFFF"/>
            <w:noWrap w:val="0"/>
            <w:vAlign w:val="center"/>
          </w:tcPr>
          <w:p w14:paraId="7470A1A4">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323" w:type="dxa"/>
            <w:shd w:val="clear" w:color="000000" w:fill="FFFFFF"/>
            <w:noWrap w:val="0"/>
            <w:vAlign w:val="center"/>
          </w:tcPr>
          <w:p w14:paraId="719AF648">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2F5B7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5AF50FB0">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3855" w:type="dxa"/>
            <w:shd w:val="clear" w:color="000000" w:fill="FFFFFF"/>
            <w:noWrap w:val="0"/>
            <w:vAlign w:val="center"/>
          </w:tcPr>
          <w:p w14:paraId="5E4E92BF">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多功能教师桌</w:t>
            </w:r>
          </w:p>
        </w:tc>
        <w:tc>
          <w:tcPr>
            <w:tcW w:w="1365" w:type="dxa"/>
            <w:shd w:val="clear" w:color="000000" w:fill="FFFFFF"/>
            <w:noWrap w:val="0"/>
            <w:vAlign w:val="center"/>
          </w:tcPr>
          <w:p w14:paraId="69B1B7E5">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323" w:type="dxa"/>
            <w:shd w:val="clear" w:color="000000" w:fill="FFFFFF"/>
            <w:noWrap w:val="0"/>
            <w:vAlign w:val="center"/>
          </w:tcPr>
          <w:p w14:paraId="32C30E92">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6551D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445CD95A">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3855" w:type="dxa"/>
            <w:shd w:val="clear" w:color="000000" w:fill="FFFFFF"/>
            <w:noWrap w:val="0"/>
            <w:vAlign w:val="center"/>
          </w:tcPr>
          <w:p w14:paraId="7910AB02">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医学影像VR教学中心</w:t>
            </w:r>
          </w:p>
        </w:tc>
        <w:tc>
          <w:tcPr>
            <w:tcW w:w="1365" w:type="dxa"/>
            <w:shd w:val="clear" w:color="000000" w:fill="FFFFFF"/>
            <w:noWrap w:val="0"/>
            <w:vAlign w:val="center"/>
          </w:tcPr>
          <w:p w14:paraId="109083DB">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323" w:type="dxa"/>
            <w:shd w:val="clear" w:color="000000" w:fill="FFFFFF"/>
            <w:noWrap w:val="0"/>
            <w:vAlign w:val="center"/>
          </w:tcPr>
          <w:p w14:paraId="087B7F12">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r>
      <w:tr w14:paraId="574E6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66388D56">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3855" w:type="dxa"/>
            <w:shd w:val="clear" w:color="000000" w:fill="FFFFFF"/>
            <w:noWrap w:val="0"/>
            <w:vAlign w:val="center"/>
          </w:tcPr>
          <w:p w14:paraId="67293D57">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可拼接式会议桌</w:t>
            </w:r>
          </w:p>
        </w:tc>
        <w:tc>
          <w:tcPr>
            <w:tcW w:w="1365" w:type="dxa"/>
            <w:shd w:val="clear" w:color="000000" w:fill="FFFFFF"/>
            <w:noWrap w:val="0"/>
            <w:vAlign w:val="center"/>
          </w:tcPr>
          <w:p w14:paraId="2663304C">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323" w:type="dxa"/>
            <w:shd w:val="clear" w:color="000000" w:fill="FFFFFF"/>
            <w:noWrap w:val="0"/>
            <w:vAlign w:val="center"/>
          </w:tcPr>
          <w:p w14:paraId="62FA03CA">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p>
        </w:tc>
      </w:tr>
      <w:tr w14:paraId="1D459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3BB643C8">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3855" w:type="dxa"/>
            <w:shd w:val="clear" w:color="000000" w:fill="FFFFFF"/>
            <w:noWrap w:val="0"/>
            <w:vAlign w:val="center"/>
          </w:tcPr>
          <w:p w14:paraId="0A8310D0">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门厅装修</w:t>
            </w:r>
          </w:p>
        </w:tc>
        <w:tc>
          <w:tcPr>
            <w:tcW w:w="1365" w:type="dxa"/>
            <w:shd w:val="clear" w:color="000000" w:fill="FFFFFF"/>
            <w:noWrap w:val="0"/>
            <w:vAlign w:val="center"/>
          </w:tcPr>
          <w:p w14:paraId="1288F11D">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323" w:type="dxa"/>
            <w:shd w:val="clear" w:color="000000" w:fill="FFFFFF"/>
            <w:noWrap w:val="0"/>
            <w:vAlign w:val="center"/>
          </w:tcPr>
          <w:p w14:paraId="015489E8">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p>
        </w:tc>
      </w:tr>
      <w:tr w14:paraId="3C58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73CE131B">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3855" w:type="dxa"/>
            <w:shd w:val="clear" w:color="000000" w:fill="FFFFFF"/>
            <w:noWrap w:val="0"/>
            <w:vAlign w:val="center"/>
          </w:tcPr>
          <w:p w14:paraId="173B7CB4">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电动门+门禁</w:t>
            </w:r>
          </w:p>
        </w:tc>
        <w:tc>
          <w:tcPr>
            <w:tcW w:w="1365" w:type="dxa"/>
            <w:shd w:val="clear" w:color="000000" w:fill="FFFFFF"/>
            <w:noWrap w:val="0"/>
            <w:vAlign w:val="center"/>
          </w:tcPr>
          <w:p w14:paraId="4A714F62">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323" w:type="dxa"/>
            <w:shd w:val="clear" w:color="000000" w:fill="FFFFFF"/>
            <w:noWrap w:val="0"/>
            <w:vAlign w:val="center"/>
          </w:tcPr>
          <w:p w14:paraId="6369B3F4">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p>
        </w:tc>
      </w:tr>
      <w:tr w14:paraId="6470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000000" w:fill="FFFFFF"/>
          <w:tblCellMar>
            <w:top w:w="0" w:type="dxa"/>
            <w:left w:w="108" w:type="dxa"/>
            <w:bottom w:w="0" w:type="dxa"/>
            <w:right w:w="108" w:type="dxa"/>
          </w:tblCellMar>
        </w:tblPrEx>
        <w:trPr>
          <w:trHeight w:val="454" w:hRule="exact"/>
        </w:trPr>
        <w:tc>
          <w:tcPr>
            <w:tcW w:w="1632" w:type="dxa"/>
            <w:shd w:val="clear" w:color="000000" w:fill="FFFFFF"/>
            <w:noWrap w:val="0"/>
            <w:vAlign w:val="center"/>
          </w:tcPr>
          <w:p w14:paraId="587C02AB">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3855" w:type="dxa"/>
            <w:shd w:val="clear" w:color="000000" w:fill="FFFFFF"/>
            <w:noWrap w:val="0"/>
            <w:vAlign w:val="center"/>
          </w:tcPr>
          <w:p w14:paraId="08C1817A">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电子门牌</w:t>
            </w:r>
          </w:p>
        </w:tc>
        <w:tc>
          <w:tcPr>
            <w:tcW w:w="1365" w:type="dxa"/>
            <w:shd w:val="clear" w:color="000000" w:fill="FFFFFF"/>
            <w:noWrap w:val="0"/>
            <w:vAlign w:val="center"/>
          </w:tcPr>
          <w:p w14:paraId="338BFD88">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套</w:t>
            </w:r>
          </w:p>
        </w:tc>
        <w:tc>
          <w:tcPr>
            <w:tcW w:w="1323" w:type="dxa"/>
            <w:shd w:val="clear" w:color="000000" w:fill="FFFFFF"/>
            <w:noWrap w:val="0"/>
            <w:vAlign w:val="center"/>
          </w:tcPr>
          <w:p w14:paraId="704EC88D">
            <w:pPr>
              <w:keepNext w:val="0"/>
              <w:keepLines w:val="0"/>
              <w:pageBreakBefore w:val="0"/>
              <w:widowControl/>
              <w:tabs>
                <w:tab w:val="left" w:pos="0"/>
              </w:tabs>
              <w:kinsoku/>
              <w:wordWrap w:val="0"/>
              <w:overflowPunct/>
              <w:topLinePunct w:val="0"/>
              <w:autoSpaceDE w:val="0"/>
              <w:autoSpaceDN w:val="0"/>
              <w:bidi w:val="0"/>
              <w:adjustRightInd w:val="0"/>
              <w:snapToGrid w:val="0"/>
              <w:spacing w:line="360" w:lineRule="auto"/>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16</w:t>
            </w:r>
          </w:p>
        </w:tc>
      </w:tr>
    </w:tbl>
    <w:p w14:paraId="4926084B">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spacing w:val="-25"/>
          <w:sz w:val="24"/>
          <w:szCs w:val="24"/>
          <w:lang w:val="en-US" w:eastAsia="zh-CN"/>
        </w:rPr>
      </w:pPr>
      <w:r>
        <w:rPr>
          <w:rFonts w:hint="eastAsia" w:asciiTheme="minorEastAsia" w:hAnsiTheme="minorEastAsia" w:eastAsiaTheme="minorEastAsia" w:cstheme="minorEastAsia"/>
          <w:spacing w:val="-25"/>
          <w:sz w:val="24"/>
          <w:szCs w:val="24"/>
          <w:lang w:val="en-US" w:eastAsia="zh-CN"/>
        </w:rPr>
        <w:t>注：采购清单中的强制节能产品：计算机（学生机）、计算机（教师机）。</w:t>
      </w:r>
    </w:p>
    <w:p w14:paraId="7D156A8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5"/>
          <w:sz w:val="24"/>
          <w:szCs w:val="24"/>
          <w:lang w:val="en-US" w:eastAsia="zh-CN"/>
        </w:rPr>
        <w:t>6</w:t>
      </w:r>
      <w:r>
        <w:rPr>
          <w:rFonts w:hint="eastAsia" w:asciiTheme="minorEastAsia" w:hAnsiTheme="minorEastAsia" w:eastAsiaTheme="minorEastAsia" w:cstheme="minorEastAsia"/>
          <w:spacing w:val="-5"/>
          <w:sz w:val="24"/>
          <w:szCs w:val="24"/>
        </w:rPr>
        <w:t>.合同履行期限：合同签订后30日内安装调试完成</w:t>
      </w:r>
      <w:r>
        <w:rPr>
          <w:rFonts w:hint="eastAsia" w:asciiTheme="minorEastAsia" w:hAnsiTheme="minorEastAsia" w:eastAsiaTheme="minorEastAsia" w:cstheme="minorEastAsia"/>
          <w:spacing w:val="-5"/>
          <w:sz w:val="24"/>
          <w:szCs w:val="24"/>
          <w:lang w:eastAsia="zh-CN"/>
        </w:rPr>
        <w:t>；</w:t>
      </w:r>
    </w:p>
    <w:p w14:paraId="16F14F6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Chars="200" w:right="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.本项目是否接受联合体：</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是</w:t>
      </w:r>
      <w:r>
        <w:rPr>
          <w:rFonts w:hint="eastAsia" w:asciiTheme="minorEastAsia" w:hAnsiTheme="minorEastAsia" w:eastAsiaTheme="minorEastAsia" w:cstheme="minorEastAsia"/>
          <w:spacing w:val="-2"/>
          <w:sz w:val="24"/>
          <w:szCs w:val="24"/>
          <w:lang w:eastAsia="zh-CN"/>
        </w:rPr>
        <w:t>☑</w:t>
      </w:r>
      <w:r>
        <w:rPr>
          <w:rFonts w:hint="eastAsia" w:asciiTheme="minorEastAsia" w:hAnsiTheme="minorEastAsia" w:eastAsiaTheme="minorEastAsia" w:cstheme="minorEastAsia"/>
          <w:spacing w:val="-2"/>
          <w:sz w:val="24"/>
          <w:szCs w:val="24"/>
        </w:rPr>
        <w:t>否。</w:t>
      </w:r>
    </w:p>
    <w:p w14:paraId="153DDD5C">
      <w:pPr>
        <w:pStyle w:val="5"/>
        <w:keepNext w:val="0"/>
        <w:keepLines w:val="0"/>
        <w:pageBreakBefore w:val="0"/>
        <w:widowControl/>
        <w:kinsoku/>
        <w:wordWrap w:val="0"/>
        <w:overflowPunct/>
        <w:topLinePunct w:val="0"/>
        <w:bidi w:val="0"/>
        <w:spacing w:line="360" w:lineRule="auto"/>
        <w:jc w:val="both"/>
        <w:outlineLvl w:val="1"/>
        <w:rPr>
          <w:spacing w:val="-1"/>
          <w:sz w:val="24"/>
          <w:szCs w:val="24"/>
          <w14:textOutline w14:w="1537" w14:cap="flat" w14:cmpd="sng">
            <w14:solidFill>
              <w14:srgbClr w14:val="000000"/>
            </w14:solidFill>
            <w14:prstDash w14:val="solid"/>
            <w14:miter w14:val="0"/>
          </w14:textOutline>
        </w:rPr>
      </w:pPr>
    </w:p>
    <w:p w14:paraId="29F8A302">
      <w:pPr>
        <w:pStyle w:val="5"/>
        <w:keepNext w:val="0"/>
        <w:keepLines w:val="0"/>
        <w:pageBreakBefore w:val="0"/>
        <w:widowControl/>
        <w:kinsoku/>
        <w:wordWrap w:val="0"/>
        <w:overflowPunct/>
        <w:topLinePunct w:val="0"/>
        <w:bidi w:val="0"/>
        <w:spacing w:line="360" w:lineRule="auto"/>
        <w:jc w:val="both"/>
        <w:outlineLvl w:val="1"/>
        <w:rPr>
          <w:sz w:val="24"/>
          <w:szCs w:val="24"/>
        </w:rPr>
      </w:pPr>
      <w:r>
        <w:rPr>
          <w:spacing w:val="-1"/>
          <w:sz w:val="24"/>
          <w:szCs w:val="24"/>
          <w14:textOutline w14:w="1537" w14:cap="flat" w14:cmpd="sng">
            <w14:solidFill>
              <w14:srgbClr w14:val="000000"/>
            </w14:solidFill>
            <w14:prstDash w14:val="solid"/>
            <w14:miter w14:val="0"/>
          </w14:textOutline>
        </w:rPr>
        <w:t>二、申请人的资格要求（须同时满足）</w:t>
      </w:r>
    </w:p>
    <w:p w14:paraId="2186F28B">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1.注册于中华人民共和国境内，具有独立承担民事责任能力；</w:t>
      </w:r>
    </w:p>
    <w:p w14:paraId="773DBEA7">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2.具有良好的商业信誉和健全的财务会计制度；</w:t>
      </w:r>
    </w:p>
    <w:p w14:paraId="1375702B">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3.具有履行合同所必需的设备和专业技术能力；</w:t>
      </w:r>
    </w:p>
    <w:p w14:paraId="36105343">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4.有依法缴纳税收和社会保障资金的良好记录；</w:t>
      </w:r>
    </w:p>
    <w:p w14:paraId="31BE7506">
      <w:pPr>
        <w:keepNext w:val="0"/>
        <w:keepLines w:val="0"/>
        <w:pageBreakBefore w:val="0"/>
        <w:widowControl/>
        <w:kinsoku/>
        <w:wordWrap w:val="0"/>
        <w:overflowPunct/>
        <w:topLinePunct w:val="0"/>
        <w:autoSpaceDE/>
        <w:autoSpaceDN/>
        <w:bidi w:val="0"/>
        <w:adjustRightInd/>
        <w:snapToGrid/>
        <w:spacing w:line="360" w:lineRule="auto"/>
        <w:ind w:left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5.参加政府采购活动前三年内，在经营活动中没有重大违法记录；</w:t>
      </w:r>
    </w:p>
    <w:p w14:paraId="53FFE7F3">
      <w:pPr>
        <w:keepNext w:val="0"/>
        <w:keepLines w:val="0"/>
        <w:pageBreakBefore w:val="0"/>
        <w:kinsoku/>
        <w:wordWrap w:val="0"/>
        <w:overflowPunct/>
        <w:topLinePunct w:val="0"/>
        <w:autoSpaceDE/>
        <w:autoSpaceDN/>
        <w:bidi w:val="0"/>
        <w:adjustRightInd/>
        <w:snapToGrid/>
        <w:spacing w:line="360" w:lineRule="auto"/>
        <w:ind w:firstLine="424" w:firstLineChars="200"/>
        <w:jc w:val="both"/>
        <w:textAlignment w:val="auto"/>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6.根据《关于在政府采购活动中查询及使用信用记录有关问题的通知》(财库</w:t>
      </w:r>
      <w:r>
        <w:rPr>
          <w:rFonts w:hint="eastAsia" w:asciiTheme="minorEastAsia" w:hAnsiTheme="minorEastAsia" w:eastAsiaTheme="minorEastAsia" w:cstheme="minorEastAsia"/>
          <w:spacing w:val="-2"/>
          <w:sz w:val="24"/>
          <w:szCs w:val="24"/>
          <w:lang w:val="en-US" w:eastAsia="zh-CN"/>
        </w:rPr>
        <w:t>〔2016〕</w:t>
      </w:r>
      <w:r>
        <w:rPr>
          <w:rFonts w:hint="eastAsia" w:asciiTheme="minorEastAsia" w:hAnsiTheme="minorEastAsia" w:eastAsiaTheme="minorEastAsia" w:cstheme="minorEastAsia"/>
          <w:snapToGrid w:val="0"/>
          <w:color w:val="000000"/>
          <w:spacing w:val="-14"/>
          <w:kern w:val="0"/>
          <w:sz w:val="24"/>
          <w:szCs w:val="24"/>
          <w:lang w:val="en-US" w:eastAsia="zh-CN" w:bidi="ar-SA"/>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31C359B4">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napToGrid w:val="0"/>
          <w:color w:val="000000"/>
          <w:spacing w:val="-14"/>
          <w:kern w:val="0"/>
          <w:sz w:val="24"/>
          <w:szCs w:val="24"/>
          <w:lang w:val="en-US" w:eastAsia="zh-CN" w:bidi="ar-SA"/>
        </w:rPr>
        <w:t>7.遵守国家有关法律、法规、规章。</w:t>
      </w:r>
    </w:p>
    <w:p w14:paraId="7839E4C0">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pPr>
    </w:p>
    <w:p w14:paraId="5E61068C">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落实政府采购政策需满足的资格要求：</w:t>
      </w:r>
    </w:p>
    <w:p w14:paraId="7311C537">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1.</w:t>
      </w:r>
      <w:r>
        <w:rPr>
          <w:rFonts w:hint="eastAsia" w:asciiTheme="minorEastAsia" w:hAnsiTheme="minorEastAsia" w:eastAsiaTheme="minorEastAsia" w:cstheme="minorEastAsia"/>
          <w:spacing w:val="1"/>
          <w:sz w:val="24"/>
          <w:szCs w:val="24"/>
        </w:rPr>
        <w:t>中小企业政策</w:t>
      </w:r>
    </w:p>
    <w:p w14:paraId="7E002BB2">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rPr>
        <w:t>本项目不专门面向中小企业预留采购份额。</w:t>
      </w:r>
    </w:p>
    <w:p w14:paraId="1FB3F101">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lang w:eastAsia="zh-CN"/>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14:paraId="6DCC4732">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lang w:eastAsia="zh-CN"/>
        </w:rPr>
        <w:t>本项目支持河南省政府采购合同融资政策</w:t>
      </w:r>
      <w:r>
        <w:rPr>
          <w:rFonts w:hint="eastAsia" w:asciiTheme="minorEastAsia" w:hAnsiTheme="minorEastAsia" w:eastAsiaTheme="minorEastAsia" w:cstheme="minorEastAsia"/>
          <w:spacing w:val="-2"/>
          <w:position w:val="17"/>
          <w:sz w:val="24"/>
          <w:szCs w:val="24"/>
          <w:lang w:val="en-US" w:eastAsia="zh-CN"/>
        </w:rPr>
        <w:t>和</w:t>
      </w:r>
      <w:r>
        <w:rPr>
          <w:rFonts w:hint="eastAsia" w:asciiTheme="minorEastAsia" w:hAnsiTheme="minorEastAsia" w:eastAsiaTheme="minorEastAsia" w:cstheme="minorEastAsia"/>
          <w:spacing w:val="-2"/>
          <w:position w:val="17"/>
          <w:sz w:val="24"/>
          <w:szCs w:val="24"/>
          <w:lang w:eastAsia="zh-CN"/>
        </w:rPr>
        <w:t>资格信用承诺制。</w:t>
      </w:r>
    </w:p>
    <w:p w14:paraId="63E0A676">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0" w:firstLineChars="200"/>
        <w:jc w:val="both"/>
        <w:textAlignment w:val="baseline"/>
        <w:rPr>
          <w:rFonts w:hint="eastAsia" w:asciiTheme="minorEastAsia" w:hAnsiTheme="minorEastAsia" w:eastAsiaTheme="minorEastAsia" w:cstheme="minorEastAsia"/>
          <w:spacing w:val="-5"/>
          <w:sz w:val="24"/>
          <w:szCs w:val="24"/>
        </w:rPr>
      </w:pPr>
      <w:r>
        <w:rPr>
          <w:rFonts w:hint="eastAsia" w:asciiTheme="minorEastAsia" w:hAnsiTheme="minorEastAsia" w:eastAsiaTheme="minorEastAsia" w:cstheme="minorEastAsia"/>
          <w:spacing w:val="-5"/>
          <w:sz w:val="24"/>
          <w:szCs w:val="24"/>
          <w:lang w:val="en-US" w:eastAsia="zh-CN"/>
        </w:rPr>
        <w:t>4</w:t>
      </w:r>
      <w:r>
        <w:rPr>
          <w:rFonts w:hint="eastAsia" w:asciiTheme="minorEastAsia" w:hAnsiTheme="minorEastAsia" w:eastAsiaTheme="minorEastAsia" w:cstheme="minorEastAsia"/>
          <w:spacing w:val="-5"/>
          <w:sz w:val="24"/>
          <w:szCs w:val="24"/>
        </w:rPr>
        <w:t>.本项目是否属于政府购买服务：</w:t>
      </w:r>
    </w:p>
    <w:p w14:paraId="10DE3D61">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pacing w:val="-2"/>
          <w:position w:val="17"/>
          <w:sz w:val="24"/>
          <w:szCs w:val="24"/>
          <w:lang w:eastAsia="zh-CN"/>
        </w:rPr>
      </w:pPr>
      <w:r>
        <w:rPr>
          <w:rFonts w:hint="eastAsia" w:asciiTheme="minorEastAsia" w:hAnsiTheme="minorEastAsia" w:eastAsiaTheme="minorEastAsia" w:cstheme="minorEastAsia"/>
          <w:spacing w:val="-2"/>
          <w:position w:val="17"/>
          <w:sz w:val="24"/>
          <w:szCs w:val="24"/>
          <w:lang w:eastAsia="zh-CN"/>
        </w:rPr>
        <w:t>☑否</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□接受进口产品</w:t>
      </w:r>
      <w:r>
        <w:rPr>
          <w:rFonts w:hint="eastAsia" w:asciiTheme="minorEastAsia" w:hAnsiTheme="minorEastAsia" w:eastAsiaTheme="minorEastAsia" w:cstheme="minorEastAsia"/>
          <w:spacing w:val="-2"/>
          <w:position w:val="17"/>
          <w:sz w:val="24"/>
          <w:szCs w:val="24"/>
          <w:lang w:val="en-US" w:eastAsia="zh-CN"/>
        </w:rPr>
        <w:t xml:space="preserve"> </w:t>
      </w:r>
      <w:r>
        <w:rPr>
          <w:rFonts w:hint="eastAsia" w:asciiTheme="minorEastAsia" w:hAnsiTheme="minorEastAsia" w:eastAsiaTheme="minorEastAsia" w:cstheme="minorEastAsia"/>
          <w:spacing w:val="-2"/>
          <w:position w:val="17"/>
          <w:sz w:val="24"/>
          <w:szCs w:val="24"/>
          <w:lang w:eastAsia="zh-CN"/>
        </w:rPr>
        <w:t>☑</w:t>
      </w:r>
      <w:r>
        <w:rPr>
          <w:rFonts w:hint="eastAsia" w:asciiTheme="minorEastAsia" w:hAnsiTheme="minorEastAsia" w:eastAsiaTheme="minorEastAsia" w:cstheme="minorEastAsia"/>
          <w:spacing w:val="-2"/>
          <w:position w:val="17"/>
          <w:sz w:val="24"/>
          <w:szCs w:val="24"/>
          <w:lang w:val="en-US" w:eastAsia="zh-CN"/>
        </w:rPr>
        <w:t>不</w:t>
      </w:r>
      <w:r>
        <w:rPr>
          <w:rFonts w:hint="eastAsia" w:asciiTheme="minorEastAsia" w:hAnsiTheme="minorEastAsia" w:eastAsiaTheme="minorEastAsia" w:cstheme="minorEastAsia"/>
          <w:spacing w:val="-2"/>
          <w:position w:val="17"/>
          <w:sz w:val="24"/>
          <w:szCs w:val="24"/>
          <w:lang w:eastAsia="zh-CN"/>
        </w:rPr>
        <w:t>接受进口产品</w:t>
      </w:r>
    </w:p>
    <w:p w14:paraId="5419C0E0">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default" w:asciiTheme="minorEastAsia" w:hAnsiTheme="minorEastAsia" w:eastAsiaTheme="minorEastAsia" w:cstheme="minorEastAsia"/>
          <w:spacing w:val="-2"/>
          <w:position w:val="17"/>
          <w:sz w:val="24"/>
          <w:szCs w:val="24"/>
          <w:lang w:val="en-US" w:eastAsia="zh-CN"/>
        </w:rPr>
      </w:pPr>
      <w:r>
        <w:rPr>
          <w:rFonts w:hint="eastAsia" w:asciiTheme="minorEastAsia" w:hAnsiTheme="minorEastAsia" w:eastAsiaTheme="minorEastAsia" w:cstheme="minorEastAsia"/>
          <w:spacing w:val="-2"/>
          <w:position w:val="17"/>
          <w:sz w:val="24"/>
          <w:szCs w:val="24"/>
          <w:lang w:eastAsia="zh-CN"/>
        </w:rPr>
        <w:t>（政府采购活动中既有本国产品又有非本国产品参与竞争的，依法对本国产品给予价格评审优惠，对本国产品的报价给予 20%的价格扣除，用扣除后的价格参与评审。）</w:t>
      </w:r>
    </w:p>
    <w:p w14:paraId="6BDE5767">
      <w:pPr>
        <w:keepNext w:val="0"/>
        <w:keepLines w:val="0"/>
        <w:pageBreakBefore w:val="0"/>
        <w:kinsoku/>
        <w:wordWrap w:val="0"/>
        <w:overflowPunct/>
        <w:topLinePunct w:val="0"/>
        <w:bidi w:val="0"/>
        <w:spacing w:line="259" w:lineRule="auto"/>
        <w:ind w:firstLine="472" w:firstLineChars="200"/>
        <w:jc w:val="both"/>
        <w:rPr>
          <w:rFonts w:ascii="Arial"/>
          <w:sz w:val="21"/>
        </w:rPr>
      </w:pPr>
      <w:r>
        <w:rPr>
          <w:rFonts w:hint="eastAsia" w:asciiTheme="minorEastAsia" w:hAnsiTheme="minorEastAsia" w:eastAsiaTheme="minorEastAsia" w:cstheme="minorEastAsia"/>
          <w:spacing w:val="-2"/>
          <w:sz w:val="24"/>
          <w:szCs w:val="24"/>
        </w:rPr>
        <w:t>□是，公益一类事业单位、使用事业编制且由财政</w:t>
      </w:r>
      <w:r>
        <w:rPr>
          <w:rFonts w:hint="eastAsia" w:asciiTheme="minorEastAsia" w:hAnsiTheme="minorEastAsia" w:eastAsiaTheme="minorEastAsia" w:cstheme="minorEastAsia"/>
          <w:spacing w:val="-3"/>
          <w:sz w:val="24"/>
          <w:szCs w:val="24"/>
        </w:rPr>
        <w:t>拨款保障的群团组织，不得</w:t>
      </w:r>
      <w:r>
        <w:rPr>
          <w:rFonts w:hint="eastAsia" w:asciiTheme="minorEastAsia" w:hAnsiTheme="minorEastAsia" w:eastAsiaTheme="minorEastAsia" w:cstheme="minorEastAsia"/>
          <w:spacing w:val="-9"/>
          <w:sz w:val="24"/>
          <w:szCs w:val="24"/>
        </w:rPr>
        <w:t>作为承接主体</w:t>
      </w:r>
      <w:r>
        <w:rPr>
          <w:rFonts w:hint="eastAsia" w:asciiTheme="minorEastAsia" w:hAnsiTheme="minorEastAsia" w:eastAsiaTheme="minorEastAsia" w:cstheme="minorEastAsia"/>
          <w:spacing w:val="-12"/>
          <w:sz w:val="24"/>
          <w:szCs w:val="24"/>
        </w:rPr>
        <w:t>。</w:t>
      </w:r>
    </w:p>
    <w:p w14:paraId="4D2DE1FE">
      <w:pPr>
        <w:keepNext w:val="0"/>
        <w:keepLines w:val="0"/>
        <w:pageBreakBefore w:val="0"/>
        <w:kinsoku/>
        <w:wordWrap w:val="0"/>
        <w:overflowPunct/>
        <w:topLinePunct w:val="0"/>
        <w:bidi w:val="0"/>
        <w:spacing w:line="259" w:lineRule="auto"/>
        <w:jc w:val="both"/>
        <w:rPr>
          <w:rFonts w:ascii="Arial"/>
          <w:sz w:val="21"/>
        </w:rPr>
      </w:pPr>
    </w:p>
    <w:p w14:paraId="58AC853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rFonts w:hint="eastAsia"/>
          <w:spacing w:val="-1"/>
          <w:sz w:val="24"/>
          <w:szCs w:val="24"/>
          <w:lang w:val="en-US" w:eastAsia="zh-CN"/>
          <w14:textOutline w14:w="1537" w14:cap="flat" w14:cmpd="sng">
            <w14:solidFill>
              <w14:srgbClr w14:val="000000"/>
            </w14:solidFill>
            <w14:prstDash w14:val="solid"/>
            <w14:miter w14:val="0"/>
          </w14:textOutline>
        </w:rPr>
      </w:pPr>
    </w:p>
    <w:p w14:paraId="6DD92224">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四</w:t>
      </w:r>
      <w:r>
        <w:rPr>
          <w:spacing w:val="-1"/>
          <w:sz w:val="24"/>
          <w:szCs w:val="24"/>
          <w14:textOutline w14:w="1537" w14:cap="flat" w14:cmpd="sng">
            <w14:solidFill>
              <w14:srgbClr w14:val="000000"/>
            </w14:solidFill>
            <w14:prstDash w14:val="solid"/>
            <w14:miter w14:val="0"/>
          </w14:textOutline>
        </w:rPr>
        <w:t>、获取采购文件</w:t>
      </w:r>
    </w:p>
    <w:p w14:paraId="35064C6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1.时间：</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7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22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7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24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rPr>
        <w:t>，</w:t>
      </w:r>
      <w:r>
        <w:rPr>
          <w:rFonts w:hint="eastAsia" w:asciiTheme="minorEastAsia" w:hAnsiTheme="minorEastAsia" w:eastAsiaTheme="minorEastAsia" w:cstheme="minorEastAsia"/>
          <w:spacing w:val="-14"/>
          <w:sz w:val="24"/>
          <w:szCs w:val="24"/>
        </w:rPr>
        <w:t>每天上午</w:t>
      </w:r>
      <w:r>
        <w:rPr>
          <w:rFonts w:hint="eastAsia" w:asciiTheme="minorEastAsia" w:hAnsiTheme="minorEastAsia" w:eastAsiaTheme="minorEastAsia" w:cstheme="minorEastAsia"/>
          <w:spacing w:val="-13"/>
          <w:sz w:val="24"/>
          <w:szCs w:val="24"/>
          <w:u w:val="single"/>
          <w:lang w:val="en-US" w:eastAsia="zh-CN"/>
        </w:rPr>
        <w:t xml:space="preserve"> 0:00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，下午</w:t>
      </w:r>
      <w:r>
        <w:rPr>
          <w:rFonts w:hint="eastAsia" w:asciiTheme="minorEastAsia" w:hAnsiTheme="minorEastAsia" w:eastAsiaTheme="minorEastAsia" w:cstheme="minorEastAsia"/>
          <w:spacing w:val="-13"/>
          <w:sz w:val="24"/>
          <w:szCs w:val="24"/>
          <w:u w:val="single"/>
          <w:lang w:val="en-US" w:eastAsia="zh-CN"/>
        </w:rPr>
        <w:t xml:space="preserve"> 12:00 </w:t>
      </w:r>
      <w:r>
        <w:rPr>
          <w:rFonts w:hint="eastAsia" w:asciiTheme="minorEastAsia" w:hAnsiTheme="minorEastAsia" w:eastAsiaTheme="minorEastAsia" w:cstheme="minorEastAsia"/>
          <w:spacing w:val="-14"/>
          <w:sz w:val="24"/>
          <w:szCs w:val="24"/>
        </w:rPr>
        <w:t>至</w:t>
      </w:r>
      <w:r>
        <w:rPr>
          <w:rFonts w:hint="eastAsia" w:asciiTheme="minorEastAsia" w:hAnsiTheme="minorEastAsia" w:eastAsiaTheme="minorEastAsia" w:cstheme="minorEastAsia"/>
          <w:spacing w:val="-13"/>
          <w:sz w:val="24"/>
          <w:szCs w:val="24"/>
          <w:u w:val="single"/>
          <w:lang w:val="en-US" w:eastAsia="zh-CN"/>
        </w:rPr>
        <w:t xml:space="preserve"> 23:59 </w:t>
      </w:r>
      <w:r>
        <w:rPr>
          <w:rFonts w:hint="eastAsia" w:asciiTheme="minorEastAsia" w:hAnsiTheme="minorEastAsia" w:eastAsiaTheme="minorEastAsia" w:cstheme="minorEastAsia"/>
          <w:spacing w:val="-14"/>
          <w:sz w:val="24"/>
          <w:szCs w:val="24"/>
        </w:rPr>
        <w:t>（北京时</w:t>
      </w:r>
      <w:r>
        <w:rPr>
          <w:rFonts w:hint="eastAsia" w:asciiTheme="minorEastAsia" w:hAnsiTheme="minorEastAsia" w:eastAsiaTheme="minorEastAsia" w:cstheme="minorEastAsia"/>
          <w:spacing w:val="-15"/>
          <w:sz w:val="24"/>
          <w:szCs w:val="24"/>
        </w:rPr>
        <w:t>间，法定节假日除外）。</w:t>
      </w:r>
    </w:p>
    <w:p w14:paraId="12A58330">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80" w:firstLineChars="200"/>
        <w:jc w:val="left"/>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2.地点：</w:t>
      </w:r>
      <w:r>
        <w:rPr>
          <w:rFonts w:hint="eastAsia" w:asciiTheme="minorEastAsia" w:hAnsiTheme="minorEastAsia" w:eastAsiaTheme="minorEastAsia" w:cstheme="minorEastAsia"/>
          <w:sz w:val="24"/>
          <w:szCs w:val="24"/>
          <w:lang w:eastAsia="zh-CN"/>
        </w:rPr>
        <w:t>全国公共资源交易平台（河南省·南阳市）</w:t>
      </w:r>
      <w:r>
        <w:rPr>
          <w:rFonts w:hint="eastAsia" w:asciiTheme="minorEastAsia" w:hAnsiTheme="minorEastAsia" w:eastAsiaTheme="minorEastAsia" w:cstheme="minorEastAsia"/>
          <w:sz w:val="24"/>
          <w:szCs w:val="24"/>
        </w:rPr>
        <w:t>https://ggzyjy.nanyang.gov.cn</w:t>
      </w:r>
    </w:p>
    <w:p w14:paraId="13195D97">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left"/>
        <w:textAlignment w:val="baseline"/>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4"/>
          <w:sz w:val="24"/>
          <w:szCs w:val="24"/>
        </w:rPr>
        <w:t>3.方式：</w:t>
      </w: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登录南阳市公共资源交易中心网（https://ggzyjy.nanyang.gov.cn），注册后凭办理的企业身份认证锁（CA数字证书）登录会员系统按网上提示下载招标文件(*.nyzf格式)及资料（操作程序详见全国公共资源交易平台（河南省·南阳市）下载专区）</w:t>
      </w:r>
      <w:r>
        <w:rPr>
          <w:rFonts w:hint="eastAsia" w:asciiTheme="minorEastAsia" w:hAnsiTheme="minorEastAsia" w:eastAsiaTheme="minorEastAsia" w:cstheme="minorEastAsia"/>
          <w:snapToGrid w:val="0"/>
          <w:color w:val="000000"/>
          <w:kern w:val="0"/>
          <w:sz w:val="24"/>
          <w:szCs w:val="24"/>
          <w:lang w:val="en-US" w:eastAsia="zh-CN" w:bidi="ar-SA"/>
        </w:rPr>
        <w:t>，电子交易系统技术支持电话：0512-58188538，</w:t>
      </w:r>
      <w:r>
        <w:rPr>
          <w:rFonts w:hint="eastAsia" w:asciiTheme="minorEastAsia" w:hAnsiTheme="minorEastAsia" w:eastAsiaTheme="minorEastAsia" w:cstheme="minorEastAsia"/>
          <w:spacing w:val="-4"/>
          <w:sz w:val="24"/>
          <w:szCs w:val="24"/>
          <w:lang w:eastAsia="zh-CN"/>
        </w:rPr>
        <w:t>CA数字证书技术支持电话：</w:t>
      </w:r>
      <w:r>
        <w:rPr>
          <w:rFonts w:hint="eastAsia" w:asciiTheme="minorEastAsia" w:hAnsiTheme="minorEastAsia" w:eastAsiaTheme="minorEastAsia" w:cstheme="minorEastAsia"/>
          <w:sz w:val="24"/>
          <w:szCs w:val="24"/>
        </w:rPr>
        <w:t>https://ggzyjy.nanyang.gov.cn</w:t>
      </w:r>
      <w:r>
        <w:rPr>
          <w:rFonts w:hint="eastAsia" w:asciiTheme="minorEastAsia" w:hAnsiTheme="minorEastAsia" w:eastAsiaTheme="minorEastAsia" w:cstheme="minorEastAsia"/>
          <w:spacing w:val="-4"/>
          <w:sz w:val="24"/>
          <w:szCs w:val="24"/>
          <w:lang w:eastAsia="zh-CN"/>
        </w:rPr>
        <w:t>。</w:t>
      </w:r>
    </w:p>
    <w:p w14:paraId="1382408D">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2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4"/>
          <w:sz w:val="24"/>
          <w:szCs w:val="24"/>
        </w:rPr>
        <w:t>4.售价：0元。</w:t>
      </w:r>
    </w:p>
    <w:p w14:paraId="00477C1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7F716B79">
      <w:pPr>
        <w:pStyle w:val="5"/>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right="0" w:rightChars="0"/>
        <w:jc w:val="both"/>
        <w:textAlignment w:val="baseline"/>
        <w:outlineLvl w:val="1"/>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z w:val="24"/>
          <w:szCs w:val="24"/>
          <w:lang w:val="en-US" w:eastAsia="zh-CN"/>
          <w14:textOutline w14:w="1537" w14:cap="flat" w14:cmpd="sng">
            <w14:solidFill>
              <w14:srgbClr w14:val="000000"/>
            </w14:solidFill>
            <w14:prstDash w14:val="solid"/>
            <w14:miter w14:val="0"/>
          </w14:textOutline>
        </w:rPr>
        <w:t>五、响应文件的制作及上传</w:t>
      </w:r>
    </w:p>
    <w:p w14:paraId="18671561">
      <w:pPr>
        <w:keepNext w:val="0"/>
        <w:keepLines w:val="0"/>
        <w:pageBreakBefore w:val="0"/>
        <w:shd w:val="clear" w:color="auto" w:fill="FFFFFF"/>
        <w:kinsoku/>
        <w:wordWrap w:val="0"/>
        <w:overflowPunct/>
        <w:topLinePunct w:val="0"/>
        <w:bidi w:val="0"/>
        <w:spacing w:line="360" w:lineRule="auto"/>
        <w:ind w:firstLine="600" w:firstLineChars="200"/>
        <w:jc w:val="both"/>
        <w:rPr>
          <w:rFonts w:hint="eastAsia" w:asciiTheme="minorEastAsia" w:hAnsiTheme="minorEastAsia" w:eastAsiaTheme="minorEastAsia" w:cstheme="minorEastAsia"/>
          <w:spacing w:val="-4"/>
          <w:sz w:val="24"/>
          <w:szCs w:val="24"/>
          <w:lang w:eastAsia="zh-CN"/>
        </w:rPr>
      </w:pPr>
      <w:r>
        <w:rPr>
          <w:rFonts w:hint="eastAsia" w:asciiTheme="minorEastAsia" w:hAnsiTheme="minorEastAsia" w:eastAsiaTheme="minorEastAsia" w:cstheme="minorEastAsia"/>
          <w:spacing w:val="30"/>
          <w:sz w:val="24"/>
          <w:szCs w:val="24"/>
          <w:lang w:eastAsia="zh-CN"/>
        </w:rPr>
        <w:t>☑</w:t>
      </w:r>
      <w:r>
        <w:rPr>
          <w:rFonts w:hint="eastAsia" w:asciiTheme="minorEastAsia" w:hAnsiTheme="minorEastAsia" w:eastAsiaTheme="minorEastAsia" w:cstheme="minorEastAsia"/>
          <w:spacing w:val="-4"/>
          <w:sz w:val="24"/>
          <w:szCs w:val="24"/>
          <w:lang w:val="en-US" w:eastAsia="zh-CN"/>
        </w:rPr>
        <w:t>使用普通电子交易系统</w:t>
      </w:r>
      <w:r>
        <w:rPr>
          <w:rFonts w:hint="eastAsia" w:asciiTheme="minorEastAsia" w:hAnsiTheme="minorEastAsia" w:eastAsiaTheme="minorEastAsia" w:cstheme="minorEastAsia"/>
          <w:spacing w:val="-4"/>
          <w:sz w:val="24"/>
          <w:szCs w:val="24"/>
          <w:lang w:eastAsia="zh-CN"/>
        </w:rPr>
        <w:t>。</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须</w:t>
      </w:r>
      <w:r>
        <w:rPr>
          <w:rFonts w:hint="eastAsia" w:asciiTheme="minorEastAsia" w:hAnsiTheme="minorEastAsia" w:eastAsiaTheme="minorEastAsia" w:cstheme="minorEastAsia"/>
          <w:spacing w:val="-4"/>
          <w:sz w:val="24"/>
          <w:szCs w:val="24"/>
          <w:lang w:val="en-US" w:eastAsia="zh-CN"/>
        </w:rPr>
        <w:t>上传加密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文件需要使用投标文件制作工具制作，制作工具及操作手册可在全国公共资源交易平台（河南省·南阳市）“下载专区”中下载。</w:t>
      </w:r>
      <w:r>
        <w:rPr>
          <w:rFonts w:hint="eastAsia" w:asciiTheme="minorEastAsia" w:hAnsiTheme="minorEastAsia" w:eastAsiaTheme="minorEastAsia" w:cstheme="minorEastAsia"/>
          <w:spacing w:val="-4"/>
          <w:sz w:val="24"/>
          <w:szCs w:val="24"/>
          <w:lang w:val="en-US" w:eastAsia="zh-CN"/>
        </w:rPr>
        <w:t>加密</w:t>
      </w:r>
      <w:r>
        <w:rPr>
          <w:rFonts w:hint="eastAsia" w:asciiTheme="minorEastAsia" w:hAnsiTheme="minorEastAsia" w:eastAsiaTheme="minorEastAsia" w:cstheme="minorEastAsia"/>
          <w:spacing w:val="-4"/>
          <w:sz w:val="24"/>
          <w:szCs w:val="24"/>
          <w:lang w:eastAsia="zh-CN"/>
        </w:rPr>
        <w:t>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文件应在</w:t>
      </w:r>
      <w:r>
        <w:rPr>
          <w:rFonts w:hint="eastAsia" w:asciiTheme="minorEastAsia" w:hAnsiTheme="minorEastAsia" w:eastAsiaTheme="minorEastAsia" w:cstheme="minorEastAsia"/>
          <w:spacing w:val="-4"/>
          <w:sz w:val="24"/>
          <w:szCs w:val="24"/>
          <w:lang w:val="en-US" w:eastAsia="zh-CN"/>
        </w:rPr>
        <w:t>竞争性谈判</w:t>
      </w:r>
      <w:r>
        <w:rPr>
          <w:rFonts w:hint="eastAsia" w:asciiTheme="minorEastAsia" w:hAnsiTheme="minorEastAsia" w:eastAsiaTheme="minorEastAsia" w:cstheme="minorEastAsia"/>
          <w:spacing w:val="-4"/>
          <w:sz w:val="24"/>
          <w:szCs w:val="24"/>
          <w:lang w:eastAsia="zh-CN"/>
        </w:rPr>
        <w:t>文件规定的</w:t>
      </w:r>
      <w:r>
        <w:rPr>
          <w:rFonts w:hint="eastAsia" w:asciiTheme="minorEastAsia" w:hAnsiTheme="minorEastAsia" w:eastAsiaTheme="minorEastAsia" w:cstheme="minorEastAsia"/>
          <w:spacing w:val="-4"/>
          <w:sz w:val="24"/>
          <w:szCs w:val="24"/>
          <w:lang w:val="en-US" w:eastAsia="zh-CN"/>
        </w:rPr>
        <w:t>上传</w:t>
      </w:r>
      <w:r>
        <w:rPr>
          <w:rFonts w:hint="eastAsia" w:asciiTheme="minorEastAsia" w:hAnsiTheme="minorEastAsia" w:eastAsiaTheme="minorEastAsia" w:cstheme="minorEastAsia"/>
          <w:spacing w:val="-4"/>
          <w:sz w:val="24"/>
          <w:szCs w:val="24"/>
          <w:lang w:eastAsia="zh-CN"/>
        </w:rPr>
        <w:t>截止时间前到达交易系统。逾期到达交易系统的电子</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文件视为放弃本次</w:t>
      </w:r>
      <w:r>
        <w:rPr>
          <w:rFonts w:hint="eastAsia" w:asciiTheme="minorEastAsia" w:hAnsiTheme="minorEastAsia" w:eastAsiaTheme="minorEastAsia" w:cstheme="minorEastAsia"/>
          <w:spacing w:val="-4"/>
          <w:sz w:val="24"/>
          <w:szCs w:val="24"/>
          <w:lang w:val="en-US" w:eastAsia="zh-CN"/>
        </w:rPr>
        <w:t>谈判</w:t>
      </w:r>
      <w:r>
        <w:rPr>
          <w:rFonts w:hint="eastAsia" w:asciiTheme="minorEastAsia" w:hAnsiTheme="minorEastAsia" w:eastAsiaTheme="minorEastAsia" w:cstheme="minorEastAsia"/>
          <w:spacing w:val="-4"/>
          <w:sz w:val="24"/>
          <w:szCs w:val="24"/>
          <w:lang w:eastAsia="zh-CN"/>
        </w:rPr>
        <w:t>。</w:t>
      </w:r>
    </w:p>
    <w:p w14:paraId="6C3F05CD">
      <w:pPr>
        <w:keepNext w:val="0"/>
        <w:keepLines w:val="0"/>
        <w:pageBreakBefore w:val="0"/>
        <w:shd w:val="clear" w:color="auto" w:fill="FFFFFF"/>
        <w:kinsoku/>
        <w:wordWrap w:val="0"/>
        <w:overflowPunct/>
        <w:topLinePunct w:val="0"/>
        <w:bidi w:val="0"/>
        <w:spacing w:line="360" w:lineRule="auto"/>
        <w:ind w:firstLine="464" w:firstLineChars="200"/>
        <w:jc w:val="both"/>
        <w:rPr>
          <w:rFonts w:hint="default" w:asciiTheme="minorEastAsia" w:hAnsiTheme="minorEastAsia" w:eastAsiaTheme="minorEastAsia" w:cstheme="minorEastAsia"/>
          <w:spacing w:val="-4"/>
          <w:sz w:val="24"/>
          <w:szCs w:val="24"/>
          <w:lang w:val="en-US" w:eastAsia="zh-CN"/>
        </w:rPr>
      </w:pPr>
      <w:r>
        <w:rPr>
          <w:rFonts w:hint="eastAsia" w:asciiTheme="minorEastAsia" w:hAnsiTheme="minorEastAsia" w:eastAsiaTheme="minorEastAsia" w:cstheme="minorEastAsia"/>
          <w:spacing w:val="-4"/>
          <w:sz w:val="24"/>
          <w:szCs w:val="24"/>
          <w:lang w:eastAsia="zh-CN"/>
        </w:rPr>
        <w:t>本项目采用全流程电子化，供应商应在电子响应文件上传截止时间前登录不见面开标大厅，所有准备工作需要自行到位。</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过程中如遇到紧急事项，可在不见面开标大厅中进行提出异议或文字交流，严重问题可拨打技术支持电话0377-61176137。</w:t>
      </w:r>
      <w:r>
        <w:rPr>
          <w:rFonts w:hint="eastAsia" w:asciiTheme="minorEastAsia" w:hAnsiTheme="minorEastAsia" w:eastAsiaTheme="minorEastAsia" w:cstheme="minorEastAsia"/>
          <w:spacing w:val="-4"/>
          <w:sz w:val="24"/>
          <w:szCs w:val="24"/>
          <w:lang w:val="en-US" w:eastAsia="zh-CN"/>
        </w:rPr>
        <w:t>开启</w:t>
      </w:r>
      <w:r>
        <w:rPr>
          <w:rFonts w:hint="eastAsia" w:asciiTheme="minorEastAsia" w:hAnsiTheme="minorEastAsia" w:eastAsiaTheme="minorEastAsia" w:cstheme="minorEastAsia"/>
          <w:spacing w:val="-4"/>
          <w:sz w:val="24"/>
          <w:szCs w:val="24"/>
          <w:lang w:eastAsia="zh-CN"/>
        </w:rPr>
        <w:t>过程中，如</w:t>
      </w:r>
      <w:r>
        <w:rPr>
          <w:rFonts w:hint="eastAsia" w:asciiTheme="minorEastAsia" w:hAnsiTheme="minorEastAsia" w:eastAsiaTheme="minorEastAsia" w:cstheme="minorEastAsia"/>
          <w:spacing w:val="-4"/>
          <w:sz w:val="24"/>
          <w:szCs w:val="24"/>
          <w:lang w:val="en-US" w:eastAsia="zh-CN"/>
        </w:rPr>
        <w:t>因供应商</w:t>
      </w:r>
      <w:r>
        <w:rPr>
          <w:rFonts w:hint="eastAsia" w:asciiTheme="minorEastAsia" w:hAnsiTheme="minorEastAsia" w:eastAsiaTheme="minorEastAsia" w:cstheme="minorEastAsia"/>
          <w:spacing w:val="-4"/>
          <w:sz w:val="24"/>
          <w:szCs w:val="24"/>
          <w:lang w:eastAsia="zh-CN"/>
        </w:rPr>
        <w:t>准备不到位、网络问题等情况</w:t>
      </w:r>
      <w:r>
        <w:rPr>
          <w:rFonts w:hint="eastAsia" w:asciiTheme="minorEastAsia" w:hAnsiTheme="minorEastAsia" w:eastAsiaTheme="minorEastAsia" w:cstheme="minorEastAsia"/>
          <w:snapToGrid w:val="0"/>
          <w:color w:val="000000"/>
          <w:spacing w:val="-4"/>
          <w:kern w:val="0"/>
          <w:sz w:val="24"/>
          <w:szCs w:val="24"/>
          <w:lang w:val="en-US" w:eastAsia="zh-CN" w:bidi="ar-SA"/>
        </w:rPr>
        <w:t>（30分钟内）</w:t>
      </w:r>
      <w:r>
        <w:rPr>
          <w:rFonts w:hint="eastAsia" w:asciiTheme="minorEastAsia" w:hAnsiTheme="minorEastAsia" w:eastAsiaTheme="minorEastAsia" w:cstheme="minorEastAsia"/>
          <w:spacing w:val="-4"/>
          <w:sz w:val="24"/>
          <w:szCs w:val="24"/>
          <w:lang w:eastAsia="zh-CN"/>
        </w:rPr>
        <w:t>造成无法及时解密的，视为该</w:t>
      </w:r>
      <w:r>
        <w:rPr>
          <w:rFonts w:hint="eastAsia" w:asciiTheme="minorEastAsia" w:hAnsiTheme="minorEastAsia" w:eastAsiaTheme="minorEastAsia" w:cstheme="minorEastAsia"/>
          <w:spacing w:val="-4"/>
          <w:sz w:val="24"/>
          <w:szCs w:val="24"/>
          <w:lang w:val="en-US" w:eastAsia="zh-CN"/>
        </w:rPr>
        <w:t>供应商</w:t>
      </w:r>
      <w:r>
        <w:rPr>
          <w:rFonts w:hint="eastAsia" w:asciiTheme="minorEastAsia" w:hAnsiTheme="minorEastAsia" w:eastAsiaTheme="minorEastAsia" w:cstheme="minorEastAsia"/>
          <w:spacing w:val="-4"/>
          <w:sz w:val="24"/>
          <w:szCs w:val="24"/>
          <w:lang w:eastAsia="zh-CN"/>
        </w:rPr>
        <w:t>自动放弃，将被退回</w:t>
      </w:r>
      <w:r>
        <w:rPr>
          <w:rFonts w:hint="eastAsia" w:asciiTheme="minorEastAsia" w:hAnsiTheme="minorEastAsia" w:eastAsiaTheme="minorEastAsia" w:cstheme="minorEastAsia"/>
          <w:spacing w:val="-4"/>
          <w:sz w:val="24"/>
          <w:szCs w:val="24"/>
          <w:lang w:val="en-US" w:eastAsia="zh-CN"/>
        </w:rPr>
        <w:t>响应</w:t>
      </w:r>
      <w:r>
        <w:rPr>
          <w:rFonts w:hint="eastAsia" w:asciiTheme="minorEastAsia" w:hAnsiTheme="minorEastAsia" w:eastAsiaTheme="minorEastAsia" w:cstheme="minorEastAsia"/>
          <w:spacing w:val="-4"/>
          <w:sz w:val="24"/>
          <w:szCs w:val="24"/>
          <w:lang w:eastAsia="zh-CN"/>
        </w:rPr>
        <w:t>文件”。电子交易系统技术支持电话：0512-58188538</w:t>
      </w:r>
      <w:r>
        <w:rPr>
          <w:rFonts w:hint="eastAsia" w:asciiTheme="minorEastAsia" w:hAnsiTheme="minorEastAsia" w:eastAsiaTheme="minorEastAsia" w:cstheme="minorEastAsia"/>
          <w:spacing w:val="-4"/>
          <w:sz w:val="24"/>
          <w:szCs w:val="24"/>
          <w:lang w:val="en-US" w:eastAsia="zh-CN"/>
        </w:rPr>
        <w:t>。</w:t>
      </w:r>
    </w:p>
    <w:p w14:paraId="205A659C">
      <w:pPr>
        <w:pStyle w:val="5"/>
        <w:keepNext w:val="0"/>
        <w:keepLines w:val="0"/>
        <w:pageBreakBefore w:val="0"/>
        <w:kinsoku/>
        <w:wordWrap w:val="0"/>
        <w:overflowPunct/>
        <w:topLinePunct w:val="0"/>
        <w:bidi w:val="0"/>
        <w:spacing w:before="79" w:line="222" w:lineRule="auto"/>
        <w:ind w:left="15"/>
        <w:jc w:val="both"/>
        <w:outlineLvl w:val="1"/>
        <w:rPr>
          <w:rFonts w:hint="eastAsia"/>
          <w:spacing w:val="-3"/>
          <w:sz w:val="24"/>
          <w:szCs w:val="24"/>
          <w:lang w:val="en-US" w:eastAsia="zh-CN"/>
          <w14:textOutline w14:w="1537" w14:cap="flat" w14:cmpd="sng">
            <w14:solidFill>
              <w14:srgbClr w14:val="000000"/>
            </w14:solidFill>
            <w14:prstDash w14:val="solid"/>
            <w14:miter w14:val="0"/>
          </w14:textOutline>
        </w:rPr>
      </w:pPr>
    </w:p>
    <w:p w14:paraId="037FCD35">
      <w:pPr>
        <w:pStyle w:val="5"/>
        <w:keepNext w:val="0"/>
        <w:keepLines w:val="0"/>
        <w:pageBreakBefore w:val="0"/>
        <w:kinsoku/>
        <w:wordWrap w:val="0"/>
        <w:overflowPunct/>
        <w:topLinePunct w:val="0"/>
        <w:bidi w:val="0"/>
        <w:spacing w:before="79" w:line="222" w:lineRule="auto"/>
        <w:ind w:left="15"/>
        <w:jc w:val="both"/>
        <w:outlineLvl w:val="1"/>
        <w:rPr>
          <w:rFonts w:hint="default" w:eastAsia="宋体"/>
          <w:sz w:val="24"/>
          <w:szCs w:val="24"/>
          <w:lang w:val="en-US" w:eastAsia="zh-CN"/>
        </w:rPr>
      </w:pPr>
      <w:r>
        <w:rPr>
          <w:rFonts w:hint="eastAsia"/>
          <w:spacing w:val="-3"/>
          <w:sz w:val="24"/>
          <w:szCs w:val="24"/>
          <w:lang w:val="en-US" w:eastAsia="zh-CN"/>
          <w14:textOutline w14:w="1537" w14:cap="flat" w14:cmpd="sng">
            <w14:solidFill>
              <w14:srgbClr w14:val="000000"/>
            </w14:solidFill>
            <w14:prstDash w14:val="solid"/>
            <w14:miter w14:val="0"/>
          </w14:textOutline>
        </w:rPr>
        <w:t>六</w:t>
      </w:r>
      <w:r>
        <w:rPr>
          <w:spacing w:val="-3"/>
          <w:sz w:val="24"/>
          <w:szCs w:val="24"/>
          <w14:textOutline w14:w="1537" w14:cap="flat" w14:cmpd="sng">
            <w14:solidFill>
              <w14:srgbClr w14:val="000000"/>
            </w14:solidFill>
            <w14:prstDash w14:val="solid"/>
            <w14:miter w14:val="0"/>
          </w14:textOutline>
        </w:rPr>
        <w:t>、</w:t>
      </w:r>
      <w:r>
        <w:rPr>
          <w:rFonts w:hint="eastAsia"/>
          <w:spacing w:val="-3"/>
          <w:sz w:val="24"/>
          <w:szCs w:val="24"/>
          <w:lang w:val="en-US" w:eastAsia="zh-CN"/>
          <w14:textOutline w14:w="1537" w14:cap="flat" w14:cmpd="sng">
            <w14:solidFill>
              <w14:srgbClr w14:val="000000"/>
            </w14:solidFill>
            <w14:prstDash w14:val="solid"/>
            <w14:miter w14:val="0"/>
          </w14:textOutline>
        </w:rPr>
        <w:t>上传截止时间、</w:t>
      </w:r>
      <w:r>
        <w:rPr>
          <w:spacing w:val="-3"/>
          <w:sz w:val="24"/>
          <w:szCs w:val="24"/>
          <w14:textOutline w14:w="1537" w14:cap="flat" w14:cmpd="sng">
            <w14:solidFill>
              <w14:srgbClr w14:val="000000"/>
            </w14:solidFill>
            <w14:prstDash w14:val="solid"/>
            <w14:miter w14:val="0"/>
          </w14:textOutline>
        </w:rPr>
        <w:t>开启</w:t>
      </w:r>
      <w:r>
        <w:rPr>
          <w:rFonts w:hint="eastAsia"/>
          <w:spacing w:val="-3"/>
          <w:sz w:val="24"/>
          <w:szCs w:val="24"/>
          <w:lang w:val="en-US" w:eastAsia="zh-CN"/>
          <w14:textOutline w14:w="1537" w14:cap="flat" w14:cmpd="sng">
            <w14:solidFill>
              <w14:srgbClr w14:val="000000"/>
            </w14:solidFill>
            <w14:prstDash w14:val="solid"/>
            <w14:miter w14:val="0"/>
          </w14:textOutline>
        </w:rPr>
        <w:t>响应文件时间和地点</w:t>
      </w:r>
    </w:p>
    <w:p w14:paraId="3DDD0663">
      <w:pPr>
        <w:pStyle w:val="5"/>
        <w:keepNext w:val="0"/>
        <w:keepLines w:val="0"/>
        <w:pageBreakBefore w:val="0"/>
        <w:kinsoku/>
        <w:wordWrap w:val="0"/>
        <w:overflowPunct/>
        <w:topLinePunct w:val="0"/>
        <w:bidi w:val="0"/>
        <w:spacing w:before="181" w:line="220" w:lineRule="auto"/>
        <w:jc w:val="both"/>
        <w:rPr>
          <w:sz w:val="24"/>
          <w:szCs w:val="24"/>
        </w:rPr>
      </w:pPr>
      <w:r>
        <w:rPr>
          <w:spacing w:val="-25"/>
          <w:sz w:val="24"/>
          <w:szCs w:val="24"/>
        </w:rPr>
        <w:t>时间：</w:t>
      </w:r>
      <w:r>
        <w:rPr>
          <w:rFonts w:hint="eastAsia" w:asciiTheme="minorEastAsia" w:hAnsiTheme="minorEastAsia" w:eastAsiaTheme="minorEastAsia" w:cstheme="minorEastAsia"/>
          <w:spacing w:val="-14"/>
          <w:sz w:val="24"/>
          <w:szCs w:val="24"/>
          <w:u w:val="single"/>
          <w:lang w:val="en-US" w:eastAsia="zh-CN"/>
        </w:rPr>
        <w:t xml:space="preserve"> 2026 </w:t>
      </w:r>
      <w:r>
        <w:rPr>
          <w:rFonts w:hint="eastAsia" w:asciiTheme="minorEastAsia" w:hAnsiTheme="minorEastAsia" w:eastAsiaTheme="minorEastAsia" w:cstheme="minorEastAsia"/>
          <w:snapToGrid w:val="0"/>
          <w:color w:val="000000"/>
          <w:spacing w:val="-4"/>
          <w:kern w:val="0"/>
          <w:sz w:val="24"/>
          <w:szCs w:val="24"/>
          <w:lang w:val="en-US" w:eastAsia="zh-CN" w:bidi="ar-SA"/>
        </w:rPr>
        <w:t>年</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7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月</w:t>
      </w:r>
      <w:r>
        <w:rPr>
          <w:rFonts w:hint="eastAsia" w:asciiTheme="minorEastAsia" w:hAnsiTheme="minorEastAsia" w:eastAsiaTheme="minorEastAsia" w:cstheme="minorEastAsia"/>
          <w:snapToGrid w:val="0"/>
          <w:color w:val="000000"/>
          <w:spacing w:val="-4"/>
          <w:kern w:val="0"/>
          <w:sz w:val="24"/>
          <w:szCs w:val="24"/>
          <w:highlight w:val="none"/>
          <w:u w:val="single"/>
          <w:lang w:val="en-US" w:eastAsia="zh-CN" w:bidi="ar-SA"/>
        </w:rPr>
        <w:t xml:space="preserve"> 28 </w:t>
      </w:r>
      <w:r>
        <w:rPr>
          <w:rFonts w:hint="eastAsia" w:asciiTheme="minorEastAsia" w:hAnsiTheme="minorEastAsia" w:eastAsiaTheme="minorEastAsia" w:cstheme="minorEastAsia"/>
          <w:snapToGrid w:val="0"/>
          <w:color w:val="000000"/>
          <w:spacing w:val="-4"/>
          <w:kern w:val="0"/>
          <w:sz w:val="24"/>
          <w:szCs w:val="24"/>
          <w:highlight w:val="none"/>
          <w:lang w:val="en-US" w:eastAsia="zh-CN" w:bidi="ar-SA"/>
        </w:rPr>
        <w:t>日</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9 </w:t>
      </w:r>
      <w:r>
        <w:rPr>
          <w:rFonts w:hint="eastAsia" w:asciiTheme="minorEastAsia" w:hAnsiTheme="minorEastAsia" w:eastAsiaTheme="minorEastAsia" w:cstheme="minorEastAsia"/>
          <w:snapToGrid w:val="0"/>
          <w:color w:val="000000"/>
          <w:spacing w:val="-4"/>
          <w:kern w:val="0"/>
          <w:sz w:val="24"/>
          <w:szCs w:val="24"/>
          <w:lang w:val="en-US" w:eastAsia="zh-CN" w:bidi="ar-SA"/>
        </w:rPr>
        <w:t>点</w:t>
      </w:r>
      <w:r>
        <w:rPr>
          <w:rFonts w:hint="eastAsia" w:asciiTheme="minorEastAsia" w:hAnsiTheme="minorEastAsia" w:eastAsiaTheme="minorEastAsia" w:cstheme="minorEastAsia"/>
          <w:snapToGrid w:val="0"/>
          <w:color w:val="000000"/>
          <w:spacing w:val="-4"/>
          <w:kern w:val="0"/>
          <w:sz w:val="24"/>
          <w:szCs w:val="24"/>
          <w:u w:val="single"/>
          <w:lang w:val="en-US" w:eastAsia="zh-CN" w:bidi="ar-SA"/>
        </w:rPr>
        <w:t xml:space="preserve"> 00 </w:t>
      </w:r>
      <w:r>
        <w:rPr>
          <w:rFonts w:hint="eastAsia" w:asciiTheme="minorEastAsia" w:hAnsiTheme="minorEastAsia" w:eastAsiaTheme="minorEastAsia" w:cstheme="minorEastAsia"/>
          <w:snapToGrid w:val="0"/>
          <w:color w:val="000000"/>
          <w:spacing w:val="-4"/>
          <w:kern w:val="0"/>
          <w:sz w:val="24"/>
          <w:szCs w:val="24"/>
          <w:lang w:val="en-US" w:eastAsia="zh-CN" w:bidi="ar-SA"/>
        </w:rPr>
        <w:t>分</w:t>
      </w:r>
      <w:r>
        <w:rPr>
          <w:spacing w:val="-25"/>
          <w:sz w:val="24"/>
          <w:szCs w:val="24"/>
        </w:rPr>
        <w:t>（北京时间）。</w:t>
      </w:r>
    </w:p>
    <w:p w14:paraId="32EB2F93">
      <w:pPr>
        <w:pStyle w:val="5"/>
        <w:keepNext w:val="0"/>
        <w:keepLines w:val="0"/>
        <w:pageBreakBefore w:val="0"/>
        <w:kinsoku/>
        <w:wordWrap w:val="0"/>
        <w:overflowPunct/>
        <w:topLinePunct w:val="0"/>
        <w:bidi w:val="0"/>
        <w:spacing w:before="180" w:line="189" w:lineRule="auto"/>
        <w:jc w:val="both"/>
        <w:rPr>
          <w:rFonts w:hint="eastAsia" w:ascii="Arial" w:hAnsi="Arial" w:eastAsia="宋体" w:cs="Arial"/>
          <w:sz w:val="24"/>
          <w:szCs w:val="24"/>
          <w:lang w:eastAsia="zh-CN"/>
        </w:rPr>
      </w:pPr>
      <w:r>
        <w:rPr>
          <w:rFonts w:hint="eastAsia" w:ascii="Arial" w:hAnsi="Arial" w:eastAsia="宋体" w:cs="Arial"/>
          <w:position w:val="5"/>
          <w:sz w:val="24"/>
          <w:szCs w:val="24"/>
          <w:lang w:val="en-US" w:eastAsia="zh-CN"/>
        </w:rPr>
        <w:t>地点：</w:t>
      </w:r>
      <w:r>
        <w:rPr>
          <w:rFonts w:hint="eastAsia" w:ascii="Arial" w:hAnsi="Arial" w:eastAsia="Arial" w:cs="Arial"/>
          <w:position w:val="5"/>
          <w:sz w:val="24"/>
          <w:szCs w:val="24"/>
        </w:rPr>
        <w:t>不见面开标大厅（https://ggzyjy.nanyang.gov.cn/BidOpening/bidopeninghallaction/hall/login）</w:t>
      </w:r>
      <w:r>
        <w:rPr>
          <w:rFonts w:hint="eastAsia" w:ascii="Arial" w:hAnsi="Arial" w:cs="Arial"/>
          <w:position w:val="5"/>
          <w:sz w:val="24"/>
          <w:szCs w:val="24"/>
          <w:lang w:eastAsia="zh-CN"/>
        </w:rPr>
        <w:t>。</w:t>
      </w:r>
    </w:p>
    <w:p w14:paraId="38032B2C">
      <w:pPr>
        <w:keepNext w:val="0"/>
        <w:keepLines w:val="0"/>
        <w:pageBreakBefore w:val="0"/>
        <w:kinsoku/>
        <w:wordWrap w:val="0"/>
        <w:overflowPunct/>
        <w:topLinePunct w:val="0"/>
        <w:bidi w:val="0"/>
        <w:spacing w:line="269" w:lineRule="auto"/>
        <w:jc w:val="both"/>
        <w:rPr>
          <w:rFonts w:ascii="Arial"/>
          <w:sz w:val="21"/>
        </w:rPr>
      </w:pPr>
    </w:p>
    <w:p w14:paraId="70A9E2A7">
      <w:pPr>
        <w:keepNext w:val="0"/>
        <w:keepLines w:val="0"/>
        <w:pageBreakBefore w:val="0"/>
        <w:kinsoku/>
        <w:wordWrap w:val="0"/>
        <w:overflowPunct/>
        <w:topLinePunct w:val="0"/>
        <w:bidi w:val="0"/>
        <w:spacing w:line="269" w:lineRule="auto"/>
        <w:jc w:val="both"/>
        <w:rPr>
          <w:rFonts w:ascii="Arial"/>
          <w:sz w:val="21"/>
        </w:rPr>
      </w:pPr>
    </w:p>
    <w:p w14:paraId="52E43E75">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2"/>
          <w:sz w:val="24"/>
          <w:szCs w:val="24"/>
          <w:lang w:val="en-US" w:eastAsia="zh-CN"/>
          <w14:textOutline w14:w="1537" w14:cap="flat" w14:cmpd="sng">
            <w14:solidFill>
              <w14:srgbClr w14:val="000000"/>
            </w14:solidFill>
            <w14:prstDash w14:val="solid"/>
            <w14:miter w14:val="0"/>
          </w14:textOutline>
        </w:rPr>
        <w:t>七</w:t>
      </w:r>
      <w:r>
        <w:rPr>
          <w:spacing w:val="-2"/>
          <w:sz w:val="24"/>
          <w:szCs w:val="24"/>
          <w14:textOutline w14:w="1537" w14:cap="flat" w14:cmpd="sng">
            <w14:solidFill>
              <w14:srgbClr w14:val="000000"/>
            </w14:solidFill>
            <w14:prstDash w14:val="solid"/>
            <w14:miter w14:val="0"/>
          </w14:textOutline>
        </w:rPr>
        <w:t>、公告期限</w:t>
      </w:r>
    </w:p>
    <w:p w14:paraId="069F53F0">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13"/>
          <w:sz w:val="24"/>
          <w:szCs w:val="24"/>
          <w:lang w:eastAsia="zh-CN"/>
        </w:rPr>
      </w:pP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highlight w:val="none"/>
          <w:u w:val="single"/>
          <w:lang w:val="en-US" w:eastAsia="zh-CN"/>
        </w:rPr>
        <w:t xml:space="preserve"> 7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22 </w:t>
      </w:r>
      <w:r>
        <w:rPr>
          <w:rFonts w:hint="eastAsia" w:asciiTheme="minorEastAsia" w:hAnsiTheme="minorEastAsia" w:eastAsiaTheme="minorEastAsia" w:cstheme="minorEastAsia"/>
          <w:spacing w:val="-13"/>
          <w:sz w:val="24"/>
          <w:szCs w:val="24"/>
          <w:highlight w:val="none"/>
        </w:rPr>
        <w:t>日至</w:t>
      </w:r>
      <w:r>
        <w:rPr>
          <w:rFonts w:hint="eastAsia" w:asciiTheme="minorEastAsia" w:hAnsiTheme="minorEastAsia" w:eastAsiaTheme="minorEastAsia" w:cstheme="minorEastAsia"/>
          <w:spacing w:val="-13"/>
          <w:sz w:val="24"/>
          <w:szCs w:val="24"/>
          <w:highlight w:val="none"/>
          <w:u w:val="single"/>
          <w:lang w:val="en-US" w:eastAsia="zh-CN"/>
        </w:rPr>
        <w:t xml:space="preserve"> 2026 </w:t>
      </w:r>
      <w:r>
        <w:rPr>
          <w:rFonts w:hint="eastAsia" w:asciiTheme="minorEastAsia" w:hAnsiTheme="minorEastAsia" w:eastAsiaTheme="minorEastAsia" w:cstheme="minorEastAsia"/>
          <w:spacing w:val="-13"/>
          <w:sz w:val="24"/>
          <w:szCs w:val="24"/>
          <w:highlight w:val="none"/>
        </w:rPr>
        <w:t>年</w:t>
      </w:r>
      <w:r>
        <w:rPr>
          <w:rFonts w:hint="eastAsia" w:asciiTheme="minorEastAsia" w:hAnsiTheme="minorEastAsia" w:eastAsiaTheme="minorEastAsia" w:cstheme="minorEastAsia"/>
          <w:spacing w:val="-13"/>
          <w:sz w:val="24"/>
          <w:szCs w:val="24"/>
          <w:highlight w:val="none"/>
          <w:u w:val="single"/>
          <w:lang w:val="en-US" w:eastAsia="zh-CN"/>
        </w:rPr>
        <w:t xml:space="preserve"> 7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24 </w:t>
      </w:r>
      <w:r>
        <w:rPr>
          <w:rFonts w:hint="eastAsia" w:asciiTheme="minorEastAsia" w:hAnsiTheme="minorEastAsia" w:eastAsiaTheme="minorEastAsia" w:cstheme="minorEastAsia"/>
          <w:spacing w:val="-13"/>
          <w:sz w:val="24"/>
          <w:szCs w:val="24"/>
          <w:highlight w:val="none"/>
        </w:rPr>
        <w:t>日</w:t>
      </w:r>
      <w:r>
        <w:rPr>
          <w:rFonts w:hint="eastAsia" w:asciiTheme="minorEastAsia" w:hAnsiTheme="minorEastAsia" w:eastAsiaTheme="minorEastAsia" w:cstheme="minorEastAsia"/>
          <w:spacing w:val="-13"/>
          <w:sz w:val="24"/>
          <w:szCs w:val="24"/>
          <w:lang w:eastAsia="zh-CN"/>
        </w:rPr>
        <w:t>。</w:t>
      </w:r>
    </w:p>
    <w:p w14:paraId="41678586">
      <w:pPr>
        <w:keepNext w:val="0"/>
        <w:keepLines w:val="0"/>
        <w:pageBreakBefore w:val="0"/>
        <w:kinsoku/>
        <w:wordWrap w:val="0"/>
        <w:overflowPunct/>
        <w:topLinePunct w:val="0"/>
        <w:bidi w:val="0"/>
        <w:spacing w:line="259" w:lineRule="auto"/>
        <w:jc w:val="both"/>
        <w:rPr>
          <w:rFonts w:ascii="Arial"/>
          <w:sz w:val="21"/>
        </w:rPr>
      </w:pPr>
    </w:p>
    <w:p w14:paraId="3E1EAA4E">
      <w:pPr>
        <w:keepNext w:val="0"/>
        <w:keepLines w:val="0"/>
        <w:pageBreakBefore w:val="0"/>
        <w:kinsoku/>
        <w:wordWrap w:val="0"/>
        <w:overflowPunct/>
        <w:topLinePunct w:val="0"/>
        <w:bidi w:val="0"/>
        <w:spacing w:line="260" w:lineRule="auto"/>
        <w:jc w:val="both"/>
        <w:rPr>
          <w:rFonts w:ascii="Arial"/>
          <w:sz w:val="21"/>
        </w:rPr>
      </w:pPr>
    </w:p>
    <w:p w14:paraId="06F4694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both"/>
        <w:textAlignment w:val="baseline"/>
        <w:outlineLvl w:val="1"/>
        <w:rPr>
          <w:sz w:val="24"/>
          <w:szCs w:val="24"/>
        </w:rPr>
      </w:pPr>
      <w:r>
        <w:rPr>
          <w:rFonts w:hint="eastAsia"/>
          <w:spacing w:val="-1"/>
          <w:sz w:val="24"/>
          <w:szCs w:val="24"/>
          <w:lang w:val="en-US" w:eastAsia="zh-CN"/>
          <w14:textOutline w14:w="1537" w14:cap="flat" w14:cmpd="sng">
            <w14:solidFill>
              <w14:srgbClr w14:val="000000"/>
            </w14:solidFill>
            <w14:prstDash w14:val="solid"/>
            <w14:miter w14:val="0"/>
          </w14:textOutline>
        </w:rPr>
        <w:t>八</w:t>
      </w:r>
      <w:r>
        <w:rPr>
          <w:spacing w:val="-1"/>
          <w:sz w:val="24"/>
          <w:szCs w:val="24"/>
          <w14:textOutline w14:w="1537" w14:cap="flat" w14:cmpd="sng">
            <w14:solidFill>
              <w14:srgbClr w14:val="000000"/>
            </w14:solidFill>
            <w14:prstDash w14:val="solid"/>
            <w14:miter w14:val="0"/>
          </w14:textOutline>
        </w:rPr>
        <w:t>、其他补充事宜</w:t>
      </w:r>
    </w:p>
    <w:p w14:paraId="505185B1">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44" w:firstLineChars="200"/>
        <w:jc w:val="both"/>
        <w:textAlignment w:val="baseline"/>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9"/>
          <w:sz w:val="24"/>
          <w:szCs w:val="24"/>
          <w:lang w:val="en-US" w:eastAsia="zh-CN"/>
        </w:rPr>
        <w:t>本次招标公告在河南省政府采购网、全国公共资源交易平台（河南省·南阳市）发布。</w:t>
      </w:r>
    </w:p>
    <w:p w14:paraId="33AAA0ED">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九</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、对本次</w:t>
      </w:r>
      <w:r>
        <w:rPr>
          <w:rFonts w:hint="eastAsia" w:asciiTheme="minorEastAsia" w:hAnsiTheme="minorEastAsia" w:eastAsiaTheme="minorEastAsia" w:cstheme="minorEastAsia"/>
          <w:spacing w:val="-4"/>
          <w:position w:val="16"/>
          <w:sz w:val="24"/>
          <w:szCs w:val="24"/>
          <w:lang w:val="en-US" w:eastAsia="zh-CN"/>
          <w14:textOutline w14:w="1537" w14:cap="flat" w14:cmpd="sng">
            <w14:solidFill>
              <w14:srgbClr w14:val="000000"/>
            </w14:solidFill>
            <w14:prstDash w14:val="solid"/>
            <w14:miter w14:val="0"/>
          </w14:textOutline>
        </w:rPr>
        <w:t>采购提</w:t>
      </w:r>
      <w:r>
        <w:rPr>
          <w:rFonts w:hint="eastAsia" w:asciiTheme="minorEastAsia" w:hAnsiTheme="minorEastAsia" w:eastAsiaTheme="minorEastAsia" w:cstheme="minorEastAsia"/>
          <w:spacing w:val="-4"/>
          <w:position w:val="16"/>
          <w:sz w:val="24"/>
          <w:szCs w:val="24"/>
          <w14:textOutline w14:w="1537" w14:cap="flat" w14:cmpd="sng">
            <w14:solidFill>
              <w14:srgbClr w14:val="000000"/>
            </w14:solidFill>
            <w14:prstDash w14:val="solid"/>
            <w14:miter w14:val="0"/>
          </w14:textOutline>
        </w:rPr>
        <w:t>出询问，请按以下方式联系。</w:t>
      </w:r>
    </w:p>
    <w:p w14:paraId="722681D8">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5"/>
          <w:sz w:val="24"/>
          <w:szCs w:val="24"/>
          <w14:textOutline w14:w="1537" w14:cap="flat" w14:cmpd="sng">
            <w14:solidFill>
              <w14:srgbClr w14:val="000000"/>
            </w14:solidFill>
            <w14:prstDash w14:val="solid"/>
            <w14:miter w14:val="0"/>
          </w14:textOutline>
        </w:rPr>
        <w:t>1.采购人信息</w:t>
      </w:r>
    </w:p>
    <w:p w14:paraId="703FFA25">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rPr>
        <w:t>名称：</w:t>
      </w:r>
      <w:r>
        <w:rPr>
          <w:rFonts w:hint="eastAsia" w:asciiTheme="minorEastAsia" w:hAnsiTheme="minorEastAsia" w:eastAsiaTheme="minorEastAsia" w:cstheme="minorEastAsia"/>
          <w:spacing w:val="-15"/>
          <w:sz w:val="24"/>
          <w:szCs w:val="24"/>
          <w:lang w:val="en-US" w:eastAsia="zh-CN"/>
        </w:rPr>
        <w:t>南阳医学高等专科学校</w:t>
      </w:r>
    </w:p>
    <w:p w14:paraId="1D77621E">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color w:val="auto"/>
          <w:spacing w:val="-15"/>
          <w:sz w:val="24"/>
          <w:szCs w:val="24"/>
        </w:rPr>
      </w:pPr>
      <w:r>
        <w:rPr>
          <w:rFonts w:hint="eastAsia" w:asciiTheme="minorEastAsia" w:hAnsiTheme="minorEastAsia" w:eastAsiaTheme="minorEastAsia" w:cstheme="minorEastAsia"/>
          <w:color w:val="auto"/>
          <w:spacing w:val="-15"/>
          <w:sz w:val="24"/>
          <w:szCs w:val="24"/>
        </w:rPr>
        <w:t>地址：</w:t>
      </w:r>
      <w:r>
        <w:rPr>
          <w:rFonts w:hint="eastAsia" w:asciiTheme="minorEastAsia" w:hAnsiTheme="minorEastAsia" w:eastAsiaTheme="minorEastAsia" w:cstheme="minorEastAsia"/>
          <w:color w:val="auto"/>
          <w:spacing w:val="-9"/>
          <w:sz w:val="24"/>
          <w:szCs w:val="24"/>
          <w:lang w:val="en-US" w:eastAsia="zh-CN"/>
        </w:rPr>
        <w:t>河南省南阳市雪枫西路1106号</w:t>
      </w:r>
    </w:p>
    <w:p w14:paraId="2ABDC623">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color w:val="auto"/>
          <w:spacing w:val="-15"/>
          <w:sz w:val="24"/>
          <w:szCs w:val="24"/>
          <w:lang w:val="en-US" w:eastAsia="zh-CN"/>
        </w:rPr>
      </w:pPr>
      <w:r>
        <w:rPr>
          <w:rFonts w:hint="eastAsia" w:asciiTheme="minorEastAsia" w:hAnsiTheme="minorEastAsia" w:eastAsiaTheme="minorEastAsia" w:cstheme="minorEastAsia"/>
          <w:color w:val="auto"/>
          <w:spacing w:val="-15"/>
          <w:sz w:val="24"/>
          <w:szCs w:val="24"/>
          <w:lang w:val="en-US" w:eastAsia="zh-CN"/>
        </w:rPr>
        <w:t>联系人：龚老师</w:t>
      </w:r>
    </w:p>
    <w:p w14:paraId="33B09D21">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default"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pacing w:val="-15"/>
          <w:sz w:val="24"/>
          <w:szCs w:val="24"/>
        </w:rPr>
        <w:t>联系方式：</w:t>
      </w:r>
      <w:r>
        <w:rPr>
          <w:rFonts w:hint="eastAsia" w:asciiTheme="minorEastAsia" w:hAnsiTheme="minorEastAsia" w:eastAsiaTheme="minorEastAsia" w:cstheme="minorEastAsia"/>
          <w:color w:val="auto"/>
          <w:spacing w:val="-15"/>
          <w:sz w:val="24"/>
          <w:szCs w:val="24"/>
          <w:lang w:val="en-US" w:eastAsia="zh-CN"/>
        </w:rPr>
        <w:t>15038759998</w:t>
      </w:r>
    </w:p>
    <w:p w14:paraId="5FEA87B0">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4"/>
          <w:sz w:val="24"/>
          <w:szCs w:val="24"/>
        </w:rPr>
      </w:pPr>
    </w:p>
    <w:p w14:paraId="61221CB3">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2.采购代理机构信息</w:t>
      </w:r>
    </w:p>
    <w:p w14:paraId="4E35C29D">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名称：南阳市公共资源交易中心</w:t>
      </w:r>
    </w:p>
    <w:p w14:paraId="3C98B482">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5"/>
          <w:sz w:val="24"/>
          <w:szCs w:val="24"/>
        </w:rPr>
        <w:t>地址：南阳市范蠡东路与南都路交叉口市民服务中心中区3号楼5楼</w:t>
      </w:r>
    </w:p>
    <w:p w14:paraId="5C3B889E">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联系人：黄先生</w:t>
      </w:r>
    </w:p>
    <w:p w14:paraId="4996693D">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5"/>
          <w:sz w:val="24"/>
          <w:szCs w:val="24"/>
        </w:rPr>
        <w:t>联系方式：</w:t>
      </w:r>
      <w:r>
        <w:rPr>
          <w:rFonts w:hint="eastAsia" w:asciiTheme="minorEastAsia" w:hAnsiTheme="minorEastAsia" w:eastAsiaTheme="minorEastAsia" w:cstheme="minorEastAsia"/>
          <w:spacing w:val="-15"/>
          <w:sz w:val="24"/>
          <w:szCs w:val="24"/>
          <w:lang w:val="en-US" w:eastAsia="zh-CN"/>
        </w:rPr>
        <w:t>0377-61176178</w:t>
      </w:r>
    </w:p>
    <w:p w14:paraId="44BF94AC">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eastAsia" w:asciiTheme="minorEastAsia" w:hAnsiTheme="minorEastAsia" w:eastAsiaTheme="minorEastAsia" w:cstheme="minorEastAsia"/>
          <w:b/>
          <w:bCs/>
          <w:spacing w:val="5"/>
          <w:sz w:val="24"/>
          <w:szCs w:val="24"/>
        </w:rPr>
      </w:pPr>
    </w:p>
    <w:p w14:paraId="046246C0">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1"/>
        <w:rPr>
          <w:rFonts w:hint="default" w:asciiTheme="minorEastAsia" w:hAnsiTheme="minorEastAsia" w:eastAsiaTheme="minorEastAsia" w:cstheme="minorEastAsia"/>
          <w:b/>
          <w:bCs/>
          <w:spacing w:val="5"/>
          <w:sz w:val="24"/>
          <w:szCs w:val="24"/>
          <w:u w:val="single"/>
          <w:lang w:val="en-US" w:eastAsia="zh-CN"/>
        </w:rPr>
      </w:pPr>
      <w:r>
        <w:rPr>
          <w:rFonts w:hint="eastAsia" w:asciiTheme="minorEastAsia" w:hAnsiTheme="minorEastAsia" w:eastAsiaTheme="minorEastAsia" w:cstheme="minorEastAsia"/>
          <w:spacing w:val="4"/>
          <w:sz w:val="24"/>
          <w:szCs w:val="24"/>
          <w:lang w:val="en-US" w:eastAsia="zh-CN"/>
          <w14:textOutline w14:w="1537" w14:cap="flat" w14:cmpd="sng">
            <w14:solidFill>
              <w14:srgbClr w14:val="000000"/>
            </w14:solidFill>
            <w14:prstDash w14:val="solid"/>
            <w14:miter w14:val="0"/>
          </w14:textOutline>
        </w:rPr>
        <w:t>3、网址：</w:t>
      </w:r>
      <w:r>
        <w:rPr>
          <w:rFonts w:hint="eastAsia" w:asciiTheme="minorEastAsia" w:hAnsiTheme="minorEastAsia" w:eastAsiaTheme="minorEastAsia" w:cstheme="minorEastAsia"/>
          <w:spacing w:val="-15"/>
          <w:sz w:val="24"/>
          <w:szCs w:val="24"/>
          <w:lang w:val="en-US" w:eastAsia="zh-CN"/>
        </w:rPr>
        <w:t>https://ggzyjy.nanyang.gov.cn   E-mail:nyszfcgzx@126.com</w:t>
      </w:r>
    </w:p>
    <w:p w14:paraId="26279CA2">
      <w:pPr>
        <w:pStyle w:val="5"/>
        <w:keepNext w:val="0"/>
        <w:keepLines w:val="0"/>
        <w:pageBreakBefore w:val="0"/>
        <w:numPr>
          <w:ilvl w:val="0"/>
          <w:numId w:val="0"/>
        </w:numPr>
        <w:kinsoku/>
        <w:wordWrap w:val="0"/>
        <w:overflowPunct/>
        <w:topLinePunct w:val="0"/>
        <w:bidi w:val="0"/>
        <w:spacing w:before="352" w:line="690" w:lineRule="exact"/>
        <w:jc w:val="both"/>
        <w:rPr>
          <w:rFonts w:hint="eastAsia" w:ascii="仿宋_GB2312" w:hAnsi="宋体" w:eastAsia="仿宋_GB2312"/>
          <w:color w:val="0000FF"/>
          <w:sz w:val="28"/>
          <w:szCs w:val="28"/>
          <w:lang w:val="en-US" w:eastAsia="zh-CN"/>
        </w:rPr>
      </w:pPr>
    </w:p>
    <w:p w14:paraId="4DC6C652">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5250" w:firstLineChars="25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5"/>
          <w:sz w:val="24"/>
          <w:szCs w:val="24"/>
          <w:lang w:val="en-US" w:eastAsia="zh-CN"/>
        </w:rPr>
        <w:t>南阳市公共资源交易中心</w:t>
      </w:r>
    </w:p>
    <w:p w14:paraId="5A69A696">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5350" w:firstLineChars="2500"/>
        <w:jc w:val="both"/>
        <w:textAlignment w:val="baseline"/>
        <w:outlineLvl w:val="1"/>
        <w:rPr>
          <w:rFonts w:hint="default" w:asciiTheme="minorEastAsia" w:hAnsiTheme="minorEastAsia" w:eastAsiaTheme="minorEastAsia" w:cstheme="minorEastAsia"/>
          <w:spacing w:val="-15"/>
          <w:sz w:val="24"/>
          <w:szCs w:val="24"/>
          <w:lang w:val="en-US" w:eastAsia="zh-CN"/>
        </w:rPr>
      </w:pPr>
      <w:r>
        <w:rPr>
          <w:rFonts w:hint="eastAsia" w:asciiTheme="minorEastAsia" w:hAnsiTheme="minorEastAsia" w:eastAsiaTheme="minorEastAsia" w:cstheme="minorEastAsia"/>
          <w:spacing w:val="-13"/>
          <w:sz w:val="24"/>
          <w:szCs w:val="24"/>
          <w:u w:val="single"/>
          <w:lang w:val="en-US" w:eastAsia="zh-CN"/>
        </w:rPr>
        <w:t xml:space="preserve"> 2026 </w:t>
      </w:r>
      <w:r>
        <w:rPr>
          <w:rFonts w:hint="eastAsia" w:asciiTheme="minorEastAsia" w:hAnsiTheme="minorEastAsia" w:eastAsiaTheme="minorEastAsia" w:cstheme="minorEastAsia"/>
          <w:spacing w:val="-13"/>
          <w:sz w:val="24"/>
          <w:szCs w:val="24"/>
        </w:rPr>
        <w:t>年</w:t>
      </w:r>
      <w:r>
        <w:rPr>
          <w:rFonts w:hint="eastAsia" w:asciiTheme="minorEastAsia" w:hAnsiTheme="minorEastAsia" w:eastAsiaTheme="minorEastAsia" w:cstheme="minorEastAsia"/>
          <w:spacing w:val="-13"/>
          <w:sz w:val="24"/>
          <w:szCs w:val="24"/>
          <w:highlight w:val="none"/>
          <w:u w:val="single"/>
          <w:lang w:val="en-US" w:eastAsia="zh-CN"/>
        </w:rPr>
        <w:t xml:space="preserve"> 7 </w:t>
      </w:r>
      <w:r>
        <w:rPr>
          <w:rFonts w:hint="eastAsia" w:asciiTheme="minorEastAsia" w:hAnsiTheme="minorEastAsia" w:eastAsiaTheme="minorEastAsia" w:cstheme="minorEastAsia"/>
          <w:spacing w:val="-13"/>
          <w:sz w:val="24"/>
          <w:szCs w:val="24"/>
          <w:highlight w:val="none"/>
        </w:rPr>
        <w:t>月</w:t>
      </w:r>
      <w:r>
        <w:rPr>
          <w:rFonts w:hint="eastAsia" w:asciiTheme="minorEastAsia" w:hAnsiTheme="minorEastAsia" w:eastAsiaTheme="minorEastAsia" w:cstheme="minorEastAsia"/>
          <w:spacing w:val="-13"/>
          <w:sz w:val="24"/>
          <w:szCs w:val="24"/>
          <w:highlight w:val="none"/>
          <w:u w:val="single"/>
          <w:lang w:val="en-US" w:eastAsia="zh-CN"/>
        </w:rPr>
        <w:t xml:space="preserve"> 21 </w:t>
      </w:r>
      <w:r>
        <w:rPr>
          <w:rFonts w:hint="eastAsia" w:asciiTheme="minorEastAsia" w:hAnsiTheme="minorEastAsia" w:eastAsiaTheme="minorEastAsia" w:cstheme="minorEastAsia"/>
          <w:spacing w:val="-13"/>
          <w:sz w:val="24"/>
          <w:szCs w:val="24"/>
          <w:highlight w:val="none"/>
        </w:rPr>
        <w:t>日</w:t>
      </w:r>
    </w:p>
    <w:p w14:paraId="4BA57A3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10E622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8EC262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914248C">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E63974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2F2D25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EDED6C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8F7DE1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09A736C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19E213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648BB0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31C9E5D">
      <w:pP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ACF7120">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20C0419">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0A5358A">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2A29FF84">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E72945E">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2FBF5DF">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F548F48">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95354B3">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3996FB9">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3363331">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33B80ED">
      <w:pPr>
        <w:pStyle w:val="16"/>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442AAF0F">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5"/>
          <w:sz w:val="24"/>
          <w:szCs w:val="24"/>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第二章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采购需求</w:t>
      </w:r>
    </w:p>
    <w:p w14:paraId="1738D5D0">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b/>
          <w:bCs/>
          <w:spacing w:val="-1"/>
          <w:sz w:val="24"/>
          <w:szCs w:val="24"/>
        </w:rPr>
      </w:pPr>
      <w:r>
        <w:rPr>
          <w:rFonts w:hint="eastAsia" w:asciiTheme="minorEastAsia" w:hAnsiTheme="minorEastAsia" w:eastAsiaTheme="minorEastAsia" w:cstheme="minorEastAsia"/>
          <w:b/>
          <w:bCs/>
          <w:spacing w:val="-1"/>
          <w:sz w:val="24"/>
          <w:szCs w:val="24"/>
        </w:rPr>
        <w:t>说明：</w:t>
      </w:r>
    </w:p>
    <w:p w14:paraId="2411664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rPr>
        <w:t>当采购项目涉及</w:t>
      </w:r>
      <w:r>
        <w:rPr>
          <w:rFonts w:hint="eastAsia" w:asciiTheme="minorEastAsia" w:hAnsiTheme="minorEastAsia" w:eastAsiaTheme="minorEastAsia" w:cstheme="minorEastAsia"/>
          <w:spacing w:val="-1"/>
          <w:sz w:val="24"/>
          <w:szCs w:val="24"/>
          <w:lang w:val="en-US" w:eastAsia="zh-CN"/>
        </w:rPr>
        <w:t>货物</w:t>
      </w:r>
      <w:r>
        <w:rPr>
          <w:rFonts w:hint="eastAsia" w:asciiTheme="minorEastAsia" w:hAnsiTheme="minorEastAsia" w:eastAsiaTheme="minorEastAsia" w:cstheme="minorEastAsia"/>
          <w:spacing w:val="-1"/>
          <w:sz w:val="24"/>
          <w:szCs w:val="24"/>
        </w:rPr>
        <w:t>时</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供应商应按照《国务院办公厅关于在政府采购中实施本国产品标准及相关政策的通知》（国办发〔2025〕34 号）的要求，对其提供的产品出具《关于符合本国产品标准的声明函》（后附）或财政部会同有关部门规定的有关证明文件。</w:t>
      </w:r>
    </w:p>
    <w:p w14:paraId="4FB1506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p>
    <w:p w14:paraId="34830B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20" w:firstLineChars="200"/>
        <w:jc w:val="both"/>
        <w:textAlignment w:val="baseline"/>
        <w:rPr>
          <w:rFonts w:hint="eastAsia" w:asciiTheme="minorEastAsia" w:hAnsiTheme="minorEastAsia" w:eastAsiaTheme="minorEastAsia" w:cstheme="minorEastAsia"/>
          <w:sz w:val="21"/>
        </w:rPr>
      </w:pPr>
    </w:p>
    <w:p w14:paraId="4C74B6B5">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一、采购</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内容及要求</w:t>
      </w:r>
    </w:p>
    <w:p w14:paraId="3B068D8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一</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项目概况</w:t>
      </w:r>
    </w:p>
    <w:p w14:paraId="7FFB8C67">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南阳医学高等专科学校综合型考试实训基2期建设项目，计划采购医学影像教学中心使用软件以及学生教师使用计算机及其配套设施，建设医学影像数智化虚拟仿真实训基地。在仲景西区一号教学楼南楼一、二楼共计14个闲置房间，通过新增配备计算机以及相关软硬件，连同原有的10个普通公共计算机机房，形成能容纳800个机位的计算机化考试基地，满足日常各类计算机上机考试组织实施需要。具体以采购清单为准。</w:t>
      </w:r>
    </w:p>
    <w:p w14:paraId="45A93957">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二</w:t>
      </w: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
          <w:sz w:val="24"/>
          <w:szCs w:val="24"/>
          <w:lang w:val="en-US" w:eastAsia="zh-CN"/>
        </w:rPr>
        <w:t>技术要求</w:t>
      </w:r>
    </w:p>
    <w:p w14:paraId="21DE70F6">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lang w:val="en-US" w:eastAsia="zh-CN"/>
        </w:rPr>
        <w:t>本项目要求符合国家、行业、地方现行标准、规范，质量合格，包括但不限于与本项目内容相关的规范、标准，当有最新版本时执行最新版。</w:t>
      </w:r>
    </w:p>
    <w:tbl>
      <w:tblPr>
        <w:tblStyle w:val="14"/>
        <w:tblW w:w="8523"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
        <w:gridCol w:w="1789"/>
        <w:gridCol w:w="5335"/>
        <w:gridCol w:w="470"/>
        <w:gridCol w:w="459"/>
      </w:tblGrid>
      <w:tr w14:paraId="08071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8523" w:type="dxa"/>
            <w:gridSpan w:val="5"/>
            <w:noWrap w:val="0"/>
            <w:vAlign w:val="center"/>
          </w:tcPr>
          <w:p w14:paraId="7B9F3464">
            <w:pPr>
              <w:keepNext/>
              <w:widowControl w:val="0"/>
              <w:snapToGrid w:val="0"/>
              <w:ind w:left="0" w:leftChars="0" w:right="0" w:rightChars="0" w:firstLine="0" w:firstLineChars="0"/>
              <w:jc w:val="center"/>
              <w:rPr>
                <w:rFonts w:hint="eastAsia"/>
                <w:vertAlign w:val="baseline"/>
                <w:lang w:val="en-US" w:eastAsia="zh-CN"/>
              </w:rPr>
            </w:pPr>
            <w:r>
              <w:rPr>
                <w:rFonts w:hint="eastAsia" w:ascii="宋体" w:hAnsi="宋体" w:eastAsia="宋体" w:cs="宋体"/>
                <w:sz w:val="32"/>
                <w:szCs w:val="32"/>
                <w:vertAlign w:val="baseline"/>
                <w:lang w:val="en-US" w:eastAsia="zh-CN"/>
              </w:rPr>
              <w:t>综合型考试实训基地Ⅱ期建设项目</w:t>
            </w:r>
          </w:p>
        </w:tc>
      </w:tr>
      <w:tr w14:paraId="469B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0" w:type="auto"/>
            <w:noWrap w:val="0"/>
            <w:vAlign w:val="center"/>
          </w:tcPr>
          <w:p w14:paraId="322FC08A">
            <w:pPr>
              <w:keepNext/>
              <w:widowControl w:val="0"/>
              <w:snapToGrid w:val="0"/>
              <w:ind w:left="0" w:leftChars="0" w:right="0" w:rightChars="0" w:firstLine="0" w:firstLineChars="0"/>
              <w:jc w:val="center"/>
              <w:rPr>
                <w:rFonts w:hint="eastAsia" w:ascii="Calibri" w:hAnsi="Calibri" w:eastAsia="宋体" w:cs="Times New Roman"/>
                <w:kern w:val="2"/>
                <w:sz w:val="21"/>
                <w:szCs w:val="24"/>
                <w:vertAlign w:val="baseline"/>
                <w:lang w:val="en-US" w:eastAsia="zh-CN" w:bidi="ar-SA"/>
              </w:rPr>
            </w:pPr>
            <w:r>
              <w:rPr>
                <w:rFonts w:hint="eastAsia"/>
                <w:vertAlign w:val="baseline"/>
                <w:lang w:val="en-US" w:eastAsia="zh-CN"/>
              </w:rPr>
              <w:t>序号</w:t>
            </w:r>
          </w:p>
        </w:tc>
        <w:tc>
          <w:tcPr>
            <w:tcW w:w="1789" w:type="dxa"/>
            <w:noWrap w:val="0"/>
            <w:vAlign w:val="center"/>
          </w:tcPr>
          <w:p w14:paraId="74FC77C9">
            <w:pPr>
              <w:keepNext/>
              <w:widowControl w:val="0"/>
              <w:snapToGrid w:val="0"/>
              <w:ind w:left="0" w:leftChars="0" w:right="0" w:rightChars="0" w:firstLine="0" w:firstLineChars="0"/>
              <w:jc w:val="center"/>
              <w:rPr>
                <w:rFonts w:hint="eastAsia" w:ascii="Calibri" w:hAnsi="Calibri" w:eastAsia="宋体" w:cs="Times New Roman"/>
                <w:kern w:val="2"/>
                <w:sz w:val="21"/>
                <w:szCs w:val="24"/>
                <w:vertAlign w:val="baseline"/>
                <w:lang w:val="en-US" w:eastAsia="zh-CN" w:bidi="ar-SA"/>
              </w:rPr>
            </w:pPr>
            <w:r>
              <w:rPr>
                <w:rFonts w:hint="eastAsia"/>
                <w:vertAlign w:val="baseline"/>
                <w:lang w:val="en-US" w:eastAsia="zh-CN"/>
              </w:rPr>
              <w:t>设备名称</w:t>
            </w:r>
          </w:p>
        </w:tc>
        <w:tc>
          <w:tcPr>
            <w:tcW w:w="5335" w:type="dxa"/>
            <w:noWrap w:val="0"/>
            <w:vAlign w:val="center"/>
          </w:tcPr>
          <w:p w14:paraId="7761DA83">
            <w:pPr>
              <w:keepNext/>
              <w:widowControl w:val="0"/>
              <w:snapToGrid w:val="0"/>
              <w:ind w:left="0" w:leftChars="0" w:right="0" w:rightChars="0" w:firstLine="0" w:firstLineChars="0"/>
              <w:jc w:val="center"/>
              <w:rPr>
                <w:rFonts w:hint="eastAsia" w:ascii="Calibri" w:hAnsi="Calibri" w:eastAsia="宋体" w:cs="Times New Roman"/>
                <w:kern w:val="2"/>
                <w:sz w:val="21"/>
                <w:szCs w:val="24"/>
                <w:vertAlign w:val="baseline"/>
                <w:lang w:val="en-US" w:eastAsia="zh-CN" w:bidi="ar-SA"/>
              </w:rPr>
            </w:pPr>
            <w:r>
              <w:rPr>
                <w:rFonts w:hint="eastAsia"/>
                <w:vertAlign w:val="baseline"/>
                <w:lang w:val="en-US" w:eastAsia="zh-CN"/>
              </w:rPr>
              <w:t>技术参数</w:t>
            </w:r>
          </w:p>
        </w:tc>
        <w:tc>
          <w:tcPr>
            <w:tcW w:w="0" w:type="auto"/>
            <w:noWrap w:val="0"/>
            <w:vAlign w:val="center"/>
          </w:tcPr>
          <w:p w14:paraId="79FC91EB">
            <w:pPr>
              <w:keepNext/>
              <w:widowControl w:val="0"/>
              <w:snapToGrid w:val="0"/>
              <w:ind w:left="0" w:leftChars="0" w:right="0" w:rightChars="0" w:firstLine="0" w:firstLineChars="0"/>
              <w:jc w:val="center"/>
              <w:rPr>
                <w:rFonts w:hint="eastAsia" w:ascii="Calibri" w:hAnsi="Calibri" w:eastAsia="宋体" w:cs="Times New Roman"/>
                <w:kern w:val="2"/>
                <w:sz w:val="21"/>
                <w:szCs w:val="24"/>
                <w:vertAlign w:val="baseline"/>
                <w:lang w:val="en-US" w:eastAsia="zh-CN" w:bidi="ar-SA"/>
              </w:rPr>
            </w:pPr>
            <w:r>
              <w:rPr>
                <w:rFonts w:hint="eastAsia"/>
                <w:vertAlign w:val="baseline"/>
                <w:lang w:val="en-US" w:eastAsia="zh-CN"/>
              </w:rPr>
              <w:t>数量</w:t>
            </w:r>
          </w:p>
        </w:tc>
        <w:tc>
          <w:tcPr>
            <w:tcW w:w="459" w:type="dxa"/>
            <w:noWrap w:val="0"/>
            <w:vAlign w:val="center"/>
          </w:tcPr>
          <w:p w14:paraId="7FD931D3">
            <w:pPr>
              <w:keepNext/>
              <w:widowControl w:val="0"/>
              <w:snapToGrid w:val="0"/>
              <w:ind w:left="0" w:leftChars="0" w:right="0" w:rightChars="0" w:firstLine="0" w:firstLineChars="0"/>
              <w:jc w:val="center"/>
              <w:rPr>
                <w:rFonts w:hint="eastAsia" w:ascii="Calibri" w:hAnsi="Calibri" w:eastAsia="宋体" w:cs="Times New Roman"/>
                <w:kern w:val="2"/>
                <w:sz w:val="21"/>
                <w:szCs w:val="24"/>
                <w:vertAlign w:val="baseline"/>
                <w:lang w:val="en-US" w:eastAsia="zh-CN" w:bidi="ar-SA"/>
              </w:rPr>
            </w:pPr>
            <w:r>
              <w:rPr>
                <w:rFonts w:hint="eastAsia"/>
                <w:vertAlign w:val="baseline"/>
                <w:lang w:val="en-US" w:eastAsia="zh-CN"/>
              </w:rPr>
              <w:t>单位</w:t>
            </w:r>
          </w:p>
        </w:tc>
      </w:tr>
      <w:tr w14:paraId="7690A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6C15EFA2">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1</w:t>
            </w:r>
          </w:p>
        </w:tc>
        <w:tc>
          <w:tcPr>
            <w:tcW w:w="1789" w:type="dxa"/>
            <w:noWrap w:val="0"/>
            <w:vAlign w:val="center"/>
          </w:tcPr>
          <w:p w14:paraId="7EF3B8C5">
            <w:pPr>
              <w:keepNext/>
              <w:widowControl w:val="0"/>
              <w:snapToGrid w:val="0"/>
              <w:ind w:left="0" w:leftChars="0" w:right="0" w:rightChars="0" w:firstLine="0" w:firstLineChars="0"/>
              <w:jc w:val="left"/>
              <w:rPr>
                <w:rFonts w:hint="default" w:ascii="宋体" w:eastAsia="Arial"/>
                <w:sz w:val="21"/>
                <w:vertAlign w:val="baseline"/>
                <w:lang w:val="en-US" w:eastAsia="zh-CN"/>
              </w:rPr>
            </w:pPr>
            <w:r>
              <w:rPr>
                <w:rFonts w:hint="eastAsia" w:ascii="宋体" w:hAnsi="宋体" w:eastAsia="Arial"/>
                <w:kern w:val="0"/>
                <w:sz w:val="21"/>
                <w:szCs w:val="21"/>
              </w:rPr>
              <w:t>★</w:t>
            </w:r>
            <w:r>
              <w:rPr>
                <w:rFonts w:hint="eastAsia" w:ascii="宋体" w:eastAsia="Arial"/>
                <w:sz w:val="21"/>
                <w:vertAlign w:val="baseline"/>
                <w:lang w:val="en-US" w:eastAsia="zh-CN"/>
              </w:rPr>
              <w:t>计算机（学生机）</w:t>
            </w:r>
          </w:p>
        </w:tc>
        <w:tc>
          <w:tcPr>
            <w:tcW w:w="5335" w:type="dxa"/>
            <w:noWrap w:val="0"/>
            <w:vAlign w:val="center"/>
          </w:tcPr>
          <w:p w14:paraId="43EB039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一、产品规格</w:t>
            </w:r>
          </w:p>
          <w:p w14:paraId="086BDF8E">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1. CPU 规格</w:t>
            </w:r>
          </w:p>
          <w:p w14:paraId="33FCCFBC">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须用国产芯片</w:t>
            </w:r>
          </w:p>
          <w:p w14:paraId="73BC0703">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物理核心数：≥8核</w:t>
            </w:r>
          </w:p>
          <w:p w14:paraId="16FB6767">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主频：≥</w:t>
            </w:r>
            <w:r>
              <w:rPr>
                <w:rFonts w:hint="eastAsia" w:ascii="宋体" w:hAnsi="宋体" w:eastAsia="Arial"/>
                <w:b/>
                <w:bCs/>
                <w:kern w:val="0"/>
                <w:sz w:val="21"/>
                <w:szCs w:val="21"/>
                <w:lang w:val="en-US" w:eastAsia="zh-CN"/>
              </w:rPr>
              <w:t>3.6</w:t>
            </w:r>
            <w:r>
              <w:rPr>
                <w:rFonts w:hint="eastAsia" w:ascii="宋体" w:hAnsi="宋体" w:eastAsia="Arial"/>
                <w:b/>
                <w:bCs/>
                <w:kern w:val="0"/>
                <w:sz w:val="21"/>
                <w:szCs w:val="21"/>
              </w:rPr>
              <w:t>GHz</w:t>
            </w:r>
          </w:p>
          <w:p w14:paraId="25A85D26">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末级缓存容量：≥</w:t>
            </w:r>
            <w:r>
              <w:rPr>
                <w:rFonts w:hint="eastAsia" w:ascii="宋体" w:hAnsi="宋体" w:eastAsia="Arial"/>
                <w:b/>
                <w:bCs/>
                <w:kern w:val="0"/>
                <w:sz w:val="21"/>
                <w:szCs w:val="21"/>
                <w:lang w:val="en-US" w:eastAsia="zh-CN"/>
              </w:rPr>
              <w:t>32</w:t>
            </w:r>
            <w:r>
              <w:rPr>
                <w:rFonts w:hint="eastAsia" w:ascii="宋体" w:hAnsi="宋体" w:eastAsia="Arial"/>
                <w:b/>
                <w:bCs/>
                <w:kern w:val="0"/>
                <w:sz w:val="21"/>
                <w:szCs w:val="21"/>
              </w:rPr>
              <w:t>MB</w:t>
            </w:r>
          </w:p>
          <w:p w14:paraId="00ED0FE0">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线程数：≥8线程</w:t>
            </w:r>
          </w:p>
          <w:p w14:paraId="2866425B">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热设计功耗：≥</w:t>
            </w:r>
            <w:r>
              <w:rPr>
                <w:rFonts w:hint="eastAsia" w:ascii="宋体" w:hAnsi="宋体" w:eastAsia="Arial"/>
                <w:b/>
                <w:bCs/>
                <w:kern w:val="0"/>
                <w:sz w:val="21"/>
                <w:szCs w:val="21"/>
                <w:lang w:val="en-US" w:eastAsia="zh-CN"/>
              </w:rPr>
              <w:t>70</w:t>
            </w:r>
            <w:r>
              <w:rPr>
                <w:rFonts w:hint="eastAsia" w:ascii="宋体" w:hAnsi="宋体" w:eastAsia="Arial"/>
                <w:b/>
                <w:bCs/>
                <w:kern w:val="0"/>
                <w:sz w:val="21"/>
                <w:szCs w:val="21"/>
              </w:rPr>
              <w:t>W</w:t>
            </w:r>
          </w:p>
          <w:p w14:paraId="4A5277D2">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支持内存的最高速率：≥</w:t>
            </w:r>
            <w:r>
              <w:rPr>
                <w:rFonts w:hint="eastAsia" w:ascii="宋体" w:hAnsi="宋体" w:eastAsia="Arial"/>
                <w:b/>
                <w:bCs/>
                <w:kern w:val="0"/>
                <w:sz w:val="21"/>
                <w:szCs w:val="21"/>
                <w:lang w:val="en-US" w:eastAsia="zh-CN"/>
              </w:rPr>
              <w:t>4800</w:t>
            </w:r>
            <w:r>
              <w:rPr>
                <w:rFonts w:hint="eastAsia" w:ascii="宋体" w:hAnsi="宋体" w:eastAsia="Arial"/>
                <w:b/>
                <w:bCs/>
                <w:kern w:val="0"/>
                <w:sz w:val="21"/>
                <w:szCs w:val="21"/>
              </w:rPr>
              <w:t>MT/S</w:t>
            </w:r>
          </w:p>
          <w:p w14:paraId="08DC511E">
            <w:pPr>
              <w:keepNext/>
              <w:widowControl w:val="0"/>
              <w:snapToGrid w:val="0"/>
              <w:ind w:left="0" w:leftChars="0" w:right="0" w:rightChars="0" w:firstLine="0" w:firstLineChars="0"/>
              <w:jc w:val="left"/>
              <w:rPr>
                <w:rFonts w:hint="eastAsia" w:ascii="宋体" w:hAnsi="宋体" w:eastAsia="Arial"/>
                <w:b/>
                <w:bCs/>
                <w:kern w:val="0"/>
                <w:sz w:val="21"/>
                <w:szCs w:val="21"/>
                <w:lang w:val="en-US" w:eastAsia="zh-CN"/>
              </w:rPr>
            </w:pPr>
            <w:r>
              <w:rPr>
                <w:rFonts w:hint="eastAsia" w:ascii="宋体" w:hAnsi="宋体" w:eastAsia="Arial"/>
                <w:b/>
                <w:bCs/>
                <w:kern w:val="0"/>
                <w:sz w:val="21"/>
                <w:szCs w:val="21"/>
              </w:rPr>
              <w:t>通道数：≥</w:t>
            </w:r>
            <w:r>
              <w:rPr>
                <w:rFonts w:hint="eastAsia" w:ascii="宋体" w:hAnsi="宋体" w:eastAsia="Arial"/>
                <w:b/>
                <w:bCs/>
                <w:kern w:val="0"/>
                <w:sz w:val="21"/>
                <w:szCs w:val="21"/>
                <w:lang w:val="en-US" w:eastAsia="zh-CN"/>
              </w:rPr>
              <w:t>2</w:t>
            </w:r>
          </w:p>
          <w:p w14:paraId="28A1975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b/>
                <w:bCs/>
                <w:kern w:val="0"/>
                <w:sz w:val="21"/>
                <w:szCs w:val="21"/>
              </w:rPr>
              <w:t>位宽：≥64位</w:t>
            </w:r>
          </w:p>
          <w:p w14:paraId="4B05F99B">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2. 内存规格</w:t>
            </w:r>
          </w:p>
          <w:p w14:paraId="6ECB86CD">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内存配置容量：≥</w:t>
            </w:r>
            <w:r>
              <w:rPr>
                <w:rFonts w:hint="eastAsia" w:ascii="宋体" w:hAnsi="宋体" w:eastAsia="Arial"/>
                <w:b/>
                <w:bCs/>
                <w:kern w:val="0"/>
                <w:sz w:val="21"/>
                <w:szCs w:val="21"/>
                <w:lang w:val="en-US" w:eastAsia="zh-CN"/>
              </w:rPr>
              <w:t>8</w:t>
            </w:r>
            <w:r>
              <w:rPr>
                <w:rFonts w:hint="eastAsia" w:ascii="宋体" w:hAnsi="宋体" w:eastAsia="Arial"/>
                <w:b/>
                <w:bCs/>
                <w:kern w:val="0"/>
                <w:sz w:val="21"/>
                <w:szCs w:val="21"/>
              </w:rPr>
              <w:t>GB</w:t>
            </w:r>
          </w:p>
          <w:p w14:paraId="0C60C3D5">
            <w:pPr>
              <w:keepNext/>
              <w:widowControl w:val="0"/>
              <w:snapToGrid w:val="0"/>
              <w:ind w:left="0" w:leftChars="0" w:right="0" w:rightChars="0" w:firstLine="0" w:firstLineChars="0"/>
              <w:jc w:val="left"/>
              <w:rPr>
                <w:rFonts w:hint="eastAsia" w:ascii="宋体" w:hAnsi="宋体" w:eastAsia="Arial"/>
                <w:b/>
                <w:bCs/>
                <w:kern w:val="0"/>
                <w:sz w:val="21"/>
                <w:szCs w:val="21"/>
                <w:lang w:val="en-US" w:eastAsia="zh-CN"/>
              </w:rPr>
            </w:pPr>
            <w:r>
              <w:rPr>
                <w:rFonts w:hint="eastAsia" w:ascii="宋体" w:hAnsi="宋体" w:eastAsia="Arial"/>
                <w:b/>
                <w:bCs/>
                <w:kern w:val="0"/>
                <w:sz w:val="21"/>
                <w:szCs w:val="21"/>
              </w:rPr>
              <w:t>内存类型：DDR</w:t>
            </w:r>
            <w:r>
              <w:rPr>
                <w:rFonts w:hint="eastAsia" w:ascii="宋体" w:hAnsi="宋体" w:eastAsia="Arial"/>
                <w:b/>
                <w:bCs/>
                <w:kern w:val="0"/>
                <w:sz w:val="21"/>
                <w:szCs w:val="21"/>
                <w:lang w:val="en-US" w:eastAsia="zh-CN"/>
              </w:rPr>
              <w:t>5</w:t>
            </w:r>
          </w:p>
          <w:p w14:paraId="6CF54B7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b/>
                <w:bCs/>
                <w:kern w:val="0"/>
                <w:sz w:val="21"/>
                <w:szCs w:val="21"/>
              </w:rPr>
              <w:t>内存条配置数量：≥</w:t>
            </w:r>
            <w:r>
              <w:rPr>
                <w:rFonts w:hint="eastAsia" w:ascii="宋体" w:hAnsi="宋体" w:eastAsia="Arial"/>
                <w:b/>
                <w:bCs/>
                <w:kern w:val="0"/>
                <w:sz w:val="21"/>
                <w:szCs w:val="21"/>
                <w:lang w:val="en-US" w:eastAsia="zh-CN"/>
              </w:rPr>
              <w:t>1</w:t>
            </w:r>
            <w:r>
              <w:rPr>
                <w:rFonts w:hint="eastAsia" w:ascii="宋体" w:hAnsi="宋体" w:eastAsia="Arial"/>
                <w:b/>
                <w:bCs/>
                <w:kern w:val="0"/>
                <w:sz w:val="21"/>
                <w:szCs w:val="21"/>
              </w:rPr>
              <w:t>条</w:t>
            </w:r>
          </w:p>
          <w:p w14:paraId="1BC2C94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3. 主板规格</w:t>
            </w:r>
          </w:p>
          <w:p w14:paraId="15A44AA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主板集成模块：集成资源扩展模块、计算处理模块、音频扩展模块等，主板的互联拓扑可通过处理器或交换电路实现</w:t>
            </w:r>
          </w:p>
          <w:p w14:paraId="6B9A3B4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4. 存储设备规格</w:t>
            </w:r>
          </w:p>
          <w:p w14:paraId="36F1194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固态盘数量：≥1个</w:t>
            </w:r>
          </w:p>
          <w:p w14:paraId="5882AEB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固态存储容量：≥512GB</w:t>
            </w:r>
          </w:p>
          <w:p w14:paraId="4F0FE14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存储设备扩展盘位：≥1</w:t>
            </w:r>
          </w:p>
          <w:p w14:paraId="059EE24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存储设备其他参数要求：</w:t>
            </w:r>
            <w:r>
              <w:rPr>
                <w:rFonts w:hint="eastAsia" w:ascii="宋体" w:hAnsi="宋体" w:eastAsia="Arial"/>
                <w:kern w:val="0"/>
                <w:sz w:val="21"/>
                <w:szCs w:val="21"/>
              </w:rPr>
              <w:br w:type="textWrapping"/>
            </w:r>
            <w:r>
              <w:rPr>
                <w:rFonts w:hint="eastAsia" w:ascii="宋体" w:hAnsi="宋体" w:eastAsia="Arial"/>
                <w:kern w:val="0"/>
                <w:sz w:val="21"/>
                <w:szCs w:val="21"/>
              </w:rPr>
              <w:t xml:space="preserve"> 固态盘应符合SJ/T11654相关规定</w:t>
            </w:r>
            <w:r>
              <w:rPr>
                <w:rFonts w:hint="eastAsia" w:ascii="宋体" w:hAnsi="宋体" w:eastAsia="Arial"/>
                <w:kern w:val="0"/>
                <w:sz w:val="21"/>
                <w:szCs w:val="21"/>
              </w:rPr>
              <w:br w:type="textWrapping"/>
            </w:r>
            <w:r>
              <w:rPr>
                <w:rFonts w:hint="eastAsia" w:ascii="宋体" w:hAnsi="宋体" w:eastAsia="Arial"/>
                <w:kern w:val="0"/>
                <w:sz w:val="21"/>
                <w:szCs w:val="21"/>
              </w:rPr>
              <w:t>5. 显卡规格</w:t>
            </w:r>
          </w:p>
          <w:p w14:paraId="68A1EA0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显卡类型：集成高性能</w:t>
            </w:r>
          </w:p>
          <w:p w14:paraId="46A8E6A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6. 显示设备规格</w:t>
            </w:r>
          </w:p>
          <w:p w14:paraId="0461D37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显示屏屏占比：≥</w:t>
            </w:r>
            <w:r>
              <w:rPr>
                <w:rFonts w:hint="eastAsia" w:ascii="宋体" w:hAnsi="宋体" w:eastAsia="Arial"/>
                <w:kern w:val="0"/>
                <w:sz w:val="21"/>
                <w:szCs w:val="21"/>
                <w:lang w:val="en-US" w:eastAsia="zh-CN"/>
              </w:rPr>
              <w:t>8</w:t>
            </w:r>
            <w:r>
              <w:rPr>
                <w:rFonts w:hint="eastAsia" w:ascii="宋体" w:hAnsi="宋体" w:eastAsia="Arial"/>
                <w:kern w:val="0"/>
                <w:sz w:val="21"/>
                <w:szCs w:val="21"/>
              </w:rPr>
              <w:t>0%</w:t>
            </w:r>
          </w:p>
          <w:p w14:paraId="28A26CC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显示屏分辨率：1920x1080</w:t>
            </w:r>
          </w:p>
          <w:p w14:paraId="07BD633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显示屏尺寸≥23</w:t>
            </w:r>
            <w:r>
              <w:rPr>
                <w:rFonts w:hint="eastAsia" w:ascii="宋体" w:hAnsi="宋体" w:eastAsia="Arial"/>
                <w:kern w:val="0"/>
                <w:sz w:val="21"/>
                <w:szCs w:val="21"/>
                <w:lang w:val="en-US" w:eastAsia="zh-CN"/>
              </w:rPr>
              <w:t>.8</w:t>
            </w:r>
            <w:r>
              <w:rPr>
                <w:rFonts w:hint="eastAsia" w:ascii="宋体" w:hAnsi="宋体" w:eastAsia="Arial"/>
                <w:kern w:val="0"/>
                <w:sz w:val="21"/>
                <w:szCs w:val="21"/>
              </w:rPr>
              <w:t>英寸</w:t>
            </w:r>
          </w:p>
          <w:p w14:paraId="0119178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显示屏屏幕比例：16:9</w:t>
            </w:r>
          </w:p>
          <w:p w14:paraId="2694ECB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显示器边框颜色：黑色</w:t>
            </w:r>
          </w:p>
          <w:p w14:paraId="3D12AD3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 xml:space="preserve">显示屏防蓝光：支持低蓝光功能，蓝光加权辐射亮度比应≤0.0012W/(·cd·sr)(瓦每坎德拉每球面度) </w:t>
            </w:r>
          </w:p>
          <w:p w14:paraId="53FCD40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显示屏低频闪：显示屏应支持低频闪≤-35dB</w:t>
            </w:r>
          </w:p>
          <w:p w14:paraId="2892ABD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显示屏防炫目：显示屏镜面反射率≤10%</w:t>
            </w:r>
          </w:p>
          <w:p w14:paraId="5A2D199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7. 外设规格</w:t>
            </w:r>
          </w:p>
          <w:p w14:paraId="0283DBD1">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rPr>
              <w:t>传声器数量≥</w:t>
            </w:r>
            <w:r>
              <w:rPr>
                <w:rFonts w:hint="eastAsia" w:ascii="宋体" w:hAnsi="宋体" w:eastAsia="Arial"/>
                <w:kern w:val="0"/>
                <w:sz w:val="21"/>
                <w:szCs w:val="21"/>
                <w:lang w:val="en-US" w:eastAsia="zh-CN"/>
              </w:rPr>
              <w:t>0</w:t>
            </w:r>
          </w:p>
          <w:p w14:paraId="4F2D36E6">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rPr>
              <w:t>扬声器数量≥</w:t>
            </w:r>
            <w:r>
              <w:rPr>
                <w:rFonts w:hint="eastAsia" w:ascii="宋体" w:hAnsi="宋体" w:eastAsia="Arial"/>
                <w:kern w:val="0"/>
                <w:sz w:val="21"/>
                <w:szCs w:val="21"/>
                <w:lang w:val="en-US" w:eastAsia="zh-CN"/>
              </w:rPr>
              <w:t>0</w:t>
            </w:r>
          </w:p>
          <w:p w14:paraId="5D7F2D1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鼠标数量：≥1个</w:t>
            </w:r>
          </w:p>
          <w:p w14:paraId="3C21A13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键盘数量：≥1个</w:t>
            </w:r>
          </w:p>
          <w:p w14:paraId="74E2E7E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摄像头数量：≥</w:t>
            </w:r>
            <w:r>
              <w:rPr>
                <w:rFonts w:hint="eastAsia" w:ascii="宋体" w:hAnsi="宋体" w:eastAsia="Arial"/>
                <w:kern w:val="0"/>
                <w:sz w:val="21"/>
                <w:szCs w:val="21"/>
                <w:lang w:val="en-US" w:eastAsia="zh-CN"/>
              </w:rPr>
              <w:t>0</w:t>
            </w:r>
            <w:r>
              <w:rPr>
                <w:rFonts w:hint="eastAsia" w:ascii="宋体" w:hAnsi="宋体" w:eastAsia="Arial"/>
                <w:kern w:val="0"/>
                <w:sz w:val="21"/>
                <w:szCs w:val="21"/>
              </w:rPr>
              <w:t>个</w:t>
            </w:r>
          </w:p>
          <w:p w14:paraId="06F8F76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键盘按键数目：104键</w:t>
            </w:r>
          </w:p>
          <w:p w14:paraId="59D93C4A">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摄像头像素：</w:t>
            </w:r>
            <w:r>
              <w:rPr>
                <w:rFonts w:hint="eastAsia" w:ascii="宋体" w:hAnsi="宋体" w:eastAsia="Arial"/>
                <w:kern w:val="0"/>
                <w:sz w:val="21"/>
                <w:szCs w:val="21"/>
                <w:lang w:val="en-US" w:eastAsia="zh-CN"/>
              </w:rPr>
              <w:t>无</w:t>
            </w:r>
          </w:p>
          <w:p w14:paraId="720D1C7B">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摄像头分辨率：</w:t>
            </w:r>
            <w:r>
              <w:rPr>
                <w:rFonts w:hint="eastAsia" w:ascii="宋体" w:hAnsi="宋体" w:eastAsia="Arial"/>
                <w:kern w:val="0"/>
                <w:sz w:val="21"/>
                <w:szCs w:val="21"/>
                <w:lang w:val="en-US" w:eastAsia="zh-CN"/>
              </w:rPr>
              <w:t>无</w:t>
            </w:r>
          </w:p>
          <w:p w14:paraId="19828505">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扬声器功率：</w:t>
            </w:r>
            <w:r>
              <w:rPr>
                <w:rFonts w:hint="eastAsia" w:ascii="宋体" w:hAnsi="宋体" w:eastAsia="Arial"/>
                <w:kern w:val="0"/>
                <w:sz w:val="21"/>
                <w:szCs w:val="21"/>
                <w:lang w:val="en-US" w:eastAsia="zh-CN"/>
              </w:rPr>
              <w:t>无</w:t>
            </w:r>
          </w:p>
          <w:p w14:paraId="0243DBFF">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扬声器频率范围：</w:t>
            </w:r>
            <w:r>
              <w:rPr>
                <w:rFonts w:hint="eastAsia" w:ascii="宋体" w:hAnsi="宋体" w:eastAsia="Arial"/>
                <w:kern w:val="0"/>
                <w:sz w:val="21"/>
                <w:szCs w:val="21"/>
                <w:lang w:val="en-US" w:eastAsia="zh-CN"/>
              </w:rPr>
              <w:t>无</w:t>
            </w:r>
          </w:p>
          <w:p w14:paraId="23A31CD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键盘键程：2.3mm～4.0mm</w:t>
            </w:r>
          </w:p>
          <w:p w14:paraId="50FABA0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键盘按键压力：按键压力应在0.54N±0.14N</w:t>
            </w:r>
          </w:p>
          <w:p w14:paraId="5B0CC42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键盘颜色：黑色</w:t>
            </w:r>
          </w:p>
          <w:p w14:paraId="2F6A0A6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键盘连接方式：有线</w:t>
            </w:r>
          </w:p>
          <w:p w14:paraId="6EA7962C">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有线键盘连接线：≥1.5米</w:t>
            </w:r>
            <w:r>
              <w:rPr>
                <w:rFonts w:hint="eastAsia" w:ascii="宋体" w:hAnsi="宋体" w:eastAsia="Arial"/>
                <w:kern w:val="0"/>
                <w:sz w:val="21"/>
                <w:szCs w:val="21"/>
                <w:lang w:eastAsia="zh-CN"/>
              </w:rPr>
              <w:t>，</w:t>
            </w:r>
            <w:r>
              <w:rPr>
                <w:rFonts w:hint="eastAsia" w:ascii="宋体" w:hAnsi="宋体" w:eastAsia="Arial"/>
                <w:kern w:val="0"/>
                <w:sz w:val="21"/>
                <w:szCs w:val="21"/>
              </w:rPr>
              <w:t>具备键盘开机功能</w:t>
            </w:r>
          </w:p>
          <w:p w14:paraId="58B2B7E1">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键盘其他要求：键盘外观结构、连接方式、主要功能、安全、电磁兼容性、可靠性应符合GB/T14081的相关规定</w:t>
            </w:r>
            <w:r>
              <w:rPr>
                <w:rFonts w:hint="eastAsia" w:ascii="宋体" w:hAnsi="宋体" w:eastAsia="Arial"/>
                <w:kern w:val="0"/>
                <w:sz w:val="21"/>
                <w:szCs w:val="21"/>
                <w:lang w:eastAsia="zh-CN"/>
              </w:rPr>
              <w:t>，</w:t>
            </w:r>
            <w:r>
              <w:rPr>
                <w:rFonts w:hint="eastAsia" w:ascii="宋体" w:hAnsi="宋体" w:eastAsia="Arial"/>
                <w:kern w:val="0"/>
                <w:sz w:val="21"/>
                <w:szCs w:val="21"/>
              </w:rPr>
              <w:t>具备键盘开机功能</w:t>
            </w:r>
            <w:r>
              <w:rPr>
                <w:rFonts w:hint="eastAsia" w:ascii="宋体" w:hAnsi="宋体" w:eastAsia="Arial"/>
                <w:kern w:val="0"/>
                <w:sz w:val="21"/>
                <w:szCs w:val="21"/>
                <w:lang w:eastAsia="zh-CN"/>
              </w:rPr>
              <w:t>。</w:t>
            </w:r>
          </w:p>
          <w:p w14:paraId="518E2F4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鼠标连接方式：有线</w:t>
            </w:r>
          </w:p>
          <w:p w14:paraId="34F467A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有线鼠标连接线：≥1.5米</w:t>
            </w:r>
          </w:p>
          <w:p w14:paraId="2A6E2AA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鼠标DPI分辨率：800~1600</w:t>
            </w:r>
          </w:p>
          <w:p w14:paraId="1BC6D67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鼠标其他要求：参数应符合GB/T26245的相关规定</w:t>
            </w:r>
          </w:p>
          <w:p w14:paraId="19E6DA9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8. 网络设备规格</w:t>
            </w:r>
          </w:p>
          <w:p w14:paraId="795576A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有线网卡数量：≥1</w:t>
            </w:r>
          </w:p>
          <w:p w14:paraId="7196F62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无线网卡及天线数量：≥1</w:t>
            </w:r>
          </w:p>
          <w:p w14:paraId="1DE1172E">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rPr>
              <w:t>有线网卡：集成10M/100/1000MB自适应网卡</w:t>
            </w:r>
            <w:r>
              <w:rPr>
                <w:rFonts w:hint="eastAsia" w:ascii="宋体" w:hAnsi="宋体" w:eastAsia="Arial"/>
                <w:kern w:val="0"/>
                <w:sz w:val="21"/>
                <w:szCs w:val="21"/>
                <w:lang w:eastAsia="zh-CN"/>
              </w:rPr>
              <w:t>，</w:t>
            </w:r>
            <w:r>
              <w:rPr>
                <w:rFonts w:hint="eastAsia" w:ascii="宋体" w:hAnsi="宋体" w:eastAsia="Arial"/>
                <w:kern w:val="0"/>
                <w:sz w:val="21"/>
                <w:szCs w:val="21"/>
              </w:rPr>
              <w:t>具备物理开关</w:t>
            </w:r>
            <w:r>
              <w:rPr>
                <w:rFonts w:hint="eastAsia" w:ascii="宋体" w:hAnsi="宋体" w:eastAsia="Arial"/>
                <w:kern w:val="0"/>
                <w:sz w:val="21"/>
                <w:szCs w:val="21"/>
                <w:lang w:val="en-US" w:eastAsia="zh-CN"/>
              </w:rPr>
              <w:t>功能</w:t>
            </w:r>
          </w:p>
          <w:p w14:paraId="4BACCD94">
            <w:pPr>
              <w:widowControl w:val="0"/>
              <w:bidi w:val="0"/>
              <w:rPr>
                <w:rFonts w:hint="eastAsia"/>
                <w:b/>
                <w:bCs/>
              </w:rPr>
            </w:pPr>
            <w:r>
              <w:rPr>
                <w:rFonts w:hint="eastAsia"/>
                <w:b/>
                <w:bCs/>
              </w:rPr>
              <w:t>9. 外部接口规格</w:t>
            </w:r>
          </w:p>
          <w:p w14:paraId="406B02CF">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 xml:space="preserve">USB接口数量：USB 接口数量应不少于 </w:t>
            </w:r>
            <w:r>
              <w:rPr>
                <w:rFonts w:hint="eastAsia" w:ascii="宋体" w:hAnsi="宋体" w:eastAsia="Arial"/>
                <w:b/>
                <w:bCs/>
                <w:kern w:val="0"/>
                <w:sz w:val="21"/>
                <w:szCs w:val="21"/>
                <w:lang w:val="en-US" w:eastAsia="zh-CN"/>
              </w:rPr>
              <w:t>11</w:t>
            </w:r>
            <w:r>
              <w:rPr>
                <w:rFonts w:hint="eastAsia" w:ascii="宋体" w:hAnsi="宋体" w:eastAsia="Arial"/>
                <w:b/>
                <w:bCs/>
                <w:kern w:val="0"/>
                <w:sz w:val="21"/>
                <w:szCs w:val="21"/>
              </w:rPr>
              <w:t xml:space="preserve">个，至少包含 </w:t>
            </w:r>
            <w:r>
              <w:rPr>
                <w:rFonts w:hint="eastAsia" w:ascii="宋体" w:hAnsi="宋体" w:eastAsia="Arial"/>
                <w:b/>
                <w:bCs/>
                <w:kern w:val="0"/>
                <w:sz w:val="21"/>
                <w:szCs w:val="21"/>
                <w:lang w:val="en-US" w:eastAsia="zh-CN"/>
              </w:rPr>
              <w:t>2</w:t>
            </w:r>
            <w:r>
              <w:rPr>
                <w:rFonts w:hint="eastAsia" w:ascii="宋体" w:hAnsi="宋体" w:eastAsia="Arial"/>
                <w:b/>
                <w:bCs/>
                <w:kern w:val="0"/>
                <w:sz w:val="21"/>
                <w:szCs w:val="21"/>
              </w:rPr>
              <w:t>个 USB</w:t>
            </w:r>
            <w:r>
              <w:rPr>
                <w:rFonts w:hint="eastAsia" w:ascii="宋体" w:hAnsi="宋体" w:eastAsia="Arial"/>
                <w:b/>
                <w:bCs/>
                <w:kern w:val="0"/>
                <w:sz w:val="21"/>
                <w:szCs w:val="21"/>
                <w:lang w:val="en-US" w:eastAsia="zh-CN"/>
              </w:rPr>
              <w:t xml:space="preserve"> TypeC接口</w:t>
            </w:r>
          </w:p>
          <w:p w14:paraId="135FCEB3">
            <w:pPr>
              <w:keepNext/>
              <w:widowControl w:val="0"/>
              <w:snapToGrid w:val="0"/>
              <w:ind w:left="0" w:leftChars="0" w:right="0" w:rightChars="0" w:firstLine="0" w:firstLineChars="0"/>
              <w:jc w:val="left"/>
              <w:rPr>
                <w:rFonts w:hint="eastAsia" w:ascii="宋体" w:hAnsi="宋体" w:eastAsia="Arial"/>
                <w:b/>
                <w:bCs/>
                <w:kern w:val="0"/>
                <w:sz w:val="21"/>
                <w:szCs w:val="21"/>
                <w:lang w:eastAsia="zh-CN"/>
              </w:rPr>
            </w:pPr>
            <w:r>
              <w:rPr>
                <w:rFonts w:hint="eastAsia" w:ascii="宋体" w:hAnsi="宋体" w:eastAsia="Arial"/>
                <w:b/>
                <w:bCs/>
                <w:kern w:val="0"/>
                <w:sz w:val="21"/>
                <w:szCs w:val="21"/>
              </w:rPr>
              <w:t>视频接口数量：≥</w:t>
            </w:r>
            <w:r>
              <w:rPr>
                <w:rFonts w:hint="eastAsia" w:ascii="宋体" w:hAnsi="宋体" w:eastAsia="Arial"/>
                <w:b/>
                <w:bCs/>
                <w:kern w:val="0"/>
                <w:sz w:val="21"/>
                <w:szCs w:val="21"/>
                <w:lang w:val="en-US" w:eastAsia="zh-CN"/>
              </w:rPr>
              <w:t>2</w:t>
            </w:r>
          </w:p>
          <w:p w14:paraId="474EDE3A">
            <w:pPr>
              <w:keepNext/>
              <w:widowControl w:val="0"/>
              <w:snapToGrid w:val="0"/>
              <w:ind w:left="0" w:leftChars="0" w:right="0" w:rightChars="0" w:firstLine="0" w:firstLineChars="0"/>
              <w:jc w:val="left"/>
              <w:rPr>
                <w:rFonts w:hint="eastAsia" w:ascii="宋体" w:hAnsi="宋体" w:eastAsia="Arial"/>
                <w:b/>
                <w:bCs/>
                <w:kern w:val="0"/>
                <w:sz w:val="21"/>
                <w:szCs w:val="21"/>
                <w:lang w:val="en-US" w:eastAsia="zh-CN"/>
              </w:rPr>
            </w:pPr>
            <w:r>
              <w:rPr>
                <w:rFonts w:hint="eastAsia" w:ascii="宋体" w:hAnsi="宋体" w:eastAsia="Arial"/>
                <w:b/>
                <w:bCs/>
                <w:kern w:val="0"/>
                <w:sz w:val="21"/>
                <w:szCs w:val="21"/>
              </w:rPr>
              <w:t>音频接口数量：≥</w:t>
            </w:r>
            <w:r>
              <w:rPr>
                <w:rFonts w:hint="eastAsia" w:ascii="宋体" w:hAnsi="宋体" w:eastAsia="Arial"/>
                <w:b/>
                <w:bCs/>
                <w:kern w:val="0"/>
                <w:sz w:val="21"/>
                <w:szCs w:val="21"/>
                <w:lang w:val="en-US" w:eastAsia="zh-CN"/>
              </w:rPr>
              <w:t>5</w:t>
            </w:r>
          </w:p>
          <w:p w14:paraId="3576A11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10. 整机基础规格</w:t>
            </w:r>
          </w:p>
          <w:p w14:paraId="104BA88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台式计算机整机外观：</w:t>
            </w:r>
            <w:r>
              <w:rPr>
                <w:rFonts w:hint="eastAsia" w:ascii="宋体" w:hAnsi="宋体" w:eastAsia="Arial"/>
                <w:kern w:val="0"/>
                <w:sz w:val="21"/>
                <w:szCs w:val="21"/>
              </w:rPr>
              <w:br w:type="textWrapping"/>
            </w:r>
            <w:r>
              <w:rPr>
                <w:rFonts w:hint="eastAsia" w:ascii="宋体" w:hAnsi="宋体" w:eastAsia="Arial"/>
                <w:kern w:val="0"/>
                <w:sz w:val="21"/>
                <w:szCs w:val="21"/>
              </w:rPr>
              <w:t>a) 产品表面不应有凹痕、划伤、裂缝、变形和污染等。表面涂层均匀，不应起泡、龟裂、脱落和磨损，金属零部件无锈蚀及其它机械损伤</w:t>
            </w:r>
            <w:r>
              <w:rPr>
                <w:rFonts w:hint="eastAsia" w:ascii="宋体" w:hAnsi="宋体" w:eastAsia="Arial"/>
                <w:kern w:val="0"/>
                <w:sz w:val="21"/>
                <w:szCs w:val="21"/>
              </w:rPr>
              <w:br w:type="textWrapping"/>
            </w:r>
            <w:r>
              <w:rPr>
                <w:rFonts w:hint="eastAsia" w:ascii="宋体" w:hAnsi="宋体" w:eastAsia="Arial"/>
                <w:kern w:val="0"/>
                <w:sz w:val="21"/>
                <w:szCs w:val="21"/>
              </w:rPr>
              <w:t>b) 产品表面说明功能的文字、符号、标志，应清晰、端正、牢固</w:t>
            </w:r>
            <w:r>
              <w:rPr>
                <w:rFonts w:hint="eastAsia" w:ascii="宋体" w:hAnsi="宋体" w:eastAsia="Arial"/>
                <w:kern w:val="0"/>
                <w:sz w:val="21"/>
                <w:szCs w:val="21"/>
              </w:rPr>
              <w:br w:type="textWrapping"/>
            </w:r>
            <w:r>
              <w:rPr>
                <w:rFonts w:hint="eastAsia" w:ascii="宋体" w:hAnsi="宋体" w:eastAsia="Arial"/>
                <w:kern w:val="0"/>
                <w:sz w:val="21"/>
                <w:szCs w:val="21"/>
              </w:rPr>
              <w:t>c) 产品显著位置提供运行状态指示功能，并由生产厂商提供详细参数</w:t>
            </w:r>
          </w:p>
          <w:p w14:paraId="22AB804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整机结构：</w:t>
            </w:r>
            <w:r>
              <w:rPr>
                <w:rFonts w:hint="eastAsia" w:ascii="宋体" w:hAnsi="宋体" w:eastAsia="Arial"/>
                <w:kern w:val="0"/>
                <w:sz w:val="21"/>
                <w:szCs w:val="21"/>
              </w:rPr>
              <w:br w:type="textWrapping"/>
            </w:r>
            <w:r>
              <w:rPr>
                <w:rFonts w:hint="eastAsia" w:ascii="宋体" w:hAnsi="宋体" w:eastAsia="Arial"/>
                <w:kern w:val="0"/>
                <w:sz w:val="21"/>
                <w:szCs w:val="21"/>
              </w:rPr>
              <w:t xml:space="preserve">a) </w:t>
            </w:r>
            <w:r>
              <w:rPr>
                <w:rFonts w:hint="eastAsia" w:ascii="宋体" w:hAnsi="宋体" w:eastAsia="Arial"/>
                <w:b/>
                <w:bCs/>
                <w:kern w:val="0"/>
                <w:sz w:val="21"/>
                <w:szCs w:val="21"/>
              </w:rPr>
              <w:t>机箱应符合GB/T 4208、GB/T 26246的相关规定</w:t>
            </w:r>
            <w:r>
              <w:rPr>
                <w:rFonts w:hint="eastAsia" w:ascii="宋体" w:hAnsi="宋体" w:eastAsia="Arial"/>
                <w:b/>
                <w:bCs/>
                <w:kern w:val="0"/>
                <w:sz w:val="21"/>
                <w:szCs w:val="21"/>
                <w:lang w:eastAsia="zh-CN"/>
              </w:rPr>
              <w:t>，</w:t>
            </w:r>
            <w:r>
              <w:rPr>
                <w:rFonts w:hint="eastAsia" w:ascii="宋体" w:hAnsi="宋体" w:eastAsia="Arial"/>
                <w:b/>
                <w:bCs/>
                <w:kern w:val="0"/>
                <w:sz w:val="21"/>
                <w:szCs w:val="21"/>
              </w:rPr>
              <w:t>≥17L</w:t>
            </w:r>
            <w:r>
              <w:rPr>
                <w:rFonts w:hint="eastAsia" w:ascii="宋体" w:hAnsi="宋体" w:eastAsia="Arial"/>
                <w:b/>
                <w:bCs/>
                <w:kern w:val="0"/>
                <w:sz w:val="21"/>
                <w:szCs w:val="21"/>
                <w:lang w:val="en-US" w:eastAsia="zh-CN"/>
              </w:rPr>
              <w:t>机箱</w:t>
            </w:r>
            <w:r>
              <w:rPr>
                <w:rFonts w:hint="eastAsia" w:ascii="宋体" w:hAnsi="宋体" w:eastAsia="Arial"/>
                <w:b/>
                <w:bCs/>
                <w:kern w:val="0"/>
                <w:sz w:val="21"/>
                <w:szCs w:val="21"/>
              </w:rPr>
              <w:t>，顶置提手、免工具维护</w:t>
            </w:r>
            <w:r>
              <w:rPr>
                <w:rFonts w:hint="eastAsia" w:ascii="宋体" w:hAnsi="宋体" w:eastAsia="Arial"/>
                <w:b/>
                <w:bCs/>
                <w:kern w:val="0"/>
                <w:sz w:val="21"/>
                <w:szCs w:val="21"/>
                <w:lang w:val="en-US" w:eastAsia="zh-CN"/>
              </w:rPr>
              <w:t>,机箱标配可拆卸防尘网</w:t>
            </w:r>
            <w:r>
              <w:rPr>
                <w:rFonts w:hint="eastAsia" w:ascii="宋体" w:hAnsi="宋体" w:eastAsia="Arial"/>
                <w:kern w:val="0"/>
                <w:sz w:val="21"/>
                <w:szCs w:val="21"/>
              </w:rPr>
              <w:br w:type="textWrapping"/>
            </w:r>
            <w:r>
              <w:rPr>
                <w:rFonts w:hint="eastAsia" w:ascii="宋体" w:hAnsi="宋体" w:eastAsia="Arial"/>
                <w:kern w:val="0"/>
                <w:sz w:val="21"/>
                <w:szCs w:val="21"/>
              </w:rPr>
              <w:t>b) 产品内部结构应符合通用部件的安装需求</w:t>
            </w:r>
            <w:r>
              <w:rPr>
                <w:rFonts w:hint="eastAsia" w:ascii="宋体" w:hAnsi="宋体" w:eastAsia="Arial"/>
                <w:kern w:val="0"/>
                <w:sz w:val="21"/>
                <w:szCs w:val="21"/>
              </w:rPr>
              <w:br w:type="textWrapping"/>
            </w:r>
            <w:r>
              <w:rPr>
                <w:rFonts w:hint="eastAsia" w:ascii="宋体" w:hAnsi="宋体" w:eastAsia="Arial"/>
                <w:kern w:val="0"/>
                <w:sz w:val="21"/>
                <w:szCs w:val="21"/>
              </w:rPr>
              <w:t>c) 所有输入输出接口应符合相关国家或行业标准</w:t>
            </w:r>
            <w:r>
              <w:rPr>
                <w:rFonts w:hint="eastAsia" w:ascii="宋体" w:hAnsi="宋体" w:eastAsia="Arial"/>
                <w:kern w:val="0"/>
                <w:sz w:val="21"/>
                <w:szCs w:val="21"/>
              </w:rPr>
              <w:br w:type="textWrapping"/>
            </w:r>
            <w:r>
              <w:rPr>
                <w:rFonts w:hint="eastAsia" w:ascii="宋体" w:hAnsi="宋体" w:eastAsia="Arial"/>
                <w:kern w:val="0"/>
                <w:sz w:val="21"/>
                <w:szCs w:val="21"/>
              </w:rPr>
              <w:t>d) 产品零部件应紧固无松动，可插拔部件应可靠连接，开关</w:t>
            </w:r>
            <w:r>
              <w:rPr>
                <w:rFonts w:hint="eastAsia" w:ascii="宋体" w:hAnsi="宋体" w:eastAsia="Arial"/>
                <w:kern w:val="0"/>
                <w:sz w:val="21"/>
                <w:szCs w:val="21"/>
                <w:lang w:eastAsia="zh-CN"/>
              </w:rPr>
              <w:t>、</w:t>
            </w:r>
            <w:r>
              <w:rPr>
                <w:rFonts w:hint="eastAsia" w:ascii="宋体" w:hAnsi="宋体" w:eastAsia="Arial"/>
                <w:kern w:val="0"/>
                <w:sz w:val="21"/>
                <w:szCs w:val="21"/>
              </w:rPr>
              <w:t>具备重启按键、按钮和其它控制部件应灵活可靠，布局应方便使用</w:t>
            </w:r>
            <w:r>
              <w:rPr>
                <w:rFonts w:hint="eastAsia" w:ascii="宋体" w:hAnsi="宋体" w:eastAsia="Arial"/>
                <w:kern w:val="0"/>
                <w:sz w:val="21"/>
                <w:szCs w:val="21"/>
              </w:rPr>
              <w:br w:type="textWrapping"/>
            </w:r>
            <w:r>
              <w:rPr>
                <w:rFonts w:hint="eastAsia" w:ascii="宋体" w:hAnsi="宋体" w:eastAsia="Arial"/>
                <w:kern w:val="0"/>
                <w:sz w:val="21"/>
                <w:szCs w:val="21"/>
              </w:rPr>
              <w:t>e) 所有I/O连接器及需插接线缆的部位应预留采购人操作空间，方便插拔解锁与插拔线缆</w:t>
            </w:r>
            <w:r>
              <w:rPr>
                <w:rFonts w:hint="eastAsia" w:ascii="宋体" w:hAnsi="宋体" w:eastAsia="Arial"/>
                <w:kern w:val="0"/>
                <w:sz w:val="21"/>
                <w:szCs w:val="21"/>
              </w:rPr>
              <w:br w:type="textWrapping"/>
            </w:r>
            <w:r>
              <w:rPr>
                <w:rFonts w:hint="eastAsia" w:ascii="宋体" w:hAnsi="宋体" w:eastAsia="Arial"/>
                <w:kern w:val="0"/>
                <w:sz w:val="21"/>
                <w:szCs w:val="21"/>
              </w:rPr>
              <w:t>f) 可插拔板卡插槽部位应预留安装、拆卸或更换板卡空间</w:t>
            </w:r>
            <w:r>
              <w:rPr>
                <w:rFonts w:hint="eastAsia" w:ascii="宋体" w:hAnsi="宋体" w:eastAsia="Arial"/>
                <w:kern w:val="0"/>
                <w:sz w:val="21"/>
                <w:szCs w:val="21"/>
              </w:rPr>
              <w:br w:type="textWrapping"/>
            </w:r>
            <w:r>
              <w:rPr>
                <w:rFonts w:hint="eastAsia" w:ascii="宋体" w:hAnsi="宋体" w:eastAsia="Arial"/>
                <w:kern w:val="0"/>
                <w:sz w:val="21"/>
                <w:szCs w:val="21"/>
              </w:rPr>
              <w:t>g) 拆装可能接触到的金属剪口或金属尖角部位应做防划伤处理，以保证安全</w:t>
            </w:r>
            <w:r>
              <w:rPr>
                <w:rFonts w:hint="eastAsia" w:ascii="宋体" w:hAnsi="宋体" w:eastAsia="Arial"/>
                <w:kern w:val="0"/>
                <w:sz w:val="21"/>
                <w:szCs w:val="21"/>
              </w:rPr>
              <w:br w:type="textWrapping"/>
            </w:r>
            <w:r>
              <w:rPr>
                <w:rFonts w:hint="eastAsia" w:ascii="宋体" w:hAnsi="宋体" w:eastAsia="Arial"/>
                <w:kern w:val="0"/>
                <w:sz w:val="21"/>
                <w:szCs w:val="21"/>
              </w:rPr>
              <w:t>h) 整机内部走线应规整，固线结构和位置要合理可靠并做防割线处理，需便于理线和插拔操作，走线应不影响系统各主要部件组装和拆卸</w:t>
            </w:r>
            <w:r>
              <w:rPr>
                <w:rFonts w:hint="eastAsia" w:ascii="宋体" w:hAnsi="宋体" w:eastAsia="Arial"/>
                <w:kern w:val="0"/>
                <w:sz w:val="21"/>
                <w:szCs w:val="21"/>
              </w:rPr>
              <w:br w:type="textWrapping"/>
            </w:r>
            <w:r>
              <w:rPr>
                <w:rFonts w:hint="eastAsia" w:ascii="宋体" w:hAnsi="宋体" w:eastAsia="Arial"/>
                <w:kern w:val="0"/>
                <w:sz w:val="21"/>
                <w:szCs w:val="21"/>
              </w:rPr>
              <w:t>i) 如需通过孔走线，过线孔应做防割线处理</w:t>
            </w:r>
            <w:r>
              <w:rPr>
                <w:rFonts w:hint="eastAsia" w:ascii="宋体" w:hAnsi="宋体" w:eastAsia="Arial"/>
                <w:kern w:val="0"/>
                <w:sz w:val="21"/>
                <w:szCs w:val="21"/>
              </w:rPr>
              <w:br w:type="textWrapping"/>
            </w:r>
            <w:r>
              <w:rPr>
                <w:rFonts w:hint="eastAsia" w:ascii="宋体" w:hAnsi="宋体" w:eastAsia="Arial"/>
                <w:kern w:val="0"/>
                <w:sz w:val="21"/>
                <w:szCs w:val="21"/>
              </w:rPr>
              <w:t>j) 各插头位置和插拔方向应合理，应做到插拔无障碍设计，具备防呆设计，有效避免误操作</w:t>
            </w:r>
            <w:r>
              <w:rPr>
                <w:rFonts w:hint="eastAsia" w:ascii="宋体" w:hAnsi="宋体" w:eastAsia="Arial"/>
                <w:kern w:val="0"/>
                <w:sz w:val="21"/>
                <w:szCs w:val="21"/>
              </w:rPr>
              <w:br w:type="textWrapping"/>
            </w:r>
            <w:r>
              <w:rPr>
                <w:rFonts w:hint="eastAsia" w:ascii="宋体" w:hAnsi="宋体" w:eastAsia="Arial"/>
                <w:kern w:val="0"/>
                <w:sz w:val="21"/>
                <w:szCs w:val="21"/>
              </w:rPr>
              <w:t>k) 各主要部件拆装无障碍，使用常规工具拆装，无特殊拆装工具需求</w:t>
            </w:r>
            <w:r>
              <w:rPr>
                <w:rFonts w:hint="eastAsia" w:ascii="宋体" w:hAnsi="宋体" w:eastAsia="Arial"/>
                <w:kern w:val="0"/>
                <w:sz w:val="21"/>
                <w:szCs w:val="21"/>
              </w:rPr>
              <w:br w:type="textWrapping"/>
            </w:r>
            <w:r>
              <w:rPr>
                <w:rFonts w:hint="eastAsia" w:ascii="宋体" w:hAnsi="宋体" w:eastAsia="Arial"/>
                <w:kern w:val="0"/>
                <w:sz w:val="21"/>
                <w:szCs w:val="21"/>
              </w:rPr>
              <w:t>l) 各主要部件拆装步骤要少，各自拆装需避免相互干扰</w:t>
            </w:r>
            <w:r>
              <w:rPr>
                <w:rFonts w:hint="eastAsia" w:ascii="宋体" w:hAnsi="宋体" w:eastAsia="Arial"/>
                <w:kern w:val="0"/>
                <w:sz w:val="21"/>
                <w:szCs w:val="21"/>
              </w:rPr>
              <w:br w:type="textWrapping"/>
            </w:r>
            <w:r>
              <w:rPr>
                <w:rFonts w:hint="eastAsia" w:ascii="宋体" w:hAnsi="宋体" w:eastAsia="Arial"/>
                <w:kern w:val="0"/>
                <w:sz w:val="21"/>
                <w:szCs w:val="21"/>
              </w:rPr>
              <w:t>m) 对于整机或零部件外表面为高亮面的，应粘贴保护膜，保护膜需粘贴牢固，运输、组装等过程不易脱落，撕下无残留</w:t>
            </w:r>
            <w:r>
              <w:rPr>
                <w:rFonts w:hint="eastAsia" w:ascii="宋体" w:hAnsi="宋体" w:eastAsia="Arial"/>
                <w:kern w:val="0"/>
                <w:sz w:val="21"/>
                <w:szCs w:val="21"/>
              </w:rPr>
              <w:br w:type="textWrapping"/>
            </w:r>
            <w:r>
              <w:rPr>
                <w:rFonts w:hint="eastAsia" w:ascii="宋体" w:hAnsi="宋体" w:eastAsia="Arial"/>
                <w:kern w:val="0"/>
                <w:sz w:val="21"/>
                <w:szCs w:val="21"/>
              </w:rPr>
              <w:t>n) 其它要求应符合GB/T9813.1的相关规定</w:t>
            </w:r>
          </w:p>
          <w:p w14:paraId="763150E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机箱防护要求：机箱应符合GB/T4208中IP20防护要求</w:t>
            </w:r>
          </w:p>
          <w:p w14:paraId="4FE0C90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整机噪音：不得大于4.5Bel</w:t>
            </w:r>
          </w:p>
          <w:p w14:paraId="6D88047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整机散热：</w:t>
            </w:r>
            <w:r>
              <w:rPr>
                <w:rFonts w:hint="eastAsia" w:ascii="宋体" w:hAnsi="宋体" w:eastAsia="Arial"/>
                <w:kern w:val="0"/>
                <w:sz w:val="21"/>
                <w:szCs w:val="21"/>
              </w:rPr>
              <w:br w:type="textWrapping"/>
            </w:r>
            <w:r>
              <w:rPr>
                <w:rFonts w:hint="eastAsia" w:ascii="宋体" w:hAnsi="宋体" w:eastAsia="Arial"/>
                <w:kern w:val="0"/>
                <w:sz w:val="21"/>
                <w:szCs w:val="21"/>
              </w:rPr>
              <w:t>a) 可触及面温度范围内小于45℃</w:t>
            </w:r>
            <w:r>
              <w:rPr>
                <w:rFonts w:hint="eastAsia" w:ascii="宋体" w:hAnsi="宋体" w:eastAsia="Arial"/>
                <w:kern w:val="0"/>
                <w:sz w:val="21"/>
                <w:szCs w:val="21"/>
              </w:rPr>
              <w:br w:type="textWrapping"/>
            </w:r>
            <w:r>
              <w:rPr>
                <w:rFonts w:hint="eastAsia" w:ascii="宋体" w:hAnsi="宋体" w:eastAsia="Arial"/>
                <w:kern w:val="0"/>
                <w:sz w:val="21"/>
                <w:szCs w:val="21"/>
              </w:rPr>
              <w:t>b) 显示器表面温度：显示屏温度不高于38℃，显示屏上下灯带位置温度（如涉及）不高于40℃，出风口温度不高于55℃</w:t>
            </w:r>
          </w:p>
          <w:p w14:paraId="5B95147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整机能效限定值：产品能效限定值应达到GB 28380-2012标准中能效等级2级及以上</w:t>
            </w:r>
          </w:p>
          <w:p w14:paraId="43D2A6F1">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rPr>
              <w:t>机身颜色：黑色</w:t>
            </w:r>
          </w:p>
          <w:p w14:paraId="0D247CC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整机认证：3C认证</w:t>
            </w:r>
          </w:p>
          <w:p w14:paraId="0164FAC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二、性能要求</w:t>
            </w:r>
          </w:p>
          <w:p w14:paraId="3F60BAF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CPU物理核数：≥8核</w:t>
            </w:r>
          </w:p>
          <w:p w14:paraId="438623A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CPU主频：≥</w:t>
            </w:r>
            <w:r>
              <w:rPr>
                <w:rFonts w:hint="eastAsia" w:ascii="宋体" w:hAnsi="宋体" w:eastAsia="Arial"/>
                <w:kern w:val="0"/>
                <w:sz w:val="21"/>
                <w:szCs w:val="21"/>
                <w:lang w:val="en-US" w:eastAsia="zh-CN"/>
              </w:rPr>
              <w:t>3.6</w:t>
            </w:r>
            <w:r>
              <w:rPr>
                <w:rFonts w:hint="eastAsia" w:ascii="宋体" w:hAnsi="宋体" w:eastAsia="Arial"/>
                <w:kern w:val="0"/>
                <w:sz w:val="21"/>
                <w:szCs w:val="21"/>
              </w:rPr>
              <w:t>GHz</w:t>
            </w:r>
          </w:p>
          <w:p w14:paraId="73CA8E7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CPU末级缓存容量：≥</w:t>
            </w:r>
            <w:r>
              <w:rPr>
                <w:rFonts w:hint="eastAsia" w:ascii="宋体" w:hAnsi="宋体" w:eastAsia="Arial"/>
                <w:kern w:val="0"/>
                <w:sz w:val="21"/>
                <w:szCs w:val="21"/>
                <w:lang w:val="en-US" w:eastAsia="zh-CN"/>
              </w:rPr>
              <w:t>8</w:t>
            </w:r>
            <w:r>
              <w:rPr>
                <w:rFonts w:hint="eastAsia" w:ascii="宋体" w:hAnsi="宋体" w:eastAsia="Arial"/>
                <w:kern w:val="0"/>
                <w:sz w:val="21"/>
                <w:szCs w:val="21"/>
              </w:rPr>
              <w:t>MB</w:t>
            </w:r>
          </w:p>
          <w:p w14:paraId="5DCE2FE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CPU支持的内存最高速率：≥</w:t>
            </w:r>
            <w:r>
              <w:rPr>
                <w:rFonts w:hint="eastAsia" w:ascii="宋体" w:hAnsi="宋体" w:eastAsia="Arial"/>
                <w:kern w:val="0"/>
                <w:sz w:val="21"/>
                <w:szCs w:val="21"/>
                <w:lang w:val="en-US" w:eastAsia="zh-CN"/>
              </w:rPr>
              <w:t>48</w:t>
            </w:r>
            <w:r>
              <w:rPr>
                <w:rFonts w:hint="eastAsia" w:ascii="宋体" w:hAnsi="宋体" w:eastAsia="Arial"/>
                <w:kern w:val="0"/>
                <w:sz w:val="21"/>
                <w:szCs w:val="21"/>
              </w:rPr>
              <w:t>00MHz</w:t>
            </w:r>
          </w:p>
          <w:p w14:paraId="7E441B0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内存读写速率：≥</w:t>
            </w:r>
            <w:r>
              <w:rPr>
                <w:rFonts w:hint="eastAsia" w:ascii="宋体" w:hAnsi="宋体" w:eastAsia="Arial"/>
                <w:kern w:val="0"/>
                <w:sz w:val="21"/>
                <w:szCs w:val="21"/>
                <w:lang w:val="en-US" w:eastAsia="zh-CN"/>
              </w:rPr>
              <w:t>4800</w:t>
            </w:r>
            <w:r>
              <w:rPr>
                <w:rFonts w:hint="eastAsia" w:ascii="宋体" w:hAnsi="宋体" w:eastAsia="Arial"/>
                <w:kern w:val="0"/>
                <w:sz w:val="21"/>
                <w:szCs w:val="21"/>
              </w:rPr>
              <w:t>MT/s</w:t>
            </w:r>
          </w:p>
          <w:p w14:paraId="2D6E7A3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显示分辨率：1920x1080</w:t>
            </w:r>
          </w:p>
          <w:p w14:paraId="61BBF4E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显卡显示芯片核心频率：≥780MHz/1.35GHz</w:t>
            </w:r>
          </w:p>
          <w:p w14:paraId="028289F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显存等效频率：≥1600MHz</w:t>
            </w:r>
          </w:p>
          <w:p w14:paraId="03E0ADD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显卡可同时支持多屏显示数量：显卡应支持2块屏幕同时显示，分辨率应不低于1920×1080</w:t>
            </w:r>
          </w:p>
          <w:p w14:paraId="002F958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显示屏刷新率：≥</w:t>
            </w:r>
            <w:r>
              <w:rPr>
                <w:rFonts w:hint="eastAsia" w:ascii="宋体" w:hAnsi="宋体" w:eastAsia="Arial"/>
                <w:kern w:val="0"/>
                <w:sz w:val="21"/>
                <w:szCs w:val="21"/>
                <w:lang w:val="en-US" w:eastAsia="zh-CN"/>
              </w:rPr>
              <w:t>100</w:t>
            </w:r>
            <w:r>
              <w:rPr>
                <w:rFonts w:hint="eastAsia" w:ascii="宋体" w:hAnsi="宋体" w:eastAsia="Arial"/>
                <w:kern w:val="0"/>
                <w:sz w:val="21"/>
                <w:szCs w:val="21"/>
              </w:rPr>
              <w:t>Hz</w:t>
            </w:r>
          </w:p>
          <w:p w14:paraId="1055841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显示屏位深：≥8位</w:t>
            </w:r>
          </w:p>
          <w:p w14:paraId="2852339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显示屏色域：≥99%sRGB</w:t>
            </w:r>
          </w:p>
          <w:p w14:paraId="18C2649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显示屏色准：△E≤4</w:t>
            </w:r>
          </w:p>
          <w:p w14:paraId="780C3B0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显示屏响应时间：≤20ms</w:t>
            </w:r>
          </w:p>
          <w:p w14:paraId="774B2FA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显示屏亮度：≥250尼特</w:t>
            </w:r>
          </w:p>
          <w:p w14:paraId="2E9BBD3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显示屏亮度一致性：≥70%</w:t>
            </w:r>
          </w:p>
          <w:p w14:paraId="0C8FE70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显示屏对比度：≥3000:1</w:t>
            </w:r>
          </w:p>
          <w:p w14:paraId="4339BDB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显示屏其他参数：其它参数应符合SJ/T11292的相关规定（灰度等级≥256级）</w:t>
            </w:r>
          </w:p>
          <w:p w14:paraId="78B04F2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有线网卡速率：最高速率宜不低于1000Mbps，宜支持10Mbps、100Mbps、1000Mbps速率自适应</w:t>
            </w:r>
          </w:p>
          <w:p w14:paraId="672EEB2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支持无线网络通信技术协议：支持WAPI或WiFi5.0及以上协议</w:t>
            </w:r>
          </w:p>
          <w:p w14:paraId="6F469A8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电源适配器电源效率：在20%/50%/100%负载下效率均应不低于87%</w:t>
            </w:r>
          </w:p>
          <w:p w14:paraId="1A9B581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三、功能要求</w:t>
            </w:r>
          </w:p>
          <w:p w14:paraId="3D72BB4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 主板功能</w:t>
            </w:r>
          </w:p>
          <w:p w14:paraId="047353F4">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内存扩展接口：≥</w:t>
            </w:r>
            <w:r>
              <w:rPr>
                <w:rFonts w:hint="eastAsia" w:ascii="宋体" w:hAnsi="宋体" w:eastAsia="Arial"/>
                <w:kern w:val="0"/>
                <w:sz w:val="21"/>
                <w:szCs w:val="21"/>
                <w:lang w:val="en-US" w:eastAsia="zh-CN"/>
              </w:rPr>
              <w:t>4</w:t>
            </w:r>
          </w:p>
          <w:p w14:paraId="64E4D7D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存储扩展接口类型：SATA3.0或NVME接口</w:t>
            </w:r>
          </w:p>
          <w:p w14:paraId="4328E92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主板USB瞬间过流保护：支持瞬间过流保护功能</w:t>
            </w:r>
          </w:p>
          <w:p w14:paraId="45E7AA4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主板防静电保护：支持防静电保护功能</w:t>
            </w:r>
          </w:p>
          <w:p w14:paraId="4B17434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rPr>
              <w:t>I/O接口功能：内置或通过扩展坞支持数据传输接口、视频接口、音频接口、网络接口、电源接口等各类标准接口，应具备接入键盘、鼠标、写字板等外设的能力</w:t>
            </w:r>
          </w:p>
          <w:p w14:paraId="30BE5E7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2. 显卡功能</w:t>
            </w:r>
          </w:p>
          <w:p w14:paraId="4EA586CD">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显卡外接显示接口：显卡至少支持VGA、HDMI、DVI、DP、Type-C中</w:t>
            </w:r>
            <w:r>
              <w:rPr>
                <w:rFonts w:hint="eastAsia" w:ascii="宋体" w:hAnsi="宋体" w:eastAsia="Arial"/>
                <w:kern w:val="0"/>
                <w:sz w:val="21"/>
                <w:szCs w:val="21"/>
                <w:lang w:val="en-US" w:eastAsia="zh-CN"/>
              </w:rPr>
              <w:t>2</w:t>
            </w:r>
            <w:r>
              <w:rPr>
                <w:rFonts w:hint="eastAsia" w:ascii="宋体" w:hAnsi="宋体" w:eastAsia="Arial"/>
                <w:kern w:val="0"/>
                <w:sz w:val="21"/>
                <w:szCs w:val="21"/>
              </w:rPr>
              <w:t>种显示接口</w:t>
            </w:r>
            <w:r>
              <w:rPr>
                <w:rFonts w:hint="eastAsia" w:ascii="宋体" w:hAnsi="宋体" w:eastAsia="Arial"/>
                <w:kern w:val="0"/>
                <w:sz w:val="21"/>
                <w:szCs w:val="21"/>
                <w:lang w:eastAsia="zh-CN"/>
              </w:rPr>
              <w:t>，标配4个显示输出接口，其中3个数字接口，最大支持3屏扩展显示</w:t>
            </w:r>
          </w:p>
          <w:p w14:paraId="7728CDD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3. 显示设备功能</w:t>
            </w:r>
          </w:p>
          <w:p w14:paraId="1041938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显示器支架：提供显示器支架</w:t>
            </w:r>
          </w:p>
          <w:p w14:paraId="478D9E7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显示屏参数调节：支持色温、亮度、对比度等显示参数调节</w:t>
            </w:r>
          </w:p>
          <w:p w14:paraId="3C44BD4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4. 外设功能</w:t>
            </w:r>
          </w:p>
          <w:p w14:paraId="7CD7C44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传声器降噪：支持降噪功能</w:t>
            </w:r>
          </w:p>
          <w:p w14:paraId="1EA9758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5. 存储功能</w:t>
            </w:r>
          </w:p>
          <w:p w14:paraId="6755D0D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存储功能：支持信息存储功能，包括支持易失性存储功能和非易失性存储功能。为提升存储性能和降低存储功耗，非易失性存储宜支持固态存储设备，如SSD/UFS（SSD/NVME）。产品应支持外出接口可以与独立的存储设备进行数据交互</w:t>
            </w:r>
          </w:p>
          <w:p w14:paraId="2136387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6. 网络设备功能</w:t>
            </w:r>
          </w:p>
          <w:p w14:paraId="10C5E14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网络功能：</w:t>
            </w:r>
            <w:r>
              <w:rPr>
                <w:rFonts w:hint="eastAsia" w:ascii="宋体" w:hAnsi="宋体" w:eastAsia="Arial"/>
                <w:kern w:val="0"/>
                <w:sz w:val="21"/>
                <w:szCs w:val="21"/>
              </w:rPr>
              <w:br w:type="textWrapping"/>
            </w:r>
            <w:r>
              <w:rPr>
                <w:rFonts w:hint="eastAsia" w:ascii="宋体" w:hAnsi="宋体" w:eastAsia="Arial"/>
                <w:kern w:val="0"/>
                <w:sz w:val="21"/>
                <w:szCs w:val="21"/>
              </w:rPr>
              <w:t>a) 支持网络连接、网络开启/关闭</w:t>
            </w:r>
            <w:r>
              <w:rPr>
                <w:rFonts w:hint="eastAsia" w:ascii="宋体" w:hAnsi="宋体" w:eastAsia="Arial"/>
                <w:kern w:val="0"/>
                <w:sz w:val="21"/>
                <w:szCs w:val="21"/>
                <w:lang w:eastAsia="zh-CN"/>
              </w:rPr>
              <w:t>，</w:t>
            </w:r>
            <w:r>
              <w:rPr>
                <w:rFonts w:hint="eastAsia" w:ascii="宋体" w:hAnsi="宋体" w:eastAsia="Arial"/>
                <w:kern w:val="0"/>
                <w:sz w:val="21"/>
                <w:szCs w:val="21"/>
              </w:rPr>
              <w:t>具备</w:t>
            </w:r>
            <w:r>
              <w:rPr>
                <w:rFonts w:hint="eastAsia" w:ascii="宋体" w:hAnsi="宋体" w:eastAsia="Arial"/>
                <w:kern w:val="0"/>
                <w:sz w:val="21"/>
                <w:szCs w:val="21"/>
                <w:lang w:val="en-US" w:eastAsia="zh-CN"/>
              </w:rPr>
              <w:t>网络</w:t>
            </w:r>
            <w:r>
              <w:rPr>
                <w:rFonts w:hint="eastAsia" w:ascii="宋体" w:hAnsi="宋体" w:eastAsia="Arial"/>
                <w:kern w:val="0"/>
                <w:sz w:val="21"/>
                <w:szCs w:val="21"/>
              </w:rPr>
              <w:t>物理开关</w:t>
            </w:r>
            <w:r>
              <w:rPr>
                <w:rFonts w:hint="eastAsia" w:ascii="宋体" w:hAnsi="宋体" w:eastAsia="Arial"/>
                <w:kern w:val="0"/>
                <w:sz w:val="21"/>
                <w:szCs w:val="21"/>
                <w:lang w:eastAsia="zh-CN"/>
              </w:rPr>
              <w:t>，</w:t>
            </w:r>
            <w:r>
              <w:rPr>
                <w:rFonts w:hint="eastAsia" w:ascii="宋体" w:hAnsi="宋体" w:eastAsia="Arial"/>
                <w:kern w:val="0"/>
                <w:sz w:val="21"/>
                <w:szCs w:val="21"/>
              </w:rPr>
              <w:t>同品牌BIOS版硬盘保护组件，支持固态机械双硬盘同传保护、高速同传、增量备份、断点续传、加密传输、资产管理</w:t>
            </w:r>
            <w:r>
              <w:rPr>
                <w:rFonts w:hint="eastAsia" w:ascii="宋体" w:hAnsi="宋体" w:eastAsia="Arial"/>
                <w:kern w:val="0"/>
                <w:sz w:val="21"/>
                <w:szCs w:val="21"/>
              </w:rPr>
              <w:br w:type="textWrapping"/>
            </w:r>
            <w:r>
              <w:rPr>
                <w:rFonts w:hint="eastAsia" w:ascii="宋体" w:hAnsi="宋体" w:eastAsia="Arial"/>
                <w:kern w:val="0"/>
                <w:sz w:val="21"/>
                <w:szCs w:val="21"/>
              </w:rPr>
              <w:t>b) 支持访问网络和数据交换功能</w:t>
            </w:r>
          </w:p>
          <w:p w14:paraId="4298601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无线网卡频段：支持双频段</w:t>
            </w:r>
          </w:p>
          <w:p w14:paraId="2DAE699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数据传输：支持数据传输能力，并提供数据流量和异常日志记录功能</w:t>
            </w:r>
          </w:p>
          <w:p w14:paraId="39487EC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有线网卡接口类型：配备有线网络通信模块，宜支持RJ45接口</w:t>
            </w:r>
          </w:p>
          <w:p w14:paraId="0022B1D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网络设备拆装：网络设备支持物理拆装，包括：无线网卡、蓝牙模块等</w:t>
            </w:r>
          </w:p>
          <w:p w14:paraId="279A56B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7. 外部接口功能</w:t>
            </w:r>
          </w:p>
          <w:p w14:paraId="17A97C8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音频接口类型：不少于1个，宜支持3.5mm孔径的3段式或4段式接口。若支持4段式接口，宜支持线序的自动识别及切换功能</w:t>
            </w:r>
          </w:p>
          <w:p w14:paraId="5A1ADD1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视频接口类型：至少支持VGA、HDMI、DVI、DP、Type-C中1种显示接口</w:t>
            </w:r>
          </w:p>
          <w:p w14:paraId="5D3D834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HDMI/DP/Type-C显示接口要求：若提供HDMI或DP或Type-C接口应同时支持视频和音频输出</w:t>
            </w:r>
          </w:p>
          <w:p w14:paraId="17EA7A1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声卡：集成</w:t>
            </w:r>
          </w:p>
          <w:p w14:paraId="6EF35A4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8. 电源功能</w:t>
            </w:r>
          </w:p>
          <w:p w14:paraId="06B6066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电源线适配能力：符合GB 15934-2008，对于可拆线插头GB15934不做要求</w:t>
            </w:r>
          </w:p>
          <w:p w14:paraId="4584DDD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9. 中文信息处理</w:t>
            </w:r>
          </w:p>
          <w:p w14:paraId="43CEABE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中文信息处理要求：符合GB18030的相关规定</w:t>
            </w:r>
          </w:p>
          <w:p w14:paraId="58F6035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10. 操作系统及软件功能</w:t>
            </w:r>
          </w:p>
          <w:p w14:paraId="7E4233BE">
            <w:pPr>
              <w:keepNext/>
              <w:widowControl w:val="0"/>
              <w:snapToGrid w:val="0"/>
              <w:ind w:left="0" w:leftChars="0" w:right="0" w:rightChars="0" w:firstLine="0" w:firstLineChars="0"/>
              <w:jc w:val="left"/>
              <w:rPr>
                <w:rFonts w:hint="eastAsia" w:ascii="宋体" w:hAnsi="宋体" w:eastAsia="Arial"/>
                <w:b/>
                <w:bCs/>
                <w:kern w:val="0"/>
                <w:sz w:val="21"/>
                <w:szCs w:val="21"/>
                <w:lang w:eastAsia="zh-CN"/>
              </w:rPr>
            </w:pPr>
            <w:r>
              <w:rPr>
                <w:rFonts w:hint="eastAsia" w:ascii="宋体" w:hAnsi="宋体" w:eastAsia="Arial"/>
                <w:b/>
                <w:bCs/>
                <w:kern w:val="0"/>
                <w:sz w:val="21"/>
                <w:szCs w:val="21"/>
              </w:rPr>
              <w:t>操作系统：国产系统</w:t>
            </w:r>
            <w:r>
              <w:rPr>
                <w:rFonts w:hint="eastAsia" w:ascii="宋体" w:hAnsi="宋体" w:eastAsia="Arial"/>
                <w:b/>
                <w:bCs/>
                <w:kern w:val="0"/>
                <w:sz w:val="21"/>
                <w:szCs w:val="21"/>
                <w:lang w:eastAsia="zh-CN"/>
              </w:rPr>
              <w:t>，</w:t>
            </w:r>
            <w:r>
              <w:rPr>
                <w:rFonts w:hint="eastAsia" w:ascii="宋体" w:hAnsi="宋体" w:eastAsia="Arial"/>
                <w:b/>
                <w:bCs/>
                <w:kern w:val="0"/>
                <w:sz w:val="21"/>
                <w:szCs w:val="21"/>
              </w:rPr>
              <w:t>满足学校教学、办公及管理需求</w:t>
            </w:r>
          </w:p>
          <w:p w14:paraId="2190A15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操作系统备份及还原功能：支持操作系统备份及还原功能</w:t>
            </w:r>
          </w:p>
          <w:p w14:paraId="0DE7950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固件备份还原能力：支持备份及还原固件的功能</w:t>
            </w:r>
          </w:p>
          <w:p w14:paraId="3568AD5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操作系统及驱动升级：支持通过网络、闪存盘等方式对操作系统、驱动进行升级</w:t>
            </w:r>
          </w:p>
          <w:p w14:paraId="0C96C9B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BIOS支持关闭通讯接口：支持BIOS关闭以太网及USB接口</w:t>
            </w:r>
          </w:p>
          <w:p w14:paraId="31DA0EF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固件查看信息：支持查看固件版本、内存信息、主板信息、处理器信息和系统时间信息等功能</w:t>
            </w:r>
          </w:p>
          <w:p w14:paraId="54A7521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固件设置启动顺序：支持设置启动顺序功能，并按照设置的启动顺序启动</w:t>
            </w:r>
          </w:p>
          <w:p w14:paraId="3E193B8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固件设置口令：支持设置口令、修改口令、验证口令功能</w:t>
            </w:r>
          </w:p>
          <w:p w14:paraId="32F33B01">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固件设置网络引导：支持网络引导启动和关闭功能</w:t>
            </w:r>
            <w:r>
              <w:rPr>
                <w:rFonts w:hint="eastAsia" w:ascii="宋体" w:hAnsi="宋体" w:eastAsia="Arial"/>
                <w:kern w:val="0"/>
                <w:sz w:val="21"/>
                <w:szCs w:val="21"/>
                <w:lang w:eastAsia="zh-CN"/>
              </w:rPr>
              <w:t>，</w:t>
            </w:r>
            <w:r>
              <w:rPr>
                <w:rFonts w:hint="eastAsia" w:ascii="宋体" w:hAnsi="宋体" w:eastAsia="Arial"/>
                <w:kern w:val="0"/>
                <w:sz w:val="21"/>
                <w:szCs w:val="21"/>
              </w:rPr>
              <w:t>同品牌BIOS版硬盘保护组件，支持固态机械双硬盘同传保护、高速同传、增量备份、断点续传、加密传输、资产管理；</w:t>
            </w:r>
          </w:p>
          <w:p w14:paraId="3D663BD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四、可靠性要求</w:t>
            </w:r>
          </w:p>
          <w:p w14:paraId="65A290F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固态存储寿命：TBW ≥80TB（条件：240GB硬盘容量）</w:t>
            </w:r>
          </w:p>
          <w:p w14:paraId="7D978E6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显示屏屏幕失效点：符合GB/T 9813.2的要求</w:t>
            </w:r>
          </w:p>
          <w:p w14:paraId="625F37F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键盘按键寿命：≥1000万次</w:t>
            </w:r>
          </w:p>
          <w:p w14:paraId="5764C10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鼠标按键寿命：≥500万次</w:t>
            </w:r>
          </w:p>
          <w:p w14:paraId="4FFE8F7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键盘鼠标线材寿命：键盘鼠标所用线材经±60°弯折不低于3000次，功能、外观完好</w:t>
            </w:r>
          </w:p>
          <w:p w14:paraId="213F775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风扇寿命：≥4万小时</w:t>
            </w:r>
          </w:p>
          <w:p w14:paraId="730414D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电磁兼容性要求的抗扰度：符合GB/T 9254.2的规定</w:t>
            </w:r>
          </w:p>
          <w:p w14:paraId="0CE8D6A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环境条件要求的气候/振动/冲击/碰撞/运输包装件跌落适应性：符合GB/T 9813.1中规定</w:t>
            </w:r>
          </w:p>
          <w:p w14:paraId="2605542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MTBF测试：≥</w:t>
            </w:r>
            <w:r>
              <w:rPr>
                <w:rFonts w:hint="eastAsia" w:ascii="宋体" w:hAnsi="宋体" w:eastAsia="Arial"/>
                <w:kern w:val="0"/>
                <w:sz w:val="21"/>
                <w:szCs w:val="21"/>
                <w:lang w:val="en-US" w:eastAsia="zh-CN"/>
              </w:rPr>
              <w:t>80</w:t>
            </w:r>
            <w:r>
              <w:rPr>
                <w:rFonts w:hint="eastAsia" w:ascii="宋体" w:hAnsi="宋体" w:eastAsia="Arial"/>
                <w:kern w:val="0"/>
                <w:sz w:val="21"/>
                <w:szCs w:val="21"/>
              </w:rPr>
              <w:t>万小时</w:t>
            </w:r>
          </w:p>
          <w:p w14:paraId="133CF07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五、兼容要求</w:t>
            </w:r>
          </w:p>
          <w:p w14:paraId="5FD54F7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常用软件兼容：应支持流式软件、版式软件、浏览器、邮件客户端、解压软件、多媒体、图形图像处理等常用软件</w:t>
            </w:r>
          </w:p>
          <w:p w14:paraId="384E1BC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数据库兼容：兼容3个及以上厂商的数据库产品</w:t>
            </w:r>
          </w:p>
          <w:p w14:paraId="73304EF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中间件兼容：兼容3个及以上厂商中间件产品</w:t>
            </w:r>
          </w:p>
          <w:p w14:paraId="57152CB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平台软件兼容：兼容3个及以上厂商云计算及大数据平台</w:t>
            </w:r>
          </w:p>
          <w:p w14:paraId="3D312AF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六、包装及运输要求</w:t>
            </w:r>
          </w:p>
          <w:p w14:paraId="720F3CE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标志、包装、运输和贮存：符合GB/T9813.1和商品包装政府采购需求标准的相关规定</w:t>
            </w:r>
          </w:p>
          <w:p w14:paraId="362230D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七、服务要求</w:t>
            </w:r>
          </w:p>
          <w:p w14:paraId="343BC99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配置检查工具：提供自检测试工具</w:t>
            </w:r>
          </w:p>
          <w:p w14:paraId="56B3382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服务响应：</w:t>
            </w:r>
            <w:r>
              <w:rPr>
                <w:rFonts w:hint="eastAsia" w:ascii="宋体" w:hAnsi="宋体" w:eastAsia="Arial"/>
                <w:kern w:val="0"/>
                <w:sz w:val="21"/>
                <w:szCs w:val="21"/>
              </w:rPr>
              <w:br w:type="textWrapping"/>
            </w:r>
            <w:r>
              <w:rPr>
                <w:rFonts w:hint="eastAsia" w:ascii="宋体" w:hAnsi="宋体" w:eastAsia="Arial"/>
                <w:b/>
                <w:bCs/>
                <w:kern w:val="0"/>
                <w:sz w:val="21"/>
                <w:szCs w:val="21"/>
              </w:rPr>
              <w:t>a) 提供产品3年维保及上门服务（满足同城4小时、异地12小时响应要求）</w:t>
            </w:r>
            <w:r>
              <w:rPr>
                <w:rFonts w:hint="eastAsia" w:ascii="宋体" w:hAnsi="宋体" w:eastAsia="Arial"/>
                <w:kern w:val="0"/>
                <w:sz w:val="21"/>
                <w:szCs w:val="21"/>
              </w:rPr>
              <w:br w:type="textWrapping"/>
            </w:r>
            <w:r>
              <w:rPr>
                <w:rFonts w:hint="eastAsia" w:ascii="宋体" w:hAnsi="宋体" w:eastAsia="Arial"/>
                <w:kern w:val="0"/>
                <w:sz w:val="21"/>
                <w:szCs w:val="21"/>
              </w:rPr>
              <w:t>b) 提供政企专线7*24在线服务</w:t>
            </w:r>
            <w:r>
              <w:rPr>
                <w:rFonts w:hint="eastAsia" w:ascii="宋体" w:hAnsi="宋体" w:eastAsia="Arial"/>
                <w:kern w:val="0"/>
                <w:sz w:val="21"/>
                <w:szCs w:val="21"/>
              </w:rPr>
              <w:br w:type="textWrapping"/>
            </w:r>
            <w:r>
              <w:rPr>
                <w:rFonts w:hint="eastAsia" w:ascii="宋体" w:hAnsi="宋体" w:eastAsia="Arial"/>
                <w:kern w:val="0"/>
                <w:sz w:val="21"/>
                <w:szCs w:val="21"/>
              </w:rPr>
              <w:t>c) 现场保障技术服务团队员，国内上门服务地级市覆盖率达100%</w:t>
            </w:r>
          </w:p>
          <w:p w14:paraId="06CF1ED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服务周期：三年免费质保，提供上门服务，支持产品延保≥3年，提供每年延保服务报价，提供备件服务能力≥6年（自购买之日起）</w:t>
            </w:r>
          </w:p>
          <w:p w14:paraId="1C6004C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预装操作系统：预装符合桌面操作系统政府采购需求标准</w:t>
            </w:r>
            <w:r>
              <w:rPr>
                <w:rFonts w:hint="eastAsia" w:ascii="宋体" w:hAnsi="宋体" w:eastAsia="Arial"/>
                <w:kern w:val="0"/>
                <w:sz w:val="21"/>
                <w:szCs w:val="21"/>
                <w:lang w:val="en-US" w:eastAsia="zh-CN"/>
              </w:rPr>
              <w:t>的</w:t>
            </w:r>
            <w:r>
              <w:rPr>
                <w:rFonts w:hint="eastAsia" w:ascii="宋体" w:hAnsi="宋体" w:eastAsia="Arial"/>
                <w:kern w:val="0"/>
                <w:sz w:val="21"/>
                <w:szCs w:val="21"/>
              </w:rPr>
              <w:t>操作系统</w:t>
            </w:r>
          </w:p>
          <w:p w14:paraId="2EA4E7A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培训服务：提供培训材料、产品手册、培训视频等培训相关内容</w:t>
            </w:r>
          </w:p>
          <w:p w14:paraId="3570C8F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典型问题解决手册：提供典型问题解决说明文档或视频</w:t>
            </w:r>
          </w:p>
          <w:p w14:paraId="03674D0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厂家升级软件与扩容服务：提供上门升级部件/软件与扩容的增值服务</w:t>
            </w:r>
          </w:p>
          <w:p w14:paraId="507F863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整机质量服务要求：免费服务周期（含换件和维修）应不小于3年</w:t>
            </w:r>
          </w:p>
          <w:p w14:paraId="5177E55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合格证书要求：提供产品合格证</w:t>
            </w:r>
          </w:p>
          <w:p w14:paraId="4DBC37C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开箱组装使用指导要求：提供开箱组装/使用指导</w:t>
            </w:r>
          </w:p>
          <w:p w14:paraId="6542574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驱动下载服务要求：提供驱动光盘或下载方式</w:t>
            </w:r>
          </w:p>
          <w:p w14:paraId="57E88A3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兼容适配软件下载服务要求：提供兼容适配软件下载渠道（光盘、网站）</w:t>
            </w:r>
          </w:p>
          <w:p w14:paraId="71313F3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跨架构平台应用兼容：提供跨架构平台的应用兼容工具，支持一种或者一种以上不同架构平台的应用</w:t>
            </w:r>
          </w:p>
          <w:p w14:paraId="211C6A2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八、供应保障要求</w:t>
            </w:r>
          </w:p>
          <w:p w14:paraId="70E3C96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产品部件保障：保障产品主要部件，应提供6年的备件服务能力（自购买之日起），或提供可兼容原设备的升级换代产品</w:t>
            </w:r>
          </w:p>
          <w:p w14:paraId="4F1A0F1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抗干扰性：当产品部件出现供应风险时，应通知客户并提供风险应对方案确保产品的服务保障，必要时应停止相关受影响产品的销售</w:t>
            </w:r>
          </w:p>
          <w:p w14:paraId="23379F4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供应能力证明：提供供应链稳定承诺书，确保产品的部件在产品服务周期内稳定供货</w:t>
            </w:r>
          </w:p>
          <w:p w14:paraId="0E924A6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九、安全要求</w:t>
            </w:r>
          </w:p>
          <w:p w14:paraId="6DB42D4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关键部件安全要求：CPU和操作系统等关键部件应当符合安全可靠测评要求</w:t>
            </w:r>
          </w:p>
          <w:p w14:paraId="65D8141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USB端口管控</w:t>
            </w:r>
          </w:p>
          <w:p w14:paraId="2B4888E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密码算法实现：CPU芯片应符合GM/T0008的相关规定，或芯片密码模块应符合GB/T 37092或GM/T 0028的相关规定</w:t>
            </w:r>
          </w:p>
          <w:p w14:paraId="38D27F1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信息安全基础要求：</w:t>
            </w:r>
            <w:r>
              <w:rPr>
                <w:rFonts w:hint="eastAsia" w:ascii="宋体" w:hAnsi="宋体" w:eastAsia="Arial"/>
                <w:kern w:val="0"/>
                <w:sz w:val="21"/>
                <w:szCs w:val="21"/>
              </w:rPr>
              <w:br w:type="textWrapping"/>
            </w:r>
            <w:r>
              <w:rPr>
                <w:rFonts w:hint="eastAsia" w:ascii="宋体" w:hAnsi="宋体" w:eastAsia="Arial"/>
                <w:kern w:val="0"/>
                <w:sz w:val="21"/>
                <w:szCs w:val="21"/>
              </w:rPr>
              <w:t>a) 应符合GB/T39276的5.2的规定</w:t>
            </w:r>
            <w:r>
              <w:rPr>
                <w:rFonts w:hint="eastAsia" w:ascii="宋体" w:hAnsi="宋体" w:eastAsia="Arial"/>
                <w:kern w:val="0"/>
                <w:sz w:val="21"/>
                <w:szCs w:val="21"/>
              </w:rPr>
              <w:br w:type="textWrapping"/>
            </w:r>
            <w:r>
              <w:rPr>
                <w:rFonts w:hint="eastAsia" w:ascii="宋体" w:hAnsi="宋体" w:eastAsia="Arial"/>
                <w:kern w:val="0"/>
                <w:sz w:val="21"/>
                <w:szCs w:val="21"/>
              </w:rPr>
              <w:t>b) 生产厂商应建立漏洞跟踪表，保证产品版本涉及到的漏洞（如驱动程序等）可查看</w:t>
            </w:r>
            <w:r>
              <w:rPr>
                <w:rFonts w:hint="eastAsia" w:ascii="宋体" w:hAnsi="宋体" w:eastAsia="Arial"/>
                <w:kern w:val="0"/>
                <w:sz w:val="21"/>
                <w:szCs w:val="21"/>
              </w:rPr>
              <w:br w:type="textWrapping"/>
            </w:r>
            <w:r>
              <w:rPr>
                <w:rFonts w:hint="eastAsia" w:ascii="宋体" w:hAnsi="宋体" w:eastAsia="Arial"/>
                <w:kern w:val="0"/>
                <w:sz w:val="21"/>
                <w:szCs w:val="21"/>
              </w:rPr>
              <w:t>c) 不得包含已知的恶意代码或漏洞不存在未声明的指令、功能、接口</w:t>
            </w:r>
          </w:p>
          <w:p w14:paraId="46648FB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固件安全启动：支持固件安全启动功能，固件启动过程中只有通过启动校验才能正常启动</w:t>
            </w:r>
          </w:p>
          <w:p w14:paraId="680D0A12">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限用物质的限量要求：符合GB/T 26572中规定</w:t>
            </w:r>
            <w:r>
              <w:rPr>
                <w:rFonts w:hint="eastAsia" w:ascii="宋体" w:hAnsi="宋体" w:eastAsia="Arial"/>
                <w:kern w:val="0"/>
                <w:sz w:val="21"/>
                <w:szCs w:val="21"/>
                <w:lang w:eastAsia="zh-CN"/>
              </w:rPr>
              <w:t>，</w:t>
            </w:r>
          </w:p>
          <w:p w14:paraId="74DC2BF2">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lang w:val="en-US" w:eastAsia="zh-CN"/>
              </w:rPr>
              <w:t>d</w:t>
            </w:r>
            <w:r>
              <w:rPr>
                <w:rFonts w:hint="eastAsia" w:ascii="宋体" w:hAnsi="宋体" w:eastAsia="Arial"/>
                <w:kern w:val="0"/>
                <w:sz w:val="21"/>
                <w:szCs w:val="21"/>
              </w:rPr>
              <w:t xml:space="preserve">) </w:t>
            </w:r>
            <w:r>
              <w:rPr>
                <w:rFonts w:hint="eastAsia" w:ascii="宋体" w:hAnsi="宋体" w:eastAsia="Arial"/>
                <w:kern w:val="0"/>
                <w:sz w:val="21"/>
                <w:szCs w:val="21"/>
                <w:lang w:eastAsia="zh-CN"/>
              </w:rPr>
              <w:t>其他要求：财政部《台式计算机政府采购需求标准》（2023 年版）中规定的其他*内容；</w:t>
            </w:r>
          </w:p>
          <w:p w14:paraId="0A5A7A53">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p>
        </w:tc>
        <w:tc>
          <w:tcPr>
            <w:tcW w:w="0" w:type="auto"/>
            <w:noWrap w:val="0"/>
            <w:vAlign w:val="center"/>
          </w:tcPr>
          <w:p w14:paraId="55590883">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72</w:t>
            </w:r>
          </w:p>
        </w:tc>
        <w:tc>
          <w:tcPr>
            <w:tcW w:w="459" w:type="dxa"/>
            <w:noWrap w:val="0"/>
            <w:vAlign w:val="center"/>
          </w:tcPr>
          <w:p w14:paraId="0002DB5E">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台</w:t>
            </w:r>
            <w:r>
              <w:rPr>
                <w:rFonts w:hint="eastAsia" w:ascii="宋体"/>
                <w:sz w:val="21"/>
                <w:vertAlign w:val="baseline"/>
                <w:lang w:val="en-US" w:eastAsia="zh-CN"/>
              </w:rPr>
              <w:t xml:space="preserve"> </w:t>
            </w:r>
          </w:p>
        </w:tc>
      </w:tr>
      <w:tr w14:paraId="1E5B1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6446B0F2">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2</w:t>
            </w:r>
          </w:p>
        </w:tc>
        <w:tc>
          <w:tcPr>
            <w:tcW w:w="1789" w:type="dxa"/>
            <w:noWrap w:val="0"/>
            <w:vAlign w:val="center"/>
          </w:tcPr>
          <w:p w14:paraId="64F8C508">
            <w:pPr>
              <w:keepNext/>
              <w:widowControl w:val="0"/>
              <w:snapToGrid w:val="0"/>
              <w:ind w:left="0" w:leftChars="0" w:right="0" w:rightChars="0" w:firstLine="0" w:firstLineChars="0"/>
              <w:jc w:val="left"/>
              <w:rPr>
                <w:rFonts w:hint="eastAsia" w:ascii="宋体" w:eastAsia="Arial"/>
                <w:sz w:val="21"/>
                <w:vertAlign w:val="baseline"/>
                <w:lang w:val="en-US" w:eastAsia="zh-CN"/>
              </w:rPr>
            </w:pPr>
            <w:r>
              <w:rPr>
                <w:rFonts w:hint="eastAsia" w:ascii="宋体" w:hAnsi="宋体" w:eastAsia="Arial"/>
                <w:kern w:val="0"/>
                <w:sz w:val="21"/>
                <w:szCs w:val="21"/>
              </w:rPr>
              <w:t>★</w:t>
            </w:r>
            <w:r>
              <w:rPr>
                <w:rFonts w:hint="eastAsia" w:ascii="宋体" w:eastAsia="Arial"/>
                <w:sz w:val="21"/>
                <w:vertAlign w:val="baseline"/>
                <w:lang w:val="en-US" w:eastAsia="zh-CN"/>
              </w:rPr>
              <w:t>计算机（教师机）</w:t>
            </w:r>
          </w:p>
        </w:tc>
        <w:tc>
          <w:tcPr>
            <w:tcW w:w="5335" w:type="dxa"/>
            <w:noWrap w:val="0"/>
            <w:vAlign w:val="center"/>
          </w:tcPr>
          <w:p w14:paraId="6638483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一、产品规格</w:t>
            </w:r>
          </w:p>
          <w:p w14:paraId="5C6647DA">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1. CPU 规格</w:t>
            </w:r>
          </w:p>
          <w:p w14:paraId="1E0E09F8">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须用国产芯片</w:t>
            </w:r>
          </w:p>
          <w:p w14:paraId="62A30EC7">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物理核心数：≥8核</w:t>
            </w:r>
          </w:p>
          <w:p w14:paraId="4AB8ECA7">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主频：≥</w:t>
            </w:r>
            <w:r>
              <w:rPr>
                <w:rFonts w:hint="eastAsia" w:ascii="宋体" w:hAnsi="宋体" w:eastAsia="Arial"/>
                <w:b/>
                <w:bCs/>
                <w:kern w:val="0"/>
                <w:sz w:val="21"/>
                <w:szCs w:val="21"/>
                <w:lang w:val="en-US" w:eastAsia="zh-CN"/>
              </w:rPr>
              <w:t>3.6</w:t>
            </w:r>
            <w:r>
              <w:rPr>
                <w:rFonts w:hint="eastAsia" w:ascii="宋体" w:hAnsi="宋体" w:eastAsia="Arial"/>
                <w:b/>
                <w:bCs/>
                <w:kern w:val="0"/>
                <w:sz w:val="21"/>
                <w:szCs w:val="21"/>
              </w:rPr>
              <w:t>GHz</w:t>
            </w:r>
          </w:p>
          <w:p w14:paraId="2E0BF0F5">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末级缓存容量：≥</w:t>
            </w:r>
            <w:r>
              <w:rPr>
                <w:rFonts w:hint="eastAsia" w:ascii="宋体" w:hAnsi="宋体" w:eastAsia="Arial"/>
                <w:b/>
                <w:bCs/>
                <w:kern w:val="0"/>
                <w:sz w:val="21"/>
                <w:szCs w:val="21"/>
                <w:lang w:val="en-US" w:eastAsia="zh-CN"/>
              </w:rPr>
              <w:t>32</w:t>
            </w:r>
            <w:r>
              <w:rPr>
                <w:rFonts w:hint="eastAsia" w:ascii="宋体" w:hAnsi="宋体" w:eastAsia="Arial"/>
                <w:b/>
                <w:bCs/>
                <w:kern w:val="0"/>
                <w:sz w:val="21"/>
                <w:szCs w:val="21"/>
              </w:rPr>
              <w:t>MB</w:t>
            </w:r>
          </w:p>
          <w:p w14:paraId="60F9B3C8">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线程数：≥8线程</w:t>
            </w:r>
          </w:p>
          <w:p w14:paraId="140B986A">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热设计功耗：≥</w:t>
            </w:r>
            <w:r>
              <w:rPr>
                <w:rFonts w:hint="eastAsia" w:ascii="宋体" w:hAnsi="宋体" w:eastAsia="Arial"/>
                <w:b/>
                <w:bCs/>
                <w:kern w:val="0"/>
                <w:sz w:val="21"/>
                <w:szCs w:val="21"/>
                <w:lang w:val="en-US" w:eastAsia="zh-CN"/>
              </w:rPr>
              <w:t>70</w:t>
            </w:r>
            <w:r>
              <w:rPr>
                <w:rFonts w:hint="eastAsia" w:ascii="宋体" w:hAnsi="宋体" w:eastAsia="Arial"/>
                <w:b/>
                <w:bCs/>
                <w:kern w:val="0"/>
                <w:sz w:val="21"/>
                <w:szCs w:val="21"/>
              </w:rPr>
              <w:t>W</w:t>
            </w:r>
          </w:p>
          <w:p w14:paraId="099EE351">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支持内存的最高速率：≥</w:t>
            </w:r>
            <w:r>
              <w:rPr>
                <w:rFonts w:hint="eastAsia" w:ascii="宋体" w:hAnsi="宋体" w:eastAsia="Arial"/>
                <w:b/>
                <w:bCs/>
                <w:kern w:val="0"/>
                <w:sz w:val="21"/>
                <w:szCs w:val="21"/>
                <w:lang w:val="en-US" w:eastAsia="zh-CN"/>
              </w:rPr>
              <w:t>4800</w:t>
            </w:r>
            <w:r>
              <w:rPr>
                <w:rFonts w:hint="eastAsia" w:ascii="宋体" w:hAnsi="宋体" w:eastAsia="Arial"/>
                <w:b/>
                <w:bCs/>
                <w:kern w:val="0"/>
                <w:sz w:val="21"/>
                <w:szCs w:val="21"/>
              </w:rPr>
              <w:t>MT/S</w:t>
            </w:r>
          </w:p>
          <w:p w14:paraId="671B9336">
            <w:pPr>
              <w:keepNext/>
              <w:widowControl w:val="0"/>
              <w:snapToGrid w:val="0"/>
              <w:ind w:left="0" w:leftChars="0" w:right="0" w:rightChars="0" w:firstLine="0" w:firstLineChars="0"/>
              <w:jc w:val="left"/>
              <w:rPr>
                <w:rFonts w:hint="eastAsia" w:ascii="宋体" w:hAnsi="宋体" w:eastAsia="Arial"/>
                <w:b/>
                <w:bCs/>
                <w:kern w:val="0"/>
                <w:sz w:val="21"/>
                <w:szCs w:val="21"/>
                <w:lang w:val="en-US" w:eastAsia="zh-CN"/>
              </w:rPr>
            </w:pPr>
            <w:r>
              <w:rPr>
                <w:rFonts w:hint="eastAsia" w:ascii="宋体" w:hAnsi="宋体" w:eastAsia="Arial"/>
                <w:b/>
                <w:bCs/>
                <w:kern w:val="0"/>
                <w:sz w:val="21"/>
                <w:szCs w:val="21"/>
              </w:rPr>
              <w:t>通道数：≥</w:t>
            </w:r>
            <w:r>
              <w:rPr>
                <w:rFonts w:hint="eastAsia" w:ascii="宋体" w:hAnsi="宋体" w:eastAsia="Arial"/>
                <w:b/>
                <w:bCs/>
                <w:kern w:val="0"/>
                <w:sz w:val="21"/>
                <w:szCs w:val="21"/>
                <w:lang w:val="en-US" w:eastAsia="zh-CN"/>
              </w:rPr>
              <w:t>2</w:t>
            </w:r>
          </w:p>
          <w:p w14:paraId="5B0F4434">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位宽：≥64位</w:t>
            </w:r>
          </w:p>
          <w:p w14:paraId="051D6BD0">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2. 内存规格</w:t>
            </w:r>
          </w:p>
          <w:p w14:paraId="6EC88EE9">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内存配置容量：≥</w:t>
            </w:r>
            <w:r>
              <w:rPr>
                <w:rFonts w:hint="eastAsia" w:ascii="宋体" w:hAnsi="宋体" w:eastAsia="Arial"/>
                <w:b/>
                <w:bCs/>
                <w:kern w:val="0"/>
                <w:sz w:val="21"/>
                <w:szCs w:val="21"/>
                <w:lang w:val="en-US" w:eastAsia="zh-CN"/>
              </w:rPr>
              <w:t>16</w:t>
            </w:r>
            <w:r>
              <w:rPr>
                <w:rFonts w:hint="eastAsia" w:ascii="宋体" w:hAnsi="宋体" w:eastAsia="Arial"/>
                <w:b/>
                <w:bCs/>
                <w:kern w:val="0"/>
                <w:sz w:val="21"/>
                <w:szCs w:val="21"/>
              </w:rPr>
              <w:t>GB</w:t>
            </w:r>
          </w:p>
          <w:p w14:paraId="0460465B">
            <w:pPr>
              <w:keepNext/>
              <w:widowControl w:val="0"/>
              <w:snapToGrid w:val="0"/>
              <w:ind w:left="0" w:leftChars="0" w:right="0" w:rightChars="0" w:firstLine="0" w:firstLineChars="0"/>
              <w:jc w:val="left"/>
              <w:rPr>
                <w:rFonts w:hint="eastAsia" w:ascii="宋体" w:hAnsi="宋体" w:eastAsia="Arial"/>
                <w:b/>
                <w:bCs/>
                <w:kern w:val="0"/>
                <w:sz w:val="21"/>
                <w:szCs w:val="21"/>
                <w:lang w:val="en-US" w:eastAsia="zh-CN"/>
              </w:rPr>
            </w:pPr>
            <w:r>
              <w:rPr>
                <w:rFonts w:hint="eastAsia" w:ascii="宋体" w:hAnsi="宋体" w:eastAsia="Arial"/>
                <w:b/>
                <w:bCs/>
                <w:kern w:val="0"/>
                <w:sz w:val="21"/>
                <w:szCs w:val="21"/>
              </w:rPr>
              <w:t>内存类型：DDR</w:t>
            </w:r>
            <w:r>
              <w:rPr>
                <w:rFonts w:hint="eastAsia" w:ascii="宋体" w:hAnsi="宋体" w:eastAsia="Arial"/>
                <w:b/>
                <w:bCs/>
                <w:kern w:val="0"/>
                <w:sz w:val="21"/>
                <w:szCs w:val="21"/>
                <w:lang w:val="en-US" w:eastAsia="zh-CN"/>
              </w:rPr>
              <w:t>5</w:t>
            </w:r>
          </w:p>
          <w:p w14:paraId="5387CB16">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内存条配置数量：≥</w:t>
            </w:r>
            <w:r>
              <w:rPr>
                <w:rFonts w:hint="eastAsia" w:ascii="宋体" w:hAnsi="宋体" w:eastAsia="Arial"/>
                <w:b/>
                <w:bCs/>
                <w:kern w:val="0"/>
                <w:sz w:val="21"/>
                <w:szCs w:val="21"/>
                <w:lang w:val="en-US" w:eastAsia="zh-CN"/>
              </w:rPr>
              <w:t>1</w:t>
            </w:r>
            <w:r>
              <w:rPr>
                <w:rFonts w:hint="eastAsia" w:ascii="宋体" w:hAnsi="宋体" w:eastAsia="Arial"/>
                <w:b/>
                <w:bCs/>
                <w:kern w:val="0"/>
                <w:sz w:val="21"/>
                <w:szCs w:val="21"/>
              </w:rPr>
              <w:t>条</w:t>
            </w:r>
          </w:p>
          <w:p w14:paraId="0813CD4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3. 主板规格</w:t>
            </w:r>
          </w:p>
          <w:p w14:paraId="60B0D55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主板集成模块：集成资源扩展模块、计算处理模块、音频扩展模块等，主板的互联拓扑可通过处理器或交换电路实现</w:t>
            </w:r>
          </w:p>
          <w:p w14:paraId="3BE6967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4. 存储设备规格</w:t>
            </w:r>
          </w:p>
          <w:p w14:paraId="2F0A1B2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固态盘数量：≥1个</w:t>
            </w:r>
          </w:p>
          <w:p w14:paraId="5BA1190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固态存储容量：≥512GB</w:t>
            </w:r>
          </w:p>
          <w:p w14:paraId="7A32693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存储设备扩展盘位：≥1</w:t>
            </w:r>
          </w:p>
          <w:p w14:paraId="0328193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存储设备其他参数要求：</w:t>
            </w:r>
            <w:r>
              <w:rPr>
                <w:rFonts w:hint="eastAsia" w:ascii="宋体" w:hAnsi="宋体" w:eastAsia="Arial"/>
                <w:kern w:val="0"/>
                <w:sz w:val="21"/>
                <w:szCs w:val="21"/>
              </w:rPr>
              <w:br w:type="textWrapping"/>
            </w:r>
            <w:r>
              <w:rPr>
                <w:rFonts w:hint="eastAsia" w:ascii="宋体" w:hAnsi="宋体" w:eastAsia="Arial"/>
                <w:kern w:val="0"/>
                <w:sz w:val="21"/>
                <w:szCs w:val="21"/>
              </w:rPr>
              <w:t xml:space="preserve"> 固态盘应符合SJ/T11654相关规定</w:t>
            </w:r>
            <w:r>
              <w:rPr>
                <w:rFonts w:hint="eastAsia" w:ascii="宋体" w:hAnsi="宋体" w:eastAsia="Arial"/>
                <w:kern w:val="0"/>
                <w:sz w:val="21"/>
                <w:szCs w:val="21"/>
              </w:rPr>
              <w:br w:type="textWrapping"/>
            </w:r>
            <w:r>
              <w:rPr>
                <w:rFonts w:hint="eastAsia" w:ascii="宋体" w:hAnsi="宋体" w:eastAsia="Arial"/>
                <w:kern w:val="0"/>
                <w:sz w:val="21"/>
                <w:szCs w:val="21"/>
              </w:rPr>
              <w:t>5. 显卡规格</w:t>
            </w:r>
          </w:p>
          <w:p w14:paraId="0BDE44D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显卡类型：集成高性能</w:t>
            </w:r>
          </w:p>
          <w:p w14:paraId="33F73F3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6. 显示设备规格</w:t>
            </w:r>
          </w:p>
          <w:p w14:paraId="144BB0D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显示屏屏占比：≥</w:t>
            </w:r>
            <w:r>
              <w:rPr>
                <w:rFonts w:hint="eastAsia" w:ascii="宋体" w:hAnsi="宋体" w:eastAsia="Arial"/>
                <w:kern w:val="0"/>
                <w:sz w:val="21"/>
                <w:szCs w:val="21"/>
                <w:lang w:val="en-US" w:eastAsia="zh-CN"/>
              </w:rPr>
              <w:t>8</w:t>
            </w:r>
            <w:r>
              <w:rPr>
                <w:rFonts w:hint="eastAsia" w:ascii="宋体" w:hAnsi="宋体" w:eastAsia="Arial"/>
                <w:kern w:val="0"/>
                <w:sz w:val="21"/>
                <w:szCs w:val="21"/>
              </w:rPr>
              <w:t>0%</w:t>
            </w:r>
          </w:p>
          <w:p w14:paraId="14BF107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显示屏分辨率：1920x1080</w:t>
            </w:r>
          </w:p>
          <w:p w14:paraId="74B5322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显示屏尺寸≥23</w:t>
            </w:r>
            <w:r>
              <w:rPr>
                <w:rFonts w:hint="eastAsia" w:ascii="宋体" w:hAnsi="宋体" w:eastAsia="Arial"/>
                <w:kern w:val="0"/>
                <w:sz w:val="21"/>
                <w:szCs w:val="21"/>
                <w:lang w:val="en-US" w:eastAsia="zh-CN"/>
              </w:rPr>
              <w:t>.8</w:t>
            </w:r>
            <w:r>
              <w:rPr>
                <w:rFonts w:hint="eastAsia" w:ascii="宋体" w:hAnsi="宋体" w:eastAsia="Arial"/>
                <w:kern w:val="0"/>
                <w:sz w:val="21"/>
                <w:szCs w:val="21"/>
              </w:rPr>
              <w:t>英寸</w:t>
            </w:r>
          </w:p>
          <w:p w14:paraId="0479EBC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显示屏屏幕比例：16:9</w:t>
            </w:r>
          </w:p>
          <w:p w14:paraId="5C6C21A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显示器边框颜色：黑色</w:t>
            </w:r>
          </w:p>
          <w:p w14:paraId="0480CA4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 xml:space="preserve">显示屏防蓝光：支持低蓝光功能，蓝光加权辐射亮度比应≤0.0012W/(·cd·sr)(瓦每坎德拉每球面度) </w:t>
            </w:r>
          </w:p>
          <w:p w14:paraId="1787D65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显示屏低频闪：显示屏应支持低频闪≤-35dB</w:t>
            </w:r>
          </w:p>
          <w:p w14:paraId="0B3AA87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显示屏防炫目：显示屏镜面反射率≤10%</w:t>
            </w:r>
          </w:p>
          <w:p w14:paraId="1ADA5C1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7. 外设规格</w:t>
            </w:r>
          </w:p>
          <w:p w14:paraId="0545128D">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rPr>
              <w:t>传声器数量≥</w:t>
            </w:r>
            <w:r>
              <w:rPr>
                <w:rFonts w:hint="eastAsia" w:ascii="宋体" w:hAnsi="宋体" w:eastAsia="Arial"/>
                <w:kern w:val="0"/>
                <w:sz w:val="21"/>
                <w:szCs w:val="21"/>
                <w:lang w:val="en-US" w:eastAsia="zh-CN"/>
              </w:rPr>
              <w:t>0</w:t>
            </w:r>
          </w:p>
          <w:p w14:paraId="7096AE95">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rPr>
              <w:t>扬声器数量≥</w:t>
            </w:r>
            <w:r>
              <w:rPr>
                <w:rFonts w:hint="eastAsia" w:ascii="宋体" w:hAnsi="宋体" w:eastAsia="Arial"/>
                <w:kern w:val="0"/>
                <w:sz w:val="21"/>
                <w:szCs w:val="21"/>
                <w:lang w:val="en-US" w:eastAsia="zh-CN"/>
              </w:rPr>
              <w:t>0</w:t>
            </w:r>
          </w:p>
          <w:p w14:paraId="684BCA1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鼠标数量：≥1个</w:t>
            </w:r>
          </w:p>
          <w:p w14:paraId="3F2BACB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键盘数量：≥1个</w:t>
            </w:r>
          </w:p>
          <w:p w14:paraId="6771B82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摄像头数量：≥</w:t>
            </w:r>
            <w:r>
              <w:rPr>
                <w:rFonts w:hint="eastAsia" w:ascii="宋体" w:hAnsi="宋体" w:eastAsia="Arial"/>
                <w:kern w:val="0"/>
                <w:sz w:val="21"/>
                <w:szCs w:val="21"/>
                <w:lang w:val="en-US" w:eastAsia="zh-CN"/>
              </w:rPr>
              <w:t>0</w:t>
            </w:r>
            <w:r>
              <w:rPr>
                <w:rFonts w:hint="eastAsia" w:ascii="宋体" w:hAnsi="宋体" w:eastAsia="Arial"/>
                <w:kern w:val="0"/>
                <w:sz w:val="21"/>
                <w:szCs w:val="21"/>
              </w:rPr>
              <w:t>个</w:t>
            </w:r>
          </w:p>
          <w:p w14:paraId="0321742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键盘按键数目：104键</w:t>
            </w:r>
          </w:p>
          <w:p w14:paraId="4FC2BA0E">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摄像头像素：</w:t>
            </w:r>
            <w:r>
              <w:rPr>
                <w:rFonts w:hint="eastAsia" w:ascii="宋体" w:hAnsi="宋体" w:eastAsia="Arial"/>
                <w:kern w:val="0"/>
                <w:sz w:val="21"/>
                <w:szCs w:val="21"/>
                <w:lang w:val="en-US" w:eastAsia="zh-CN"/>
              </w:rPr>
              <w:t>无</w:t>
            </w:r>
          </w:p>
          <w:p w14:paraId="518A8D11">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摄像头分辨率：</w:t>
            </w:r>
            <w:r>
              <w:rPr>
                <w:rFonts w:hint="eastAsia" w:ascii="宋体" w:hAnsi="宋体" w:eastAsia="Arial"/>
                <w:kern w:val="0"/>
                <w:sz w:val="21"/>
                <w:szCs w:val="21"/>
                <w:lang w:val="en-US" w:eastAsia="zh-CN"/>
              </w:rPr>
              <w:t>无</w:t>
            </w:r>
          </w:p>
          <w:p w14:paraId="38ECC440">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扬声器功率：</w:t>
            </w:r>
            <w:r>
              <w:rPr>
                <w:rFonts w:hint="eastAsia" w:ascii="宋体" w:hAnsi="宋体" w:eastAsia="Arial"/>
                <w:kern w:val="0"/>
                <w:sz w:val="21"/>
                <w:szCs w:val="21"/>
                <w:lang w:val="en-US" w:eastAsia="zh-CN"/>
              </w:rPr>
              <w:t>无</w:t>
            </w:r>
          </w:p>
          <w:p w14:paraId="79FF0A30">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扬声器频率范围：</w:t>
            </w:r>
            <w:r>
              <w:rPr>
                <w:rFonts w:hint="eastAsia" w:ascii="宋体" w:hAnsi="宋体" w:eastAsia="Arial"/>
                <w:kern w:val="0"/>
                <w:sz w:val="21"/>
                <w:szCs w:val="21"/>
                <w:lang w:val="en-US" w:eastAsia="zh-CN"/>
              </w:rPr>
              <w:t>无</w:t>
            </w:r>
          </w:p>
          <w:p w14:paraId="52DCE97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键盘键程：2.3mm～4.0mm</w:t>
            </w:r>
          </w:p>
          <w:p w14:paraId="5958313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键盘按键压力：按键压力应在0.54N±0.14N</w:t>
            </w:r>
          </w:p>
          <w:p w14:paraId="68529E0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键盘颜色：黑色</w:t>
            </w:r>
          </w:p>
          <w:p w14:paraId="2674CEB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键盘连接方式：有线</w:t>
            </w:r>
          </w:p>
          <w:p w14:paraId="1BFF04AE">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有线键盘连接线：≥1.5米</w:t>
            </w:r>
            <w:r>
              <w:rPr>
                <w:rFonts w:hint="eastAsia" w:ascii="宋体" w:hAnsi="宋体" w:eastAsia="Arial"/>
                <w:kern w:val="0"/>
                <w:sz w:val="21"/>
                <w:szCs w:val="21"/>
                <w:lang w:eastAsia="zh-CN"/>
              </w:rPr>
              <w:t>，</w:t>
            </w:r>
            <w:r>
              <w:rPr>
                <w:rFonts w:hint="eastAsia" w:ascii="宋体" w:hAnsi="宋体" w:eastAsia="Arial"/>
                <w:kern w:val="0"/>
                <w:sz w:val="21"/>
                <w:szCs w:val="21"/>
              </w:rPr>
              <w:t>具备键盘开机功能</w:t>
            </w:r>
          </w:p>
          <w:p w14:paraId="3EFE490B">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键盘其他要求：键盘外观结构、连接方式、主要功能、安全、电磁兼容性、可靠性应符合GB/T14081的相关规定</w:t>
            </w:r>
            <w:r>
              <w:rPr>
                <w:rFonts w:hint="eastAsia" w:ascii="宋体" w:hAnsi="宋体" w:eastAsia="Arial"/>
                <w:kern w:val="0"/>
                <w:sz w:val="21"/>
                <w:szCs w:val="21"/>
                <w:lang w:eastAsia="zh-CN"/>
              </w:rPr>
              <w:t>，</w:t>
            </w:r>
            <w:r>
              <w:rPr>
                <w:rFonts w:hint="eastAsia" w:ascii="宋体" w:hAnsi="宋体" w:eastAsia="Arial"/>
                <w:kern w:val="0"/>
                <w:sz w:val="21"/>
                <w:szCs w:val="21"/>
              </w:rPr>
              <w:t>具备键盘开机功能</w:t>
            </w:r>
            <w:r>
              <w:rPr>
                <w:rFonts w:hint="eastAsia" w:ascii="宋体" w:hAnsi="宋体" w:eastAsia="Arial"/>
                <w:kern w:val="0"/>
                <w:sz w:val="21"/>
                <w:szCs w:val="21"/>
                <w:lang w:eastAsia="zh-CN"/>
              </w:rPr>
              <w:t>。</w:t>
            </w:r>
          </w:p>
          <w:p w14:paraId="4F8D842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鼠标连接方式：有线</w:t>
            </w:r>
          </w:p>
          <w:p w14:paraId="73E8780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有线鼠标连接线：≥1.5米</w:t>
            </w:r>
          </w:p>
          <w:p w14:paraId="3BEC946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鼠标DPI分辨率：800~1600</w:t>
            </w:r>
          </w:p>
          <w:p w14:paraId="0809E00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鼠标其他要求：参数应符合GB/T26245的相关规定</w:t>
            </w:r>
          </w:p>
          <w:p w14:paraId="05FD849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8. 网络设备规格</w:t>
            </w:r>
          </w:p>
          <w:p w14:paraId="18CB98C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有线网卡数量：≥1</w:t>
            </w:r>
          </w:p>
          <w:p w14:paraId="29D54B4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无线网卡及天线数量：≥1</w:t>
            </w:r>
          </w:p>
          <w:p w14:paraId="19FEE0A1">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rPr>
              <w:t>有线网卡：集成10M/100/1000MB自适应网卡</w:t>
            </w:r>
            <w:r>
              <w:rPr>
                <w:rFonts w:hint="eastAsia" w:ascii="宋体" w:hAnsi="宋体" w:eastAsia="Arial"/>
                <w:kern w:val="0"/>
                <w:sz w:val="21"/>
                <w:szCs w:val="21"/>
                <w:lang w:eastAsia="zh-CN"/>
              </w:rPr>
              <w:t>，</w:t>
            </w:r>
            <w:r>
              <w:rPr>
                <w:rFonts w:hint="eastAsia" w:ascii="宋体" w:hAnsi="宋体" w:eastAsia="Arial"/>
                <w:kern w:val="0"/>
                <w:sz w:val="21"/>
                <w:szCs w:val="21"/>
              </w:rPr>
              <w:t>具备物理开关</w:t>
            </w:r>
            <w:r>
              <w:rPr>
                <w:rFonts w:hint="eastAsia" w:ascii="宋体" w:hAnsi="宋体" w:eastAsia="Arial"/>
                <w:kern w:val="0"/>
                <w:sz w:val="21"/>
                <w:szCs w:val="21"/>
                <w:lang w:val="en-US" w:eastAsia="zh-CN"/>
              </w:rPr>
              <w:t>功能</w:t>
            </w:r>
          </w:p>
          <w:p w14:paraId="1EC773BB">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9. 外部接口规格</w:t>
            </w:r>
          </w:p>
          <w:p w14:paraId="7A387457">
            <w:pPr>
              <w:keepNext/>
              <w:widowControl w:val="0"/>
              <w:snapToGrid w:val="0"/>
              <w:ind w:left="0" w:leftChars="0" w:right="0" w:rightChars="0" w:firstLine="0" w:firstLineChars="0"/>
              <w:jc w:val="left"/>
              <w:rPr>
                <w:rFonts w:hint="eastAsia" w:ascii="宋体" w:hAnsi="宋体" w:eastAsia="Arial"/>
                <w:b/>
                <w:bCs/>
                <w:kern w:val="0"/>
                <w:sz w:val="21"/>
                <w:szCs w:val="21"/>
              </w:rPr>
            </w:pPr>
            <w:r>
              <w:rPr>
                <w:rFonts w:hint="eastAsia" w:ascii="宋体" w:hAnsi="宋体" w:eastAsia="Arial"/>
                <w:b/>
                <w:bCs/>
                <w:kern w:val="0"/>
                <w:sz w:val="21"/>
                <w:szCs w:val="21"/>
              </w:rPr>
              <w:t xml:space="preserve">USB接口数量：USB 接口数量应不少于 </w:t>
            </w:r>
            <w:r>
              <w:rPr>
                <w:rFonts w:hint="eastAsia" w:ascii="宋体" w:hAnsi="宋体" w:eastAsia="Arial"/>
                <w:b/>
                <w:bCs/>
                <w:kern w:val="0"/>
                <w:sz w:val="21"/>
                <w:szCs w:val="21"/>
                <w:lang w:val="en-US" w:eastAsia="zh-CN"/>
              </w:rPr>
              <w:t>11</w:t>
            </w:r>
            <w:r>
              <w:rPr>
                <w:rFonts w:hint="eastAsia" w:ascii="宋体" w:hAnsi="宋体" w:eastAsia="Arial"/>
                <w:b/>
                <w:bCs/>
                <w:kern w:val="0"/>
                <w:sz w:val="21"/>
                <w:szCs w:val="21"/>
              </w:rPr>
              <w:t xml:space="preserve">个，至少包含 </w:t>
            </w:r>
            <w:r>
              <w:rPr>
                <w:rFonts w:hint="eastAsia" w:ascii="宋体" w:hAnsi="宋体" w:eastAsia="Arial"/>
                <w:b/>
                <w:bCs/>
                <w:kern w:val="0"/>
                <w:sz w:val="21"/>
                <w:szCs w:val="21"/>
                <w:lang w:val="en-US" w:eastAsia="zh-CN"/>
              </w:rPr>
              <w:t>2</w:t>
            </w:r>
            <w:r>
              <w:rPr>
                <w:rFonts w:hint="eastAsia" w:ascii="宋体" w:hAnsi="宋体" w:eastAsia="Arial"/>
                <w:b/>
                <w:bCs/>
                <w:kern w:val="0"/>
                <w:sz w:val="21"/>
                <w:szCs w:val="21"/>
              </w:rPr>
              <w:t>个 USB</w:t>
            </w:r>
            <w:r>
              <w:rPr>
                <w:rFonts w:hint="eastAsia" w:ascii="宋体" w:hAnsi="宋体" w:eastAsia="Arial"/>
                <w:b/>
                <w:bCs/>
                <w:kern w:val="0"/>
                <w:sz w:val="21"/>
                <w:szCs w:val="21"/>
                <w:lang w:val="en-US" w:eastAsia="zh-CN"/>
              </w:rPr>
              <w:t xml:space="preserve"> TypeC接口</w:t>
            </w:r>
          </w:p>
          <w:p w14:paraId="13669B64">
            <w:pPr>
              <w:keepNext/>
              <w:widowControl w:val="0"/>
              <w:snapToGrid w:val="0"/>
              <w:ind w:left="0" w:leftChars="0" w:right="0" w:rightChars="0" w:firstLine="0" w:firstLineChars="0"/>
              <w:jc w:val="left"/>
              <w:rPr>
                <w:rFonts w:hint="eastAsia" w:ascii="宋体" w:hAnsi="宋体" w:eastAsia="Arial"/>
                <w:b/>
                <w:bCs/>
                <w:kern w:val="0"/>
                <w:sz w:val="21"/>
                <w:szCs w:val="21"/>
                <w:lang w:eastAsia="zh-CN"/>
              </w:rPr>
            </w:pPr>
            <w:r>
              <w:rPr>
                <w:rFonts w:hint="eastAsia" w:ascii="宋体" w:hAnsi="宋体" w:eastAsia="Arial"/>
                <w:b/>
                <w:bCs/>
                <w:kern w:val="0"/>
                <w:sz w:val="21"/>
                <w:szCs w:val="21"/>
              </w:rPr>
              <w:t>视频接口数量：≥</w:t>
            </w:r>
            <w:r>
              <w:rPr>
                <w:rFonts w:hint="eastAsia" w:ascii="宋体" w:hAnsi="宋体" w:eastAsia="Arial"/>
                <w:b/>
                <w:bCs/>
                <w:kern w:val="0"/>
                <w:sz w:val="21"/>
                <w:szCs w:val="21"/>
                <w:lang w:val="en-US" w:eastAsia="zh-CN"/>
              </w:rPr>
              <w:t>2</w:t>
            </w:r>
          </w:p>
          <w:p w14:paraId="27C3815F">
            <w:pPr>
              <w:keepNext/>
              <w:widowControl w:val="0"/>
              <w:snapToGrid w:val="0"/>
              <w:ind w:left="0" w:leftChars="0" w:right="0" w:rightChars="0" w:firstLine="0" w:firstLineChars="0"/>
              <w:jc w:val="left"/>
              <w:rPr>
                <w:rFonts w:hint="eastAsia" w:ascii="宋体" w:hAnsi="宋体" w:eastAsia="Arial"/>
                <w:b/>
                <w:bCs/>
                <w:kern w:val="0"/>
                <w:sz w:val="21"/>
                <w:szCs w:val="21"/>
                <w:lang w:val="en-US" w:eastAsia="zh-CN"/>
              </w:rPr>
            </w:pPr>
            <w:r>
              <w:rPr>
                <w:rFonts w:hint="eastAsia" w:ascii="宋体" w:hAnsi="宋体" w:eastAsia="Arial"/>
                <w:b/>
                <w:bCs/>
                <w:kern w:val="0"/>
                <w:sz w:val="21"/>
                <w:szCs w:val="21"/>
              </w:rPr>
              <w:t>音频接口数量：≥</w:t>
            </w:r>
            <w:r>
              <w:rPr>
                <w:rFonts w:hint="eastAsia" w:ascii="宋体" w:hAnsi="宋体" w:eastAsia="Arial"/>
                <w:b/>
                <w:bCs/>
                <w:kern w:val="0"/>
                <w:sz w:val="21"/>
                <w:szCs w:val="21"/>
                <w:lang w:val="en-US" w:eastAsia="zh-CN"/>
              </w:rPr>
              <w:t>5</w:t>
            </w:r>
          </w:p>
          <w:p w14:paraId="1614843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10. 整机基础规格</w:t>
            </w:r>
          </w:p>
          <w:p w14:paraId="1A74ADA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台式计算机整机外观：</w:t>
            </w:r>
            <w:r>
              <w:rPr>
                <w:rFonts w:hint="eastAsia" w:ascii="宋体" w:hAnsi="宋体" w:eastAsia="Arial"/>
                <w:kern w:val="0"/>
                <w:sz w:val="21"/>
                <w:szCs w:val="21"/>
              </w:rPr>
              <w:br w:type="textWrapping"/>
            </w:r>
            <w:r>
              <w:rPr>
                <w:rFonts w:hint="eastAsia" w:ascii="宋体" w:hAnsi="宋体" w:eastAsia="Arial"/>
                <w:kern w:val="0"/>
                <w:sz w:val="21"/>
                <w:szCs w:val="21"/>
              </w:rPr>
              <w:t>a) 产品表面不应有凹痕、划伤、裂缝、变形和污染等。表面涂层均匀，不应起泡、龟裂、脱落和磨损，金属零部件无锈蚀及其它机械损伤</w:t>
            </w:r>
            <w:r>
              <w:rPr>
                <w:rFonts w:hint="eastAsia" w:ascii="宋体" w:hAnsi="宋体" w:eastAsia="Arial"/>
                <w:kern w:val="0"/>
                <w:sz w:val="21"/>
                <w:szCs w:val="21"/>
              </w:rPr>
              <w:br w:type="textWrapping"/>
            </w:r>
            <w:r>
              <w:rPr>
                <w:rFonts w:hint="eastAsia" w:ascii="宋体" w:hAnsi="宋体" w:eastAsia="Arial"/>
                <w:kern w:val="0"/>
                <w:sz w:val="21"/>
                <w:szCs w:val="21"/>
              </w:rPr>
              <w:t>b) 产品表面说明功能的文字、符号、标志，应清晰、端正、牢固</w:t>
            </w:r>
            <w:r>
              <w:rPr>
                <w:rFonts w:hint="eastAsia" w:ascii="宋体" w:hAnsi="宋体" w:eastAsia="Arial"/>
                <w:kern w:val="0"/>
                <w:sz w:val="21"/>
                <w:szCs w:val="21"/>
              </w:rPr>
              <w:br w:type="textWrapping"/>
            </w:r>
            <w:r>
              <w:rPr>
                <w:rFonts w:hint="eastAsia" w:ascii="宋体" w:hAnsi="宋体" w:eastAsia="Arial"/>
                <w:kern w:val="0"/>
                <w:sz w:val="21"/>
                <w:szCs w:val="21"/>
              </w:rPr>
              <w:t>c) 产品显著位置提供运行状态指示功能，并由生产厂商提供详细参数</w:t>
            </w:r>
          </w:p>
          <w:p w14:paraId="20EDD51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整机结构：</w:t>
            </w:r>
            <w:r>
              <w:rPr>
                <w:rFonts w:hint="eastAsia" w:ascii="宋体" w:hAnsi="宋体" w:eastAsia="Arial"/>
                <w:kern w:val="0"/>
                <w:sz w:val="21"/>
                <w:szCs w:val="21"/>
              </w:rPr>
              <w:br w:type="textWrapping"/>
            </w:r>
            <w:r>
              <w:rPr>
                <w:rFonts w:hint="eastAsia" w:ascii="宋体" w:hAnsi="宋体" w:eastAsia="Arial"/>
                <w:b/>
                <w:bCs/>
                <w:kern w:val="0"/>
                <w:sz w:val="21"/>
                <w:szCs w:val="21"/>
              </w:rPr>
              <w:t>a) 机箱应符合GB/T 4208、GB/T 26246的相关规定</w:t>
            </w:r>
            <w:r>
              <w:rPr>
                <w:rFonts w:hint="eastAsia" w:ascii="宋体" w:hAnsi="宋体" w:eastAsia="Arial"/>
                <w:b/>
                <w:bCs/>
                <w:kern w:val="0"/>
                <w:sz w:val="21"/>
                <w:szCs w:val="21"/>
                <w:lang w:eastAsia="zh-CN"/>
              </w:rPr>
              <w:t>，</w:t>
            </w:r>
            <w:r>
              <w:rPr>
                <w:rFonts w:hint="eastAsia" w:ascii="宋体" w:hAnsi="宋体" w:eastAsia="Arial"/>
                <w:b/>
                <w:bCs/>
                <w:kern w:val="0"/>
                <w:sz w:val="21"/>
                <w:szCs w:val="21"/>
              </w:rPr>
              <w:t>≥17L</w:t>
            </w:r>
            <w:r>
              <w:rPr>
                <w:rFonts w:hint="eastAsia" w:ascii="宋体" w:hAnsi="宋体" w:eastAsia="Arial"/>
                <w:b/>
                <w:bCs/>
                <w:kern w:val="0"/>
                <w:sz w:val="21"/>
                <w:szCs w:val="21"/>
                <w:lang w:val="en-US" w:eastAsia="zh-CN"/>
              </w:rPr>
              <w:t>机箱</w:t>
            </w:r>
            <w:r>
              <w:rPr>
                <w:rFonts w:hint="eastAsia" w:ascii="宋体" w:hAnsi="宋体" w:eastAsia="Arial"/>
                <w:b/>
                <w:bCs/>
                <w:kern w:val="0"/>
                <w:sz w:val="21"/>
                <w:szCs w:val="21"/>
              </w:rPr>
              <w:t>，顶置提手、免工具维护</w:t>
            </w:r>
            <w:r>
              <w:rPr>
                <w:rFonts w:hint="eastAsia" w:ascii="宋体" w:hAnsi="宋体" w:eastAsia="Arial"/>
                <w:b/>
                <w:bCs/>
                <w:kern w:val="0"/>
                <w:sz w:val="21"/>
                <w:szCs w:val="21"/>
                <w:lang w:val="en-US" w:eastAsia="zh-CN"/>
              </w:rPr>
              <w:t>,机箱标配可拆卸防尘网</w:t>
            </w:r>
            <w:r>
              <w:rPr>
                <w:rFonts w:hint="eastAsia" w:ascii="宋体" w:hAnsi="宋体" w:eastAsia="Arial"/>
                <w:b/>
                <w:bCs/>
                <w:kern w:val="0"/>
                <w:sz w:val="21"/>
                <w:szCs w:val="21"/>
              </w:rPr>
              <w:br w:type="textWrapping"/>
            </w:r>
            <w:r>
              <w:rPr>
                <w:rFonts w:hint="eastAsia" w:ascii="宋体" w:hAnsi="宋体" w:eastAsia="Arial"/>
                <w:kern w:val="0"/>
                <w:sz w:val="21"/>
                <w:szCs w:val="21"/>
              </w:rPr>
              <w:t>b) 产品内部结构应符合通用部件的安装需求</w:t>
            </w:r>
            <w:r>
              <w:rPr>
                <w:rFonts w:hint="eastAsia" w:ascii="宋体" w:hAnsi="宋体" w:eastAsia="Arial"/>
                <w:kern w:val="0"/>
                <w:sz w:val="21"/>
                <w:szCs w:val="21"/>
              </w:rPr>
              <w:br w:type="textWrapping"/>
            </w:r>
            <w:r>
              <w:rPr>
                <w:rFonts w:hint="eastAsia" w:ascii="宋体" w:hAnsi="宋体" w:eastAsia="Arial"/>
                <w:kern w:val="0"/>
                <w:sz w:val="21"/>
                <w:szCs w:val="21"/>
              </w:rPr>
              <w:t>c) 所有输入输出接口应符合相关国家或行业标准</w:t>
            </w:r>
            <w:r>
              <w:rPr>
                <w:rFonts w:hint="eastAsia" w:ascii="宋体" w:hAnsi="宋体" w:eastAsia="Arial"/>
                <w:kern w:val="0"/>
                <w:sz w:val="21"/>
                <w:szCs w:val="21"/>
              </w:rPr>
              <w:br w:type="textWrapping"/>
            </w:r>
            <w:r>
              <w:rPr>
                <w:rFonts w:hint="eastAsia" w:ascii="宋体" w:hAnsi="宋体" w:eastAsia="Arial"/>
                <w:kern w:val="0"/>
                <w:sz w:val="21"/>
                <w:szCs w:val="21"/>
              </w:rPr>
              <w:t>d) 产品零部件应紧固无松动，可插拔部件应可靠连接，开关</w:t>
            </w:r>
            <w:r>
              <w:rPr>
                <w:rFonts w:hint="eastAsia" w:ascii="宋体" w:hAnsi="宋体" w:eastAsia="Arial"/>
                <w:kern w:val="0"/>
                <w:sz w:val="21"/>
                <w:szCs w:val="21"/>
                <w:lang w:eastAsia="zh-CN"/>
              </w:rPr>
              <w:t>、</w:t>
            </w:r>
            <w:r>
              <w:rPr>
                <w:rFonts w:hint="eastAsia" w:ascii="宋体" w:hAnsi="宋体" w:eastAsia="Arial"/>
                <w:kern w:val="0"/>
                <w:sz w:val="21"/>
                <w:szCs w:val="21"/>
              </w:rPr>
              <w:t>具备重启按键、按钮和其它控制部件应灵活可靠，布局应方便使用</w:t>
            </w:r>
            <w:r>
              <w:rPr>
                <w:rFonts w:hint="eastAsia" w:ascii="宋体" w:hAnsi="宋体" w:eastAsia="Arial"/>
                <w:kern w:val="0"/>
                <w:sz w:val="21"/>
                <w:szCs w:val="21"/>
              </w:rPr>
              <w:br w:type="textWrapping"/>
            </w:r>
            <w:r>
              <w:rPr>
                <w:rFonts w:hint="eastAsia" w:ascii="宋体" w:hAnsi="宋体" w:eastAsia="Arial"/>
                <w:kern w:val="0"/>
                <w:sz w:val="21"/>
                <w:szCs w:val="21"/>
              </w:rPr>
              <w:t>e) 所有I/O连接器及需插接线缆的部位应预留采购人操作空间，方便插拔解锁与插拔线缆</w:t>
            </w:r>
            <w:r>
              <w:rPr>
                <w:rFonts w:hint="eastAsia" w:ascii="宋体" w:hAnsi="宋体" w:eastAsia="Arial"/>
                <w:kern w:val="0"/>
                <w:sz w:val="21"/>
                <w:szCs w:val="21"/>
              </w:rPr>
              <w:br w:type="textWrapping"/>
            </w:r>
            <w:r>
              <w:rPr>
                <w:rFonts w:hint="eastAsia" w:ascii="宋体" w:hAnsi="宋体" w:eastAsia="Arial"/>
                <w:kern w:val="0"/>
                <w:sz w:val="21"/>
                <w:szCs w:val="21"/>
              </w:rPr>
              <w:t>f) 可插拔板卡插槽部位应预留安装、拆卸或更换板卡空间</w:t>
            </w:r>
            <w:r>
              <w:rPr>
                <w:rFonts w:hint="eastAsia" w:ascii="宋体" w:hAnsi="宋体" w:eastAsia="Arial"/>
                <w:kern w:val="0"/>
                <w:sz w:val="21"/>
                <w:szCs w:val="21"/>
              </w:rPr>
              <w:br w:type="textWrapping"/>
            </w:r>
            <w:r>
              <w:rPr>
                <w:rFonts w:hint="eastAsia" w:ascii="宋体" w:hAnsi="宋体" w:eastAsia="Arial"/>
                <w:kern w:val="0"/>
                <w:sz w:val="21"/>
                <w:szCs w:val="21"/>
              </w:rPr>
              <w:t>g) 拆装可能接触到的金属剪口或金属尖角部位应做防划伤处理，以保证安全</w:t>
            </w:r>
            <w:r>
              <w:rPr>
                <w:rFonts w:hint="eastAsia" w:ascii="宋体" w:hAnsi="宋体" w:eastAsia="Arial"/>
                <w:kern w:val="0"/>
                <w:sz w:val="21"/>
                <w:szCs w:val="21"/>
              </w:rPr>
              <w:br w:type="textWrapping"/>
            </w:r>
            <w:r>
              <w:rPr>
                <w:rFonts w:hint="eastAsia" w:ascii="宋体" w:hAnsi="宋体" w:eastAsia="Arial"/>
                <w:kern w:val="0"/>
                <w:sz w:val="21"/>
                <w:szCs w:val="21"/>
              </w:rPr>
              <w:t>h) 整机内部走线应规整，固线结构和位置要合理可靠并做防割线处理，需便于理线和插拔操作，走线应不影响系统各主要部件组装和拆卸</w:t>
            </w:r>
            <w:r>
              <w:rPr>
                <w:rFonts w:hint="eastAsia" w:ascii="宋体" w:hAnsi="宋体" w:eastAsia="Arial"/>
                <w:kern w:val="0"/>
                <w:sz w:val="21"/>
                <w:szCs w:val="21"/>
              </w:rPr>
              <w:br w:type="textWrapping"/>
            </w:r>
            <w:r>
              <w:rPr>
                <w:rFonts w:hint="eastAsia" w:ascii="宋体" w:hAnsi="宋体" w:eastAsia="Arial"/>
                <w:kern w:val="0"/>
                <w:sz w:val="21"/>
                <w:szCs w:val="21"/>
              </w:rPr>
              <w:t>i) 如需通过孔走线，过线孔应做防割线处理</w:t>
            </w:r>
            <w:r>
              <w:rPr>
                <w:rFonts w:hint="eastAsia" w:ascii="宋体" w:hAnsi="宋体" w:eastAsia="Arial"/>
                <w:kern w:val="0"/>
                <w:sz w:val="21"/>
                <w:szCs w:val="21"/>
              </w:rPr>
              <w:br w:type="textWrapping"/>
            </w:r>
            <w:r>
              <w:rPr>
                <w:rFonts w:hint="eastAsia" w:ascii="宋体" w:hAnsi="宋体" w:eastAsia="Arial"/>
                <w:kern w:val="0"/>
                <w:sz w:val="21"/>
                <w:szCs w:val="21"/>
              </w:rPr>
              <w:t>j) 各插头位置和插拔方向应合理，应做到插拔无障碍设计，具备防呆设计，有效避免误操作</w:t>
            </w:r>
            <w:r>
              <w:rPr>
                <w:rFonts w:hint="eastAsia" w:ascii="宋体" w:hAnsi="宋体" w:eastAsia="Arial"/>
                <w:kern w:val="0"/>
                <w:sz w:val="21"/>
                <w:szCs w:val="21"/>
              </w:rPr>
              <w:br w:type="textWrapping"/>
            </w:r>
            <w:r>
              <w:rPr>
                <w:rFonts w:hint="eastAsia" w:ascii="宋体" w:hAnsi="宋体" w:eastAsia="Arial"/>
                <w:kern w:val="0"/>
                <w:sz w:val="21"/>
                <w:szCs w:val="21"/>
              </w:rPr>
              <w:t>k) 各主要部件拆装无障碍，使用常规工具拆装，无特殊拆装工具需求</w:t>
            </w:r>
            <w:r>
              <w:rPr>
                <w:rFonts w:hint="eastAsia" w:ascii="宋体" w:hAnsi="宋体" w:eastAsia="Arial"/>
                <w:kern w:val="0"/>
                <w:sz w:val="21"/>
                <w:szCs w:val="21"/>
              </w:rPr>
              <w:br w:type="textWrapping"/>
            </w:r>
            <w:r>
              <w:rPr>
                <w:rFonts w:hint="eastAsia" w:ascii="宋体" w:hAnsi="宋体" w:eastAsia="Arial"/>
                <w:kern w:val="0"/>
                <w:sz w:val="21"/>
                <w:szCs w:val="21"/>
              </w:rPr>
              <w:t>l) 各主要部件拆装步骤要少，各自拆装需避免相互干扰</w:t>
            </w:r>
            <w:r>
              <w:rPr>
                <w:rFonts w:hint="eastAsia" w:ascii="宋体" w:hAnsi="宋体" w:eastAsia="Arial"/>
                <w:kern w:val="0"/>
                <w:sz w:val="21"/>
                <w:szCs w:val="21"/>
              </w:rPr>
              <w:br w:type="textWrapping"/>
            </w:r>
            <w:r>
              <w:rPr>
                <w:rFonts w:hint="eastAsia" w:ascii="宋体" w:hAnsi="宋体" w:eastAsia="Arial"/>
                <w:kern w:val="0"/>
                <w:sz w:val="21"/>
                <w:szCs w:val="21"/>
              </w:rPr>
              <w:t>m) 对于整机或零部件外表面为高亮面的，应粘贴保护膜，保护膜需粘贴牢固，运输、组装等过程不易脱落，撕下无残留</w:t>
            </w:r>
            <w:r>
              <w:rPr>
                <w:rFonts w:hint="eastAsia" w:ascii="宋体" w:hAnsi="宋体" w:eastAsia="Arial"/>
                <w:kern w:val="0"/>
                <w:sz w:val="21"/>
                <w:szCs w:val="21"/>
              </w:rPr>
              <w:br w:type="textWrapping"/>
            </w:r>
            <w:r>
              <w:rPr>
                <w:rFonts w:hint="eastAsia" w:ascii="宋体" w:hAnsi="宋体" w:eastAsia="Arial"/>
                <w:kern w:val="0"/>
                <w:sz w:val="21"/>
                <w:szCs w:val="21"/>
              </w:rPr>
              <w:t>n) 其它要求应符合GB/T9813.1的相关规定</w:t>
            </w:r>
          </w:p>
          <w:p w14:paraId="59A332F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机箱防护要求：机箱应符合GB/T4208中IP20防护要求</w:t>
            </w:r>
          </w:p>
          <w:p w14:paraId="62F16AF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整机噪音：不得大于4.5Bel</w:t>
            </w:r>
          </w:p>
          <w:p w14:paraId="7B49571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整机散热：</w:t>
            </w:r>
            <w:r>
              <w:rPr>
                <w:rFonts w:hint="eastAsia" w:ascii="宋体" w:hAnsi="宋体" w:eastAsia="Arial"/>
                <w:kern w:val="0"/>
                <w:sz w:val="21"/>
                <w:szCs w:val="21"/>
              </w:rPr>
              <w:br w:type="textWrapping"/>
            </w:r>
            <w:r>
              <w:rPr>
                <w:rFonts w:hint="eastAsia" w:ascii="宋体" w:hAnsi="宋体" w:eastAsia="Arial"/>
                <w:kern w:val="0"/>
                <w:sz w:val="21"/>
                <w:szCs w:val="21"/>
              </w:rPr>
              <w:t>a) 可触及面温度范围内小于45℃</w:t>
            </w:r>
            <w:r>
              <w:rPr>
                <w:rFonts w:hint="eastAsia" w:ascii="宋体" w:hAnsi="宋体" w:eastAsia="Arial"/>
                <w:kern w:val="0"/>
                <w:sz w:val="21"/>
                <w:szCs w:val="21"/>
              </w:rPr>
              <w:br w:type="textWrapping"/>
            </w:r>
            <w:r>
              <w:rPr>
                <w:rFonts w:hint="eastAsia" w:ascii="宋体" w:hAnsi="宋体" w:eastAsia="Arial"/>
                <w:kern w:val="0"/>
                <w:sz w:val="21"/>
                <w:szCs w:val="21"/>
              </w:rPr>
              <w:t>b) 显示器表面温度：显示屏温度不高于38℃，显示屏上下灯带位置温度（如涉及）不高于40℃，出风口温度不高于55℃</w:t>
            </w:r>
          </w:p>
          <w:p w14:paraId="0FBFB95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整机能效限定值：产品能效限定值应达到GB 28380-2012标准中能效等级2级及以上</w:t>
            </w:r>
          </w:p>
          <w:p w14:paraId="2BC6F39E">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rPr>
              <w:t>机身颜色：黑色</w:t>
            </w:r>
          </w:p>
          <w:p w14:paraId="41B947E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整机认证：3C认证</w:t>
            </w:r>
          </w:p>
          <w:p w14:paraId="4B87EAC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二、性能要求</w:t>
            </w:r>
          </w:p>
          <w:p w14:paraId="7673BEB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CPU物理核数：≥8核</w:t>
            </w:r>
          </w:p>
          <w:p w14:paraId="4EB7C44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CPU主频：≥</w:t>
            </w:r>
            <w:r>
              <w:rPr>
                <w:rFonts w:hint="eastAsia" w:ascii="宋体" w:hAnsi="宋体" w:eastAsia="Arial"/>
                <w:kern w:val="0"/>
                <w:sz w:val="21"/>
                <w:szCs w:val="21"/>
                <w:lang w:val="en-US" w:eastAsia="zh-CN"/>
              </w:rPr>
              <w:t>3.6</w:t>
            </w:r>
            <w:r>
              <w:rPr>
                <w:rFonts w:hint="eastAsia" w:ascii="宋体" w:hAnsi="宋体" w:eastAsia="Arial"/>
                <w:kern w:val="0"/>
                <w:sz w:val="21"/>
                <w:szCs w:val="21"/>
              </w:rPr>
              <w:t>GHz</w:t>
            </w:r>
          </w:p>
          <w:p w14:paraId="074A6C8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CPU末级缓存容量：≥</w:t>
            </w:r>
            <w:r>
              <w:rPr>
                <w:rFonts w:hint="eastAsia" w:ascii="宋体" w:hAnsi="宋体" w:eastAsia="Arial"/>
                <w:kern w:val="0"/>
                <w:sz w:val="21"/>
                <w:szCs w:val="21"/>
                <w:lang w:val="en-US" w:eastAsia="zh-CN"/>
              </w:rPr>
              <w:t>8</w:t>
            </w:r>
            <w:r>
              <w:rPr>
                <w:rFonts w:hint="eastAsia" w:ascii="宋体" w:hAnsi="宋体" w:eastAsia="Arial"/>
                <w:kern w:val="0"/>
                <w:sz w:val="21"/>
                <w:szCs w:val="21"/>
              </w:rPr>
              <w:t>MB</w:t>
            </w:r>
          </w:p>
          <w:p w14:paraId="19CD678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CPU支持的内存最高速率：≥</w:t>
            </w:r>
            <w:r>
              <w:rPr>
                <w:rFonts w:hint="eastAsia" w:ascii="宋体" w:hAnsi="宋体" w:eastAsia="Arial"/>
                <w:kern w:val="0"/>
                <w:sz w:val="21"/>
                <w:szCs w:val="21"/>
                <w:lang w:val="en-US" w:eastAsia="zh-CN"/>
              </w:rPr>
              <w:t>48</w:t>
            </w:r>
            <w:r>
              <w:rPr>
                <w:rFonts w:hint="eastAsia" w:ascii="宋体" w:hAnsi="宋体" w:eastAsia="Arial"/>
                <w:kern w:val="0"/>
                <w:sz w:val="21"/>
                <w:szCs w:val="21"/>
              </w:rPr>
              <w:t>00MHz</w:t>
            </w:r>
          </w:p>
          <w:p w14:paraId="62A5A64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内存读写速率：≥</w:t>
            </w:r>
            <w:r>
              <w:rPr>
                <w:rFonts w:hint="eastAsia" w:ascii="宋体" w:hAnsi="宋体" w:eastAsia="Arial"/>
                <w:kern w:val="0"/>
                <w:sz w:val="21"/>
                <w:szCs w:val="21"/>
                <w:lang w:val="en-US" w:eastAsia="zh-CN"/>
              </w:rPr>
              <w:t>4800</w:t>
            </w:r>
            <w:r>
              <w:rPr>
                <w:rFonts w:hint="eastAsia" w:ascii="宋体" w:hAnsi="宋体" w:eastAsia="Arial"/>
                <w:kern w:val="0"/>
                <w:sz w:val="21"/>
                <w:szCs w:val="21"/>
              </w:rPr>
              <w:t>MT/s</w:t>
            </w:r>
          </w:p>
          <w:p w14:paraId="7461F26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显示分辨率：1920x1080</w:t>
            </w:r>
          </w:p>
          <w:p w14:paraId="04B31DF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显卡显示芯片核心频率：≥780MHz/1.35GHz</w:t>
            </w:r>
          </w:p>
          <w:p w14:paraId="2D9AFFD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显存等效频率：≥1600MHz</w:t>
            </w:r>
          </w:p>
          <w:p w14:paraId="20A0F83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显卡可同时支持多屏显示数量：显卡应支持2块屏幕同时显示，分辨率应不低于1920×1080</w:t>
            </w:r>
          </w:p>
          <w:p w14:paraId="69AF29F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显示屏刷新率：≥</w:t>
            </w:r>
            <w:r>
              <w:rPr>
                <w:rFonts w:hint="eastAsia" w:ascii="宋体" w:hAnsi="宋体" w:eastAsia="Arial"/>
                <w:kern w:val="0"/>
                <w:sz w:val="21"/>
                <w:szCs w:val="21"/>
                <w:lang w:val="en-US" w:eastAsia="zh-CN"/>
              </w:rPr>
              <w:t>100</w:t>
            </w:r>
            <w:r>
              <w:rPr>
                <w:rFonts w:hint="eastAsia" w:ascii="宋体" w:hAnsi="宋体" w:eastAsia="Arial"/>
                <w:kern w:val="0"/>
                <w:sz w:val="21"/>
                <w:szCs w:val="21"/>
              </w:rPr>
              <w:t>Hz</w:t>
            </w:r>
          </w:p>
          <w:p w14:paraId="1661CD2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显示屏位深：≥8位</w:t>
            </w:r>
          </w:p>
          <w:p w14:paraId="1C2CF4E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显示屏色域：≥99%sRGB</w:t>
            </w:r>
          </w:p>
          <w:p w14:paraId="4F11B47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显示屏色准：△E≤4</w:t>
            </w:r>
          </w:p>
          <w:p w14:paraId="2D27709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显示屏响应时间：≤20ms</w:t>
            </w:r>
          </w:p>
          <w:p w14:paraId="48B7D36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显示屏亮度：≥250尼特</w:t>
            </w:r>
          </w:p>
          <w:p w14:paraId="7533F9F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显示屏亮度一致性：≥70%</w:t>
            </w:r>
          </w:p>
          <w:p w14:paraId="3671CE1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显示屏对比度：≥3000:1</w:t>
            </w:r>
          </w:p>
          <w:p w14:paraId="18A3601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显示屏其他参数：其它参数应符合SJ/T11292的相关规定（灰度等级≥256级）</w:t>
            </w:r>
          </w:p>
          <w:p w14:paraId="72DEA40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有线网卡速率：最高速率宜不低于1000Mbps，宜支持10Mbps、100Mbps、1000Mbps速率自适应</w:t>
            </w:r>
          </w:p>
          <w:p w14:paraId="1BE1820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支持无线网络通信技术协议：支持WAPI或WiFi5.0及以上协议</w:t>
            </w:r>
          </w:p>
          <w:p w14:paraId="58AA24C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电源适配器电源效率：在20%/50%/100%负载下效率均应不低于87%</w:t>
            </w:r>
          </w:p>
          <w:p w14:paraId="7C04854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三、功能要求</w:t>
            </w:r>
          </w:p>
          <w:p w14:paraId="00FCD71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 主板功能</w:t>
            </w:r>
          </w:p>
          <w:p w14:paraId="504AB536">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内存扩展接口：≥</w:t>
            </w:r>
            <w:r>
              <w:rPr>
                <w:rFonts w:hint="eastAsia" w:ascii="宋体" w:hAnsi="宋体" w:eastAsia="Arial"/>
                <w:kern w:val="0"/>
                <w:sz w:val="21"/>
                <w:szCs w:val="21"/>
                <w:lang w:val="en-US" w:eastAsia="zh-CN"/>
              </w:rPr>
              <w:t>4</w:t>
            </w:r>
          </w:p>
          <w:p w14:paraId="25C6FD6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存储扩展接口类型：SATA3.0或NVME接口</w:t>
            </w:r>
          </w:p>
          <w:p w14:paraId="76868CC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主板USB瞬间过流保护：支持瞬间过流保护功能</w:t>
            </w:r>
          </w:p>
          <w:p w14:paraId="1D399F5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主板防静电保护：支持防静电保护功能</w:t>
            </w:r>
          </w:p>
          <w:p w14:paraId="5EFDD7B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rPr>
              <w:t>I/O接口功能：内置或通过扩展坞支持数据传输接口、视频接口、音频接口、网络接口、电源接口等各类标准接口，应具备接入键盘、鼠标、写字板等外设的能力</w:t>
            </w:r>
          </w:p>
          <w:p w14:paraId="2D44A69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2. 显卡功能</w:t>
            </w:r>
          </w:p>
          <w:p w14:paraId="4068253A">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显卡外接显示接口：显卡至少支持VGA、HDMI、DVI、DP、Type-C中</w:t>
            </w:r>
            <w:r>
              <w:rPr>
                <w:rFonts w:hint="eastAsia" w:ascii="宋体" w:hAnsi="宋体" w:eastAsia="Arial"/>
                <w:kern w:val="0"/>
                <w:sz w:val="21"/>
                <w:szCs w:val="21"/>
                <w:lang w:val="en-US" w:eastAsia="zh-CN"/>
              </w:rPr>
              <w:t>2</w:t>
            </w:r>
            <w:r>
              <w:rPr>
                <w:rFonts w:hint="eastAsia" w:ascii="宋体" w:hAnsi="宋体" w:eastAsia="Arial"/>
                <w:kern w:val="0"/>
                <w:sz w:val="21"/>
                <w:szCs w:val="21"/>
              </w:rPr>
              <w:t>种显示接口</w:t>
            </w:r>
            <w:r>
              <w:rPr>
                <w:rFonts w:hint="eastAsia" w:ascii="宋体" w:hAnsi="宋体" w:eastAsia="Arial"/>
                <w:kern w:val="0"/>
                <w:sz w:val="21"/>
                <w:szCs w:val="21"/>
                <w:lang w:eastAsia="zh-CN"/>
              </w:rPr>
              <w:t>，标配4个显示输出接口，其中3个数字接口，最大支持3屏扩展显示</w:t>
            </w:r>
          </w:p>
          <w:p w14:paraId="0D398D3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3. 显示设备功能</w:t>
            </w:r>
          </w:p>
          <w:p w14:paraId="58C680B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显示器支架：提供显示器支架</w:t>
            </w:r>
          </w:p>
          <w:p w14:paraId="73B102F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显示屏参数调节：支持色温、亮度、对比度等显示参数调节</w:t>
            </w:r>
          </w:p>
          <w:p w14:paraId="09CCE08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4. 外设功能</w:t>
            </w:r>
          </w:p>
          <w:p w14:paraId="219A0D7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传声器降噪：支持降噪功能</w:t>
            </w:r>
          </w:p>
          <w:p w14:paraId="524EA08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5. 存储功能</w:t>
            </w:r>
          </w:p>
          <w:p w14:paraId="090892C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存储功能：支持信息存储功能，包括支持易失性存储功能和非易失性存储功能。为提升存储性能和降低存储功耗，非易失性存储宜支持固态存储设备，如SSD/UFS（SSD/NVME）。产品应支持外出接口可以与独立的存储设备进行数据交互</w:t>
            </w:r>
          </w:p>
          <w:p w14:paraId="6A03854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6. 网络设备功能</w:t>
            </w:r>
          </w:p>
          <w:p w14:paraId="4DE877C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网络功能：</w:t>
            </w:r>
            <w:r>
              <w:rPr>
                <w:rFonts w:hint="eastAsia" w:ascii="宋体" w:hAnsi="宋体" w:eastAsia="Arial"/>
                <w:kern w:val="0"/>
                <w:sz w:val="21"/>
                <w:szCs w:val="21"/>
              </w:rPr>
              <w:br w:type="textWrapping"/>
            </w:r>
            <w:r>
              <w:rPr>
                <w:rFonts w:hint="eastAsia" w:ascii="宋体" w:hAnsi="宋体" w:eastAsia="Arial"/>
                <w:kern w:val="0"/>
                <w:sz w:val="21"/>
                <w:szCs w:val="21"/>
              </w:rPr>
              <w:t>a) 支持网络连接、网络开启/关闭</w:t>
            </w:r>
            <w:r>
              <w:rPr>
                <w:rFonts w:hint="eastAsia" w:ascii="宋体" w:hAnsi="宋体" w:eastAsia="Arial"/>
                <w:kern w:val="0"/>
                <w:sz w:val="21"/>
                <w:szCs w:val="21"/>
                <w:lang w:eastAsia="zh-CN"/>
              </w:rPr>
              <w:t>，</w:t>
            </w:r>
            <w:r>
              <w:rPr>
                <w:rFonts w:hint="eastAsia" w:ascii="宋体" w:hAnsi="宋体" w:eastAsia="Arial"/>
                <w:kern w:val="0"/>
                <w:sz w:val="21"/>
                <w:szCs w:val="21"/>
              </w:rPr>
              <w:t>具备</w:t>
            </w:r>
            <w:r>
              <w:rPr>
                <w:rFonts w:hint="eastAsia" w:ascii="宋体" w:hAnsi="宋体" w:eastAsia="Arial"/>
                <w:kern w:val="0"/>
                <w:sz w:val="21"/>
                <w:szCs w:val="21"/>
                <w:lang w:val="en-US" w:eastAsia="zh-CN"/>
              </w:rPr>
              <w:t>网络</w:t>
            </w:r>
            <w:r>
              <w:rPr>
                <w:rFonts w:hint="eastAsia" w:ascii="宋体" w:hAnsi="宋体" w:eastAsia="Arial"/>
                <w:kern w:val="0"/>
                <w:sz w:val="21"/>
                <w:szCs w:val="21"/>
              </w:rPr>
              <w:t>物理开关</w:t>
            </w:r>
            <w:r>
              <w:rPr>
                <w:rFonts w:hint="eastAsia" w:ascii="宋体" w:hAnsi="宋体" w:eastAsia="Arial"/>
                <w:kern w:val="0"/>
                <w:sz w:val="21"/>
                <w:szCs w:val="21"/>
                <w:lang w:eastAsia="zh-CN"/>
              </w:rPr>
              <w:t>，</w:t>
            </w:r>
            <w:r>
              <w:rPr>
                <w:rFonts w:hint="eastAsia" w:ascii="宋体" w:hAnsi="宋体" w:eastAsia="Arial"/>
                <w:kern w:val="0"/>
                <w:sz w:val="21"/>
                <w:szCs w:val="21"/>
              </w:rPr>
              <w:t>同品牌BIOS版硬盘保护组件，支持固态机械双硬盘同传保护、高速同传、增量备份、断点续传、加密传输、资产管理</w:t>
            </w:r>
            <w:r>
              <w:rPr>
                <w:rFonts w:hint="eastAsia" w:ascii="宋体" w:hAnsi="宋体" w:eastAsia="Arial"/>
                <w:kern w:val="0"/>
                <w:sz w:val="21"/>
                <w:szCs w:val="21"/>
              </w:rPr>
              <w:br w:type="textWrapping"/>
            </w:r>
            <w:r>
              <w:rPr>
                <w:rFonts w:hint="eastAsia" w:ascii="宋体" w:hAnsi="宋体" w:eastAsia="Arial"/>
                <w:kern w:val="0"/>
                <w:sz w:val="21"/>
                <w:szCs w:val="21"/>
              </w:rPr>
              <w:t>b) 支持访问网络和数据交换功能</w:t>
            </w:r>
          </w:p>
          <w:p w14:paraId="2DB4AA7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无线网卡频段：支持双频段</w:t>
            </w:r>
          </w:p>
          <w:p w14:paraId="7F7490E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数据传输：支持数据传输能力，并提供数据流量和异常日志记录功能</w:t>
            </w:r>
          </w:p>
          <w:p w14:paraId="729225E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有线网卡接口类型：配备有线网络通信模块，宜支持RJ45接口</w:t>
            </w:r>
          </w:p>
          <w:p w14:paraId="0168BEF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网络设备拆装：网络设备支持物理拆装，包括：无线网卡、蓝牙模块等</w:t>
            </w:r>
          </w:p>
          <w:p w14:paraId="1A82836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7. 外部接口功能</w:t>
            </w:r>
          </w:p>
          <w:p w14:paraId="049A911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音频接口类型：不少于1个，宜支持3.5mm孔径的3段式或4段式接口。若支持4段式接口，宜支持线序的自动识别及切换功能</w:t>
            </w:r>
          </w:p>
          <w:p w14:paraId="7D647C7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视频接口类型：至少支持VGA、HDMI、DVI、DP、Type-C中1种显示接口</w:t>
            </w:r>
          </w:p>
          <w:p w14:paraId="540FE27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HDMI/DP/Type-C显示接口要求：若提供HDMI或DP或Type-C接口应同时支持视频和音频输出</w:t>
            </w:r>
          </w:p>
          <w:p w14:paraId="1A6F25A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声卡：集成</w:t>
            </w:r>
          </w:p>
          <w:p w14:paraId="7058AAC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8. 电源功能</w:t>
            </w:r>
          </w:p>
          <w:p w14:paraId="3A64D6F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电源线适配能力：符合GB 15934-2008，对于可拆线插头GB15934不做要求</w:t>
            </w:r>
          </w:p>
          <w:p w14:paraId="4BA15D9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9. 中文信息处理</w:t>
            </w:r>
          </w:p>
          <w:p w14:paraId="7C66DF1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中文信息处理要求：符合GB18030的相关规定</w:t>
            </w:r>
          </w:p>
          <w:p w14:paraId="54969B1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10. 操作系统及软件功能</w:t>
            </w:r>
          </w:p>
          <w:p w14:paraId="3B5BD51B">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b/>
                <w:bCs/>
                <w:kern w:val="0"/>
                <w:sz w:val="21"/>
                <w:szCs w:val="21"/>
              </w:rPr>
              <w:t>操作系统：国产系统</w:t>
            </w:r>
            <w:r>
              <w:rPr>
                <w:rFonts w:hint="eastAsia" w:ascii="宋体" w:hAnsi="宋体" w:eastAsia="Arial"/>
                <w:b/>
                <w:bCs/>
                <w:kern w:val="0"/>
                <w:sz w:val="21"/>
                <w:szCs w:val="21"/>
                <w:lang w:eastAsia="zh-CN"/>
              </w:rPr>
              <w:t>，</w:t>
            </w:r>
            <w:r>
              <w:rPr>
                <w:rFonts w:hint="eastAsia" w:ascii="宋体" w:hAnsi="宋体" w:eastAsia="Arial"/>
                <w:b/>
                <w:bCs/>
                <w:kern w:val="0"/>
                <w:sz w:val="21"/>
                <w:szCs w:val="21"/>
              </w:rPr>
              <w:t>满足学校教学、办公及管理需求</w:t>
            </w:r>
          </w:p>
          <w:p w14:paraId="43CF87A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操作系统备份及还原功能：支持操作系统备份及还原功能</w:t>
            </w:r>
          </w:p>
          <w:p w14:paraId="521EFCD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固件备份还原能力：支持备份及还原固件的功能</w:t>
            </w:r>
          </w:p>
          <w:p w14:paraId="440816B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操作系统及驱动升级：支持通过网络、闪存盘等方式对操作系统、驱动进行升级</w:t>
            </w:r>
          </w:p>
          <w:p w14:paraId="43E11DF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BIOS支持关闭通讯接口：支持BIOS关闭以太网及USB接口</w:t>
            </w:r>
          </w:p>
          <w:p w14:paraId="6961213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固件查看信息：支持查看固件版本、内存信息、主板信息、处理器信息和系统时间信息等功能</w:t>
            </w:r>
          </w:p>
          <w:p w14:paraId="43DD5FB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固件设置启动顺序：支持设置启动顺序功能，并按照设置的启动顺序启动</w:t>
            </w:r>
          </w:p>
          <w:p w14:paraId="06D9BFD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固件设置口令：支持设置口令、修改口令、验证口令功能</w:t>
            </w:r>
          </w:p>
          <w:p w14:paraId="58C0B9A8">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固件设置网络引导：支持网络引导启动和关闭功能</w:t>
            </w:r>
            <w:r>
              <w:rPr>
                <w:rFonts w:hint="eastAsia" w:ascii="宋体" w:hAnsi="宋体" w:eastAsia="Arial"/>
                <w:kern w:val="0"/>
                <w:sz w:val="21"/>
                <w:szCs w:val="21"/>
                <w:lang w:eastAsia="zh-CN"/>
              </w:rPr>
              <w:t>，</w:t>
            </w:r>
            <w:r>
              <w:rPr>
                <w:rFonts w:hint="eastAsia" w:ascii="宋体" w:hAnsi="宋体" w:eastAsia="Arial"/>
                <w:kern w:val="0"/>
                <w:sz w:val="21"/>
                <w:szCs w:val="21"/>
              </w:rPr>
              <w:t>同品牌BIOS版硬盘保护组件，支持固态机械双硬盘同传保护、高速同传、增量备份、断点续传、加密传输、资产管理；</w:t>
            </w:r>
          </w:p>
          <w:p w14:paraId="5C620D6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四、可靠性要求</w:t>
            </w:r>
          </w:p>
          <w:p w14:paraId="5B28FF6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固态存储寿命：TBW ≥80TB（条件：240GB硬盘容量）</w:t>
            </w:r>
          </w:p>
          <w:p w14:paraId="1D68EBE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显示屏屏幕失效点：符合GB/T 9813.2的要求</w:t>
            </w:r>
          </w:p>
          <w:p w14:paraId="6095E7A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键盘按键寿命：≥1000万次</w:t>
            </w:r>
          </w:p>
          <w:p w14:paraId="22C06AB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鼠标按键寿命：≥500万次</w:t>
            </w:r>
          </w:p>
          <w:p w14:paraId="31D4CA9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键盘鼠标线材寿命：键盘鼠标所用线材经±60°弯折不低于3000次，功能、外观完好</w:t>
            </w:r>
          </w:p>
          <w:p w14:paraId="599DFF9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风扇寿命：≥4万小时</w:t>
            </w:r>
          </w:p>
          <w:p w14:paraId="4ACAB07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电磁兼容性要求的抗扰度：符合GB/T 9254.2的规定</w:t>
            </w:r>
          </w:p>
          <w:p w14:paraId="3FC8FEF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环境条件要求的气候/振动/冲击/碰撞/运输包装件跌落适应性：符合GB/T 9813.1中规定</w:t>
            </w:r>
          </w:p>
          <w:p w14:paraId="6C65E9E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MTBF测试：≥</w:t>
            </w:r>
            <w:r>
              <w:rPr>
                <w:rFonts w:hint="eastAsia" w:ascii="宋体" w:hAnsi="宋体" w:eastAsia="Arial"/>
                <w:kern w:val="0"/>
                <w:sz w:val="21"/>
                <w:szCs w:val="21"/>
                <w:lang w:val="en-US" w:eastAsia="zh-CN"/>
              </w:rPr>
              <w:t>80</w:t>
            </w:r>
            <w:r>
              <w:rPr>
                <w:rFonts w:hint="eastAsia" w:ascii="宋体" w:hAnsi="宋体" w:eastAsia="Arial"/>
                <w:kern w:val="0"/>
                <w:sz w:val="21"/>
                <w:szCs w:val="21"/>
              </w:rPr>
              <w:t>万小时</w:t>
            </w:r>
          </w:p>
          <w:p w14:paraId="0FCB8C4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五、兼容要求</w:t>
            </w:r>
          </w:p>
          <w:p w14:paraId="7045B9C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常用软件兼容：应支持流式软件、版式软件、浏览器、邮件客户端、解压软件、多媒体、图形图像处理等常用软件</w:t>
            </w:r>
          </w:p>
          <w:p w14:paraId="19299FE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数据库兼容：兼容3个及以上厂商的数据库产品</w:t>
            </w:r>
          </w:p>
          <w:p w14:paraId="1CF513E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中间件兼容：兼容3个及以上厂商中间件产品</w:t>
            </w:r>
          </w:p>
          <w:p w14:paraId="4027E91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平台软件兼容：兼容3个及以上厂商云计算及大数据平台</w:t>
            </w:r>
          </w:p>
          <w:p w14:paraId="7400BE2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六、包装及运输要求</w:t>
            </w:r>
          </w:p>
          <w:p w14:paraId="393BF6F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标志、包装、运输和贮存：符合GB/T9813.1和商品包装政府采购需求标准的相关规定</w:t>
            </w:r>
          </w:p>
          <w:p w14:paraId="21778D9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七、服务要求</w:t>
            </w:r>
          </w:p>
          <w:p w14:paraId="18E0E25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配置检查工具：提供自检测试工具</w:t>
            </w:r>
          </w:p>
          <w:p w14:paraId="431CA11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服务响应：</w:t>
            </w:r>
            <w:r>
              <w:rPr>
                <w:rFonts w:hint="eastAsia" w:ascii="宋体" w:hAnsi="宋体" w:eastAsia="Arial"/>
                <w:kern w:val="0"/>
                <w:sz w:val="21"/>
                <w:szCs w:val="21"/>
              </w:rPr>
              <w:br w:type="textWrapping"/>
            </w:r>
            <w:r>
              <w:rPr>
                <w:rFonts w:hint="eastAsia" w:ascii="宋体" w:hAnsi="宋体" w:eastAsia="Arial"/>
                <w:b/>
                <w:bCs/>
                <w:kern w:val="0"/>
                <w:sz w:val="21"/>
                <w:szCs w:val="21"/>
              </w:rPr>
              <w:t>a) 提供产品3年维保及上门服务（满足同城4小时、异地12小时响应要求）</w:t>
            </w:r>
            <w:r>
              <w:rPr>
                <w:rFonts w:hint="eastAsia" w:ascii="宋体" w:hAnsi="宋体" w:eastAsia="Arial"/>
                <w:kern w:val="0"/>
                <w:sz w:val="21"/>
                <w:szCs w:val="21"/>
              </w:rPr>
              <w:br w:type="textWrapping"/>
            </w:r>
            <w:r>
              <w:rPr>
                <w:rFonts w:hint="eastAsia" w:ascii="宋体" w:hAnsi="宋体" w:eastAsia="Arial"/>
                <w:kern w:val="0"/>
                <w:sz w:val="21"/>
                <w:szCs w:val="21"/>
              </w:rPr>
              <w:t>b) 提供政企专线7*24在线服务</w:t>
            </w:r>
            <w:r>
              <w:rPr>
                <w:rFonts w:hint="eastAsia" w:ascii="宋体" w:hAnsi="宋体" w:eastAsia="Arial"/>
                <w:kern w:val="0"/>
                <w:sz w:val="21"/>
                <w:szCs w:val="21"/>
              </w:rPr>
              <w:br w:type="textWrapping"/>
            </w:r>
            <w:r>
              <w:rPr>
                <w:rFonts w:hint="eastAsia" w:ascii="宋体" w:hAnsi="宋体" w:eastAsia="Arial"/>
                <w:kern w:val="0"/>
                <w:sz w:val="21"/>
                <w:szCs w:val="21"/>
              </w:rPr>
              <w:t>c) 现场保障技术服务团队员，国内上门服务地级市覆盖率达100%</w:t>
            </w:r>
          </w:p>
          <w:p w14:paraId="6D400F3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服务周期：三年免费质保，提供上门服务，支持产品延保≥3年，提供每年延保服务报价，提供备件服务能力≥6年（自购买之日起）</w:t>
            </w:r>
          </w:p>
          <w:p w14:paraId="2DA4B4B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预装操作系统：预装符合桌面操作系统政府采购需求标准</w:t>
            </w:r>
            <w:r>
              <w:rPr>
                <w:rFonts w:hint="eastAsia" w:ascii="宋体" w:hAnsi="宋体" w:eastAsia="Arial"/>
                <w:kern w:val="0"/>
                <w:sz w:val="21"/>
                <w:szCs w:val="21"/>
                <w:lang w:val="en-US" w:eastAsia="zh-CN"/>
              </w:rPr>
              <w:t>的</w:t>
            </w:r>
            <w:r>
              <w:rPr>
                <w:rFonts w:hint="eastAsia" w:ascii="宋体" w:hAnsi="宋体" w:eastAsia="Arial"/>
                <w:kern w:val="0"/>
                <w:sz w:val="21"/>
                <w:szCs w:val="21"/>
              </w:rPr>
              <w:t>操作系统</w:t>
            </w:r>
          </w:p>
          <w:p w14:paraId="39664E4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培训服务：提供培训材料、产品手册、培训视频等培训相关内容</w:t>
            </w:r>
          </w:p>
          <w:p w14:paraId="09A61A1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典型问题解决手册：提供典型问题解决说明文档或视频</w:t>
            </w:r>
          </w:p>
          <w:p w14:paraId="12FF7E7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厂家升级软件与扩容服务：提供上门升级部件/软件与扩容的增值服务</w:t>
            </w:r>
          </w:p>
          <w:p w14:paraId="3477DF6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整机质量服务要求：免费服务周期（含换件和维修）应不小于3年</w:t>
            </w:r>
          </w:p>
          <w:p w14:paraId="3D58A7D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合格证书要求：提供产品合格证</w:t>
            </w:r>
          </w:p>
          <w:p w14:paraId="4772557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开箱组装使用指导要求：提供开箱组装/使用指导</w:t>
            </w:r>
          </w:p>
          <w:p w14:paraId="547B02F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驱动下载服务要求：提供驱动光盘或下载方式</w:t>
            </w:r>
          </w:p>
          <w:p w14:paraId="367199B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兼容适配软件下载服务要求：提供兼容适配软件下载渠道（光盘、网站）</w:t>
            </w:r>
          </w:p>
          <w:p w14:paraId="0E5A7C4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跨架构平台应用兼容：提供跨架构平台的应用兼容工具，支持一种或者一种以上不同架构平台的应用</w:t>
            </w:r>
          </w:p>
          <w:p w14:paraId="71998C6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八、供应保障要求</w:t>
            </w:r>
          </w:p>
          <w:p w14:paraId="5A33EB1D">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产品部件保障：保障产品主要部件，应提供6年的备件服务能力（自购买之日起），或提供可兼容原设备的升级换代产品</w:t>
            </w:r>
          </w:p>
          <w:p w14:paraId="1456264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抗干扰性：当产品部件出现供应风险时，应通知客户并提供风险应对方案确保产品的服务保障，必要时应停止相关受影响产品的销售</w:t>
            </w:r>
          </w:p>
          <w:p w14:paraId="2962887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供应能力证明：提供供应链稳定承诺书，确保产品的部件在产品服务周期内稳定供货</w:t>
            </w:r>
          </w:p>
          <w:p w14:paraId="527CCD1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九、安全要求</w:t>
            </w:r>
          </w:p>
          <w:p w14:paraId="6378121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关键部件安全要求：CPU和操作系统等关键部件应当符合安全可靠测评要求</w:t>
            </w:r>
          </w:p>
          <w:p w14:paraId="41FD468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USB端口管控</w:t>
            </w:r>
          </w:p>
          <w:p w14:paraId="3DC03706">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密码算法实现：CPU芯片应符合GM/T0008的相关规定，或芯片密码模块应符合GB/T 37092或GM/T 0028的相关规定</w:t>
            </w:r>
          </w:p>
          <w:p w14:paraId="20DBF2C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信息安全基础要求：</w:t>
            </w:r>
            <w:r>
              <w:rPr>
                <w:rFonts w:hint="eastAsia" w:ascii="宋体" w:hAnsi="宋体" w:eastAsia="Arial"/>
                <w:kern w:val="0"/>
                <w:sz w:val="21"/>
                <w:szCs w:val="21"/>
              </w:rPr>
              <w:br w:type="textWrapping"/>
            </w:r>
            <w:r>
              <w:rPr>
                <w:rFonts w:hint="eastAsia" w:ascii="宋体" w:hAnsi="宋体" w:eastAsia="Arial"/>
                <w:kern w:val="0"/>
                <w:sz w:val="21"/>
                <w:szCs w:val="21"/>
              </w:rPr>
              <w:t>a) 应符合GB/T39276的5.2的规定</w:t>
            </w:r>
            <w:r>
              <w:rPr>
                <w:rFonts w:hint="eastAsia" w:ascii="宋体" w:hAnsi="宋体" w:eastAsia="Arial"/>
                <w:kern w:val="0"/>
                <w:sz w:val="21"/>
                <w:szCs w:val="21"/>
              </w:rPr>
              <w:br w:type="textWrapping"/>
            </w:r>
            <w:r>
              <w:rPr>
                <w:rFonts w:hint="eastAsia" w:ascii="宋体" w:hAnsi="宋体" w:eastAsia="Arial"/>
                <w:kern w:val="0"/>
                <w:sz w:val="21"/>
                <w:szCs w:val="21"/>
              </w:rPr>
              <w:t>b) 生产厂商应建立漏洞跟踪表，保证产品版本涉及到的漏洞（如驱动程序等）可查看</w:t>
            </w:r>
            <w:r>
              <w:rPr>
                <w:rFonts w:hint="eastAsia" w:ascii="宋体" w:hAnsi="宋体" w:eastAsia="Arial"/>
                <w:kern w:val="0"/>
                <w:sz w:val="21"/>
                <w:szCs w:val="21"/>
              </w:rPr>
              <w:br w:type="textWrapping"/>
            </w:r>
            <w:r>
              <w:rPr>
                <w:rFonts w:hint="eastAsia" w:ascii="宋体" w:hAnsi="宋体" w:eastAsia="Arial"/>
                <w:kern w:val="0"/>
                <w:sz w:val="21"/>
                <w:szCs w:val="21"/>
              </w:rPr>
              <w:t>c) 不得包含已知的恶意代码或漏洞不存在未声明的指令、功能、接口</w:t>
            </w:r>
          </w:p>
          <w:p w14:paraId="7D79437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固件安全启动：支持固件安全启动功能，固件启动过程中只有通过启动校验才能正常启动</w:t>
            </w:r>
          </w:p>
          <w:p w14:paraId="44F0837F">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限用物质的限量要求：符合GB/T 26572中规定</w:t>
            </w:r>
            <w:r>
              <w:rPr>
                <w:rFonts w:hint="eastAsia" w:ascii="宋体" w:hAnsi="宋体" w:eastAsia="Arial"/>
                <w:kern w:val="0"/>
                <w:sz w:val="21"/>
                <w:szCs w:val="21"/>
                <w:lang w:eastAsia="zh-CN"/>
              </w:rPr>
              <w:t>，</w:t>
            </w:r>
          </w:p>
          <w:p w14:paraId="566A695D">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lang w:val="en-US" w:eastAsia="zh-CN"/>
              </w:rPr>
              <w:t>d</w:t>
            </w:r>
            <w:r>
              <w:rPr>
                <w:rFonts w:hint="eastAsia" w:ascii="宋体" w:hAnsi="宋体" w:eastAsia="Arial"/>
                <w:kern w:val="0"/>
                <w:sz w:val="21"/>
                <w:szCs w:val="21"/>
              </w:rPr>
              <w:t xml:space="preserve">) </w:t>
            </w:r>
            <w:r>
              <w:rPr>
                <w:rFonts w:hint="eastAsia" w:ascii="宋体" w:hAnsi="宋体" w:eastAsia="Arial"/>
                <w:kern w:val="0"/>
                <w:sz w:val="21"/>
                <w:szCs w:val="21"/>
                <w:lang w:eastAsia="zh-CN"/>
              </w:rPr>
              <w:t>其他要求：财政部《台式计算机政府采购需求标准》（2023 年版）中规定的其他*内容；</w:t>
            </w:r>
          </w:p>
          <w:p w14:paraId="7522CFC6">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p>
        </w:tc>
        <w:tc>
          <w:tcPr>
            <w:tcW w:w="0" w:type="auto"/>
            <w:noWrap w:val="0"/>
            <w:vAlign w:val="center"/>
          </w:tcPr>
          <w:p w14:paraId="32850E66">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2</w:t>
            </w:r>
          </w:p>
        </w:tc>
        <w:tc>
          <w:tcPr>
            <w:tcW w:w="459" w:type="dxa"/>
            <w:noWrap w:val="0"/>
            <w:vAlign w:val="center"/>
          </w:tcPr>
          <w:p w14:paraId="37A3618B">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台</w:t>
            </w:r>
          </w:p>
        </w:tc>
      </w:tr>
      <w:tr w14:paraId="06647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27BA31BC">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3</w:t>
            </w:r>
          </w:p>
        </w:tc>
        <w:tc>
          <w:tcPr>
            <w:tcW w:w="1789" w:type="dxa"/>
            <w:noWrap w:val="0"/>
            <w:vAlign w:val="center"/>
          </w:tcPr>
          <w:p w14:paraId="2059BBF5">
            <w:pPr>
              <w:keepNext/>
              <w:widowControl w:val="0"/>
              <w:snapToGrid w:val="0"/>
              <w:ind w:left="0" w:leftChars="0" w:right="0" w:rightChars="0" w:firstLine="0" w:firstLineChars="0"/>
              <w:jc w:val="left"/>
              <w:rPr>
                <w:rFonts w:hint="default" w:ascii="宋体" w:eastAsia="Arial"/>
                <w:sz w:val="21"/>
                <w:vertAlign w:val="baseline"/>
                <w:lang w:val="en-US" w:eastAsia="zh-CN"/>
              </w:rPr>
            </w:pPr>
            <w:r>
              <w:rPr>
                <w:rFonts w:hint="eastAsia" w:ascii="宋体" w:eastAsia="Arial"/>
                <w:sz w:val="21"/>
                <w:vertAlign w:val="baseline"/>
                <w:lang w:val="en-US" w:eastAsia="zh-CN"/>
              </w:rPr>
              <w:t>管理软件</w:t>
            </w:r>
          </w:p>
        </w:tc>
        <w:tc>
          <w:tcPr>
            <w:tcW w:w="5335" w:type="dxa"/>
            <w:noWrap w:val="0"/>
            <w:vAlign w:val="center"/>
          </w:tcPr>
          <w:p w14:paraId="44FB4AF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★1、为便于维护，软件需与计算机制造商同品牌的教学管理软件（提供软件著作权登记证书，著作权人与主机制造商一致）。</w:t>
            </w:r>
          </w:p>
          <w:p w14:paraId="1DBB494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2、软件要求全面支持Windows系列操作系统,包括Windows 8、Windows 10、Windows 11操作系统。</w:t>
            </w:r>
          </w:p>
          <w:p w14:paraId="2AE6930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3、支持屏幕广播，可将教师机屏幕和教师讲话实时广播给单一、部分或全体学生，可选择全屏或窗口方式。窗口模式下或教师机与学生机分辨率不同情况下，学生机可以以不同的窗口方式接收广播。屏幕广播时支持多种画面质量的调节，根据网络的不同选择最好的效果进行教学。</w:t>
            </w:r>
          </w:p>
          <w:p w14:paraId="68B0761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4、教师可共享白板、桌面或图片与选定的学生共同完成相同的学习任务或绘画作品，提供学生也可以单独完成。</w:t>
            </w:r>
          </w:p>
          <w:p w14:paraId="6906A97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5、采用流媒体技术，可实现教师机播放的视频同步无延时广播到学生机，学生无需下载该文件，教师也无需共享该文件。支持VCD、DVD、AVI等主流文件格式，支持720p、1080p高清视频。</w:t>
            </w:r>
          </w:p>
          <w:p w14:paraId="594E092F">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6、教师机可以监视单一、部分、全体学生机的屏幕，教师机每屏可监视多个学生屏幕（最多36个）。可以控制教师机监控的同屏幕各窗口间、屏幕与屏幕间的切换速度。可手动或自动循环监视。</w:t>
            </w:r>
          </w:p>
          <w:p w14:paraId="0D0E19E7">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7、教师可以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w:t>
            </w:r>
          </w:p>
          <w:p w14:paraId="68A42BF9">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8、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14:paraId="0BB18C21">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9、教师可使用快速答题卡用于学生作答，输入考试名称、考试时间、试题类型、试题数量和试题分数即可快速发起考试，试题类型包含选择题、判断题、填空题、论述题和手写题。</w:t>
            </w:r>
          </w:p>
          <w:p w14:paraId="2256EBC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10、教师可通过答题卡编辑器插入图片，直接生成答题卡用于学生作答，试题类型包含选择题、判断题、填空题、论述题和手写题。教师可在答题卡中为客观题设置正确答案，为主观题设置参考答案。</w:t>
            </w:r>
          </w:p>
          <w:p w14:paraId="37B4E1A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11、教师可使用自定义答题卡，将通过答题卡编辑器创建的答题卡导入试卷，分发给学生即可开始考试。开始考试后，教师可查看学生的答题进度。</w:t>
            </w:r>
          </w:p>
          <w:p w14:paraId="55E74E63">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12、考试结束后自动弹出评分界面，客观题可自动评分，教师只需对主观题进行手动评分，支持将考试评分结果发送给相应的学生，并支持将考试评分结果以网页形式导出到本地。</w:t>
            </w:r>
          </w:p>
          <w:p w14:paraId="20D1D1A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13、教师可发起任意题目请学生作答，学生抢答时只需按下按钮即可。</w:t>
            </w:r>
          </w:p>
          <w:p w14:paraId="64F8C3BE">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14、提供学生名单管理工具，为软件和考试模块提供实名验证。提供点名功能，支持保留学生多次登录记录、考勤统计、签到信息的导出与对比。</w:t>
            </w:r>
          </w:p>
          <w:p w14:paraId="0E59836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15、设定学生访问网站的黑名单或白名单，对学生可以访问的Internet站点进行管理，并支持多浏览器限制。</w:t>
            </w:r>
          </w:p>
          <w:p w14:paraId="46E91DEA">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16、对U盘访问权限的设定（全部开放、只读、完全阻止），有效控制学生使用U盘，防止资料的流失和病毒的引入。</w:t>
            </w:r>
          </w:p>
        </w:tc>
        <w:tc>
          <w:tcPr>
            <w:tcW w:w="0" w:type="auto"/>
            <w:noWrap w:val="0"/>
            <w:vAlign w:val="center"/>
          </w:tcPr>
          <w:p w14:paraId="4D72468A">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72</w:t>
            </w:r>
          </w:p>
        </w:tc>
        <w:tc>
          <w:tcPr>
            <w:tcW w:w="459" w:type="dxa"/>
            <w:noWrap w:val="0"/>
            <w:vAlign w:val="center"/>
          </w:tcPr>
          <w:p w14:paraId="36E817E4">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套</w:t>
            </w:r>
          </w:p>
        </w:tc>
      </w:tr>
      <w:tr w14:paraId="4C595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517F4C80">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4</w:t>
            </w:r>
          </w:p>
        </w:tc>
        <w:tc>
          <w:tcPr>
            <w:tcW w:w="1789" w:type="dxa"/>
            <w:noWrap w:val="0"/>
            <w:vAlign w:val="center"/>
          </w:tcPr>
          <w:p w14:paraId="1B71D2EA">
            <w:pPr>
              <w:keepNext/>
              <w:widowControl w:val="0"/>
              <w:snapToGrid w:val="0"/>
              <w:ind w:left="0" w:leftChars="0" w:right="0" w:rightChars="0" w:firstLine="0" w:firstLineChars="0"/>
              <w:jc w:val="left"/>
              <w:rPr>
                <w:rFonts w:hint="eastAsia" w:ascii="宋体" w:eastAsia="Arial"/>
                <w:sz w:val="21"/>
                <w:vertAlign w:val="baseline"/>
                <w:lang w:val="en-US" w:eastAsia="zh-CN"/>
              </w:rPr>
            </w:pPr>
            <w:r>
              <w:rPr>
                <w:rFonts w:hint="eastAsia" w:ascii="宋体" w:eastAsia="Arial"/>
                <w:sz w:val="21"/>
                <w:vertAlign w:val="baseline"/>
                <w:lang w:val="en-US" w:eastAsia="zh-CN"/>
              </w:rPr>
              <w:t>交换机</w:t>
            </w:r>
          </w:p>
        </w:tc>
        <w:tc>
          <w:tcPr>
            <w:tcW w:w="5335" w:type="dxa"/>
            <w:noWrap w:val="0"/>
            <w:vAlign w:val="center"/>
          </w:tcPr>
          <w:p w14:paraId="7756E532">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1、标准19英寸1U高机架设备，可上机架 ，实配固化千兆电接口数≥48个，千兆SFP光口≥2个，最大可用端口≥50个提供官网查询链接及截图作为证明材料。</w:t>
            </w:r>
          </w:p>
          <w:p w14:paraId="1F8A187F">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2、交换容量≥100Gbps，包转发率≥75Mpps，提供官网查询链接及截图证明材料。</w:t>
            </w:r>
          </w:p>
          <w:p w14:paraId="03D1FCFD">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3、mac表项容量≥4k。</w:t>
            </w:r>
          </w:p>
          <w:p w14:paraId="7C436900">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4、为了保证交换机使用寿命，要求所投产品的防雷等级≥6kV，提供官网查询链接及截图作为证明材料。</w:t>
            </w:r>
          </w:p>
        </w:tc>
        <w:tc>
          <w:tcPr>
            <w:tcW w:w="0" w:type="auto"/>
            <w:noWrap w:val="0"/>
            <w:vAlign w:val="center"/>
          </w:tcPr>
          <w:p w14:paraId="749CECC2">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2</w:t>
            </w:r>
          </w:p>
        </w:tc>
        <w:tc>
          <w:tcPr>
            <w:tcW w:w="459" w:type="dxa"/>
            <w:noWrap w:val="0"/>
            <w:vAlign w:val="center"/>
          </w:tcPr>
          <w:p w14:paraId="3B6127A2">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个</w:t>
            </w:r>
          </w:p>
        </w:tc>
      </w:tr>
      <w:tr w14:paraId="64D0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688E88DB">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5</w:t>
            </w:r>
          </w:p>
        </w:tc>
        <w:tc>
          <w:tcPr>
            <w:tcW w:w="1789" w:type="dxa"/>
            <w:noWrap w:val="0"/>
            <w:vAlign w:val="center"/>
          </w:tcPr>
          <w:p w14:paraId="333849C4">
            <w:pPr>
              <w:keepNext/>
              <w:widowControl w:val="0"/>
              <w:snapToGrid w:val="0"/>
              <w:ind w:left="0" w:leftChars="0" w:right="0" w:rightChars="0" w:firstLine="0" w:firstLineChars="0"/>
              <w:jc w:val="left"/>
              <w:rPr>
                <w:rFonts w:hint="default" w:ascii="宋体" w:eastAsia="Arial"/>
                <w:sz w:val="21"/>
                <w:vertAlign w:val="baseline"/>
                <w:lang w:val="en-US" w:eastAsia="zh-CN"/>
              </w:rPr>
            </w:pPr>
            <w:r>
              <w:rPr>
                <w:rFonts w:hint="eastAsia" w:ascii="宋体" w:eastAsia="Arial"/>
                <w:sz w:val="21"/>
                <w:vertAlign w:val="baseline"/>
                <w:lang w:val="en-US" w:eastAsia="zh-CN"/>
              </w:rPr>
              <w:t>机柜</w:t>
            </w:r>
          </w:p>
        </w:tc>
        <w:tc>
          <w:tcPr>
            <w:tcW w:w="5335" w:type="dxa"/>
            <w:noWrap w:val="0"/>
            <w:vAlign w:val="center"/>
          </w:tcPr>
          <w:p w14:paraId="7DE5A2FC">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1、柜体：1.0米高  600*600mm  （黑色）</w:t>
            </w:r>
          </w:p>
          <w:p w14:paraId="0721F62E">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2、采用SPCC优质冷轧钢板</w:t>
            </w:r>
          </w:p>
          <w:p w14:paraId="6654A40A">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 xml:space="preserve">3、立柱厚度：1.5mm </w:t>
            </w:r>
          </w:p>
          <w:p w14:paraId="10EBEC89">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4、箱体厚度：1.0mm</w:t>
            </w:r>
          </w:p>
          <w:p w14:paraId="457AD00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lang w:val="en-US" w:eastAsia="zh-CN"/>
              </w:rPr>
              <w:t>5、通风设计：前钢化玻璃门，后门带有通风孔或高密度网孔，以增强散热效果</w:t>
            </w:r>
          </w:p>
        </w:tc>
        <w:tc>
          <w:tcPr>
            <w:tcW w:w="0" w:type="auto"/>
            <w:noWrap w:val="0"/>
            <w:vAlign w:val="center"/>
          </w:tcPr>
          <w:p w14:paraId="376BAC40">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2</w:t>
            </w:r>
          </w:p>
        </w:tc>
        <w:tc>
          <w:tcPr>
            <w:tcW w:w="459" w:type="dxa"/>
            <w:noWrap w:val="0"/>
            <w:vAlign w:val="center"/>
          </w:tcPr>
          <w:p w14:paraId="10D80E65">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个</w:t>
            </w:r>
          </w:p>
        </w:tc>
      </w:tr>
      <w:tr w14:paraId="7229E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4C30B8E8">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6</w:t>
            </w:r>
          </w:p>
        </w:tc>
        <w:tc>
          <w:tcPr>
            <w:tcW w:w="1789" w:type="dxa"/>
            <w:noWrap w:val="0"/>
            <w:vAlign w:val="center"/>
          </w:tcPr>
          <w:p w14:paraId="1C6D9205">
            <w:pPr>
              <w:keepNext/>
              <w:widowControl w:val="0"/>
              <w:snapToGrid w:val="0"/>
              <w:ind w:left="0" w:leftChars="0" w:right="0" w:rightChars="0" w:firstLine="0" w:firstLineChars="0"/>
              <w:jc w:val="left"/>
              <w:rPr>
                <w:rFonts w:hint="default" w:ascii="宋体" w:eastAsia="Arial"/>
                <w:sz w:val="21"/>
                <w:vertAlign w:val="baseline"/>
                <w:lang w:val="en-US" w:eastAsia="zh-CN"/>
              </w:rPr>
            </w:pPr>
            <w:r>
              <w:rPr>
                <w:rFonts w:hint="eastAsia" w:ascii="宋体" w:eastAsia="Arial"/>
                <w:sz w:val="21"/>
                <w:vertAlign w:val="baseline"/>
                <w:lang w:val="en-US" w:eastAsia="zh-CN"/>
              </w:rPr>
              <w:t>学生桌椅</w:t>
            </w:r>
          </w:p>
        </w:tc>
        <w:tc>
          <w:tcPr>
            <w:tcW w:w="5335" w:type="dxa"/>
            <w:noWrap w:val="0"/>
            <w:vAlign w:val="center"/>
          </w:tcPr>
          <w:p w14:paraId="1701FC76">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学生桌参数：</w:t>
            </w:r>
          </w:p>
          <w:p w14:paraId="7CD91657">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1、外形尺寸：900㎜×500㎜×1200㎜(围墙高)，台面高75cm。 （实际尺寸根据不同房间情况和使用性质适当调整。）</w:t>
            </w:r>
          </w:p>
          <w:p w14:paraId="19BB3E19">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2、中间隔板：材质使用铝材框架，厚度在1.0mm以上；屏风隔板下方使用湖兰色高密度16㎜实木颗粒板，台面以上用5mm厚条纹玻璃镶嵌。</w:t>
            </w:r>
          </w:p>
          <w:p w14:paraId="6B24DD75">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3、工作台面用厚25㎜高密度实木颗粒板（颜色可自选），台面下中间部位按、安装高品质活动键盘托，每位配有主机架450㎜×240㎜。</w:t>
            </w:r>
          </w:p>
          <w:p w14:paraId="5CA19512">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4、均符合环保要求，含水率≤10%，甲醛释放量≤1.5mg/L达到国家检测E1标准，符合国家环境保护总局颁布“环境标志产品”技术HJBZ37—1999标准要求。胶水采用环保胶水，甲醛释放量低于1.5mg/L(24H干燥法)。</w:t>
            </w:r>
          </w:p>
          <w:p w14:paraId="56B71325">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学生凳参数：</w:t>
            </w:r>
          </w:p>
          <w:p w14:paraId="79FA99F1">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1、凳子架主管尺寸：25x25cm ；方管厚度：1.2mm；凳面尺寸：34x24x1.8cm；</w:t>
            </w:r>
          </w:p>
          <w:p w14:paraId="6F5EA9A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2、凳面颜色可自选；</w:t>
            </w:r>
          </w:p>
        </w:tc>
        <w:tc>
          <w:tcPr>
            <w:tcW w:w="0" w:type="auto"/>
            <w:noWrap w:val="0"/>
            <w:vAlign w:val="center"/>
          </w:tcPr>
          <w:p w14:paraId="0E36B400">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70</w:t>
            </w:r>
          </w:p>
        </w:tc>
        <w:tc>
          <w:tcPr>
            <w:tcW w:w="459" w:type="dxa"/>
            <w:noWrap w:val="0"/>
            <w:vAlign w:val="center"/>
          </w:tcPr>
          <w:p w14:paraId="1DE0D58B">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组</w:t>
            </w:r>
          </w:p>
        </w:tc>
      </w:tr>
      <w:tr w14:paraId="3211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4C8C79C1">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7</w:t>
            </w:r>
          </w:p>
        </w:tc>
        <w:tc>
          <w:tcPr>
            <w:tcW w:w="1789" w:type="dxa"/>
            <w:noWrap w:val="0"/>
            <w:vAlign w:val="center"/>
          </w:tcPr>
          <w:p w14:paraId="74CA3A66">
            <w:pPr>
              <w:keepNext/>
              <w:widowControl w:val="0"/>
              <w:snapToGrid w:val="0"/>
              <w:ind w:left="0" w:leftChars="0" w:right="0" w:rightChars="0" w:firstLine="0" w:firstLineChars="0"/>
              <w:jc w:val="left"/>
              <w:rPr>
                <w:rFonts w:hint="default" w:ascii="宋体" w:eastAsia="Arial"/>
                <w:sz w:val="21"/>
                <w:vertAlign w:val="baseline"/>
                <w:lang w:val="en-US" w:eastAsia="zh-CN"/>
              </w:rPr>
            </w:pPr>
            <w:r>
              <w:rPr>
                <w:rFonts w:hint="eastAsia" w:ascii="宋体" w:eastAsia="Arial"/>
                <w:sz w:val="21"/>
                <w:vertAlign w:val="baseline"/>
                <w:lang w:val="en-US" w:eastAsia="zh-CN"/>
              </w:rPr>
              <w:t>机房音响功放设备</w:t>
            </w:r>
          </w:p>
        </w:tc>
        <w:tc>
          <w:tcPr>
            <w:tcW w:w="5335" w:type="dxa"/>
            <w:noWrap w:val="0"/>
            <w:vAlign w:val="center"/>
          </w:tcPr>
          <w:p w14:paraId="44D61679">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1、</w:t>
            </w:r>
            <w:r>
              <w:rPr>
                <w:rFonts w:hint="default" w:ascii="宋体" w:hAnsi="宋体" w:eastAsia="Arial"/>
                <w:kern w:val="0"/>
                <w:sz w:val="21"/>
                <w:szCs w:val="21"/>
                <w:lang w:val="en-US" w:eastAsia="zh-CN"/>
              </w:rPr>
              <w:t>具备USB/SD读卡功能、收音功能、内置5.0蓝牙；</w:t>
            </w:r>
          </w:p>
          <w:p w14:paraId="0C6864A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2、</w:t>
            </w:r>
            <w:r>
              <w:rPr>
                <w:rFonts w:hint="default" w:ascii="宋体" w:hAnsi="宋体" w:eastAsia="Arial"/>
                <w:kern w:val="0"/>
                <w:sz w:val="21"/>
                <w:szCs w:val="21"/>
                <w:lang w:val="en-US" w:eastAsia="zh-CN"/>
              </w:rPr>
              <w:t>具备音乐高、低音调节，左右声道平衡功能；</w:t>
            </w:r>
          </w:p>
          <w:p w14:paraId="3BDDDC2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3、</w:t>
            </w:r>
            <w:r>
              <w:rPr>
                <w:rFonts w:hint="default" w:ascii="宋体" w:hAnsi="宋体" w:eastAsia="Arial"/>
                <w:kern w:val="0"/>
                <w:sz w:val="21"/>
                <w:szCs w:val="21"/>
                <w:lang w:val="en-US" w:eastAsia="zh-CN"/>
              </w:rPr>
              <w:t>2路话筒输入，话筒混响调节；</w:t>
            </w:r>
          </w:p>
          <w:p w14:paraId="702A8507">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4、</w:t>
            </w:r>
            <w:r>
              <w:rPr>
                <w:rFonts w:hint="default" w:ascii="宋体" w:hAnsi="宋体" w:eastAsia="Arial"/>
                <w:kern w:val="0"/>
                <w:sz w:val="21"/>
                <w:szCs w:val="21"/>
                <w:lang w:val="en-US" w:eastAsia="zh-CN"/>
              </w:rPr>
              <w:t>功率：50W×2声道；</w:t>
            </w:r>
          </w:p>
          <w:p w14:paraId="3A2E702A">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5、</w:t>
            </w:r>
            <w:r>
              <w:rPr>
                <w:rFonts w:hint="default" w:ascii="宋体" w:hAnsi="宋体" w:eastAsia="Arial"/>
                <w:kern w:val="0"/>
                <w:sz w:val="21"/>
                <w:szCs w:val="21"/>
                <w:lang w:val="en-US" w:eastAsia="zh-CN"/>
              </w:rPr>
              <w:t>频响：20Hz-20KHz（±0.5dB)；</w:t>
            </w:r>
          </w:p>
          <w:p w14:paraId="329F8D8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6、</w:t>
            </w:r>
            <w:r>
              <w:rPr>
                <w:rFonts w:hint="default" w:ascii="宋体" w:hAnsi="宋体" w:eastAsia="Arial"/>
                <w:kern w:val="0"/>
                <w:sz w:val="21"/>
                <w:szCs w:val="21"/>
                <w:lang w:val="en-US" w:eastAsia="zh-CN"/>
              </w:rPr>
              <w:t>信噪比：≥74dB；</w:t>
            </w:r>
          </w:p>
          <w:p w14:paraId="73C9D3E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7、</w:t>
            </w:r>
            <w:r>
              <w:rPr>
                <w:rFonts w:hint="default" w:ascii="宋体" w:hAnsi="宋体" w:eastAsia="Arial"/>
                <w:kern w:val="0"/>
                <w:sz w:val="21"/>
                <w:szCs w:val="21"/>
                <w:lang w:val="en-US" w:eastAsia="zh-CN"/>
              </w:rPr>
              <w:t>输入灵敏度：线路输入≤250mV、话筒输入：≤20mV；</w:t>
            </w:r>
          </w:p>
          <w:p w14:paraId="02BDAEDA">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8、</w:t>
            </w:r>
            <w:r>
              <w:rPr>
                <w:rFonts w:hint="default" w:ascii="宋体" w:hAnsi="宋体" w:eastAsia="Arial"/>
                <w:kern w:val="0"/>
                <w:sz w:val="21"/>
                <w:szCs w:val="21"/>
                <w:lang w:val="en-US" w:eastAsia="zh-CN"/>
              </w:rPr>
              <w:t>产品尺寸：260*200*80MM；</w:t>
            </w:r>
          </w:p>
          <w:p w14:paraId="37749AC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9、</w:t>
            </w:r>
            <w:r>
              <w:rPr>
                <w:rFonts w:hint="default" w:ascii="宋体" w:hAnsi="宋体" w:eastAsia="Arial"/>
                <w:kern w:val="0"/>
                <w:sz w:val="21"/>
                <w:szCs w:val="21"/>
                <w:lang w:val="en-US" w:eastAsia="zh-CN"/>
              </w:rPr>
              <w:t>6.5寸两分频二单元设计；</w:t>
            </w:r>
          </w:p>
          <w:p w14:paraId="3F02204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10、</w:t>
            </w:r>
            <w:r>
              <w:rPr>
                <w:rFonts w:hint="default" w:ascii="宋体" w:hAnsi="宋体" w:eastAsia="Arial"/>
                <w:kern w:val="0"/>
                <w:sz w:val="21"/>
                <w:szCs w:val="21"/>
                <w:lang w:val="en-US" w:eastAsia="zh-CN"/>
              </w:rPr>
              <w:t>3寸高音×1只，6.5寸低音×1只；</w:t>
            </w:r>
          </w:p>
          <w:p w14:paraId="0ADE00B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11、</w:t>
            </w:r>
            <w:r>
              <w:rPr>
                <w:rFonts w:hint="default" w:ascii="宋体" w:hAnsi="宋体" w:eastAsia="Arial"/>
                <w:kern w:val="0"/>
                <w:sz w:val="21"/>
                <w:szCs w:val="21"/>
                <w:lang w:val="en-US" w:eastAsia="zh-CN"/>
              </w:rPr>
              <w:t>峰值功率：50W；</w:t>
            </w:r>
          </w:p>
          <w:p w14:paraId="439E00AA">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12、</w:t>
            </w:r>
            <w:r>
              <w:rPr>
                <w:rFonts w:hint="default" w:ascii="宋体" w:hAnsi="宋体" w:eastAsia="Arial"/>
                <w:kern w:val="0"/>
                <w:sz w:val="21"/>
                <w:szCs w:val="21"/>
                <w:lang w:val="en-US" w:eastAsia="zh-CN"/>
              </w:rPr>
              <w:t>产品尺寸：365×205×210mm</w:t>
            </w:r>
          </w:p>
        </w:tc>
        <w:tc>
          <w:tcPr>
            <w:tcW w:w="0" w:type="auto"/>
            <w:noWrap w:val="0"/>
            <w:vAlign w:val="center"/>
          </w:tcPr>
          <w:p w14:paraId="24A82754">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2</w:t>
            </w:r>
          </w:p>
        </w:tc>
        <w:tc>
          <w:tcPr>
            <w:tcW w:w="459" w:type="dxa"/>
            <w:noWrap w:val="0"/>
            <w:vAlign w:val="center"/>
          </w:tcPr>
          <w:p w14:paraId="1605D801">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套</w:t>
            </w:r>
          </w:p>
        </w:tc>
      </w:tr>
      <w:tr w14:paraId="3344C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70B5F69A">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8</w:t>
            </w:r>
          </w:p>
        </w:tc>
        <w:tc>
          <w:tcPr>
            <w:tcW w:w="1789" w:type="dxa"/>
            <w:noWrap w:val="0"/>
            <w:vAlign w:val="center"/>
          </w:tcPr>
          <w:p w14:paraId="61DE5196">
            <w:pPr>
              <w:keepNext/>
              <w:widowControl w:val="0"/>
              <w:snapToGrid w:val="0"/>
              <w:ind w:left="0" w:leftChars="0" w:right="0" w:rightChars="0" w:firstLine="0" w:firstLineChars="0"/>
              <w:jc w:val="left"/>
              <w:rPr>
                <w:rFonts w:hint="default" w:ascii="宋体" w:eastAsia="Arial"/>
                <w:sz w:val="21"/>
                <w:vertAlign w:val="baseline"/>
                <w:lang w:val="en-US" w:eastAsia="zh-CN"/>
              </w:rPr>
            </w:pPr>
            <w:r>
              <w:rPr>
                <w:rFonts w:hint="eastAsia" w:ascii="宋体" w:eastAsia="Arial"/>
                <w:sz w:val="21"/>
                <w:vertAlign w:val="baseline"/>
                <w:lang w:val="en-US" w:eastAsia="zh-CN"/>
              </w:rPr>
              <w:t>多功能教师桌</w:t>
            </w:r>
          </w:p>
        </w:tc>
        <w:tc>
          <w:tcPr>
            <w:tcW w:w="5335" w:type="dxa"/>
            <w:noWrap w:val="0"/>
            <w:vAlign w:val="center"/>
          </w:tcPr>
          <w:p w14:paraId="101BADE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lang w:val="en-US" w:eastAsia="zh-CN"/>
              </w:rPr>
              <w:t>1、</w:t>
            </w:r>
            <w:r>
              <w:rPr>
                <w:rFonts w:hint="eastAsia" w:ascii="宋体" w:hAnsi="宋体" w:eastAsia="Arial"/>
                <w:kern w:val="0"/>
                <w:sz w:val="21"/>
                <w:szCs w:val="21"/>
              </w:rPr>
              <w:t xml:space="preserve">材质：优质冷轧钢板 、橡木扶手。           </w:t>
            </w:r>
          </w:p>
          <w:p w14:paraId="75DCA582">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lang w:val="en-US" w:eastAsia="zh-CN"/>
              </w:rPr>
              <w:t>2、</w:t>
            </w:r>
            <w:r>
              <w:rPr>
                <w:rFonts w:hint="eastAsia" w:ascii="宋体" w:hAnsi="宋体" w:eastAsia="Arial"/>
                <w:kern w:val="0"/>
                <w:sz w:val="21"/>
                <w:szCs w:val="21"/>
              </w:rPr>
              <w:t>板材厚度：1.2mm</w:t>
            </w:r>
          </w:p>
          <w:p w14:paraId="7EEF7255">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lang w:val="en-US" w:eastAsia="zh-CN"/>
              </w:rPr>
              <w:t>3、</w:t>
            </w:r>
            <w:r>
              <w:rPr>
                <w:rFonts w:hint="eastAsia" w:ascii="宋体" w:hAnsi="宋体" w:eastAsia="Arial"/>
                <w:kern w:val="0"/>
                <w:sz w:val="21"/>
                <w:szCs w:val="21"/>
              </w:rPr>
              <w:t xml:space="preserve">表面处理： 酸洗磷化喷塑处理 </w:t>
            </w:r>
          </w:p>
          <w:p w14:paraId="07B7EE2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安装空间：可放置液晶显示器及计算机一台，拥有多个多功能接口等设备。</w:t>
            </w:r>
          </w:p>
        </w:tc>
        <w:tc>
          <w:tcPr>
            <w:tcW w:w="0" w:type="auto"/>
            <w:noWrap w:val="0"/>
            <w:vAlign w:val="center"/>
          </w:tcPr>
          <w:p w14:paraId="320F539A">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2</w:t>
            </w:r>
          </w:p>
        </w:tc>
        <w:tc>
          <w:tcPr>
            <w:tcW w:w="459" w:type="dxa"/>
            <w:noWrap w:val="0"/>
            <w:vAlign w:val="center"/>
          </w:tcPr>
          <w:p w14:paraId="00CE9001">
            <w:pPr>
              <w:keepNext/>
              <w:widowControl w:val="0"/>
              <w:snapToGrid w:val="0"/>
              <w:ind w:left="0" w:leftChars="0" w:right="0" w:rightChars="0" w:firstLine="0" w:firstLineChars="0"/>
              <w:jc w:val="center"/>
              <w:rPr>
                <w:rFonts w:hint="eastAsia" w:ascii="宋体" w:eastAsia="Arial"/>
                <w:sz w:val="21"/>
                <w:vertAlign w:val="baseline"/>
                <w:lang w:val="en-US" w:eastAsia="zh-CN"/>
              </w:rPr>
            </w:pPr>
            <w:r>
              <w:rPr>
                <w:rFonts w:hint="eastAsia" w:ascii="宋体" w:eastAsia="Arial"/>
                <w:sz w:val="21"/>
                <w:vertAlign w:val="baseline"/>
                <w:lang w:val="en-US" w:eastAsia="zh-CN"/>
              </w:rPr>
              <w:t>套</w:t>
            </w:r>
          </w:p>
        </w:tc>
      </w:tr>
      <w:tr w14:paraId="59E3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restart"/>
            <w:noWrap w:val="0"/>
            <w:vAlign w:val="center"/>
          </w:tcPr>
          <w:p w14:paraId="69167C6D">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9</w:t>
            </w:r>
          </w:p>
        </w:tc>
        <w:tc>
          <w:tcPr>
            <w:tcW w:w="1789" w:type="dxa"/>
            <w:vMerge w:val="restart"/>
            <w:noWrap w:val="0"/>
            <w:vAlign w:val="center"/>
          </w:tcPr>
          <w:p w14:paraId="277CF3A3">
            <w:pPr>
              <w:keepNext/>
              <w:widowControl w:val="0"/>
              <w:snapToGrid w:val="0"/>
              <w:ind w:left="0" w:leftChars="0" w:right="0" w:rightChars="0" w:firstLine="0" w:firstLineChars="0"/>
              <w:jc w:val="left"/>
              <w:rPr>
                <w:rFonts w:hint="default" w:ascii="宋体" w:eastAsia="Arial"/>
                <w:sz w:val="21"/>
                <w:vertAlign w:val="baseline"/>
                <w:lang w:val="en-US" w:eastAsia="zh-CN"/>
              </w:rPr>
            </w:pPr>
            <w:r>
              <w:rPr>
                <w:rFonts w:hint="eastAsia" w:ascii="宋体" w:eastAsia="Arial"/>
                <w:sz w:val="21"/>
                <w:vertAlign w:val="baseline"/>
                <w:lang w:val="en-US" w:eastAsia="zh-CN"/>
              </w:rPr>
              <w:t>医学影像VR教学中心</w:t>
            </w:r>
          </w:p>
        </w:tc>
        <w:tc>
          <w:tcPr>
            <w:tcW w:w="5335" w:type="dxa"/>
            <w:noWrap w:val="0"/>
            <w:vAlign w:val="center"/>
          </w:tcPr>
          <w:p w14:paraId="79EC69C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一、技术要求</w:t>
            </w:r>
          </w:p>
          <w:p w14:paraId="145CACD6">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1.医学影像中心系统符合卫生部综合医院建设规范，1:1三维重建三甲医院医学影像中心虚拟场景。</w:t>
            </w:r>
          </w:p>
          <w:p w14:paraId="1B74A004">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能满足第一人称视角实现场景内完全自由漫游，360°环视场景，展现整体影像中心的基本功能作用；</w:t>
            </w:r>
          </w:p>
          <w:p w14:paraId="60FD28E0">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能体验大型仪器设备的基本操作和设备结构；</w:t>
            </w:r>
          </w:p>
          <w:p w14:paraId="2287AB5A">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须有主要仪器设备操作的检查流程。</w:t>
            </w:r>
          </w:p>
          <w:p w14:paraId="40111679">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2.医学影像中心系统应结合学生学习的特点，设有自由漫游式学习和引导式学习两种模式。</w:t>
            </w:r>
          </w:p>
          <w:p w14:paraId="22001CCC">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2.1自由漫游式即可随意漫游到场景中，进行学习操作，引导助手协助进行操作指引，每个场景均有知识点学习回顾，通过功能键进行上下步骤切换，满足互动性学习。</w:t>
            </w:r>
          </w:p>
          <w:p w14:paraId="7BABA1E0">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2.2引导式学习即为通过场景中的传送点，由引导助手指引在固定场景房间，进行有步骤性知识点学习回顾，通过功能键进行上下步骤切换，满足互动性学习。</w:t>
            </w:r>
          </w:p>
          <w:p w14:paraId="1886868A">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★3.医学影像中心系统应设有角色扮演模式，模拟医生角色，进行操作学习。提供模拟病人化验单，指引病人进行摆位等基本检查操作。</w:t>
            </w:r>
          </w:p>
          <w:p w14:paraId="51161F9E">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4. 医学影像中心系统应包含成像原理、设备结构与检查技术等相关内容，满足学生学习需要。</w:t>
            </w:r>
          </w:p>
          <w:p w14:paraId="61EE1DAB">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5.在移动受限的情况下，学生可自由选择站立或坐姿来进行场景自由漫游，体验全功能。</w:t>
            </w:r>
          </w:p>
          <w:p w14:paraId="35271863">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6.设有引导助手，可智能化，人性化，协助使用者操作并进行学习互动。</w:t>
            </w:r>
          </w:p>
          <w:p w14:paraId="4289F502">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7.系统采用单机VR</w:t>
            </w:r>
            <w:r>
              <w:rPr>
                <w:rFonts w:hint="default" w:ascii="宋体" w:hAnsi="宋体" w:eastAsia="Arial"/>
                <w:kern w:val="0"/>
                <w:sz w:val="21"/>
                <w:szCs w:val="21"/>
                <w:lang w:val="en-US" w:eastAsia="zh-CN"/>
              </w:rPr>
              <w:t>架构</w:t>
            </w:r>
            <w:r>
              <w:rPr>
                <w:rFonts w:hint="eastAsia" w:ascii="宋体" w:hAnsi="宋体" w:eastAsia="Arial"/>
                <w:kern w:val="0"/>
                <w:sz w:val="21"/>
                <w:szCs w:val="21"/>
                <w:lang w:val="en-US" w:eastAsia="zh-CN"/>
              </w:rPr>
              <w:t>，部署</w:t>
            </w:r>
            <w:r>
              <w:rPr>
                <w:rFonts w:hint="default" w:ascii="宋体" w:hAnsi="宋体" w:eastAsia="Arial"/>
                <w:kern w:val="0"/>
                <w:sz w:val="21"/>
                <w:szCs w:val="21"/>
                <w:lang w:val="en-US" w:eastAsia="zh-CN"/>
              </w:rPr>
              <w:t>在</w:t>
            </w:r>
            <w:r>
              <w:rPr>
                <w:rFonts w:hint="eastAsia" w:ascii="宋体" w:hAnsi="宋体" w:eastAsia="Arial"/>
                <w:kern w:val="0"/>
                <w:sz w:val="21"/>
                <w:szCs w:val="21"/>
                <w:lang w:val="en-US" w:eastAsia="zh-CN"/>
              </w:rPr>
              <w:t>计算机</w:t>
            </w:r>
            <w:r>
              <w:rPr>
                <w:rFonts w:hint="default" w:ascii="宋体" w:hAnsi="宋体" w:eastAsia="Arial"/>
                <w:kern w:val="0"/>
                <w:sz w:val="21"/>
                <w:szCs w:val="21"/>
                <w:lang w:val="en-US" w:eastAsia="zh-CN"/>
              </w:rPr>
              <w:t>上</w:t>
            </w:r>
            <w:r>
              <w:rPr>
                <w:rFonts w:hint="eastAsia" w:ascii="宋体" w:hAnsi="宋体" w:eastAsia="Arial"/>
                <w:kern w:val="0"/>
                <w:sz w:val="21"/>
                <w:szCs w:val="21"/>
                <w:lang w:val="en-US" w:eastAsia="zh-CN"/>
              </w:rPr>
              <w:t>。</w:t>
            </w:r>
          </w:p>
          <w:p w14:paraId="40CCAFF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8.学生端采用unity3D结合SteamVR开发。</w:t>
            </w:r>
          </w:p>
          <w:p w14:paraId="0021A298">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9.系统部署安装支持Windows系统。</w:t>
            </w:r>
          </w:p>
          <w:p w14:paraId="785C3420">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10.硬件要求：</w:t>
            </w:r>
          </w:p>
          <w:p w14:paraId="1C93F5D7">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客户端：</w:t>
            </w:r>
          </w:p>
          <w:p w14:paraId="5EB0D805">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CPU：Intel i5及以上处理器；</w:t>
            </w:r>
          </w:p>
          <w:p w14:paraId="6F3499C6">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内存：8G及以上；</w:t>
            </w:r>
          </w:p>
          <w:p w14:paraId="597B97D5">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硬盘：10G硬盘空间；</w:t>
            </w:r>
          </w:p>
          <w:p w14:paraId="37DF13B6">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显卡：NVIDIA GTX1660 Super 6G及以上显卡。</w:t>
            </w:r>
          </w:p>
          <w:p w14:paraId="0216A418">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11.支持触摸屏等现代教学设备。</w:t>
            </w:r>
          </w:p>
          <w:p w14:paraId="7366AF5A">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12.支持通过键鼠操作体验项目内容。</w:t>
            </w:r>
          </w:p>
          <w:p w14:paraId="4CF2E4B4">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13.可根据学校需求进行二次开发。</w:t>
            </w:r>
          </w:p>
          <w:p w14:paraId="5FDE600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★14.为保证系统具有自主知识产权，生产制造商需提供“影像中心仿真教学平台”相关的软著证书（提供制造商软著证书）。</w:t>
            </w:r>
          </w:p>
          <w:p w14:paraId="13D44B15">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二、学生客户端功能要求</w:t>
            </w:r>
          </w:p>
          <w:p w14:paraId="6BABAE59">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医学影像中心VR系统须包含如下科室，而且每个科室必须包含如下内容：</w:t>
            </w:r>
          </w:p>
          <w:p w14:paraId="3DF1F382">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★1.DSA设备</w:t>
            </w:r>
          </w:p>
          <w:p w14:paraId="5771212E">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1.1.DSA功能：验室漫游熟悉真实环境，掌握影像引导、参数调控及活检等介入检查核心技术，在零风险环境中反复演练支架置入、栓塞治疗等13大类介入手术</w:t>
            </w:r>
          </w:p>
          <w:p w14:paraId="487BA02E">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1.2技能训练：术前患者信息分析(基本信息、血细胞分析、尿常规、病毒抗体、肿瘤指标、生化全套)、手术整体方案规划、患者沟通、器材药物准备；术中患者体位摆放、患者消毒局部麻醉，以及手术核心操作环节；术后的穿刺部位按压、术后患者观察、撰写病情报告等。</w:t>
            </w:r>
          </w:p>
          <w:p w14:paraId="42BFC290">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★2.口腔CT检查室：口腔CT设备、医用垃圾桶、铅衣、铅帽、铅衣架、屏风、医用灭火器、消防报警铃（要求供应商提供软件截图并盖章）</w:t>
            </w:r>
          </w:p>
          <w:p w14:paraId="04C0FC0D">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2.1口腔CT操作台：排号电脑、口腔CT主控电脑、电话、垃圾桶、口腔CT操作规范</w:t>
            </w:r>
          </w:p>
          <w:p w14:paraId="699B2F82">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★3.CT设备</w:t>
            </w:r>
          </w:p>
          <w:p w14:paraId="5EAD8997">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default" w:ascii="宋体" w:hAnsi="宋体" w:eastAsia="Arial"/>
                <w:kern w:val="0"/>
                <w:sz w:val="21"/>
                <w:szCs w:val="21"/>
                <w:lang w:val="en-US" w:eastAsia="zh-CN"/>
              </w:rPr>
              <w:t>3</w:t>
            </w:r>
            <w:r>
              <w:rPr>
                <w:rFonts w:hint="eastAsia" w:ascii="宋体" w:hAnsi="宋体" w:eastAsia="Arial"/>
                <w:kern w:val="0"/>
                <w:sz w:val="21"/>
                <w:szCs w:val="21"/>
                <w:lang w:val="en-US" w:eastAsia="zh-CN"/>
              </w:rPr>
              <w:t>.</w:t>
            </w:r>
            <w:r>
              <w:rPr>
                <w:rFonts w:hint="default" w:ascii="宋体" w:hAnsi="宋体" w:eastAsia="Arial"/>
                <w:kern w:val="0"/>
                <w:sz w:val="21"/>
                <w:szCs w:val="21"/>
                <w:lang w:val="en-US" w:eastAsia="zh-CN"/>
              </w:rPr>
              <w:t>1</w:t>
            </w:r>
            <w:r>
              <w:rPr>
                <w:rFonts w:hint="eastAsia" w:ascii="宋体" w:hAnsi="宋体" w:eastAsia="Arial"/>
                <w:kern w:val="0"/>
                <w:sz w:val="21"/>
                <w:szCs w:val="21"/>
                <w:lang w:val="en-US" w:eastAsia="zh-CN"/>
              </w:rPr>
              <w:t>CT检查室：空气消毒器、抢救车、医用氧气袋、医用垃圾桶、高压注射器、屏风、消防报警铃、CT设备 、图像重建柜、电源柜、除颤仪 、放置物品柜 、免洗洗手液、急救设施。</w:t>
            </w:r>
          </w:p>
          <w:p w14:paraId="6BD9E08F">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default" w:ascii="宋体" w:hAnsi="宋体" w:eastAsia="Arial"/>
                <w:kern w:val="0"/>
                <w:sz w:val="21"/>
                <w:szCs w:val="21"/>
                <w:lang w:val="en-US" w:eastAsia="zh-CN"/>
              </w:rPr>
              <w:t>3.2</w:t>
            </w:r>
            <w:r>
              <w:rPr>
                <w:rFonts w:hint="eastAsia" w:ascii="宋体" w:hAnsi="宋体" w:eastAsia="Arial"/>
                <w:kern w:val="0"/>
                <w:sz w:val="21"/>
                <w:szCs w:val="21"/>
                <w:lang w:val="en-US" w:eastAsia="zh-CN"/>
              </w:rPr>
              <w:t>.CT操台：CT主控计算机、后处理计算机、排号电脑、电话、申请单、高压注射器显示屏、CT操作规范、消毒记录本、维修记录本。</w:t>
            </w:r>
          </w:p>
          <w:p w14:paraId="1378471A">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3.3互动演示：CT设备操作、功能认知、场地介绍、场地大小、屏蔽要求、设备认知、成像原理、实训操作。</w:t>
            </w:r>
          </w:p>
          <w:p w14:paraId="4850B5E8">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 xml:space="preserve">4.医用胶片打印室：灭火器、洗手池、免洗洗手液、抽纸、垃圾桶、胶片打印机、观片灯、桌子。 </w:t>
            </w:r>
          </w:p>
          <w:p w14:paraId="614FFC4B">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★5.MRI设备</w:t>
            </w:r>
          </w:p>
          <w:p w14:paraId="7524E7FD">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5.1 MRI检查室：医用垃圾桶、氧气检测、线圈柜、通道头部立体定位线圈、通道手腕、头颈线圈、CTL线圈、踝关节、头正交线圈、小柔线圈、中柔线圈、乳腺线圈、颞下合关节线圈、颈部斑块线圈（体线圈 ）、监视器、高压注射器、水膜柜、屏蔽窗、屏蔽网、灭火器、一次性医用中单、防噪耳机、消防报警铃。</w:t>
            </w:r>
          </w:p>
          <w:p w14:paraId="5457768C">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 xml:space="preserve">5.2 MRI设备间：主副配电柜、滤波板、电子机柜 、梯度放大器、不间断电源、空调、水冷机、氦压机 、磁体监控  </w:t>
            </w:r>
          </w:p>
          <w:p w14:paraId="508856DC">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5.3 MRI操作间：紧急失超开关、高压注射器显示屏、MR主控计算机、监控器显示屏、工作电脑、后处理计算机、电话、申请单、插座、照明开关、饮水机、灭火器、免洗洗手液、垃圾桶、 洗手池、 抽纸 、MRI操作规范、消毒记录本、维修记录本。</w:t>
            </w:r>
          </w:p>
          <w:p w14:paraId="53DAE107">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5.4互动演示：MRI设备操作、功能认知、场地介绍、场地大小、屏蔽要求、设备认知、成像原理、实训操作。</w:t>
            </w:r>
          </w:p>
          <w:p w14:paraId="0B485A54">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★6.钼靶</w:t>
            </w:r>
          </w:p>
          <w:p w14:paraId="0F9FB3E8">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6.1钼靶检查室：钼靶设备、医用垃圾桶、屏风 、消防报警铃、铅帽、铅衣、铅衣架、医用灭火器。</w:t>
            </w:r>
          </w:p>
          <w:p w14:paraId="71C6349C">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6.2.钼靶操作台：操作台、钼靶工作站、垃圾桶。</w:t>
            </w:r>
          </w:p>
          <w:p w14:paraId="4E29EADF">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6.3互动演示：功能认知、场地介绍、场地大小、屏蔽要求、设备认知。</w:t>
            </w:r>
          </w:p>
          <w:p w14:paraId="18560827">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★7.DR设备</w:t>
            </w:r>
          </w:p>
          <w:p w14:paraId="75F48EDF">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7.1 DR操作检查室：高压发生器、DR设备、医用垃圾桶、屏风、消防报警铃、铅帽 、铅衣、铅衣架、医用灭火器。</w:t>
            </w:r>
          </w:p>
          <w:p w14:paraId="1399C0A0">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7.2 DR操作台、申请单 、排号电脑、DR主控计算机、电话、消毒记录本、维修记录本。</w:t>
            </w:r>
          </w:p>
          <w:p w14:paraId="2FEF03D0">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7.3 互动演示：DR设备操作、功能认知、场地介绍、场地大小、屏蔽要求、设备认知、成像原理、实训操作。</w:t>
            </w:r>
          </w:p>
          <w:p w14:paraId="78349B79">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8.登记处：登记操作电脑</w:t>
            </w:r>
          </w:p>
          <w:p w14:paraId="723C29E7">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★9.大厅：自助办卡充值预约查询机器、自助胶片打印、自助报告打印、轮椅（普通轮椅  ，无磁轮椅）、楼层索引、检查预约设备机器、自助贩卖机、储物柜、消火栓、叫号显示屏、温馨提示 、特别提醒、文化墙（影像方面伟人介绍学习）</w:t>
            </w:r>
          </w:p>
          <w:p w14:paraId="697FC47B">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10.PACS房间 ：处理器</w:t>
            </w:r>
          </w:p>
          <w:p w14:paraId="1D10CA5C">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 xml:space="preserve">11.3D打印室: 3D打印机、操作电脑、空调、文件柜、灭火器、洗手池 、免洗洗手液 、抽纸、垃圾桶 </w:t>
            </w:r>
          </w:p>
          <w:p w14:paraId="69C828DF">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 xml:space="preserve">12.诊断阅片室：观片灯、桌子、诊断电脑、洗手池、免洗洗手液、抽纸、垃圾桶 </w:t>
            </w:r>
          </w:p>
          <w:p w14:paraId="3661380C">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13.远程会诊中心：远程会诊中心显示屏、洗手池 、免洗洗手液、抽纸、垃圾桶 、会议桌子椅子。</w:t>
            </w:r>
          </w:p>
          <w:p w14:paraId="4B8CE2DB">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lang w:val="en-US" w:eastAsia="zh-CN"/>
              </w:rPr>
              <w:t>★14.为保证系统功能满足要求，“影像中心导医台”、“诊断报告打印处”、“多功能自助终端”功能需通过测试（系统必须无版权使用争议，需提供第三方专业机构出具的测试功能通过的软件产品评测报告）</w:t>
            </w:r>
          </w:p>
        </w:tc>
        <w:tc>
          <w:tcPr>
            <w:tcW w:w="0" w:type="auto"/>
            <w:vMerge w:val="restart"/>
            <w:noWrap w:val="0"/>
            <w:vAlign w:val="center"/>
          </w:tcPr>
          <w:p w14:paraId="67F041EB">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1</w:t>
            </w:r>
          </w:p>
        </w:tc>
        <w:tc>
          <w:tcPr>
            <w:tcW w:w="459" w:type="dxa"/>
            <w:vMerge w:val="restart"/>
            <w:noWrap w:val="0"/>
            <w:vAlign w:val="center"/>
          </w:tcPr>
          <w:p w14:paraId="59FA4A73">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套</w:t>
            </w:r>
          </w:p>
        </w:tc>
      </w:tr>
      <w:tr w14:paraId="47E25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vMerge w:val="continue"/>
            <w:noWrap w:val="0"/>
            <w:vAlign w:val="center"/>
          </w:tcPr>
          <w:p w14:paraId="0E7BFC60">
            <w:pPr>
              <w:keepNext/>
              <w:widowControl w:val="0"/>
              <w:snapToGrid w:val="0"/>
              <w:ind w:left="0" w:leftChars="0" w:right="0" w:rightChars="0" w:firstLine="0" w:firstLineChars="0"/>
              <w:jc w:val="center"/>
              <w:rPr>
                <w:rFonts w:hint="eastAsia" w:ascii="宋体" w:eastAsia="Arial"/>
                <w:sz w:val="21"/>
                <w:vertAlign w:val="baseline"/>
                <w:lang w:val="en-US" w:eastAsia="zh-CN"/>
              </w:rPr>
            </w:pPr>
          </w:p>
        </w:tc>
        <w:tc>
          <w:tcPr>
            <w:tcW w:w="1789" w:type="dxa"/>
            <w:vMerge w:val="continue"/>
            <w:noWrap w:val="0"/>
            <w:vAlign w:val="center"/>
          </w:tcPr>
          <w:p w14:paraId="21D88C99">
            <w:pPr>
              <w:keepNext/>
              <w:widowControl w:val="0"/>
              <w:snapToGrid w:val="0"/>
              <w:ind w:left="0" w:leftChars="0" w:right="0" w:rightChars="0" w:firstLine="0" w:firstLineChars="0"/>
              <w:jc w:val="left"/>
              <w:rPr>
                <w:rFonts w:hint="eastAsia" w:ascii="宋体" w:eastAsia="Arial"/>
                <w:sz w:val="21"/>
                <w:vertAlign w:val="baseline"/>
                <w:lang w:val="en-US" w:eastAsia="zh-CN"/>
              </w:rPr>
            </w:pPr>
          </w:p>
        </w:tc>
        <w:tc>
          <w:tcPr>
            <w:tcW w:w="5335" w:type="dxa"/>
            <w:noWrap w:val="0"/>
            <w:vAlign w:val="center"/>
          </w:tcPr>
          <w:p w14:paraId="3F752578">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一、LED屏</w:t>
            </w:r>
          </w:p>
          <w:p w14:paraId="7308549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1、★点间距：≤1.56mm；像素构成：1R1G1B；像素密度：422500点/㎡；封装方式：黑灯雾面SMD三合一封装(提供具有CNAS认证、CMA认证、ilac-MRA标志的检测报告复印件)</w:t>
            </w:r>
          </w:p>
          <w:p w14:paraId="2BB69C3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2、模组尺寸（mm）：320×160。模组分辨率（W×H）：208点×104点；模组平整度：0.03mm；单元面积：0.0512m²</w:t>
            </w:r>
          </w:p>
          <w:p w14:paraId="5CC7A4C5">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3、★LED屏在D65色温下，全白场持 续工作条件下最大亮度≥ 800cd/㎡。(提供具有CNAS认证、CMA认证、ilac-MRA标志的检测报告复印件)</w:t>
            </w:r>
          </w:p>
          <w:p w14:paraId="629C9CF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4、水平视角≥178°，垂直视角≥178°；亮度均匀性≥99%；色度均匀性±0.001Cx,Cy之内；对比度：40000：1；刷新率：≥3840Hz；像素偏差：Jx≤1%，水平相对错位：Cs≤1%，垂直相对错位：Cc≤1%，拼装精度：≤0.1mm；(提供具有CNAS认证、CMA认证、ilac-MRA标志的检测报告复印件)</w:t>
            </w:r>
          </w:p>
          <w:p w14:paraId="20CF4F75">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5、灰度等级：14-16bit，操作人员可根据显示屏的情况从无灰度 到65536级灰度之间任意调整，可以使显示屏达到最佳显示效果；(提供具有CNAS认证、CMA认证、ilac-MRA标志的检测报告复印件)</w:t>
            </w:r>
          </w:p>
          <w:p w14:paraId="36A3944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6、节能功耗：LED显示屏峰值功耗≤330W/㎡，平均功耗≤100W/㎡；(提供具有CNAS认证、CMA认证、ilac-MRA标志的检测报告复印件)</w:t>
            </w:r>
          </w:p>
          <w:p w14:paraId="32CBA718">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7、温升：产品在正常播放视频状态下连续工作30分钟后的产品表面温 度升幅≤2℃，连续工作2小时 后其温度升幅≤5℃。(提供具有CNAS认证、CMA认证、ilac-MRA标志的检测报告复印件)</w:t>
            </w:r>
          </w:p>
          <w:p w14:paraId="3F78C4D8">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8、★节能待机：带有智能(黑屏)节电功能，智能调节正常工作与睡眠状态下的节能效果（动态节能，智能 息屏），智能节能55%以上。(提供具有CNAS认证、CMA认证、ilac-MRA标志的检测报告复印件)</w:t>
            </w:r>
          </w:p>
          <w:p w14:paraId="767AAE90">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9、噪音测试：采用自然散热，无风扇设计，工作时噪声满足NR-25（噪声标准 曲线）要求，屏前后左右四个方 向1.0米处噪音＜2dB（A）。(提供具有CNAS认证、CMA认证、ilac-MRA标志的检测报告复印件)</w:t>
            </w:r>
          </w:p>
          <w:p w14:paraId="323FA1C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10、★IP防护等级：具有防静电、防电磁干扰、防腐 蚀、防虫、防潮、抗振动、抗雷 击等功能；具有电源过压、过流、断电保护、分布上电措施、 防护等级达到IP60。(提供具有CNAS认证、CMA认证、ilac-MRA标志的检测报告复印件)</w:t>
            </w:r>
          </w:p>
          <w:p w14:paraId="7F1C2D3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11、★产品整机依据GB/T5169.16 2017,GB4943.1-2022进行测 试，阻燃等级符合V-0级。 产品选用的PCB板、塑料件、 封装树脂阻燃等级达到V-0级。(提供具有CNAS认证、CMA认证、ilac-MRA标志的检测报告复印件)</w:t>
            </w:r>
          </w:p>
          <w:p w14:paraId="74E71DFE">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12、★低蓝光测试：依据IECTR62778:2014和 GB/T20145(IEC 62471:2006/EN62471:2008)进行了光生物安全及蓝光危害评 估检测，显示单元在屏幕大亮度、高色温状态下的宽带光谱紫外辐射≤5×10-6J/㎡。 光辐射通过蓝光视网膜等级检测，蓝光视网膜危害，其蓝光 危害安全系数达0类，无风险等级，对皮肤表面及眼睛角膜和视网膜无直接伤害，LED屏的视网膜蓝光危害幅度不大于 7.0×10-1W/㎡/sr，符合RG0无危害。(提供具有CNAS认证、CMA认证、ilac-MRA标志的检测报告复印件)</w:t>
            </w:r>
          </w:p>
          <w:p w14:paraId="64B0955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13、像素失控率：LED显示屏出厂时整屏像素失控率≤0.1PPM，累计使用10000 小时后送样检测，整屏像素失 控率≤3PPM，无连续失控点。(提供具有CNAS认证、CMA认证、ilac-MRA标志的检测报告复印件)</w:t>
            </w:r>
          </w:p>
          <w:p w14:paraId="63213D2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14、换帧频率：30~120Hz前端设备实时传输(提供具有CNAS认证、CMA认证、ilac-MRA标志的检测报告复印件)</w:t>
            </w:r>
          </w:p>
          <w:p w14:paraId="07B9EA8E">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15、电源功率因数：内置电源具备PFC，功率因数≥0.97，电源效率≥90%；(提供具有CNAS认证、CMA认证、ilac-MRA标志的检测报告复印件)</w:t>
            </w:r>
          </w:p>
          <w:p w14:paraId="0A48E58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16、能效等级：搭建为标准一体机尺寸测试，符合GB21520-2023,可达到能效1级，显示器能源效率3.14cd/W。(提供具有CNAS认证、CMA认证、ilac-MRA标志的检测报告复印件)</w:t>
            </w:r>
          </w:p>
          <w:p w14:paraId="2C7D078E">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17、漏电流：对地漏电流≤0.2mA； (提供具有CNAS认证、CMA认证、ilac-MRA标志的检测报告复印件)</w:t>
            </w:r>
          </w:p>
          <w:p w14:paraId="2C35C735">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18、★盐雾测试：按实验标准要求冲洗放置1.5 小时后检测，样品表面无起泡、裂纹、毛刺和锈蚀现象，符合盐雾 10级要求，能正常工作。(提供具有CNAS认证、CMA认证、ilac-MRA标志的检测报告复印件)</w:t>
            </w:r>
          </w:p>
          <w:p w14:paraId="7E574DF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19、平均修复时间（MTTR）：单元部件可在1分钟内完成替换维修；平均使用寿命：≥120000小时(提供具有CNAS认证、CMA认证、ilac-MRA标志的检测报告复印件)</w:t>
            </w:r>
          </w:p>
          <w:p w14:paraId="36847B9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20、色温调节范围：100K-25000K；调节步长100K,色温值可自定义，当色温为6500K时，100%，75%，50%，25%四挡电平白场调节色温误差应＜200K；(提供具有CNAS认证、CMA认证、ilac-MRA标志的检测报告复印件)</w:t>
            </w:r>
          </w:p>
          <w:p w14:paraId="3A3B295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21、供电要求：供电应符合输入工作电压 AC90～264V，频率47-63（Hz）；(提供具有CNAS认证、CMA认证、ilac-MRA标志的检测报告复印件)</w:t>
            </w:r>
          </w:p>
          <w:p w14:paraId="28BF7380">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22、★绝缘电阻：绝缘器具输入插座端或者电源 引入端子与外壳裸露金属部件 之间的绝缘电阻在正常大气条 件下应≥100MΩ，湿热条件下 应≥2MΩ；辐射骚扰（EMC）30MHz～1000MHz符合GB/T9254.1-2021 Class B限值要求；电源端子骚扰电压(EMC)：150kHz-30MHz符合GB/T9254.1-2021 Class B限值要求；浪涌（防雷等级）测试：符合GB/T 17626.5-2019标准 要求，等级4：差模±4kV，共 模±4kV，测试过程中样品无异常；(提供具有CNAS认证、CMA认证、ilac-MRA标志的检测报告复印件)</w:t>
            </w:r>
          </w:p>
          <w:p w14:paraId="4199367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23、色彩范围：支持125%的sRGB、125%的BT709。支持≥120%的DCI-P3、支持≥128%的NTSC、支持115%的Adobe RGB、支持≥90%BT2020，支持高动态范围图像，支持HDR10，符合SMPTE ST2084/SMPTE ST2086标准；支持HLG等高动态色彩显示。(提供具有CNAS认证、CMA认证、ilac-MRA标志的检测报告复印件)</w:t>
            </w:r>
          </w:p>
          <w:p w14:paraId="4FAE5CE6">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24、防护性能：具有防静电、防电磁干扰、防腐蚀、防霉菌、防虫、防潮、抗震动、抗雷击等功能；具有电源过压、过流、断电保护、分布上电措施。</w:t>
            </w:r>
          </w:p>
          <w:p w14:paraId="253291D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25、★监测功能：自检技术可实现LED单点检测， 具有箱体通讯检测、温度检测、 电源检测、温度检测等自诊断功能；可单箱脱轨自检；可实现远 程监督控制，对可能发生的潜在故障记录日志，并向操作员发出警报信号；可一键自检，具备实时监控显示屏工作状态，具有故障自动告警功能；信息监控监测设备状态支持本地和远程查看， 监测及运维记录同步、运维记录上传等，运维人员可随时根据需求更新运维记录温度控制：显示屏具有电源温度控制功能，避免电源温度过高导致失效，可实时监测箱体温度，超出预警温度直接发出报警指示，并能锁定过温箱体位置。</w:t>
            </w:r>
          </w:p>
          <w:p w14:paraId="3E1FA7F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26、温度控制：显示屏具有电源温度控制功能， 避免电源温度过高导致失效，可实时监测箱体温度，超出预警温 度直接发出报警指示，并能锁定 过温箱体位置</w:t>
            </w:r>
          </w:p>
          <w:p w14:paraId="3B73707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27、★LED显示屏软件功能：支持鬼影消除、第一扫偏暗消除、低灰偏色补偿、低灰均匀性，横条纹消除、慢速开启、十字架消除、去除坏点、毛毛虫消除、余辉消除、亮度缓慢变量功能，无同亮、暗亮等现象</w:t>
            </w:r>
          </w:p>
          <w:p w14:paraId="00A23DB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28、电源保护功能：LED显示屏的开关电源，应具备欠压保护功能、输出过压保护、过流保护、短路保护、过温保护等功能</w:t>
            </w:r>
          </w:p>
          <w:p w14:paraId="732B530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29、单点校正：支持单点逐点亮度色度一致化校正、单点颜色校正，支持逐点校正，红绿、蓝、白四色校正系统，支持分层校正、灰度校正，实现色彩及亮度自动校正。校正后亮度损失≤8%，支持模组校正，具有校正数据存储及自动回读功能。支持屏体拼缝亮线、暗线校正；(提供具有CNAS认证、CMA认证、ilac-MRA标志的检测报告复印件)</w:t>
            </w:r>
          </w:p>
          <w:p w14:paraId="40C54338">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30、除湿：支持手动或自动方式进行防潮除湿功能，具备开机或定时自动切入除湿模式，使屏体从10%到100%亮度逐步显示。</w:t>
            </w:r>
          </w:p>
          <w:p w14:paraId="7752D3D8">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31、★提供有效期内的国家强制性CCC认证，产品生产企业、委托人、制造商需为同一公司。（提供相关证书复印件）</w:t>
            </w:r>
          </w:p>
          <w:p w14:paraId="4522C08E">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二、控制器</w:t>
            </w:r>
          </w:p>
          <w:p w14:paraId="6E61694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1.单卡自带8个HUB75E接口，单卡最大支持16组数据输出模式；</w:t>
            </w:r>
          </w:p>
          <w:p w14:paraId="178F659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2.单卡带载像素512*256；</w:t>
            </w:r>
          </w:p>
          <w:p w14:paraId="285BA550">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3、集成网络变压器—全面解决 hub layout 难度大，产品一致性差，误码率等问题，让信号传输更稳定；</w:t>
            </w:r>
          </w:p>
          <w:p w14:paraId="3674C40A">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4、支持 18bit+显示技术，可以解决低亮度高灰阶下出现的画面失真现象带来 4 倍灰度的提升， 使得显示画面层次更丰富、 变化更细腻.</w:t>
            </w:r>
          </w:p>
          <w:p w14:paraId="3CB84FDA">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5、色彩管理技术， 支持利用光枪定标， 实现色彩的定量显示</w:t>
            </w:r>
          </w:p>
          <w:p w14:paraId="4C62F6A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6、支持逐点亮色度校正， 可以对每个灯点的亮度和色度进行校正，有效消除色差，使整屏的亮度和色度达到高度均匀一致，提高显示屏的画质</w:t>
            </w:r>
          </w:p>
          <w:p w14:paraId="1EAEFF8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7、快速亮暗线调节在调试软件上进行快速亮暗线调节，快速解决因箱体及模组拼接造成的显示屏亮暗线，调节过程中即时生效，简单易用。</w:t>
            </w:r>
          </w:p>
          <w:p w14:paraId="7149FFB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8、配合支持 3D 功能的独立主控， 在软件或独立主控的操作面板上开启 3D 功能， 并设置 3D 参数， 使画面显示 3D 效果。</w:t>
            </w:r>
          </w:p>
          <w:p w14:paraId="56569CF8">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9、支持画面 90 度倍数旋转</w:t>
            </w:r>
          </w:p>
          <w:p w14:paraId="75A1208E">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10、配合指定控制器可以实现任意角度旋转</w:t>
            </w:r>
          </w:p>
          <w:p w14:paraId="7020C7D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★11、为保证产品的兼容性要求与LED显示屏为同一品牌，提供3C证明资料</w:t>
            </w:r>
          </w:p>
          <w:p w14:paraId="58754044">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控制电源</w:t>
            </w:r>
          </w:p>
          <w:p w14:paraId="1E6E9E8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驱动电源：输入电压范围：200-240VAC 额定输出电压：5VDC</w:t>
            </w:r>
          </w:p>
          <w:p w14:paraId="29561AB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纹波和噪声：≤200mVp-p</w:t>
            </w:r>
          </w:p>
          <w:p w14:paraId="3A244D1E">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过载保护：额定负载的110-150%范围内电源保护，去载恢复正常输出</w:t>
            </w:r>
          </w:p>
          <w:p w14:paraId="4919086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短路保护：输出端短路时电源保护，输出关断，去掉短路恢复正常输出</w:t>
            </w:r>
          </w:p>
          <w:p w14:paraId="63C68436">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安全标准：符合GB4943-2001，UL1012</w:t>
            </w:r>
          </w:p>
          <w:p w14:paraId="2BBB011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抗电强度：I/P-O/P、I/P-FC:1.5KVAC    O/P-FG:0.5KVAC</w:t>
            </w:r>
          </w:p>
          <w:p w14:paraId="339E2F6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绝缘电阻：I/P-O/P、I/P-FC、 O/P-FG：100MΩ/500VDC</w:t>
            </w:r>
          </w:p>
          <w:p w14:paraId="5BD4F7A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(电磁干扰）传导和辐射：符合EN55022，Class B</w:t>
            </w:r>
          </w:p>
          <w:p w14:paraId="0539E8A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平均无故障工作时间（MTBF)：100，000小时</w:t>
            </w:r>
          </w:p>
          <w:p w14:paraId="5FACFB51">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四、3D视频处理器</w:t>
            </w:r>
          </w:p>
          <w:p w14:paraId="0F979DF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1、采用标准 19 英寸金属结构机箱，机箱为后挂耳结构，上盖无螺钉安装:外壳防护等级符合GBIT 4280-2017中IP20的要求;采用纯硬件 FPGA 架构设计、运行稳定、可靠、高效。</w:t>
            </w:r>
          </w:p>
          <w:p w14:paraId="7169DD3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★2、输入接口至少包含2路 HDMI2.0,1路 DP1.2+HDMI 2.0二选一,4路 HDMI13,1路USB3.0,支持选配1路 3G-SDI(IN+LOOP)，最大支持3路4096*2160@60HZ信号同时输入</w:t>
            </w:r>
          </w:p>
          <w:p w14:paraId="187909B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★3、视频输出支持可达24路千兆网口输出，4路10G-OPT光口，最大带载可达1560万像素，最宽支持16384,最高8192。</w:t>
            </w:r>
          </w:p>
          <w:p w14:paraId="5D74E62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4、音频输入支持视频口伴随音频输入及独立输入两种模式，音频输出支持网口扩展输出及3.5mm独立音频口输出；</w:t>
            </w:r>
          </w:p>
          <w:p w14:paraId="3F1069F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5、支持输入源备份功能，主源丢失下，无需人为操作可自动切换至备源显示，切换过程无黑屏；</w:t>
            </w:r>
          </w:p>
          <w:p w14:paraId="5DEB20A9">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★6、可支持144HZ高帧率输入输出，输出支持插帧、抽帧、倍频（2倍频、3倍频、4倍频）功能，可将30HZ信号，倍频至120HZ输出；</w:t>
            </w:r>
          </w:p>
          <w:p w14:paraId="638C27B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7、图层能力：支持不少于12个2K图层或6个4K*1K图层或3个4K*2K图层，全部图层大小和位置可单独调节。4K接口输入2K信号，按2K图层计算图层资源；</w:t>
            </w:r>
          </w:p>
          <w:p w14:paraId="649A8D5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8、支持通过上位机软件实现对显示屏的连接，控制，包括：输入源切换，窗口位置及大小调节，分辨率自定义等；软件端支持可视化呈现设备各接口实时状态，包括视频输入状态及分辨率、网口带载利用率、监控界面支持接收卡温度、电压、误码率、通讯状态等的检测；</w:t>
            </w:r>
          </w:p>
          <w:p w14:paraId="7A7CBAF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9、支持U盘即插即播功能，最大支持4K级（3840*2160@60fps）图片和视频的流畅播放，播放列表计切换效果支持自定义编排，最多支持20余种图片切换特效，如：水波涟漪、镜头拉近、直接推出、立体翻转、百叶窗、左右擦除、上下擦除、立方体旋转、溶解转场、网格转场、扇扫转场、画卷转场、淡入淡出、旋转扭曲、心形转场、拉帘推出、透视三角、圆形消失、矩形弹跳、星形旋转等；</w:t>
            </w:r>
          </w:p>
          <w:p w14:paraId="6A3FF0DF">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10、设备标配全彩液晶，搭配实体按键，方便对设备整体状态的监控及设备功能的控制:设备功能按键及丝印信息采用全中文提示；</w:t>
            </w:r>
          </w:p>
          <w:p w14:paraId="60EAF8B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11、支持不少于2种用户模式设置，满足不同角色对显示屏的分权管理，使用更加放心；</w:t>
            </w:r>
          </w:p>
          <w:p w14:paraId="3F145D38">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12、支持微信小程序快捷控制，包括但不限于亮度调节、输出画质调节、待机模式、画面冻结、场景切换、U盘播放等功能；</w:t>
            </w:r>
          </w:p>
          <w:p w14:paraId="68BAEF78">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13、支持平板对控制器进行快捷控制，包括但不限于亮度调节、图层布局调节、画面冻结、黑屏、场景切换、音量大小</w:t>
            </w:r>
          </w:p>
          <w:p w14:paraId="5A3C5A0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★14、为保证产品的兼容性要求与LED显示屏为同一品牌，提供3C证明资料</w:t>
            </w:r>
          </w:p>
          <w:p w14:paraId="1C29A073">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五、3D立体信号发射器</w:t>
            </w:r>
          </w:p>
          <w:p w14:paraId="48E43A65">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1.频率：2.45G+-500MHz</w:t>
            </w:r>
          </w:p>
          <w:p w14:paraId="13A7E47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2.发射功率：0.1W MAX</w:t>
            </w:r>
          </w:p>
          <w:p w14:paraId="56AE07E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3.发射范围：正向：不大于110M，反向：不大于90M</w:t>
            </w:r>
          </w:p>
          <w:p w14:paraId="54A040B9">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4.认可：符合CE标准</w:t>
            </w:r>
          </w:p>
          <w:p w14:paraId="6274186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 xml:space="preserve">5.产品尺寸（L×W×H）：220*190*35mm </w:t>
            </w:r>
          </w:p>
          <w:p w14:paraId="6A22C33A">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 xml:space="preserve">6.产品重量：2.3KG </w:t>
            </w:r>
          </w:p>
          <w:p w14:paraId="016FF539">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7.质保：1年</w:t>
            </w:r>
          </w:p>
          <w:p w14:paraId="1470447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8.兼容眼镜：射频3D眼镜</w:t>
            </w:r>
          </w:p>
          <w:p w14:paraId="6C24DCC6">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9.电源:5VUSB</w:t>
            </w:r>
          </w:p>
          <w:p w14:paraId="52866968">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10.标准配件：3D射频远眺高同步发射器；5VUSB电源适配器；VESA-3pin迷你DIN线；BNC电缆</w:t>
            </w:r>
          </w:p>
          <w:p w14:paraId="45D3AA30">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六、显示屏结构</w:t>
            </w:r>
          </w:p>
          <w:p w14:paraId="53A968A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lang w:val="en-US" w:eastAsia="zh-CN"/>
              </w:rPr>
              <w:t>1.定制铝材、镀锌方管、镀锌角钢、不锈钢包边等</w:t>
            </w:r>
          </w:p>
        </w:tc>
        <w:tc>
          <w:tcPr>
            <w:tcW w:w="0" w:type="auto"/>
            <w:vMerge w:val="continue"/>
            <w:noWrap w:val="0"/>
            <w:vAlign w:val="center"/>
          </w:tcPr>
          <w:p w14:paraId="1199EB75">
            <w:pPr>
              <w:keepNext/>
              <w:widowControl w:val="0"/>
              <w:snapToGrid w:val="0"/>
              <w:ind w:left="0" w:leftChars="0" w:right="0" w:rightChars="0" w:firstLine="0" w:firstLineChars="0"/>
              <w:jc w:val="center"/>
              <w:rPr>
                <w:rFonts w:hint="eastAsia" w:ascii="宋体" w:eastAsia="Arial"/>
                <w:sz w:val="21"/>
                <w:vertAlign w:val="baseline"/>
                <w:lang w:val="en-US" w:eastAsia="zh-CN"/>
              </w:rPr>
            </w:pPr>
          </w:p>
        </w:tc>
        <w:tc>
          <w:tcPr>
            <w:tcW w:w="459" w:type="dxa"/>
            <w:vMerge w:val="continue"/>
            <w:noWrap w:val="0"/>
            <w:vAlign w:val="center"/>
          </w:tcPr>
          <w:p w14:paraId="6D1F0473">
            <w:pPr>
              <w:keepNext/>
              <w:widowControl w:val="0"/>
              <w:snapToGrid w:val="0"/>
              <w:ind w:left="0" w:leftChars="0" w:right="0" w:rightChars="0" w:firstLine="0" w:firstLineChars="0"/>
              <w:jc w:val="center"/>
              <w:rPr>
                <w:rFonts w:hint="eastAsia" w:ascii="宋体" w:eastAsia="Arial"/>
                <w:sz w:val="21"/>
                <w:vertAlign w:val="baseline"/>
                <w:lang w:val="en-US" w:eastAsia="zh-CN"/>
              </w:rPr>
            </w:pPr>
          </w:p>
        </w:tc>
      </w:tr>
      <w:tr w14:paraId="4648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5D289669">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10</w:t>
            </w:r>
          </w:p>
        </w:tc>
        <w:tc>
          <w:tcPr>
            <w:tcW w:w="1789" w:type="dxa"/>
            <w:noWrap w:val="0"/>
            <w:vAlign w:val="center"/>
          </w:tcPr>
          <w:p w14:paraId="69333BED">
            <w:pPr>
              <w:keepNext/>
              <w:widowControl w:val="0"/>
              <w:snapToGrid w:val="0"/>
              <w:ind w:left="0" w:leftChars="0" w:right="0" w:rightChars="0" w:firstLine="0" w:firstLineChars="0"/>
              <w:jc w:val="left"/>
              <w:rPr>
                <w:rFonts w:hint="default" w:ascii="宋体" w:eastAsia="Arial"/>
                <w:sz w:val="21"/>
                <w:vertAlign w:val="baseline"/>
                <w:lang w:val="en-US" w:eastAsia="zh-CN"/>
              </w:rPr>
            </w:pPr>
            <w:r>
              <w:rPr>
                <w:rFonts w:hint="eastAsia" w:ascii="宋体" w:eastAsia="Arial"/>
                <w:sz w:val="21"/>
                <w:vertAlign w:val="baseline"/>
                <w:lang w:val="en-US" w:eastAsia="zh-CN"/>
              </w:rPr>
              <w:t>可拼接式会议桌</w:t>
            </w:r>
          </w:p>
        </w:tc>
        <w:tc>
          <w:tcPr>
            <w:tcW w:w="5335" w:type="dxa"/>
            <w:noWrap w:val="0"/>
            <w:vAlign w:val="center"/>
          </w:tcPr>
          <w:p w14:paraId="4D2B437D">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 xml:space="preserve">桌子材质：三聚氰胺板  </w:t>
            </w:r>
          </w:p>
          <w:p w14:paraId="1B3A7101">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 xml:space="preserve">形状：六边形 </w:t>
            </w:r>
          </w:p>
          <w:p w14:paraId="2D88172D">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尺寸：750mm×395mm×750mm冷轧钢管</w:t>
            </w:r>
          </w:p>
          <w:p w14:paraId="3A8FE7C2">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产品功能：可折叠、移动，随意拼接组合 </w:t>
            </w:r>
          </w:p>
          <w:p w14:paraId="3D2FE6E1">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 xml:space="preserve">产品用途：各种需要互动讨论协作的环境。梯形桌采用E1级环保三聚氰胺面板，厚达25mm，结实稳固，采用全自动封边机热熔胶封边。前置挡板，有效应对各种场合，能保护个人的隐私安全，实用又美观。梯形桌二层置物架设计，方便摆放书本物品等，简单实用。梯形桌二层置物架设计，方便摆放书本物品等，简单实用。    </w:t>
            </w:r>
          </w:p>
          <w:p w14:paraId="64A601FA">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座椅：科学受力、加厚支架更稳固、板材切口采用环保PVC封边条、铁架经过去油、酸洗、磷化、高温静电喷粉; 课椅可升降、满足不同身高需求、享受舒适坐姿。</w:t>
            </w:r>
          </w:p>
        </w:tc>
        <w:tc>
          <w:tcPr>
            <w:tcW w:w="0" w:type="auto"/>
            <w:noWrap w:val="0"/>
            <w:vAlign w:val="center"/>
          </w:tcPr>
          <w:p w14:paraId="1E812E11">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套</w:t>
            </w:r>
          </w:p>
        </w:tc>
        <w:tc>
          <w:tcPr>
            <w:tcW w:w="459" w:type="dxa"/>
            <w:noWrap w:val="0"/>
            <w:vAlign w:val="center"/>
          </w:tcPr>
          <w:p w14:paraId="3F4C220F">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5</w:t>
            </w:r>
          </w:p>
        </w:tc>
      </w:tr>
      <w:tr w14:paraId="1198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200D4DFC">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11</w:t>
            </w:r>
          </w:p>
        </w:tc>
        <w:tc>
          <w:tcPr>
            <w:tcW w:w="1789" w:type="dxa"/>
            <w:noWrap w:val="0"/>
            <w:vAlign w:val="center"/>
          </w:tcPr>
          <w:p w14:paraId="4584E951">
            <w:pPr>
              <w:keepNext/>
              <w:widowControl w:val="0"/>
              <w:snapToGrid w:val="0"/>
              <w:ind w:left="0" w:leftChars="0" w:right="0" w:rightChars="0" w:firstLine="0" w:firstLineChars="0"/>
              <w:jc w:val="left"/>
              <w:rPr>
                <w:rFonts w:hint="eastAsia" w:ascii="宋体" w:eastAsia="Arial"/>
                <w:sz w:val="21"/>
                <w:vertAlign w:val="baseline"/>
                <w:lang w:val="en-US" w:eastAsia="zh-CN"/>
              </w:rPr>
            </w:pPr>
            <w:r>
              <w:rPr>
                <w:rFonts w:hint="eastAsia" w:ascii="宋体" w:eastAsia="Arial"/>
                <w:sz w:val="21"/>
                <w:vertAlign w:val="baseline"/>
                <w:lang w:val="en-US" w:eastAsia="zh-CN"/>
              </w:rPr>
              <w:t>门厅装修</w:t>
            </w:r>
          </w:p>
        </w:tc>
        <w:tc>
          <w:tcPr>
            <w:tcW w:w="5335" w:type="dxa"/>
            <w:noWrap w:val="0"/>
            <w:vAlign w:val="center"/>
          </w:tcPr>
          <w:p w14:paraId="1E0CC708">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lang w:val="en-US" w:eastAsia="zh-CN"/>
              </w:rPr>
              <w:t>1、</w:t>
            </w:r>
            <w:r>
              <w:rPr>
                <w:rFonts w:hint="eastAsia" w:ascii="宋体" w:hAnsi="宋体" w:eastAsia="Arial"/>
                <w:kern w:val="0"/>
                <w:sz w:val="21"/>
                <w:szCs w:val="21"/>
              </w:rPr>
              <w:t>基础部分</w:t>
            </w:r>
          </w:p>
          <w:p w14:paraId="173155A0">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1.1</w:t>
            </w:r>
            <w:r>
              <w:rPr>
                <w:rFonts w:hint="eastAsia" w:ascii="宋体" w:hAnsi="宋体" w:eastAsia="Arial"/>
                <w:kern w:val="0"/>
                <w:sz w:val="21"/>
                <w:szCs w:val="21"/>
              </w:rPr>
              <w:tab/>
            </w:r>
            <w:r>
              <w:rPr>
                <w:rFonts w:hint="eastAsia" w:ascii="宋体" w:hAnsi="宋体" w:eastAsia="Arial"/>
                <w:kern w:val="0"/>
                <w:sz w:val="21"/>
                <w:szCs w:val="21"/>
              </w:rPr>
              <w:t>墙面铲除+拆除</w:t>
            </w:r>
            <w:r>
              <w:rPr>
                <w:rFonts w:hint="eastAsia" w:ascii="宋体" w:hAnsi="宋体" w:eastAsia="Arial"/>
                <w:kern w:val="0"/>
                <w:sz w:val="21"/>
                <w:szCs w:val="21"/>
              </w:rPr>
              <w:tab/>
            </w:r>
          </w:p>
          <w:p w14:paraId="7311B654">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1.2</w:t>
            </w:r>
            <w:r>
              <w:rPr>
                <w:rFonts w:hint="eastAsia" w:ascii="宋体" w:hAnsi="宋体" w:eastAsia="Arial"/>
                <w:kern w:val="0"/>
                <w:sz w:val="21"/>
                <w:szCs w:val="21"/>
              </w:rPr>
              <w:tab/>
            </w:r>
            <w:r>
              <w:rPr>
                <w:rFonts w:hint="eastAsia" w:ascii="宋体" w:hAnsi="宋体" w:eastAsia="Arial"/>
                <w:kern w:val="0"/>
                <w:sz w:val="21"/>
                <w:szCs w:val="21"/>
              </w:rPr>
              <w:t>墙面顶面粉刷</w:t>
            </w:r>
            <w:r>
              <w:rPr>
                <w:rFonts w:hint="eastAsia" w:ascii="宋体" w:hAnsi="宋体" w:eastAsia="Arial"/>
                <w:kern w:val="0"/>
                <w:sz w:val="21"/>
                <w:szCs w:val="21"/>
              </w:rPr>
              <w:tab/>
            </w:r>
            <w:r>
              <w:rPr>
                <w:rFonts w:hint="eastAsia" w:ascii="宋体" w:hAnsi="宋体" w:eastAsia="Arial"/>
                <w:kern w:val="0"/>
                <w:sz w:val="21"/>
                <w:szCs w:val="21"/>
              </w:rPr>
              <w:t>墙面二度批嵌：腻子、抄板、砂皮等；墙面涂料：乳胶漆饰面；</w:t>
            </w:r>
          </w:p>
          <w:p w14:paraId="4F9F2AD4">
            <w:pPr>
              <w:keepNext/>
              <w:widowControl w:val="0"/>
              <w:snapToGrid w:val="0"/>
              <w:ind w:left="0" w:leftChars="0" w:right="0" w:rightChars="0" w:firstLine="0" w:firstLineChars="0"/>
              <w:jc w:val="left"/>
              <w:rPr>
                <w:rFonts w:hint="eastAsia" w:ascii="宋体" w:hAnsi="宋体" w:eastAsia="Arial"/>
                <w:kern w:val="0"/>
                <w:sz w:val="21"/>
                <w:szCs w:val="21"/>
                <w:lang w:eastAsia="zh-CN"/>
              </w:rPr>
            </w:pPr>
            <w:r>
              <w:rPr>
                <w:rFonts w:hint="eastAsia" w:ascii="宋体" w:hAnsi="宋体" w:eastAsia="Arial"/>
                <w:kern w:val="0"/>
                <w:sz w:val="21"/>
                <w:szCs w:val="21"/>
              </w:rPr>
              <w:t>1.3</w:t>
            </w:r>
            <w:r>
              <w:rPr>
                <w:rFonts w:hint="eastAsia" w:ascii="宋体" w:hAnsi="宋体" w:eastAsia="Arial"/>
                <w:kern w:val="0"/>
                <w:sz w:val="21"/>
                <w:szCs w:val="21"/>
              </w:rPr>
              <w:tab/>
            </w:r>
            <w:r>
              <w:rPr>
                <w:rFonts w:hint="eastAsia" w:ascii="宋体" w:hAnsi="宋体" w:eastAsia="Arial"/>
                <w:kern w:val="0"/>
                <w:sz w:val="21"/>
                <w:szCs w:val="21"/>
              </w:rPr>
              <w:t>PVC地胶</w:t>
            </w:r>
            <w:r>
              <w:rPr>
                <w:rFonts w:hint="eastAsia" w:ascii="宋体" w:hAnsi="宋体" w:eastAsia="Arial"/>
                <w:kern w:val="0"/>
                <w:sz w:val="21"/>
                <w:szCs w:val="21"/>
              </w:rPr>
              <w:tab/>
            </w:r>
            <w:r>
              <w:rPr>
                <w:rFonts w:hint="eastAsia" w:ascii="宋体" w:hAnsi="宋体" w:eastAsia="Arial"/>
                <w:kern w:val="0"/>
                <w:sz w:val="21"/>
                <w:szCs w:val="21"/>
              </w:rPr>
              <w:t>塑胶3.0-5.0公分厚度</w:t>
            </w:r>
            <w:r>
              <w:rPr>
                <w:rFonts w:hint="eastAsia" w:ascii="宋体" w:hAnsi="宋体" w:eastAsia="Arial"/>
                <w:kern w:val="0"/>
                <w:sz w:val="21"/>
                <w:szCs w:val="21"/>
                <w:lang w:eastAsia="zh-CN"/>
              </w:rPr>
              <w:t>（</w:t>
            </w:r>
            <w:r>
              <w:rPr>
                <w:rFonts w:hint="eastAsia" w:ascii="宋体" w:hAnsi="宋体" w:eastAsia="Arial"/>
                <w:kern w:val="0"/>
                <w:sz w:val="21"/>
                <w:szCs w:val="21"/>
                <w:lang w:val="en-US" w:eastAsia="zh-CN"/>
              </w:rPr>
              <w:t>需提供检测、阻燃报告</w:t>
            </w:r>
            <w:r>
              <w:rPr>
                <w:rFonts w:hint="eastAsia" w:ascii="宋体" w:hAnsi="宋体" w:eastAsia="Arial"/>
                <w:kern w:val="0"/>
                <w:sz w:val="21"/>
                <w:szCs w:val="21"/>
                <w:lang w:eastAsia="zh-CN"/>
              </w:rPr>
              <w:t>）</w:t>
            </w:r>
          </w:p>
          <w:p w14:paraId="584E0E8C">
            <w:pPr>
              <w:keepNext/>
              <w:widowControl w:val="0"/>
              <w:snapToGrid w:val="0"/>
              <w:ind w:left="0" w:leftChars="0" w:right="0" w:rightChars="0" w:firstLine="0" w:firstLineChars="0"/>
              <w:jc w:val="left"/>
              <w:rPr>
                <w:rFonts w:hint="eastAsia" w:ascii="宋体" w:hAnsi="宋体" w:eastAsia="Arial"/>
                <w:kern w:val="0"/>
                <w:sz w:val="21"/>
                <w:szCs w:val="21"/>
              </w:rPr>
            </w:pPr>
            <w:r>
              <w:rPr>
                <w:rFonts w:hint="eastAsia" w:ascii="宋体" w:hAnsi="宋体" w:eastAsia="Arial"/>
                <w:kern w:val="0"/>
                <w:sz w:val="21"/>
                <w:szCs w:val="21"/>
              </w:rPr>
              <w:t>1.4</w:t>
            </w:r>
            <w:r>
              <w:rPr>
                <w:rFonts w:hint="eastAsia" w:ascii="宋体" w:hAnsi="宋体" w:eastAsia="Arial"/>
                <w:kern w:val="0"/>
                <w:sz w:val="21"/>
                <w:szCs w:val="21"/>
              </w:rPr>
              <w:tab/>
            </w:r>
            <w:r>
              <w:rPr>
                <w:rFonts w:hint="eastAsia" w:ascii="宋体" w:hAnsi="宋体" w:eastAsia="Arial"/>
                <w:kern w:val="0"/>
                <w:sz w:val="21"/>
                <w:szCs w:val="21"/>
                <w:lang w:val="en-US" w:eastAsia="zh-CN"/>
              </w:rPr>
              <w:t>9厘米蜂窝板32mm，背面28mm 蜂窝芯 6*6</w:t>
            </w:r>
            <w:r>
              <w:rPr>
                <w:rFonts w:hint="eastAsia" w:ascii="宋体" w:hAnsi="宋体" w:eastAsia="Arial"/>
                <w:kern w:val="0"/>
                <w:sz w:val="21"/>
                <w:szCs w:val="21"/>
              </w:rPr>
              <w:tab/>
            </w:r>
            <w:r>
              <w:rPr>
                <w:rFonts w:hint="eastAsia" w:ascii="宋体" w:hAnsi="宋体" w:eastAsia="Arial"/>
                <w:kern w:val="0"/>
                <w:sz w:val="21"/>
                <w:szCs w:val="21"/>
              </w:rPr>
              <w:t>顶面吊平：顶面轻钢主骨50×400×1.0cm，轻钢副骨50×400×0.5cm，50型轻钢龙骨，局部造型处用龙骨</w:t>
            </w:r>
            <w:r>
              <w:rPr>
                <w:rFonts w:hint="eastAsia" w:ascii="宋体" w:hAnsi="宋体" w:eastAsia="Arial"/>
                <w:kern w:val="0"/>
                <w:sz w:val="21"/>
                <w:szCs w:val="21"/>
                <w:lang w:val="en-US" w:eastAsia="zh-CN"/>
              </w:rPr>
              <w:t>灯、灯带、筒灯颜色造型连接处用隔栅灯</w:t>
            </w:r>
            <w:r>
              <w:rPr>
                <w:rFonts w:hint="eastAsia" w:ascii="宋体" w:hAnsi="宋体" w:eastAsia="Arial"/>
                <w:kern w:val="0"/>
                <w:sz w:val="21"/>
                <w:szCs w:val="21"/>
              </w:rPr>
              <w:t>；四周筒灯开槽。</w:t>
            </w:r>
          </w:p>
          <w:p w14:paraId="6028DD0F">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2、墙面装饰</w:t>
            </w:r>
          </w:p>
          <w:p w14:paraId="3168AAF6">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2.1窗帘盒子（20000*2000）+（1500*1200）定制</w:t>
            </w:r>
          </w:p>
          <w:p w14:paraId="6DCC284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造型处用25*30木龙骨刷防火涂料，1.8木工造型版</w:t>
            </w:r>
          </w:p>
          <w:p w14:paraId="030EC24C">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2.2墙面及顶面水管封装</w:t>
            </w:r>
            <w:r>
              <w:rPr>
                <w:rFonts w:hint="eastAsia" w:ascii="宋体" w:hAnsi="宋体" w:eastAsia="Arial"/>
                <w:kern w:val="0"/>
                <w:sz w:val="21"/>
                <w:szCs w:val="21"/>
                <w:lang w:val="en-US" w:eastAsia="zh-CN"/>
              </w:rPr>
              <w:tab/>
            </w:r>
            <w:r>
              <w:rPr>
                <w:rFonts w:hint="eastAsia" w:ascii="宋体" w:hAnsi="宋体" w:eastAsia="Arial"/>
                <w:kern w:val="0"/>
                <w:sz w:val="21"/>
                <w:szCs w:val="21"/>
                <w:lang w:val="en-US" w:eastAsia="zh-CN"/>
              </w:rPr>
              <w:t>石膏板包柱粉涂装饰</w:t>
            </w:r>
          </w:p>
          <w:p w14:paraId="1AA46EE9">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2.3墙面艺术粉涂为云天蓝艺术环保漆。</w:t>
            </w:r>
          </w:p>
          <w:p w14:paraId="3EA00008">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3、灯具</w:t>
            </w:r>
          </w:p>
          <w:p w14:paraId="5A1FE75A">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3.1造型灯</w:t>
            </w:r>
            <w:r>
              <w:rPr>
                <w:rFonts w:hint="eastAsia" w:ascii="宋体" w:hAnsi="宋体" w:eastAsia="Arial"/>
                <w:kern w:val="0"/>
                <w:sz w:val="21"/>
                <w:szCs w:val="21"/>
                <w:lang w:val="en-US" w:eastAsia="zh-CN"/>
              </w:rPr>
              <w:tab/>
            </w:r>
            <w:r>
              <w:rPr>
                <w:rFonts w:hint="eastAsia" w:ascii="宋体" w:hAnsi="宋体" w:eastAsia="Arial"/>
                <w:kern w:val="0"/>
                <w:sz w:val="21"/>
                <w:szCs w:val="21"/>
                <w:lang w:val="en-US" w:eastAsia="zh-CN"/>
              </w:rPr>
              <w:t>直径≥100mm，功率95，电压220V，灯珠5730，白色光源。</w:t>
            </w:r>
          </w:p>
          <w:p w14:paraId="266A5AA9">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3.2筒灯</w:t>
            </w:r>
            <w:r>
              <w:rPr>
                <w:rFonts w:hint="eastAsia" w:ascii="宋体" w:hAnsi="宋体" w:eastAsia="Arial"/>
                <w:kern w:val="0"/>
                <w:sz w:val="21"/>
                <w:szCs w:val="21"/>
                <w:lang w:val="en-US" w:eastAsia="zh-CN"/>
              </w:rPr>
              <w:tab/>
            </w:r>
            <w:r>
              <w:rPr>
                <w:rFonts w:hint="eastAsia" w:ascii="宋体" w:hAnsi="宋体" w:eastAsia="Arial"/>
                <w:kern w:val="0"/>
                <w:sz w:val="21"/>
                <w:szCs w:val="21"/>
                <w:lang w:val="en-US" w:eastAsia="zh-CN"/>
              </w:rPr>
              <w:t>白光，21开口。筒灯，Φ120mm螺旋灯；</w:t>
            </w:r>
          </w:p>
          <w:p w14:paraId="234F4935">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4、其他</w:t>
            </w:r>
          </w:p>
          <w:p w14:paraId="69FD18C6">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4.1电力工程</w:t>
            </w:r>
            <w:r>
              <w:rPr>
                <w:rFonts w:hint="eastAsia" w:ascii="宋体" w:hAnsi="宋体" w:eastAsia="Arial"/>
                <w:kern w:val="0"/>
                <w:sz w:val="21"/>
                <w:szCs w:val="21"/>
                <w:lang w:val="en-US" w:eastAsia="zh-CN"/>
              </w:rPr>
              <w:tab/>
            </w:r>
            <w:r>
              <w:rPr>
                <w:rFonts w:hint="eastAsia" w:ascii="宋体" w:hAnsi="宋体" w:eastAsia="Arial"/>
                <w:kern w:val="0"/>
                <w:sz w:val="21"/>
                <w:szCs w:val="21"/>
                <w:lang w:val="en-US" w:eastAsia="zh-CN"/>
              </w:rPr>
              <w:t>开槽走线，封槽等；电源线：使用铜芯线。出地面引出线配防护软管。总干线使用不低于4mm²铜芯线，支干电源线采用不低于2.5mm²铜芯线。</w:t>
            </w:r>
          </w:p>
          <w:p w14:paraId="7C61878A">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4.2垃圾清理费+保洁 搬运装卸"</w:t>
            </w:r>
          </w:p>
        </w:tc>
        <w:tc>
          <w:tcPr>
            <w:tcW w:w="0" w:type="auto"/>
            <w:noWrap w:val="0"/>
            <w:vAlign w:val="center"/>
          </w:tcPr>
          <w:p w14:paraId="51EBB8EE">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1</w:t>
            </w:r>
          </w:p>
        </w:tc>
        <w:tc>
          <w:tcPr>
            <w:tcW w:w="459" w:type="dxa"/>
            <w:noWrap w:val="0"/>
            <w:vAlign w:val="center"/>
          </w:tcPr>
          <w:p w14:paraId="7DC3DEC0">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套</w:t>
            </w:r>
          </w:p>
        </w:tc>
      </w:tr>
      <w:tr w14:paraId="23C6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6F82F13F">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12</w:t>
            </w:r>
          </w:p>
        </w:tc>
        <w:tc>
          <w:tcPr>
            <w:tcW w:w="1789" w:type="dxa"/>
            <w:noWrap w:val="0"/>
            <w:vAlign w:val="center"/>
          </w:tcPr>
          <w:p w14:paraId="3602A55D">
            <w:pPr>
              <w:keepNext/>
              <w:widowControl w:val="0"/>
              <w:snapToGrid w:val="0"/>
              <w:ind w:left="0" w:leftChars="0" w:right="0" w:rightChars="0" w:firstLine="0" w:firstLineChars="0"/>
              <w:jc w:val="left"/>
              <w:rPr>
                <w:rFonts w:hint="eastAsia" w:ascii="宋体" w:eastAsia="Arial"/>
                <w:sz w:val="21"/>
                <w:vertAlign w:val="baseline"/>
                <w:lang w:val="en-US" w:eastAsia="zh-CN"/>
              </w:rPr>
            </w:pPr>
            <w:r>
              <w:rPr>
                <w:rFonts w:hint="eastAsia" w:ascii="宋体" w:eastAsia="Arial"/>
                <w:sz w:val="21"/>
                <w:vertAlign w:val="baseline"/>
                <w:lang w:val="en-US" w:eastAsia="zh-CN"/>
              </w:rPr>
              <w:t>电动门+门禁</w:t>
            </w:r>
          </w:p>
        </w:tc>
        <w:tc>
          <w:tcPr>
            <w:tcW w:w="5335" w:type="dxa"/>
            <w:noWrap w:val="0"/>
            <w:vAlign w:val="center"/>
          </w:tcPr>
          <w:p w14:paraId="7C426049">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门重量：210Kg*2以内（max.210kg）</w:t>
            </w:r>
          </w:p>
          <w:p w14:paraId="3E1484C2">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门幅度：DW=800-1300mm</w:t>
            </w:r>
          </w:p>
          <w:p w14:paraId="458E2BA7">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门口幅度：W=2300-4200mm</w:t>
            </w:r>
          </w:p>
          <w:p w14:paraId="536FC2BD">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闭门速度：100-600mm/sec</w:t>
            </w:r>
          </w:p>
          <w:p w14:paraId="69B60A52">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开门速度：300-700mm/sec</w:t>
            </w:r>
          </w:p>
          <w:p w14:paraId="6BE5E136">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开放时间：01.秒-4.95秒可调整</w:t>
            </w:r>
          </w:p>
          <w:p w14:paraId="1154BA99">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安全功能：开闭时遇到阻碍物能立即开启</w:t>
            </w:r>
          </w:p>
          <w:p w14:paraId="308B6CED">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手动开闭门：±5kg以下</w:t>
            </w:r>
          </w:p>
          <w:p w14:paraId="24739B7F">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使用电源：AC90-250V±10％50/60HZ</w:t>
            </w:r>
          </w:p>
          <w:p w14:paraId="00EA3698">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电子控制器：采用双芯片微电脑处理控制器</w:t>
            </w:r>
          </w:p>
          <w:p w14:paraId="603B5A5B">
            <w:pPr>
              <w:keepNext/>
              <w:widowControl w:val="0"/>
              <w:snapToGrid w:val="0"/>
              <w:ind w:left="0" w:leftChars="0" w:right="0" w:rightChars="0" w:firstLine="0" w:firstLineChars="0"/>
              <w:jc w:val="left"/>
              <w:rPr>
                <w:rFonts w:hint="eastAsia" w:ascii="宋体" w:hAnsi="宋体" w:eastAsia="Arial"/>
                <w:kern w:val="0"/>
                <w:sz w:val="21"/>
                <w:szCs w:val="21"/>
                <w:lang w:val="en-US" w:eastAsia="zh-CN"/>
              </w:rPr>
            </w:pPr>
            <w:r>
              <w:rPr>
                <w:rFonts w:hint="eastAsia" w:ascii="宋体" w:hAnsi="宋体" w:eastAsia="Arial"/>
                <w:kern w:val="0"/>
                <w:sz w:val="21"/>
                <w:szCs w:val="21"/>
                <w:lang w:val="en-US" w:eastAsia="zh-CN"/>
              </w:rPr>
              <w:t>马达：DC直流马达145W</w:t>
            </w:r>
          </w:p>
          <w:p w14:paraId="3BD6D53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eastAsia" w:ascii="宋体" w:hAnsi="宋体" w:eastAsia="Arial"/>
                <w:kern w:val="0"/>
                <w:sz w:val="21"/>
                <w:szCs w:val="21"/>
                <w:lang w:val="en-US" w:eastAsia="zh-CN"/>
              </w:rPr>
              <w:t>适合环境：周围温度-20到-50 周围湿度30-85％</w:t>
            </w:r>
          </w:p>
        </w:tc>
        <w:tc>
          <w:tcPr>
            <w:tcW w:w="0" w:type="auto"/>
            <w:noWrap w:val="0"/>
            <w:vAlign w:val="center"/>
          </w:tcPr>
          <w:p w14:paraId="71E12D8B">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2</w:t>
            </w:r>
          </w:p>
        </w:tc>
        <w:tc>
          <w:tcPr>
            <w:tcW w:w="459" w:type="dxa"/>
            <w:noWrap w:val="0"/>
            <w:vAlign w:val="center"/>
          </w:tcPr>
          <w:p w14:paraId="67297E0C">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套</w:t>
            </w:r>
          </w:p>
        </w:tc>
      </w:tr>
      <w:tr w14:paraId="6C6ED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0" w:type="auto"/>
            <w:noWrap w:val="0"/>
            <w:vAlign w:val="center"/>
          </w:tcPr>
          <w:p w14:paraId="210C3387">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13</w:t>
            </w:r>
          </w:p>
        </w:tc>
        <w:tc>
          <w:tcPr>
            <w:tcW w:w="1789" w:type="dxa"/>
            <w:noWrap w:val="0"/>
            <w:vAlign w:val="center"/>
          </w:tcPr>
          <w:p w14:paraId="3039A2C0">
            <w:pPr>
              <w:keepNext/>
              <w:widowControl w:val="0"/>
              <w:snapToGrid w:val="0"/>
              <w:ind w:left="0" w:leftChars="0" w:right="0" w:rightChars="0" w:firstLine="0" w:firstLineChars="0"/>
              <w:jc w:val="left"/>
              <w:rPr>
                <w:rFonts w:hint="eastAsia" w:ascii="宋体" w:eastAsia="Arial"/>
                <w:sz w:val="21"/>
                <w:vertAlign w:val="baseline"/>
                <w:lang w:val="en-US" w:eastAsia="zh-CN"/>
              </w:rPr>
            </w:pPr>
            <w:r>
              <w:rPr>
                <w:rFonts w:hint="eastAsia" w:ascii="宋体" w:eastAsia="Arial"/>
                <w:sz w:val="21"/>
                <w:vertAlign w:val="baseline"/>
                <w:lang w:val="en-US" w:eastAsia="zh-CN"/>
              </w:rPr>
              <w:t>电子门牌</w:t>
            </w:r>
          </w:p>
        </w:tc>
        <w:tc>
          <w:tcPr>
            <w:tcW w:w="5335" w:type="dxa"/>
            <w:noWrap w:val="0"/>
            <w:vAlign w:val="center"/>
          </w:tcPr>
          <w:p w14:paraId="168F3F65">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显示参数 可视角 水平178°，垂直178°</w:t>
            </w:r>
          </w:p>
          <w:p w14:paraId="144B52F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显示尺寸 21.5 inch</w:t>
            </w:r>
          </w:p>
          <w:p w14:paraId="5F625DC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屏幕可视区域 476.06 mm (H) × 267.79 mm (V)</w:t>
            </w:r>
          </w:p>
          <w:p w14:paraId="519C5BE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背光源类型 TFT-LCD背光</w:t>
            </w:r>
          </w:p>
          <w:p w14:paraId="01C3408D">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像素间距 0.24795 mm × 0.24795 mm</w:t>
            </w:r>
          </w:p>
          <w:p w14:paraId="17CDEDD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物理分辨率 1920 × 1080</w:t>
            </w:r>
          </w:p>
          <w:p w14:paraId="37055900">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亮度 600 cd/m²</w:t>
            </w:r>
          </w:p>
          <w:p w14:paraId="1E69C8A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色深度 8 bit</w:t>
            </w:r>
          </w:p>
          <w:p w14:paraId="735FCC1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对比度 ≥ 1000∶1</w:t>
            </w:r>
          </w:p>
          <w:p w14:paraId="2B84CBF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响应时间 8 ms</w:t>
            </w:r>
          </w:p>
          <w:p w14:paraId="2773D8E6">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色域 72%</w:t>
            </w:r>
          </w:p>
          <w:p w14:paraId="10363BFE">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连续使用时间 7 × 16 h</w:t>
            </w:r>
          </w:p>
          <w:p w14:paraId="1129F386">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屏幕活动域 476.06 mm (H) × 267.79 mm (V)</w:t>
            </w:r>
          </w:p>
          <w:p w14:paraId="4CEC2D9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系统参数 操作系统 Android 12.0</w:t>
            </w:r>
          </w:p>
          <w:p w14:paraId="3E4F473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CPU Cortex-A55，4核，主频1.8 GHz</w:t>
            </w:r>
          </w:p>
          <w:p w14:paraId="1D5D245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内存 2 GB</w:t>
            </w:r>
          </w:p>
          <w:p w14:paraId="3E438095">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内置存储 16 GB EMMC</w:t>
            </w:r>
          </w:p>
          <w:p w14:paraId="1119567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智能参数 镜头 200万宽动态摄像头</w:t>
            </w:r>
          </w:p>
          <w:p w14:paraId="75C6DAC9">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人脸库 50000张，支持JPG图片格式</w:t>
            </w:r>
          </w:p>
          <w:p w14:paraId="1F4CDC8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人脸检测距离 推荐0.3 m ~ 1.5 m，最远5 m，可软件调整</w:t>
            </w:r>
          </w:p>
          <w:p w14:paraId="57BE1CF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人脸验证准确率 ＞ 99%</w:t>
            </w:r>
          </w:p>
          <w:p w14:paraId="0C138465">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刷脸验证时间 ≤ 0.5 s/人</w:t>
            </w:r>
          </w:p>
          <w:p w14:paraId="71AFB74E">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触控参数 触摸方式 电容</w:t>
            </w:r>
          </w:p>
          <w:p w14:paraId="418F8B5A">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玻璃 3 mm防眩光钢化玻璃</w:t>
            </w:r>
          </w:p>
          <w:p w14:paraId="5BBED7B7">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触控点 10点</w:t>
            </w:r>
          </w:p>
          <w:p w14:paraId="14D189F7">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触控响应速度 ≤ 14 ms</w:t>
            </w:r>
          </w:p>
          <w:p w14:paraId="1CDFE126">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接口参数 网络接口 LAN口×1</w:t>
            </w:r>
          </w:p>
          <w:p w14:paraId="6A15D707">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数据传输接口 USB 2.0 × 2，内置Wi-Fi，蓝牙（BT 4.2），刷卡，门禁</w:t>
            </w:r>
          </w:p>
          <w:p w14:paraId="67F8F7B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电源参数 待机功耗 ≤ 0.5 W</w:t>
            </w:r>
          </w:p>
          <w:p w14:paraId="183E23F5">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功耗 ≤ 60 W</w:t>
            </w:r>
          </w:p>
          <w:p w14:paraId="020F7D9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运行环境 工作温度 -10 °C ~ 50 °C</w:t>
            </w:r>
          </w:p>
          <w:p w14:paraId="528224CE">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工作湿度 0 ~ 95%</w:t>
            </w:r>
          </w:p>
          <w:p w14:paraId="15E75C0B">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通用参数 电源 176 ~ 240 VAC，50/60 Hz ± 5%</w:t>
            </w:r>
          </w:p>
          <w:p w14:paraId="580CE253">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毛重 8.21 kg</w:t>
            </w:r>
          </w:p>
          <w:p w14:paraId="10021681">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净重 6.54 kg</w:t>
            </w:r>
          </w:p>
          <w:p w14:paraId="6E40890C">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包装尺寸 662 mm × 530 mm × 110 mm</w:t>
            </w:r>
          </w:p>
          <w:p w14:paraId="717C8D0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装箱清单 21.5寸屏1个，L型T10防盗扳手1个，电源线1条，防盗螺钉2颗，壁挂螺丝包2包，说明书1本</w:t>
            </w:r>
          </w:p>
          <w:p w14:paraId="4BA54E84">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产品尺寸 514.06 (W) mm × 383.79 (H) mm × 28.40 (D) mm（含底座）</w:t>
            </w:r>
          </w:p>
          <w:p w14:paraId="22A41B12">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514.06 (W) mm × 383.79 (H) mm × 27 (D) mm（无底座）</w:t>
            </w:r>
          </w:p>
          <w:p w14:paraId="573B0379">
            <w:pPr>
              <w:keepNext/>
              <w:widowControl w:val="0"/>
              <w:snapToGrid w:val="0"/>
              <w:ind w:left="0" w:leftChars="0" w:right="0" w:rightChars="0" w:firstLine="0" w:firstLineChars="0"/>
              <w:jc w:val="left"/>
              <w:rPr>
                <w:rFonts w:hint="default" w:ascii="宋体" w:hAnsi="宋体" w:eastAsia="Arial"/>
                <w:kern w:val="0"/>
                <w:sz w:val="21"/>
                <w:szCs w:val="21"/>
                <w:lang w:val="en-US" w:eastAsia="zh-CN"/>
              </w:rPr>
            </w:pPr>
            <w:r>
              <w:rPr>
                <w:rFonts w:hint="default" w:ascii="宋体" w:hAnsi="宋体" w:eastAsia="Arial"/>
                <w:kern w:val="0"/>
                <w:sz w:val="21"/>
                <w:szCs w:val="21"/>
                <w:lang w:val="en-US" w:eastAsia="zh-CN"/>
              </w:rPr>
              <w:t>功能参数 内部喇叭 4 Ω 3 W × 2</w:t>
            </w:r>
          </w:p>
        </w:tc>
        <w:tc>
          <w:tcPr>
            <w:tcW w:w="0" w:type="auto"/>
            <w:noWrap w:val="0"/>
            <w:vAlign w:val="center"/>
          </w:tcPr>
          <w:p w14:paraId="7BF7693E">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16</w:t>
            </w:r>
          </w:p>
        </w:tc>
        <w:tc>
          <w:tcPr>
            <w:tcW w:w="459" w:type="dxa"/>
            <w:noWrap w:val="0"/>
            <w:vAlign w:val="center"/>
          </w:tcPr>
          <w:p w14:paraId="70CD5545">
            <w:pPr>
              <w:keepNext/>
              <w:widowControl w:val="0"/>
              <w:snapToGrid w:val="0"/>
              <w:ind w:left="0" w:leftChars="0" w:right="0" w:rightChars="0" w:firstLine="0" w:firstLineChars="0"/>
              <w:jc w:val="center"/>
              <w:rPr>
                <w:rFonts w:hint="default" w:ascii="宋体" w:eastAsia="Arial"/>
                <w:sz w:val="21"/>
                <w:vertAlign w:val="baseline"/>
                <w:lang w:val="en-US" w:eastAsia="zh-CN"/>
              </w:rPr>
            </w:pPr>
            <w:r>
              <w:rPr>
                <w:rFonts w:hint="eastAsia" w:ascii="宋体" w:eastAsia="Arial"/>
                <w:sz w:val="21"/>
                <w:vertAlign w:val="baseline"/>
                <w:lang w:val="en-US" w:eastAsia="zh-CN"/>
              </w:rPr>
              <w:t>套</w:t>
            </w:r>
          </w:p>
        </w:tc>
      </w:tr>
      <w:tr w14:paraId="31BF6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0" w:type="dxa"/>
            <w:noWrap w:val="0"/>
            <w:vAlign w:val="center"/>
          </w:tcPr>
          <w:p w14:paraId="12B56433">
            <w:pPr>
              <w:keepNext/>
              <w:widowControl w:val="0"/>
              <w:snapToGrid w:val="0"/>
              <w:ind w:left="0" w:leftChars="0" w:right="0" w:rightChars="0" w:firstLine="0" w:firstLineChars="0"/>
              <w:jc w:val="center"/>
              <w:rPr>
                <w:rFonts w:hint="default" w:ascii="宋体" w:eastAsia="Arial"/>
                <w:b/>
                <w:sz w:val="21"/>
                <w:vertAlign w:val="baseline"/>
                <w:lang w:val="en-US" w:eastAsia="zh-CN"/>
              </w:rPr>
            </w:pPr>
            <w:r>
              <w:rPr>
                <w:rFonts w:hint="eastAsia" w:ascii="宋体" w:eastAsia="Arial"/>
                <w:b/>
                <w:sz w:val="21"/>
                <w:vertAlign w:val="baseline"/>
                <w:lang w:val="en-US" w:eastAsia="zh-CN"/>
              </w:rPr>
              <w:t>14</w:t>
            </w:r>
          </w:p>
        </w:tc>
        <w:tc>
          <w:tcPr>
            <w:tcW w:w="1789" w:type="dxa"/>
            <w:noWrap w:val="0"/>
            <w:vAlign w:val="center"/>
          </w:tcPr>
          <w:p w14:paraId="4787738A">
            <w:pPr>
              <w:keepNext/>
              <w:widowControl w:val="0"/>
              <w:snapToGrid w:val="0"/>
              <w:ind w:left="0" w:leftChars="0" w:right="0" w:rightChars="0" w:firstLine="0" w:firstLineChars="0"/>
              <w:jc w:val="left"/>
              <w:rPr>
                <w:rFonts w:hint="default" w:ascii="宋体" w:eastAsia="Arial"/>
                <w:b/>
                <w:sz w:val="21"/>
                <w:vertAlign w:val="baseline"/>
                <w:lang w:val="en-US" w:eastAsia="zh-CN"/>
              </w:rPr>
            </w:pPr>
            <w:r>
              <w:rPr>
                <w:rFonts w:hint="eastAsia" w:ascii="宋体" w:eastAsia="Arial"/>
                <w:b/>
                <w:sz w:val="21"/>
                <w:vertAlign w:val="baseline"/>
                <w:lang w:val="en-US" w:eastAsia="zh-CN"/>
              </w:rPr>
              <w:t>合计</w:t>
            </w:r>
          </w:p>
        </w:tc>
        <w:tc>
          <w:tcPr>
            <w:tcW w:w="5335" w:type="dxa"/>
            <w:noWrap w:val="0"/>
            <w:vAlign w:val="center"/>
          </w:tcPr>
          <w:p w14:paraId="7458CF42">
            <w:pPr>
              <w:keepNext/>
              <w:widowControl w:val="0"/>
              <w:snapToGrid w:val="0"/>
              <w:ind w:left="0" w:leftChars="0" w:right="0" w:rightChars="0" w:firstLine="0" w:firstLineChars="0"/>
              <w:jc w:val="left"/>
              <w:rPr>
                <w:rFonts w:ascii="宋体" w:eastAsia="Arial"/>
                <w:b/>
                <w:sz w:val="21"/>
                <w:vertAlign w:val="baseline"/>
              </w:rPr>
            </w:pPr>
          </w:p>
        </w:tc>
        <w:tc>
          <w:tcPr>
            <w:tcW w:w="470" w:type="dxa"/>
            <w:noWrap w:val="0"/>
            <w:vAlign w:val="center"/>
          </w:tcPr>
          <w:p w14:paraId="32E1D0F4">
            <w:pPr>
              <w:keepNext/>
              <w:widowControl w:val="0"/>
              <w:snapToGrid w:val="0"/>
              <w:ind w:left="0" w:leftChars="0" w:right="0" w:rightChars="0" w:firstLine="0" w:firstLineChars="0"/>
              <w:jc w:val="center"/>
              <w:rPr>
                <w:rFonts w:ascii="宋体" w:eastAsia="Arial"/>
                <w:b/>
                <w:sz w:val="21"/>
                <w:vertAlign w:val="baseline"/>
              </w:rPr>
            </w:pPr>
          </w:p>
        </w:tc>
        <w:tc>
          <w:tcPr>
            <w:tcW w:w="459" w:type="dxa"/>
            <w:noWrap w:val="0"/>
            <w:vAlign w:val="center"/>
          </w:tcPr>
          <w:p w14:paraId="40867F74">
            <w:pPr>
              <w:keepNext/>
              <w:widowControl w:val="0"/>
              <w:snapToGrid w:val="0"/>
              <w:ind w:left="0" w:leftChars="0" w:right="0" w:rightChars="0" w:firstLine="0" w:firstLineChars="0"/>
              <w:jc w:val="center"/>
              <w:rPr>
                <w:rFonts w:ascii="宋体" w:eastAsia="Arial"/>
                <w:b/>
                <w:sz w:val="21"/>
                <w:vertAlign w:val="baseline"/>
              </w:rPr>
            </w:pPr>
          </w:p>
        </w:tc>
      </w:tr>
    </w:tbl>
    <w:p w14:paraId="40CA572B">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76" w:firstLineChars="200"/>
        <w:jc w:val="both"/>
        <w:textAlignment w:val="baseline"/>
        <w:outlineLvl w:val="9"/>
        <w:rPr>
          <w:rFonts w:hint="eastAsia" w:asciiTheme="minorEastAsia" w:hAnsiTheme="minorEastAsia" w:eastAsiaTheme="minorEastAsia" w:cstheme="minorEastAsia"/>
          <w:spacing w:val="-1"/>
          <w:sz w:val="24"/>
          <w:szCs w:val="24"/>
        </w:rPr>
      </w:pPr>
    </w:p>
    <w:p w14:paraId="0B7C14E6">
      <w:pPr>
        <w:pStyle w:val="5"/>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leftChars="200" w:right="0" w:rightChars="0"/>
        <w:jc w:val="both"/>
        <w:textAlignment w:val="baseline"/>
        <w:outlineLvl w:val="9"/>
        <w:rPr>
          <w:rFonts w:hint="eastAsia" w:asciiTheme="minorEastAsia" w:hAnsiTheme="minorEastAsia" w:eastAsiaTheme="minorEastAsia" w:cstheme="minorEastAsia"/>
          <w:b/>
          <w:bCs/>
          <w:spacing w:val="-1"/>
          <w:sz w:val="24"/>
          <w:szCs w:val="24"/>
          <w:lang w:eastAsia="zh-CN"/>
        </w:rPr>
      </w:pPr>
      <w:r>
        <w:rPr>
          <w:rFonts w:hint="eastAsia" w:asciiTheme="minorEastAsia" w:hAnsiTheme="minorEastAsia" w:eastAsiaTheme="minorEastAsia" w:cstheme="minorEastAsia"/>
          <w:b/>
          <w:bCs/>
          <w:spacing w:val="-1"/>
          <w:sz w:val="24"/>
          <w:szCs w:val="24"/>
          <w:lang w:val="en-US" w:eastAsia="zh-CN"/>
        </w:rPr>
        <w:t>加</w:t>
      </w:r>
      <w:r>
        <w:rPr>
          <w:rFonts w:hint="eastAsia" w:asciiTheme="minorEastAsia" w:hAnsiTheme="minorEastAsia" w:eastAsiaTheme="minorEastAsia" w:cstheme="minorEastAsia"/>
          <w:b/>
          <w:bCs/>
          <w:spacing w:val="-1"/>
          <w:sz w:val="24"/>
          <w:szCs w:val="24"/>
          <w:lang w:eastAsia="zh-CN"/>
        </w:rPr>
        <w:t>★</w:t>
      </w:r>
      <w:r>
        <w:rPr>
          <w:rFonts w:hint="eastAsia" w:asciiTheme="minorEastAsia" w:hAnsiTheme="minorEastAsia" w:eastAsiaTheme="minorEastAsia" w:cstheme="minorEastAsia"/>
          <w:b/>
          <w:bCs/>
          <w:spacing w:val="-1"/>
          <w:sz w:val="24"/>
          <w:szCs w:val="24"/>
          <w:lang w:val="en-US" w:eastAsia="zh-CN"/>
        </w:rPr>
        <w:t>项的处理方式：</w:t>
      </w:r>
      <w:r>
        <w:rPr>
          <w:rFonts w:hint="eastAsia" w:asciiTheme="minorEastAsia" w:hAnsiTheme="minorEastAsia" w:eastAsiaTheme="minorEastAsia" w:cstheme="minorEastAsia"/>
          <w:b/>
          <w:bCs/>
          <w:spacing w:val="-1"/>
          <w:sz w:val="24"/>
          <w:szCs w:val="24"/>
        </w:rPr>
        <w:t>不允许偏离的实质性要求和条件</w:t>
      </w:r>
      <w:r>
        <w:rPr>
          <w:rFonts w:hint="eastAsia" w:asciiTheme="minorEastAsia" w:hAnsiTheme="minorEastAsia" w:eastAsiaTheme="minorEastAsia" w:cstheme="minorEastAsia"/>
          <w:b/>
          <w:bCs/>
          <w:spacing w:val="-1"/>
          <w:sz w:val="24"/>
          <w:szCs w:val="24"/>
          <w:lang w:eastAsia="zh-CN"/>
        </w:rPr>
        <w:t>。</w:t>
      </w:r>
    </w:p>
    <w:p w14:paraId="0DAD109F">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outlineLvl w:val="2"/>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pPr>
    </w:p>
    <w:p w14:paraId="79E04B4C">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二、</w:t>
      </w:r>
      <w:r>
        <w:rPr>
          <w:rFonts w:hint="eastAsia" w:asciiTheme="minorEastAsia" w:hAnsiTheme="minorEastAsia" w:eastAsiaTheme="minorEastAsia" w:cstheme="minorEastAsia"/>
          <w:spacing w:val="1"/>
          <w:sz w:val="24"/>
          <w:szCs w:val="24"/>
          <w:lang w:val="en-US" w:eastAsia="zh-CN"/>
          <w14:textOutline w14:w="1537" w14:cap="flat" w14:cmpd="sng">
            <w14:solidFill>
              <w14:srgbClr w14:val="000000"/>
            </w14:solidFill>
            <w14:prstDash w14:val="solid"/>
            <w14:miter w14:val="0"/>
          </w14:textOutline>
        </w:rPr>
        <w:t>项目</w:t>
      </w:r>
      <w:r>
        <w:rPr>
          <w:rFonts w:hint="eastAsia" w:asciiTheme="minorEastAsia" w:hAnsiTheme="minorEastAsia" w:eastAsiaTheme="minorEastAsia" w:cstheme="minorEastAsia"/>
          <w:spacing w:val="1"/>
          <w:sz w:val="24"/>
          <w:szCs w:val="24"/>
          <w14:textOutline w14:w="1537" w14:cap="flat" w14:cmpd="sng">
            <w14:solidFill>
              <w14:srgbClr w14:val="000000"/>
            </w14:solidFill>
            <w14:prstDash w14:val="solid"/>
            <w14:miter w14:val="0"/>
          </w14:textOutline>
        </w:rPr>
        <w:t>商务要求</w:t>
      </w:r>
    </w:p>
    <w:p w14:paraId="79D79F2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eastAsia="zh-CN"/>
        </w:rPr>
      </w:pP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交货安装</w:t>
      </w:r>
      <w:r>
        <w:rPr>
          <w:rFonts w:hint="eastAsia" w:asciiTheme="minorEastAsia" w:hAnsiTheme="minorEastAsia" w:eastAsiaTheme="minorEastAsia" w:cstheme="minorEastAsia"/>
          <w:spacing w:val="-1"/>
          <w:sz w:val="24"/>
          <w:szCs w:val="24"/>
        </w:rPr>
        <w:t>时间</w:t>
      </w:r>
      <w:r>
        <w:rPr>
          <w:rFonts w:hint="eastAsia" w:asciiTheme="minorEastAsia" w:hAnsiTheme="minorEastAsia" w:eastAsiaTheme="minorEastAsia" w:cstheme="minorEastAsia"/>
          <w:spacing w:val="-1"/>
          <w:sz w:val="24"/>
          <w:szCs w:val="24"/>
          <w:lang w:eastAsia="zh-CN"/>
        </w:rPr>
        <w:t>：合同签订后30日内安装调试完成；</w:t>
      </w:r>
    </w:p>
    <w:p w14:paraId="3DEBF705">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eastAsia" w:asciiTheme="minorEastAsia" w:hAnsiTheme="minorEastAsia" w:eastAsiaTheme="minorEastAsia" w:cstheme="minorEastAsia"/>
          <w:spacing w:val="-1"/>
          <w:sz w:val="24"/>
          <w:szCs w:val="24"/>
          <w:lang w:val="en-US" w:eastAsia="zh-CN"/>
        </w:rPr>
      </w:pPr>
      <w:r>
        <w:rPr>
          <w:rFonts w:hint="eastAsia" w:asciiTheme="minorEastAsia" w:hAnsiTheme="minorEastAsia" w:eastAsiaTheme="minorEastAsia" w:cstheme="minorEastAsia"/>
          <w:spacing w:val="-1"/>
          <w:sz w:val="24"/>
          <w:szCs w:val="24"/>
          <w:lang w:val="en-US" w:eastAsia="zh-CN"/>
        </w:rPr>
        <w:t>2.交货</w:t>
      </w:r>
      <w:r>
        <w:rPr>
          <w:rFonts w:hint="eastAsia" w:asciiTheme="minorEastAsia" w:hAnsiTheme="minorEastAsia" w:eastAsiaTheme="minorEastAsia" w:cstheme="minorEastAsia"/>
          <w:spacing w:val="-1"/>
          <w:sz w:val="24"/>
          <w:szCs w:val="24"/>
        </w:rPr>
        <w:t>地</w:t>
      </w:r>
      <w:r>
        <w:rPr>
          <w:rFonts w:hint="eastAsia" w:asciiTheme="minorEastAsia" w:hAnsiTheme="minorEastAsia" w:eastAsiaTheme="minorEastAsia" w:cstheme="minorEastAsia"/>
          <w:spacing w:val="-1"/>
          <w:sz w:val="24"/>
          <w:szCs w:val="24"/>
          <w:lang w:val="en-US" w:eastAsia="zh-CN"/>
        </w:rPr>
        <w:t>点：南阳医学高等专科学校；</w:t>
      </w:r>
    </w:p>
    <w:p w14:paraId="43F3139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outlineLvl w:val="9"/>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1"/>
          <w:sz w:val="24"/>
          <w:szCs w:val="24"/>
          <w:lang w:val="en-US" w:eastAsia="zh-CN"/>
        </w:rPr>
        <w:t>3.质量：合格，满足采购人要求</w:t>
      </w:r>
    </w:p>
    <w:p w14:paraId="11B338F1">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outlineLvl w:val="9"/>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4.付款方式：货物安装，装修完成，验收合格后支付合同总款的100%。</w:t>
      </w:r>
    </w:p>
    <w:p w14:paraId="58B31FB7">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2"/>
          <w:sz w:val="24"/>
          <w:szCs w:val="24"/>
          <w:lang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pacing w:val="-2"/>
          <w:sz w:val="24"/>
          <w:szCs w:val="24"/>
        </w:rPr>
        <w:t>.包装和运输</w:t>
      </w:r>
      <w:r>
        <w:rPr>
          <w:rFonts w:hint="eastAsia" w:asciiTheme="minorEastAsia" w:hAnsiTheme="minorEastAsia" w:eastAsiaTheme="minorEastAsia" w:cstheme="minorEastAsia"/>
          <w:spacing w:val="-2"/>
          <w:sz w:val="24"/>
          <w:szCs w:val="24"/>
          <w:lang w:eastAsia="zh-CN"/>
        </w:rPr>
        <w:t>：由成交供应商负责项目所需材料、设备的包装和运输，并承担相关的费用、风险，运达釆购人指定地点。</w:t>
      </w:r>
    </w:p>
    <w:p w14:paraId="40B973C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outlineLvl w:val="9"/>
        <w:rPr>
          <w:rFonts w:hint="eastAsia" w:asciiTheme="minorEastAsia" w:hAnsiTheme="minorEastAsia" w:eastAsiaTheme="minorEastAsia" w:cstheme="minorEastAsia"/>
          <w:color w:val="000000" w:themeColor="text1"/>
          <w:spacing w:val="-3"/>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pacing w:val="-8"/>
          <w:sz w:val="24"/>
          <w:szCs w:val="24"/>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.售后服务</w:t>
      </w:r>
      <w:r>
        <w:rPr>
          <w:rFonts w:hint="eastAsia" w:asciiTheme="minorEastAsia" w:hAnsiTheme="minorEastAsia" w:eastAsiaTheme="minorEastAsia" w:cstheme="minorEastAsia"/>
          <w:color w:val="000000" w:themeColor="text1"/>
          <w:spacing w:val="-8"/>
          <w:sz w:val="24"/>
          <w:szCs w:val="24"/>
          <w:lang w:val="en-US" w:eastAsia="zh-CN"/>
          <w14:textFill>
            <w14:solidFill>
              <w14:schemeClr w14:val="tx1"/>
            </w14:solidFill>
          </w14:textFill>
        </w:rPr>
        <w:t>要求</w:t>
      </w:r>
      <w:r>
        <w:rPr>
          <w:rFonts w:hint="eastAsia" w:asciiTheme="minorEastAsia" w:hAnsiTheme="minorEastAsia" w:eastAsiaTheme="minorEastAsia" w:cstheme="minorEastAsia"/>
          <w:color w:val="000000" w:themeColor="text1"/>
          <w:spacing w:val="-8"/>
          <w:sz w:val="24"/>
          <w:szCs w:val="24"/>
          <w14:textFill>
            <w14:solidFill>
              <w14:schemeClr w14:val="tx1"/>
            </w14:solidFill>
          </w14:textFill>
        </w:rPr>
        <w:t>（质保期</w:t>
      </w:r>
      <w:r>
        <w:rPr>
          <w:rFonts w:hint="eastAsia" w:asciiTheme="minorEastAsia" w:hAnsiTheme="minorEastAsia" w:eastAsiaTheme="minorEastAsia" w:cstheme="minorEastAsia"/>
          <w:color w:val="000000" w:themeColor="text1"/>
          <w:spacing w:val="-3"/>
          <w:sz w:val="24"/>
          <w:szCs w:val="24"/>
          <w14:textFill>
            <w14:solidFill>
              <w14:schemeClr w14:val="tx1"/>
            </w14:solidFill>
          </w14:textFill>
        </w:rPr>
        <w:t>）</w:t>
      </w:r>
      <w:r>
        <w:rPr>
          <w:rFonts w:hint="eastAsia" w:asciiTheme="minorEastAsia" w:hAnsiTheme="minorEastAsia" w:eastAsiaTheme="minorEastAsia" w:cstheme="minorEastAsia"/>
          <w:color w:val="000000" w:themeColor="text1"/>
          <w:spacing w:val="-3"/>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3"/>
          <w:sz w:val="24"/>
          <w:szCs w:val="24"/>
          <w:lang w:val="en-US" w:eastAsia="zh-CN"/>
          <w14:textFill>
            <w14:solidFill>
              <w14:schemeClr w14:val="tx1"/>
            </w14:solidFill>
          </w14:textFill>
        </w:rPr>
        <w:t>3年</w:t>
      </w:r>
      <w:r>
        <w:rPr>
          <w:rFonts w:hint="eastAsia" w:asciiTheme="minorEastAsia" w:hAnsiTheme="minorEastAsia" w:eastAsiaTheme="minorEastAsia" w:cstheme="minorEastAsia"/>
          <w:color w:val="000000" w:themeColor="text1"/>
          <w:spacing w:val="-3"/>
          <w:sz w:val="24"/>
          <w:szCs w:val="24"/>
          <w:lang w:eastAsia="zh-CN"/>
          <w14:textFill>
            <w14:solidFill>
              <w14:schemeClr w14:val="tx1"/>
            </w14:solidFill>
          </w14:textFill>
        </w:rPr>
        <w:t>，自验收合格之日起开始计算。若国家有明确规定的质量保证期高于此质量保证期的，执行国家规定。</w:t>
      </w:r>
    </w:p>
    <w:p w14:paraId="7ACBFC6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2" w:firstLineChars="200"/>
        <w:jc w:val="both"/>
        <w:textAlignment w:val="baseline"/>
        <w:outlineLvl w:val="9"/>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2"/>
          <w:sz w:val="24"/>
          <w:szCs w:val="24"/>
          <w:lang w:val="en-US" w:eastAsia="zh-CN"/>
        </w:rPr>
        <w:t>7</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5"/>
          <w:sz w:val="24"/>
          <w:szCs w:val="24"/>
          <w:lang w:val="en-US" w:eastAsia="zh-CN"/>
        </w:rPr>
        <w:t>关于强制节能产品的要求。</w:t>
      </w:r>
    </w:p>
    <w:p w14:paraId="7735FCD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0" w:firstLineChars="200"/>
        <w:jc w:val="both"/>
        <w:textAlignment w:val="baseline"/>
        <w:outlineLvl w:val="9"/>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（1） 本项目若含有政府强制采购产品，投标人须选用政府强制采购节能产品。(对于强制采购的节能产品交货时必须提供节能证明材料)</w:t>
      </w:r>
    </w:p>
    <w:p w14:paraId="0968C8C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0" w:firstLineChars="200"/>
        <w:jc w:val="both"/>
        <w:textAlignment w:val="baseline"/>
        <w:outlineLvl w:val="9"/>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（2） 强制采购的节能产品:台式计算机，便携式计算机，平板式微型计算机，激光打印机，针式打印机，制冷压缩机，空调机组专用制冷、空调设备，镇流器，空调机，电热水器，普通照明用双端荧光灯，电视设备，液晶显示器，视频设备，便器，水嘴等品目为政府强制采购的节能产品。其他品目为政府优先采购的节能产品。</w:t>
      </w:r>
    </w:p>
    <w:p w14:paraId="1F65DB7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0" w:firstLineChars="200"/>
        <w:jc w:val="both"/>
        <w:textAlignment w:val="baseline"/>
        <w:outlineLvl w:val="9"/>
        <w:rPr>
          <w:rFonts w:hint="eastAsia" w:asciiTheme="minorEastAsia" w:hAnsiTheme="minorEastAsia" w:eastAsiaTheme="minorEastAsia" w:cstheme="minorEastAsia"/>
          <w:spacing w:val="-5"/>
          <w:sz w:val="24"/>
          <w:szCs w:val="24"/>
          <w:lang w:val="en-US" w:eastAsia="zh-CN"/>
        </w:rPr>
      </w:pPr>
      <w:r>
        <w:rPr>
          <w:rFonts w:hint="eastAsia" w:asciiTheme="minorEastAsia" w:hAnsiTheme="minorEastAsia" w:eastAsiaTheme="minorEastAsia" w:cstheme="minorEastAsia"/>
          <w:spacing w:val="-5"/>
          <w:sz w:val="24"/>
          <w:szCs w:val="24"/>
          <w:lang w:val="en-US" w:eastAsia="zh-CN"/>
        </w:rPr>
        <w:t>（3）投标人所投产品如属于政府优先节能产品或环境标志产品，应提供处于有效期之内认证证书等相关证明，在评标时予以优先采购。</w:t>
      </w:r>
    </w:p>
    <w:p w14:paraId="501A8AC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0" w:firstLineChars="200"/>
        <w:jc w:val="both"/>
        <w:textAlignment w:val="baseline"/>
        <w:outlineLvl w:val="9"/>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pacing w:val="-5"/>
          <w:sz w:val="24"/>
          <w:szCs w:val="24"/>
          <w:lang w:val="en-US" w:eastAsia="zh-CN"/>
          <w14:textFill>
            <w14:solidFill>
              <w14:schemeClr w14:val="tx1"/>
            </w14:solidFill>
          </w14:textFill>
        </w:rPr>
        <w:t>8.供应商应提供售后服务承诺书，</w:t>
      </w:r>
      <w:r>
        <w:rPr>
          <w:rFonts w:hint="eastAsia" w:asciiTheme="minorEastAsia" w:hAnsiTheme="minorEastAsia" w:eastAsiaTheme="minorEastAsia" w:cstheme="minorEastAsia"/>
          <w:color w:val="000000" w:themeColor="text1"/>
          <w:spacing w:val="-2"/>
          <w:sz w:val="24"/>
          <w:szCs w:val="24"/>
          <w14:textFill>
            <w14:solidFill>
              <w14:schemeClr w14:val="tx1"/>
            </w14:solidFill>
          </w14:textFill>
        </w:rPr>
        <w:t>成交供应商售后服务不符合</w:t>
      </w:r>
      <w:r>
        <w:rPr>
          <w:rFonts w:hint="eastAsia" w:asciiTheme="minorEastAsia" w:hAnsiTheme="minorEastAsia" w:eastAsiaTheme="minorEastAsia" w:cstheme="minorEastAsia"/>
          <w:color w:val="000000" w:themeColor="text1"/>
          <w:spacing w:val="-2"/>
          <w:sz w:val="24"/>
          <w:szCs w:val="24"/>
          <w:lang w:val="en-US" w:eastAsia="zh-CN"/>
          <w14:textFill>
            <w14:solidFill>
              <w14:schemeClr w14:val="tx1"/>
            </w14:solidFill>
          </w14:textFill>
        </w:rPr>
        <w:t>响应文件</w:t>
      </w:r>
      <w:r>
        <w:rPr>
          <w:rFonts w:hint="eastAsia" w:asciiTheme="minorEastAsia" w:hAnsiTheme="minorEastAsia" w:eastAsiaTheme="minorEastAsia" w:cstheme="minorEastAsia"/>
          <w:color w:val="000000" w:themeColor="text1"/>
          <w:spacing w:val="-2"/>
          <w:sz w:val="24"/>
          <w:szCs w:val="24"/>
          <w14:textFill>
            <w14:solidFill>
              <w14:schemeClr w14:val="tx1"/>
            </w14:solidFill>
          </w14:textFill>
        </w:rPr>
        <w:t>承诺内容的，学校有权将其列为不诚信对象，禁止其参与今后学校所有招标项目。</w:t>
      </w:r>
    </w:p>
    <w:p w14:paraId="7F9F05C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4"/>
          <w:szCs w:val="24"/>
          <w14:textFill>
            <w14:solidFill>
              <w14:schemeClr w14:val="tx1"/>
            </w14:solidFill>
          </w14:textFill>
        </w:rPr>
        <w:t>.验收标准</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及方式：采购人组织验收。</w:t>
      </w:r>
    </w:p>
    <w:p w14:paraId="1B9CB037">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outlineLvl w:val="9"/>
        <w:rPr>
          <w:rFonts w:hint="eastAsia" w:asciiTheme="minorEastAsia" w:hAnsiTheme="minorEastAsia" w:eastAsiaTheme="minorEastAsia" w:cstheme="minorEastAsia"/>
          <w:color w:val="000000" w:themeColor="text1"/>
          <w:spacing w:val="-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pacing w:val="-1"/>
          <w:sz w:val="24"/>
          <w:szCs w:val="24"/>
          <w14:textFill>
            <w14:solidFill>
              <w14:schemeClr w14:val="tx1"/>
            </w14:solidFill>
          </w14:textFill>
        </w:rPr>
        <w:t>其他要求</w:t>
      </w:r>
      <w:r>
        <w:rPr>
          <w:rFonts w:hint="eastAsia" w:asciiTheme="minorEastAsia" w:hAnsiTheme="minorEastAsia" w:eastAsiaTheme="minorEastAsia" w:cstheme="minorEastAsia"/>
          <w:color w:val="000000" w:themeColor="text1"/>
          <w:spacing w:val="-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pacing w:val="-1"/>
          <w:sz w:val="24"/>
          <w:szCs w:val="24"/>
          <w:lang w:val="en-US" w:eastAsia="zh-CN"/>
          <w14:textFill>
            <w14:solidFill>
              <w14:schemeClr w14:val="tx1"/>
            </w14:solidFill>
          </w14:textFill>
        </w:rPr>
        <w:t>成交供应商</w:t>
      </w:r>
      <w:r>
        <w:rPr>
          <w:rFonts w:hint="eastAsia" w:asciiTheme="minorEastAsia" w:hAnsiTheme="minorEastAsia" w:eastAsiaTheme="minorEastAsia" w:cstheme="minorEastAsia"/>
          <w:color w:val="000000" w:themeColor="text1"/>
          <w:spacing w:val="-1"/>
          <w:sz w:val="24"/>
          <w:szCs w:val="24"/>
          <w:lang w:eastAsia="zh-CN"/>
          <w14:textFill>
            <w14:solidFill>
              <w14:schemeClr w14:val="tx1"/>
            </w14:solidFill>
          </w14:textFill>
        </w:rPr>
        <w:t>在供货安装调试过程中，如对采购人原设备、物品有损坏的应无偿恢复。</w:t>
      </w:r>
    </w:p>
    <w:p w14:paraId="08E4A624">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both"/>
        <w:textAlignment w:val="baseline"/>
        <w:outlineLvl w:val="9"/>
        <w:rPr>
          <w:rFonts w:hint="eastAsia" w:asciiTheme="minorEastAsia" w:hAnsiTheme="minorEastAsia" w:eastAsiaTheme="minorEastAsia" w:cstheme="minorEastAsia"/>
          <w:spacing w:val="30"/>
          <w:sz w:val="24"/>
          <w:szCs w:val="24"/>
          <w:lang w:val="en-US" w:eastAsia="zh-CN"/>
        </w:rPr>
      </w:pPr>
    </w:p>
    <w:p w14:paraId="34A06A62">
      <w:pPr>
        <w:pStyle w:val="5"/>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13291C35">
      <w:pPr>
        <w:pStyle w:val="5"/>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2341C4D4">
      <w:pPr>
        <w:pStyle w:val="5"/>
        <w:keepNext w:val="0"/>
        <w:keepLines w:val="0"/>
        <w:pageBreakBefore w:val="0"/>
        <w:kinsoku/>
        <w:wordWrap w:val="0"/>
        <w:overflowPunct/>
        <w:topLinePunct w:val="0"/>
        <w:bidi w:val="0"/>
        <w:spacing w:before="352" w:line="690" w:lineRule="exact"/>
        <w:ind w:left="3276"/>
        <w:jc w:val="both"/>
        <w:rPr>
          <w:spacing w:val="-1"/>
          <w:position w:val="24"/>
          <w:sz w:val="36"/>
          <w:szCs w:val="36"/>
          <w14:textOutline w14:w="2306" w14:cap="flat" w14:cmpd="sng">
            <w14:solidFill>
              <w14:srgbClr w14:val="000000"/>
            </w14:solidFill>
            <w14:prstDash w14:val="solid"/>
            <w14:miter w14:val="0"/>
          </w14:textOutline>
        </w:rPr>
      </w:pPr>
    </w:p>
    <w:p w14:paraId="72C68750">
      <w:pPr>
        <w:rPr>
          <w:spacing w:val="-1"/>
          <w:position w:val="24"/>
          <w:sz w:val="36"/>
          <w:szCs w:val="36"/>
          <w14:textOutline w14:w="2306" w14:cap="flat" w14:cmpd="sng">
            <w14:solidFill>
              <w14:srgbClr w14:val="000000"/>
            </w14:solidFill>
            <w14:prstDash w14:val="solid"/>
            <w14:miter w14:val="0"/>
          </w14:textOutline>
        </w:rPr>
      </w:pPr>
    </w:p>
    <w:p w14:paraId="6DF9800C">
      <w:pPr>
        <w:rPr>
          <w:spacing w:val="-1"/>
          <w:position w:val="24"/>
          <w:sz w:val="36"/>
          <w:szCs w:val="36"/>
          <w14:textOutline w14:w="2306" w14:cap="flat" w14:cmpd="sng">
            <w14:solidFill>
              <w14:srgbClr w14:val="000000"/>
            </w14:solidFill>
            <w14:prstDash w14:val="solid"/>
            <w14:miter w14:val="0"/>
          </w14:textOutline>
        </w:rPr>
      </w:pPr>
    </w:p>
    <w:p w14:paraId="5406BF3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7B1E791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387CB15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565CC10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p>
    <w:p w14:paraId="6B95512E">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jc w:val="center"/>
        <w:textAlignment w:val="baseline"/>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第</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三</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章</w:t>
      </w:r>
      <w:r>
        <w:rPr>
          <w:rFonts w:hint="eastAsia" w:asciiTheme="minorEastAsia" w:hAnsiTheme="minorEastAsia" w:eastAsiaTheme="minorEastAsia" w:cstheme="minorEastAsia"/>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Theme="minorEastAsia" w:hAnsiTheme="minorEastAsia" w:eastAsiaTheme="minorEastAsia" w:cstheme="minorEastAsia"/>
          <w:spacing w:val="-1"/>
          <w:sz w:val="36"/>
          <w:szCs w:val="36"/>
          <w14:textOutline w14:w="2306" w14:cap="flat" w14:cmpd="sng">
            <w14:solidFill>
              <w14:srgbClr w14:val="000000"/>
            </w14:solidFill>
            <w14:prstDash w14:val="solid"/>
            <w14:miter w14:val="0"/>
          </w14:textOutline>
        </w:rPr>
        <w:t>供应商须知</w:t>
      </w:r>
    </w:p>
    <w:p w14:paraId="108BC637">
      <w:pPr>
        <w:pStyle w:val="5"/>
        <w:keepNext w:val="0"/>
        <w:keepLines w:val="0"/>
        <w:pageBreakBefore w:val="0"/>
        <w:kinsoku/>
        <w:wordWrap w:val="0"/>
        <w:overflowPunct/>
        <w:topLinePunct w:val="0"/>
        <w:bidi w:val="0"/>
        <w:spacing w:line="220" w:lineRule="auto"/>
        <w:jc w:val="center"/>
        <w:rPr>
          <w:spacing w:val="-1"/>
          <w:sz w:val="28"/>
          <w:szCs w:val="28"/>
          <w14:textOutline w14:w="1800" w14:cap="flat" w14:cmpd="sng">
            <w14:solidFill>
              <w14:srgbClr w14:val="000000"/>
            </w14:solidFill>
            <w14:prstDash w14:val="solid"/>
            <w14:miter w14:val="0"/>
          </w14:textOutline>
        </w:rPr>
      </w:pPr>
      <w:r>
        <w:rPr>
          <w:spacing w:val="-1"/>
          <w:sz w:val="28"/>
          <w:szCs w:val="28"/>
          <w14:textOutline w14:w="1800" w14:cap="flat" w14:cmpd="sng">
            <w14:solidFill>
              <w14:srgbClr w14:val="000000"/>
            </w14:solidFill>
            <w14:prstDash w14:val="solid"/>
            <w14:miter w14:val="0"/>
          </w14:textOutline>
        </w:rPr>
        <w:t>供应商须知表</w:t>
      </w:r>
    </w:p>
    <w:p w14:paraId="68C858C9">
      <w:pPr>
        <w:pStyle w:val="18"/>
        <w:keepNext w:val="0"/>
        <w:keepLines w:val="0"/>
        <w:pageBreakBefore w:val="0"/>
        <w:kinsoku/>
        <w:wordWrap w:val="0"/>
        <w:overflowPunct/>
        <w:topLinePunct w:val="0"/>
        <w:bidi w:val="0"/>
        <w:jc w:val="both"/>
      </w:pP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14:paraId="21D07E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0"/>
            <w:vAlign w:val="center"/>
          </w:tcPr>
          <w:p w14:paraId="5DCF19C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条款</w:t>
            </w:r>
            <w:r>
              <w:rPr>
                <w:rFonts w:hint="eastAsia" w:asciiTheme="minorEastAsia" w:hAnsiTheme="minorEastAsia" w:eastAsiaTheme="minorEastAsia" w:cstheme="minorEastAsia"/>
                <w:sz w:val="24"/>
                <w:szCs w:val="24"/>
                <w:lang w:eastAsia="zh-CN"/>
              </w:rPr>
              <w:t>名称</w:t>
            </w:r>
          </w:p>
        </w:tc>
        <w:tc>
          <w:tcPr>
            <w:tcW w:w="7305" w:type="dxa"/>
            <w:tcBorders>
              <w:top w:val="single" w:color="auto" w:sz="12" w:space="0"/>
              <w:left w:val="single" w:color="auto" w:sz="6" w:space="0"/>
              <w:bottom w:val="single" w:color="auto" w:sz="6" w:space="0"/>
              <w:right w:val="single" w:color="auto" w:sz="12" w:space="0"/>
            </w:tcBorders>
            <w:noWrap w:val="0"/>
            <w:vAlign w:val="center"/>
          </w:tcPr>
          <w:p w14:paraId="330F3C60">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14:paraId="76A8D3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20FBB0F4">
            <w:pPr>
              <w:keepNext w:val="0"/>
              <w:keepLines w:val="0"/>
              <w:pageBreakBefore w:val="0"/>
              <w:kinsoku/>
              <w:wordWrap w:val="0"/>
              <w:overflowPunct/>
              <w:topLinePunct w:val="0"/>
              <w:bidi w:val="0"/>
              <w:spacing w:before="78" w:line="221" w:lineRule="auto"/>
              <w:jc w:val="both"/>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CBED3EB">
            <w:pPr>
              <w:pStyle w:val="20"/>
              <w:keepNext w:val="0"/>
              <w:keepLines w:val="0"/>
              <w:pageBreakBefore w:val="0"/>
              <w:kinsoku/>
              <w:wordWrap w:val="0"/>
              <w:overflowPunct/>
              <w:topLinePunct w:val="0"/>
              <w:bidi w:val="0"/>
              <w:spacing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服务</w:t>
            </w:r>
          </w:p>
          <w:p w14:paraId="56159771">
            <w:pPr>
              <w:pStyle w:val="20"/>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9"/>
                <w:sz w:val="24"/>
                <w:szCs w:val="24"/>
                <w:lang w:eastAsia="zh-CN"/>
              </w:rPr>
              <w:t>☑</w:t>
            </w:r>
            <w:r>
              <w:rPr>
                <w:rFonts w:hint="eastAsia" w:asciiTheme="minorEastAsia" w:hAnsiTheme="minorEastAsia" w:eastAsiaTheme="minorEastAsia" w:cstheme="minorEastAsia"/>
                <w:spacing w:val="19"/>
                <w:sz w:val="24"/>
                <w:szCs w:val="24"/>
              </w:rPr>
              <w:t>货物</w:t>
            </w:r>
          </w:p>
          <w:p w14:paraId="57BBB4E5">
            <w:pPr>
              <w:pStyle w:val="20"/>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19"/>
                <w:sz w:val="24"/>
                <w:szCs w:val="24"/>
                <w:lang w:val="en-US" w:eastAsia="zh-CN"/>
              </w:rPr>
              <w:t>工程</w:t>
            </w:r>
          </w:p>
          <w:p w14:paraId="57A6C391">
            <w:pPr>
              <w:pStyle w:val="20"/>
              <w:keepNext w:val="0"/>
              <w:keepLines w:val="0"/>
              <w:pageBreakBefore w:val="0"/>
              <w:kinsoku/>
              <w:wordWrap w:val="0"/>
              <w:overflowPunct/>
              <w:topLinePunct w:val="0"/>
              <w:bidi w:val="0"/>
              <w:spacing w:before="25" w:line="207" w:lineRule="auto"/>
              <w:ind w:left="126" w:leftChars="0"/>
              <w:jc w:val="both"/>
              <w:rPr>
                <w:rFonts w:hint="eastAsia" w:asciiTheme="minorEastAsia" w:hAnsiTheme="minorEastAsia" w:eastAsiaTheme="minorEastAsia" w:cstheme="minorEastAsia"/>
                <w:spacing w:val="19"/>
                <w:sz w:val="24"/>
                <w:szCs w:val="24"/>
                <w:lang w:val="en-US" w:eastAsia="zh-CN"/>
              </w:rPr>
            </w:pPr>
            <w:r>
              <w:rPr>
                <w:rFonts w:hint="eastAsia" w:asciiTheme="minorEastAsia" w:hAnsiTheme="minorEastAsia" w:eastAsiaTheme="minorEastAsia" w:cstheme="minorEastAsia"/>
                <w:spacing w:val="19"/>
                <w:sz w:val="24"/>
                <w:szCs w:val="24"/>
                <w:lang w:eastAsia="zh-CN"/>
              </w:rPr>
              <w:t>【供应商对</w:t>
            </w:r>
            <w:r>
              <w:rPr>
                <w:rFonts w:hint="eastAsia" w:asciiTheme="minorEastAsia" w:hAnsiTheme="minorEastAsia" w:eastAsiaTheme="minorEastAsia" w:cstheme="minorEastAsia"/>
                <w:spacing w:val="19"/>
                <w:sz w:val="24"/>
                <w:szCs w:val="24"/>
                <w:lang w:val="en-US" w:eastAsia="zh-CN"/>
              </w:rPr>
              <w:t>其</w:t>
            </w:r>
            <w:r>
              <w:rPr>
                <w:rFonts w:hint="eastAsia" w:asciiTheme="minorEastAsia" w:hAnsiTheme="minorEastAsia" w:eastAsiaTheme="minorEastAsia" w:cstheme="minorEastAsia"/>
                <w:spacing w:val="19"/>
                <w:sz w:val="24"/>
                <w:szCs w:val="24"/>
                <w:lang w:eastAsia="zh-CN"/>
              </w:rPr>
              <w:t>提供的产品</w:t>
            </w:r>
            <w:r>
              <w:rPr>
                <w:rFonts w:hint="eastAsia" w:asciiTheme="minorEastAsia" w:hAnsiTheme="minorEastAsia" w:eastAsiaTheme="minorEastAsia" w:cstheme="minorEastAsia"/>
                <w:spacing w:val="19"/>
                <w:sz w:val="24"/>
                <w:szCs w:val="24"/>
                <w:lang w:val="en-US" w:eastAsia="zh-CN"/>
              </w:rPr>
              <w:t>应</w:t>
            </w:r>
            <w:r>
              <w:rPr>
                <w:rFonts w:hint="eastAsia" w:asciiTheme="minorEastAsia" w:hAnsiTheme="minorEastAsia" w:eastAsiaTheme="minorEastAsia" w:cstheme="minorEastAsia"/>
                <w:spacing w:val="19"/>
                <w:sz w:val="24"/>
                <w:szCs w:val="24"/>
                <w:lang w:eastAsia="zh-CN"/>
              </w:rPr>
              <w:t>出具《关于符合本国产品标准的声明函》（</w:t>
            </w:r>
            <w:r>
              <w:rPr>
                <w:rFonts w:hint="eastAsia" w:asciiTheme="minorEastAsia" w:hAnsiTheme="minorEastAsia" w:eastAsiaTheme="minorEastAsia" w:cstheme="minorEastAsia"/>
                <w:spacing w:val="19"/>
                <w:sz w:val="24"/>
                <w:szCs w:val="24"/>
                <w:lang w:val="en-US" w:eastAsia="zh-CN"/>
              </w:rPr>
              <w:t>后附</w:t>
            </w:r>
            <w:r>
              <w:rPr>
                <w:rFonts w:hint="eastAsia" w:asciiTheme="minorEastAsia" w:hAnsiTheme="minorEastAsia" w:eastAsiaTheme="minorEastAsia" w:cstheme="minorEastAsia"/>
                <w:spacing w:val="19"/>
                <w:sz w:val="24"/>
                <w:szCs w:val="24"/>
                <w:lang w:eastAsia="zh-CN"/>
              </w:rPr>
              <w:t>）或财政部会同有关部门规定的有关证明文件。】</w:t>
            </w:r>
          </w:p>
        </w:tc>
      </w:tr>
      <w:tr w14:paraId="6B1696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B1D3D7C">
            <w:pPr>
              <w:keepNext w:val="0"/>
              <w:keepLines w:val="0"/>
              <w:pageBreakBefore w:val="0"/>
              <w:kinsoku/>
              <w:wordWrap w:val="0"/>
              <w:overflowPunct/>
              <w:topLinePunct w:val="0"/>
              <w:bidi w:val="0"/>
              <w:spacing w:before="78" w:line="21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457A8CAF">
            <w:pPr>
              <w:keepNext w:val="0"/>
              <w:keepLines w:val="0"/>
              <w:pageBreakBefore w:val="0"/>
              <w:kinsoku/>
              <w:wordWrap w:val="0"/>
              <w:overflowPunct/>
              <w:topLinePunct w:val="0"/>
              <w:bidi w:val="0"/>
              <w:spacing w:before="37" w:line="238"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是否属于科研仪器设备采购项目：</w:t>
            </w:r>
          </w:p>
          <w:p w14:paraId="397A4278">
            <w:pPr>
              <w:pStyle w:val="20"/>
              <w:keepNext w:val="0"/>
              <w:keepLines w:val="0"/>
              <w:pageBreakBefore w:val="0"/>
              <w:kinsoku/>
              <w:wordWrap w:val="0"/>
              <w:overflowPunct/>
              <w:topLinePunct w:val="0"/>
              <w:bidi w:val="0"/>
              <w:spacing w:line="223"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rPr>
              <w:t>□是</w:t>
            </w:r>
          </w:p>
          <w:p w14:paraId="3549D99E">
            <w:pPr>
              <w:pStyle w:val="20"/>
              <w:keepNext w:val="0"/>
              <w:keepLines w:val="0"/>
              <w:pageBreakBefore w:val="0"/>
              <w:kinsoku/>
              <w:wordWrap w:val="0"/>
              <w:overflowPunct/>
              <w:topLinePunct w:val="0"/>
              <w:bidi w:val="0"/>
              <w:spacing w:before="21" w:line="207" w:lineRule="auto"/>
              <w:ind w:left="126" w:leftChars="0"/>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否</w:t>
            </w:r>
          </w:p>
        </w:tc>
      </w:tr>
      <w:tr w14:paraId="100D4D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D26DF7F">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348FEED1">
            <w:pPr>
              <w:pStyle w:val="20"/>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1、本项目采购标的按照中小企业划分标准属于：</w:t>
            </w:r>
            <w:r>
              <w:rPr>
                <w:rFonts w:hint="eastAsia" w:asciiTheme="minorEastAsia" w:hAnsiTheme="minorEastAsia" w:eastAsiaTheme="minorEastAsia" w:cstheme="minorEastAsia"/>
                <w:snapToGrid w:val="0"/>
                <w:color w:val="000000"/>
                <w:spacing w:val="29"/>
                <w:kern w:val="0"/>
                <w:sz w:val="24"/>
                <w:szCs w:val="24"/>
                <w:u w:val="single"/>
                <w:lang w:val="en-US" w:eastAsia="zh-CN" w:bidi="ar-SA"/>
              </w:rPr>
              <w:t xml:space="preserve"> 工业 </w:t>
            </w:r>
          </w:p>
          <w:p w14:paraId="6C29E50B">
            <w:pPr>
              <w:pStyle w:val="20"/>
              <w:keepNext w:val="0"/>
              <w:keepLines w:val="0"/>
              <w:pageBreakBefore w:val="0"/>
              <w:widowControl/>
              <w:numPr>
                <w:ilvl w:val="0"/>
                <w:numId w:val="0"/>
              </w:numPr>
              <w:kinsoku/>
              <w:wordWrap w:val="0"/>
              <w:overflowPunct/>
              <w:topLinePunct w:val="0"/>
              <w:autoSpaceDE w:val="0"/>
              <w:autoSpaceDN w:val="0"/>
              <w:bidi w:val="0"/>
              <w:adjustRightInd w:val="0"/>
              <w:snapToGrid w:val="0"/>
              <w:spacing w:line="240" w:lineRule="auto"/>
              <w:jc w:val="both"/>
              <w:textAlignment w:val="baseline"/>
              <w:rPr>
                <w:rFonts w:hint="eastAsia"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napToGrid w:val="0"/>
                <w:color w:val="000000"/>
                <w:spacing w:val="14"/>
                <w:kern w:val="0"/>
                <w:sz w:val="24"/>
                <w:szCs w:val="24"/>
                <w:lang w:val="en-US" w:eastAsia="zh-CN" w:bidi="ar-SA"/>
              </w:rPr>
              <w:t>□本项目专门面向中小企业采购。</w:t>
            </w:r>
          </w:p>
          <w:p w14:paraId="5122D6C6">
            <w:pPr>
              <w:keepNext w:val="0"/>
              <w:keepLines w:val="0"/>
              <w:pageBreakBefore w:val="0"/>
              <w:widowControl/>
              <w:kinsoku/>
              <w:wordWrap w:val="0"/>
              <w:overflowPunct/>
              <w:topLinePunct w:val="0"/>
              <w:autoSpaceDE/>
              <w:autoSpaceDN/>
              <w:bidi w:val="0"/>
              <w:adjustRightInd/>
              <w:snapToGrid/>
              <w:jc w:val="both"/>
              <w:textAlignment w:val="auto"/>
              <w:rPr>
                <w:rFonts w:hint="default" w:asciiTheme="minorEastAsia" w:hAnsiTheme="minorEastAsia" w:eastAsiaTheme="minorEastAsia" w:cstheme="minorEastAsia"/>
                <w:snapToGrid w:val="0"/>
                <w:color w:val="000000"/>
                <w:spacing w:val="14"/>
                <w:kern w:val="0"/>
                <w:sz w:val="24"/>
                <w:szCs w:val="24"/>
                <w:lang w:val="en-US" w:eastAsia="zh-CN" w:bidi="ar-SA"/>
              </w:rPr>
            </w:pPr>
            <w:r>
              <w:rPr>
                <w:rFonts w:hint="eastAsia" w:asciiTheme="minorEastAsia" w:hAnsiTheme="minorEastAsia" w:eastAsiaTheme="minorEastAsia" w:cstheme="minorEastAsia"/>
                <w:spacing w:val="-13"/>
                <w:sz w:val="24"/>
                <w:szCs w:val="24"/>
                <w:lang w:eastAsia="zh-CN"/>
              </w:rPr>
              <w:t>☑</w:t>
            </w:r>
            <w:r>
              <w:rPr>
                <w:rFonts w:hint="eastAsia" w:asciiTheme="minorEastAsia" w:hAnsiTheme="minorEastAsia" w:eastAsiaTheme="minorEastAsia" w:cstheme="minorEastAsia"/>
                <w:snapToGrid w:val="0"/>
                <w:color w:val="000000" w:themeColor="text1"/>
                <w:spacing w:val="29"/>
                <w:kern w:val="0"/>
                <w:sz w:val="24"/>
                <w:szCs w:val="24"/>
                <w:lang w:val="en-US" w:eastAsia="zh-CN" w:bidi="ar-SA"/>
                <w14:textFill>
                  <w14:solidFill>
                    <w14:schemeClr w14:val="tx1"/>
                  </w14:solidFill>
                </w14:textFill>
              </w:rPr>
              <w:t>本项目小微企业价格折扣比例</w:t>
            </w:r>
            <w:r>
              <w:rPr>
                <w:rFonts w:hint="eastAsia" w:asciiTheme="minorEastAsia" w:hAnsiTheme="minorEastAsia" w:eastAsiaTheme="minorEastAsia" w:cstheme="minorEastAsia"/>
                <w:snapToGrid w:val="0"/>
                <w:color w:val="000000" w:themeColor="text1"/>
                <w:spacing w:val="29"/>
                <w:kern w:val="0"/>
                <w:sz w:val="24"/>
                <w:szCs w:val="24"/>
                <w:u w:val="single"/>
                <w:lang w:val="en-US" w:eastAsia="zh-CN" w:bidi="ar-SA"/>
                <w14:textFill>
                  <w14:solidFill>
                    <w14:schemeClr w14:val="tx1"/>
                  </w14:solidFill>
                </w14:textFill>
              </w:rPr>
              <w:t xml:space="preserve"> 15 </w:t>
            </w:r>
            <w:r>
              <w:rPr>
                <w:rFonts w:hint="eastAsia" w:asciiTheme="minorEastAsia" w:hAnsiTheme="minorEastAsia" w:eastAsiaTheme="minorEastAsia" w:cstheme="minorEastAsia"/>
                <w:snapToGrid w:val="0"/>
                <w:color w:val="000000" w:themeColor="text1"/>
                <w:spacing w:val="29"/>
                <w:kern w:val="0"/>
                <w:sz w:val="24"/>
                <w:szCs w:val="24"/>
                <w:lang w:val="en-US" w:eastAsia="zh-CN" w:bidi="ar-SA"/>
                <w14:textFill>
                  <w14:solidFill>
                    <w14:schemeClr w14:val="tx1"/>
                  </w14:solidFill>
                </w14:textFill>
              </w:rPr>
              <w:t>%</w:t>
            </w:r>
            <w:r>
              <w:rPr>
                <w:rFonts w:hint="eastAsia" w:asciiTheme="minorEastAsia" w:hAnsiTheme="minorEastAsia" w:eastAsiaTheme="minorEastAsia" w:cstheme="minorEastAsia"/>
                <w:snapToGrid w:val="0"/>
                <w:color w:val="000000"/>
                <w:spacing w:val="29"/>
                <w:kern w:val="0"/>
                <w:sz w:val="24"/>
                <w:szCs w:val="24"/>
                <w:lang w:val="en-US" w:eastAsia="zh-CN" w:bidi="ar-SA"/>
              </w:rPr>
              <w:t>。</w:t>
            </w:r>
          </w:p>
          <w:p w14:paraId="67910562">
            <w:pPr>
              <w:keepNext w:val="0"/>
              <w:keepLines w:val="0"/>
              <w:pageBreakBefore w:val="0"/>
              <w:widowControl/>
              <w:kinsoku/>
              <w:wordWrap w:val="0"/>
              <w:overflowPunct/>
              <w:topLinePunct w:val="0"/>
              <w:autoSpaceDE/>
              <w:autoSpaceDN/>
              <w:bidi w:val="0"/>
              <w:adjustRightInd/>
              <w:snapToGrid/>
              <w:jc w:val="both"/>
              <w:textAlignment w:val="auto"/>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2、中标供应商享受《政府采购促进中小企业发展管理办法》规定的中小企业扶持政策的，采购人、采购代理机构将随中标结果公开中标供应商的《中小企业声明函》。</w:t>
            </w:r>
          </w:p>
        </w:tc>
      </w:tr>
      <w:tr w14:paraId="59CA9B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top"/>
          </w:tcPr>
          <w:p w14:paraId="231A2229">
            <w:pPr>
              <w:pStyle w:val="20"/>
              <w:keepNext w:val="0"/>
              <w:keepLines w:val="0"/>
              <w:pageBreakBefore w:val="0"/>
              <w:kinsoku/>
              <w:wordWrap w:val="0"/>
              <w:overflowPunct/>
              <w:topLinePunct w:val="0"/>
              <w:bidi w:val="0"/>
              <w:spacing w:line="269" w:lineRule="auto"/>
              <w:jc w:val="both"/>
              <w:rPr>
                <w:rFonts w:hint="eastAsia" w:asciiTheme="minorEastAsia" w:hAnsiTheme="minorEastAsia" w:eastAsiaTheme="minorEastAsia" w:cstheme="minorEastAsia"/>
              </w:rPr>
            </w:pPr>
          </w:p>
          <w:p w14:paraId="2DE3B0CA">
            <w:pPr>
              <w:keepNext w:val="0"/>
              <w:keepLines w:val="0"/>
              <w:pageBreakBefore w:val="0"/>
              <w:kinsoku/>
              <w:wordWrap w:val="0"/>
              <w:overflowPunct/>
              <w:topLinePunct w:val="0"/>
              <w:bidi w:val="0"/>
              <w:spacing w:before="78" w:line="219" w:lineRule="auto"/>
              <w:ind w:left="377" w:leftChar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谈判</w:t>
            </w:r>
            <w:r>
              <w:rPr>
                <w:rFonts w:hint="eastAsia" w:asciiTheme="minorEastAsia" w:hAnsiTheme="minorEastAsia" w:eastAsiaTheme="minorEastAsia" w:cstheme="minorEastAsia"/>
                <w:spacing w:val="-3"/>
                <w:sz w:val="24"/>
                <w:szCs w:val="24"/>
              </w:rPr>
              <w:t>报价</w:t>
            </w:r>
          </w:p>
        </w:tc>
        <w:tc>
          <w:tcPr>
            <w:tcW w:w="7305" w:type="dxa"/>
            <w:tcBorders>
              <w:top w:val="single" w:color="auto" w:sz="6" w:space="0"/>
              <w:left w:val="single" w:color="auto" w:sz="6" w:space="0"/>
              <w:bottom w:val="single" w:color="auto" w:sz="6" w:space="0"/>
              <w:right w:val="single" w:color="auto" w:sz="12" w:space="0"/>
            </w:tcBorders>
            <w:noWrap w:val="0"/>
            <w:vAlign w:val="top"/>
          </w:tcPr>
          <w:p w14:paraId="6B6193CD">
            <w:pPr>
              <w:keepNext w:val="0"/>
              <w:keepLines w:val="0"/>
              <w:pageBreakBefore w:val="0"/>
              <w:kinsoku/>
              <w:wordWrap w:val="0"/>
              <w:overflowPunct/>
              <w:topLinePunct w:val="0"/>
              <w:bidi w:val="0"/>
              <w:spacing w:before="40"/>
              <w:ind w:left="117"/>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lang w:val="en-US" w:eastAsia="zh-CN"/>
              </w:rPr>
              <w:t>谈判</w:t>
            </w:r>
            <w:r>
              <w:rPr>
                <w:rFonts w:hint="eastAsia" w:asciiTheme="minorEastAsia" w:hAnsiTheme="minorEastAsia" w:eastAsiaTheme="minorEastAsia" w:cstheme="minorEastAsia"/>
                <w:spacing w:val="-7"/>
                <w:sz w:val="24"/>
                <w:szCs w:val="24"/>
              </w:rPr>
              <w:t>报价的特殊规定：</w:t>
            </w:r>
          </w:p>
          <w:p w14:paraId="1F00E909">
            <w:pPr>
              <w:pStyle w:val="20"/>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pacing w:val="29"/>
                <w:sz w:val="24"/>
                <w:szCs w:val="24"/>
              </w:rPr>
              <w:t>无</w:t>
            </w:r>
          </w:p>
          <w:p w14:paraId="51E0DCA9">
            <w:pPr>
              <w:pStyle w:val="20"/>
              <w:keepNext w:val="0"/>
              <w:keepLines w:val="0"/>
              <w:pageBreakBefore w:val="0"/>
              <w:kinsoku/>
              <w:wordWrap w:val="0"/>
              <w:overflowPunct/>
              <w:topLinePunct w:val="0"/>
              <w:bidi w:val="0"/>
              <w:spacing w:before="23" w:line="189" w:lineRule="auto"/>
              <w:ind w:left="126"/>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3"/>
                <w:sz w:val="24"/>
                <w:szCs w:val="24"/>
              </w:rPr>
              <w:t>□有，具体情形：。</w:t>
            </w:r>
          </w:p>
          <w:p w14:paraId="2D2794A1">
            <w:pPr>
              <w:pStyle w:val="20"/>
              <w:keepNext w:val="0"/>
              <w:keepLines w:val="0"/>
              <w:pageBreakBefore w:val="0"/>
              <w:kinsoku/>
              <w:wordWrap w:val="0"/>
              <w:overflowPunct/>
              <w:topLinePunct w:val="0"/>
              <w:bidi w:val="0"/>
              <w:spacing w:line="19" w:lineRule="exact"/>
              <w:ind w:left="2008" w:leftChars="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1"/>
                <w:position w:val="5"/>
                <w:sz w:val="24"/>
                <w:szCs w:val="24"/>
              </w:rPr>
              <w:t>_____</w:t>
            </w:r>
          </w:p>
        </w:tc>
      </w:tr>
      <w:tr w14:paraId="43D066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539FF5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项目预算</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22F5F609">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89.18 </w:t>
            </w:r>
            <w:r>
              <w:rPr>
                <w:rFonts w:hint="eastAsia" w:asciiTheme="minorEastAsia" w:hAnsiTheme="minorEastAsia" w:eastAsiaTheme="minorEastAsia" w:cstheme="minorEastAsia"/>
                <w:b w:val="0"/>
                <w:bCs/>
                <w:sz w:val="24"/>
                <w:szCs w:val="24"/>
                <w:lang w:val="en-US" w:eastAsia="zh-CN"/>
              </w:rPr>
              <w:t>万元</w:t>
            </w:r>
          </w:p>
        </w:tc>
      </w:tr>
      <w:tr w14:paraId="71A0F2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F09005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有效期</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7A1BBAA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开标之日起</w:t>
            </w:r>
            <w:r>
              <w:rPr>
                <w:rFonts w:hint="eastAsia" w:asciiTheme="minorEastAsia" w:hAnsiTheme="minorEastAsia" w:eastAsiaTheme="minorEastAsia" w:cstheme="minorEastAsia"/>
                <w:sz w:val="24"/>
                <w:szCs w:val="24"/>
                <w:lang w:eastAsia="zh-CN"/>
              </w:rPr>
              <w:t>60</w:t>
            </w:r>
            <w:r>
              <w:rPr>
                <w:rFonts w:hint="eastAsia" w:asciiTheme="minorEastAsia" w:hAnsiTheme="minorEastAsia" w:eastAsiaTheme="minorEastAsia" w:cstheme="minorEastAsia"/>
                <w:sz w:val="24"/>
                <w:szCs w:val="24"/>
              </w:rPr>
              <w:t>日历日</w:t>
            </w:r>
          </w:p>
        </w:tc>
      </w:tr>
      <w:tr w14:paraId="04436C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3A920B1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数量</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8E9EDAE">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文件：1份</w:t>
            </w:r>
          </w:p>
        </w:tc>
      </w:tr>
      <w:tr w14:paraId="139A9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5427ADE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上传</w:t>
            </w:r>
            <w:r>
              <w:rPr>
                <w:rFonts w:hint="eastAsia" w:asciiTheme="minorEastAsia" w:hAnsiTheme="minorEastAsia" w:eastAsiaTheme="minorEastAsia" w:cstheme="minorEastAsia"/>
                <w:sz w:val="24"/>
                <w:szCs w:val="24"/>
              </w:rPr>
              <w:t>截止时间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126BAA9D">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7 </w:t>
            </w:r>
            <w:r>
              <w:rPr>
                <w:rFonts w:hint="eastAsia" w:asciiTheme="minorEastAsia" w:hAnsiTheme="minorEastAsia" w:eastAsiaTheme="minorEastAsia" w:cstheme="minorEastAsia"/>
                <w:color w:val="auto"/>
                <w:spacing w:val="-12"/>
                <w:sz w:val="24"/>
                <w:szCs w:val="24"/>
                <w:highlight w:val="none"/>
              </w:rPr>
              <w:t>月</w:t>
            </w:r>
            <w:r>
              <w:rPr>
                <w:rFonts w:hint="eastAsia" w:asciiTheme="minorEastAsia" w:hAnsiTheme="minorEastAsia" w:eastAsiaTheme="minorEastAsia" w:cstheme="minorEastAsia"/>
                <w:color w:val="auto"/>
                <w:spacing w:val="-12"/>
                <w:sz w:val="24"/>
                <w:szCs w:val="24"/>
                <w:highlight w:val="none"/>
                <w:u w:val="single"/>
                <w:lang w:val="en-US" w:eastAsia="zh-CN"/>
              </w:rPr>
              <w:t xml:space="preserve"> 28 </w:t>
            </w:r>
            <w:r>
              <w:rPr>
                <w:rFonts w:hint="eastAsia" w:asciiTheme="minorEastAsia" w:hAnsiTheme="minorEastAsia" w:eastAsiaTheme="minorEastAsia" w:cstheme="minorEastAsia"/>
                <w:color w:val="auto"/>
                <w:spacing w:val="-12"/>
                <w:sz w:val="24"/>
                <w:szCs w:val="24"/>
                <w:highlight w:val="none"/>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2ED0E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19A740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响应文件开启</w:t>
            </w:r>
            <w:r>
              <w:rPr>
                <w:rFonts w:hint="eastAsia" w:asciiTheme="minorEastAsia" w:hAnsiTheme="minorEastAsia" w:eastAsiaTheme="minorEastAsia" w:cstheme="minorEastAsia"/>
                <w:sz w:val="24"/>
                <w:szCs w:val="24"/>
              </w:rPr>
              <w:t>时间</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5F8A228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u w:val="single"/>
                <w:lang w:eastAsia="zh-CN"/>
              </w:rPr>
            </w:pPr>
            <w:r>
              <w:rPr>
                <w:rFonts w:hint="eastAsia" w:asciiTheme="minorEastAsia" w:hAnsiTheme="minorEastAsia" w:eastAsiaTheme="minorEastAsia" w:cstheme="minorEastAsia"/>
                <w:spacing w:val="-12"/>
                <w:sz w:val="24"/>
                <w:szCs w:val="24"/>
                <w:u w:val="single"/>
                <w:lang w:val="en-US" w:eastAsia="zh-CN"/>
              </w:rPr>
              <w:t xml:space="preserve"> 2026 </w:t>
            </w:r>
            <w:r>
              <w:rPr>
                <w:rFonts w:hint="eastAsia" w:asciiTheme="minorEastAsia" w:hAnsiTheme="minorEastAsia" w:eastAsiaTheme="minorEastAsia" w:cstheme="minorEastAsia"/>
                <w:spacing w:val="-12"/>
                <w:sz w:val="24"/>
                <w:szCs w:val="24"/>
              </w:rPr>
              <w:t>年</w:t>
            </w:r>
            <w:r>
              <w:rPr>
                <w:rFonts w:hint="eastAsia" w:asciiTheme="minorEastAsia" w:hAnsiTheme="minorEastAsia" w:eastAsiaTheme="minorEastAsia" w:cstheme="minorEastAsia"/>
                <w:spacing w:val="-12"/>
                <w:sz w:val="24"/>
                <w:szCs w:val="24"/>
                <w:highlight w:val="none"/>
                <w:u w:val="single"/>
                <w:lang w:val="en-US" w:eastAsia="zh-CN"/>
              </w:rPr>
              <w:t xml:space="preserve"> 7 </w:t>
            </w:r>
            <w:r>
              <w:rPr>
                <w:rFonts w:hint="eastAsia" w:asciiTheme="minorEastAsia" w:hAnsiTheme="minorEastAsia" w:eastAsiaTheme="minorEastAsia" w:cstheme="minorEastAsia"/>
                <w:spacing w:val="-12"/>
                <w:sz w:val="24"/>
                <w:szCs w:val="24"/>
                <w:highlight w:val="none"/>
              </w:rPr>
              <w:t>月</w:t>
            </w:r>
            <w:r>
              <w:rPr>
                <w:rFonts w:hint="eastAsia" w:asciiTheme="minorEastAsia" w:hAnsiTheme="minorEastAsia" w:eastAsiaTheme="minorEastAsia" w:cstheme="minorEastAsia"/>
                <w:spacing w:val="-12"/>
                <w:sz w:val="24"/>
                <w:szCs w:val="24"/>
                <w:highlight w:val="none"/>
                <w:u w:val="single"/>
                <w:lang w:val="en-US" w:eastAsia="zh-CN"/>
              </w:rPr>
              <w:t xml:space="preserve"> 28 </w:t>
            </w:r>
            <w:r>
              <w:rPr>
                <w:rFonts w:hint="eastAsia" w:asciiTheme="minorEastAsia" w:hAnsiTheme="minorEastAsia" w:eastAsiaTheme="minorEastAsia" w:cstheme="minorEastAsia"/>
                <w:spacing w:val="-12"/>
                <w:sz w:val="24"/>
                <w:szCs w:val="24"/>
                <w:highlight w:val="none"/>
              </w:rPr>
              <w:t>日</w:t>
            </w:r>
            <w:r>
              <w:rPr>
                <w:rFonts w:hint="eastAsia" w:asciiTheme="minorEastAsia" w:hAnsiTheme="minorEastAsia" w:eastAsiaTheme="minorEastAsia" w:cstheme="minorEastAsia"/>
                <w:spacing w:val="-12"/>
                <w:sz w:val="24"/>
                <w:szCs w:val="24"/>
                <w:u w:val="single"/>
                <w:lang w:val="en-US" w:eastAsia="zh-CN"/>
              </w:rPr>
              <w:t xml:space="preserve"> 9 </w:t>
            </w:r>
            <w:r>
              <w:rPr>
                <w:rFonts w:hint="eastAsia" w:asciiTheme="minorEastAsia" w:hAnsiTheme="minorEastAsia" w:eastAsiaTheme="minorEastAsia" w:cstheme="minorEastAsia"/>
                <w:spacing w:val="-12"/>
                <w:sz w:val="24"/>
                <w:szCs w:val="24"/>
              </w:rPr>
              <w:t>点</w:t>
            </w:r>
            <w:r>
              <w:rPr>
                <w:rFonts w:hint="eastAsia" w:asciiTheme="minorEastAsia" w:hAnsiTheme="minorEastAsia" w:eastAsiaTheme="minorEastAsia" w:cstheme="minorEastAsia"/>
                <w:spacing w:val="-12"/>
                <w:sz w:val="24"/>
                <w:szCs w:val="24"/>
                <w:u w:val="single"/>
                <w:lang w:val="en-US" w:eastAsia="zh-CN"/>
              </w:rPr>
              <w:t xml:space="preserve"> 00 </w:t>
            </w:r>
            <w:r>
              <w:rPr>
                <w:rFonts w:hint="eastAsia" w:asciiTheme="minorEastAsia" w:hAnsiTheme="minorEastAsia" w:eastAsiaTheme="minorEastAsia" w:cstheme="minorEastAsia"/>
                <w:spacing w:val="-12"/>
                <w:sz w:val="24"/>
                <w:szCs w:val="24"/>
              </w:rPr>
              <w:t>分</w:t>
            </w:r>
            <w:r>
              <w:rPr>
                <w:rFonts w:hint="eastAsia" w:asciiTheme="minorEastAsia" w:hAnsiTheme="minorEastAsia" w:eastAsiaTheme="minorEastAsia" w:cstheme="minorEastAsia"/>
                <w:snapToGrid w:val="0"/>
                <w:color w:val="000000"/>
                <w:spacing w:val="14"/>
                <w:kern w:val="0"/>
                <w:sz w:val="24"/>
                <w:szCs w:val="24"/>
                <w:lang w:val="en-US" w:eastAsia="zh-CN" w:bidi="ar-SA"/>
              </w:rPr>
              <w:t>（北京时间）</w:t>
            </w:r>
          </w:p>
        </w:tc>
      </w:tr>
      <w:tr w14:paraId="393746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0"/>
            <w:vAlign w:val="center"/>
          </w:tcPr>
          <w:p w14:paraId="70F4DEB7">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0"/>
            <w:vAlign w:val="center"/>
          </w:tcPr>
          <w:p w14:paraId="645D359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采购人</w:t>
            </w:r>
            <w:r>
              <w:rPr>
                <w:rFonts w:hint="eastAsia" w:asciiTheme="minorEastAsia" w:hAnsiTheme="minorEastAsia" w:eastAsiaTheme="minorEastAsia" w:cstheme="minorEastAsia"/>
                <w:sz w:val="24"/>
                <w:szCs w:val="24"/>
                <w:lang w:eastAsia="zh-CN"/>
              </w:rPr>
              <w:t>是否委托</w:t>
            </w:r>
            <w:r>
              <w:rPr>
                <w:rFonts w:hint="eastAsia" w:asciiTheme="minorEastAsia" w:hAnsiTheme="minorEastAsia" w:eastAsiaTheme="minorEastAsia" w:cstheme="minorEastAsia"/>
                <w:sz w:val="24"/>
                <w:szCs w:val="24"/>
                <w:lang w:val="en-US" w:eastAsia="zh-CN"/>
              </w:rPr>
              <w:t>谈判小组</w:t>
            </w:r>
            <w:r>
              <w:rPr>
                <w:rFonts w:hint="eastAsia" w:asciiTheme="minorEastAsia" w:hAnsiTheme="minorEastAsia" w:eastAsiaTheme="minorEastAsia" w:cstheme="minorEastAsia"/>
                <w:sz w:val="24"/>
                <w:szCs w:val="24"/>
                <w:lang w:eastAsia="zh-CN"/>
              </w:rPr>
              <w:t>直接确定</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lang w:eastAsia="zh-CN"/>
              </w:rPr>
              <w:t>人：</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z w:val="24"/>
                <w:szCs w:val="24"/>
                <w:lang w:eastAsia="zh-CN"/>
              </w:rPr>
              <w:t>是</w:t>
            </w:r>
            <w:r>
              <w:rPr>
                <w:rFonts w:hint="eastAsia" w:asciiTheme="minorEastAsia" w:hAnsiTheme="minorEastAsia" w:eastAsiaTheme="minorEastAsia" w:cstheme="minorEastAsia"/>
                <w:spacing w:val="14"/>
                <w:sz w:val="24"/>
                <w:szCs w:val="24"/>
                <w:lang w:eastAsia="zh-CN"/>
              </w:rPr>
              <w:t>☑</w:t>
            </w:r>
            <w:r>
              <w:rPr>
                <w:rFonts w:hint="eastAsia" w:asciiTheme="minorEastAsia" w:hAnsiTheme="minorEastAsia" w:eastAsiaTheme="minorEastAsia" w:cstheme="minorEastAsia"/>
                <w:spacing w:val="14"/>
                <w:sz w:val="24"/>
                <w:szCs w:val="24"/>
                <w:lang w:val="en-US" w:eastAsia="zh-CN"/>
              </w:rPr>
              <w:t>否</w:t>
            </w:r>
          </w:p>
        </w:tc>
      </w:tr>
      <w:tr w14:paraId="034FAB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12" w:space="0"/>
              <w:right w:val="single" w:color="auto" w:sz="6" w:space="0"/>
            </w:tcBorders>
            <w:noWrap w:val="0"/>
            <w:vAlign w:val="center"/>
          </w:tcPr>
          <w:p w14:paraId="175AFCE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napToGrid w:val="0"/>
                <w:color w:val="000000"/>
                <w:kern w:val="0"/>
                <w:sz w:val="24"/>
                <w:szCs w:val="24"/>
                <w:lang w:val="en-US" w:eastAsia="zh-CN" w:bidi="ar-SA"/>
              </w:rPr>
            </w:pPr>
            <w:r>
              <w:rPr>
                <w:rFonts w:hint="eastAsia" w:asciiTheme="minorEastAsia" w:hAnsiTheme="minorEastAsia" w:eastAsiaTheme="minorEastAsia" w:cstheme="minorEastAsia"/>
                <w:sz w:val="24"/>
                <w:szCs w:val="24"/>
                <w:lang w:val="en-US" w:eastAsia="zh-CN"/>
              </w:rPr>
              <w:t>代理费</w:t>
            </w:r>
          </w:p>
        </w:tc>
        <w:tc>
          <w:tcPr>
            <w:tcW w:w="7305" w:type="dxa"/>
            <w:tcBorders>
              <w:top w:val="single" w:color="auto" w:sz="6" w:space="0"/>
              <w:left w:val="single" w:color="auto" w:sz="6" w:space="0"/>
              <w:bottom w:val="single" w:color="auto" w:sz="12" w:space="0"/>
              <w:right w:val="single" w:color="auto" w:sz="12" w:space="0"/>
            </w:tcBorders>
            <w:noWrap w:val="0"/>
            <w:vAlign w:val="center"/>
          </w:tcPr>
          <w:p w14:paraId="01B940A3">
            <w:pPr>
              <w:pStyle w:val="20"/>
              <w:keepNext w:val="0"/>
              <w:keepLines w:val="0"/>
              <w:pageBreakBefore w:val="0"/>
              <w:kinsoku/>
              <w:wordWrap w:val="0"/>
              <w:overflowPunct/>
              <w:topLinePunct w:val="0"/>
              <w:bidi w:val="0"/>
              <w:spacing w:before="1" w:line="220" w:lineRule="auto"/>
              <w:ind w:left="126"/>
              <w:jc w:val="both"/>
              <w:rPr>
                <w:rFonts w:hint="eastAsia" w:asciiTheme="minorEastAsia" w:hAnsiTheme="minorEastAsia" w:eastAsiaTheme="minorEastAsia" w:cstheme="minorEastAsia"/>
                <w:snapToGrid w:val="0"/>
                <w:color w:val="000000"/>
                <w:spacing w:val="-13"/>
                <w:kern w:val="0"/>
                <w:sz w:val="24"/>
                <w:szCs w:val="24"/>
                <w:lang w:val="en-US" w:eastAsia="zh-CN" w:bidi="ar-SA"/>
              </w:rPr>
            </w:pPr>
            <w:r>
              <w:rPr>
                <w:rFonts w:hint="eastAsia" w:asciiTheme="minorEastAsia" w:hAnsiTheme="minorEastAsia" w:eastAsiaTheme="minorEastAsia" w:cstheme="minorEastAsia"/>
                <w:spacing w:val="29"/>
                <w:sz w:val="24"/>
                <w:szCs w:val="24"/>
                <w:lang w:eastAsia="zh-CN"/>
              </w:rPr>
              <w:t>☑</w:t>
            </w:r>
            <w:r>
              <w:rPr>
                <w:rFonts w:hint="eastAsia" w:asciiTheme="minorEastAsia" w:hAnsiTheme="minorEastAsia" w:eastAsiaTheme="minorEastAsia" w:cstheme="minorEastAsia"/>
                <w:sz w:val="24"/>
                <w:szCs w:val="24"/>
                <w:lang w:val="en-US" w:eastAsia="zh-CN"/>
              </w:rPr>
              <w:t>集中采购机构不收费</w:t>
            </w:r>
          </w:p>
        </w:tc>
      </w:tr>
    </w:tbl>
    <w:p w14:paraId="6A8A0BE3">
      <w:pPr>
        <w:keepNext w:val="0"/>
        <w:keepLines w:val="0"/>
        <w:pageBreakBefore w:val="0"/>
        <w:kinsoku/>
        <w:wordWrap w:val="0"/>
        <w:overflowPunct/>
        <w:topLinePunct w:val="0"/>
        <w:bidi w:val="0"/>
        <w:spacing w:line="371" w:lineRule="auto"/>
        <w:jc w:val="both"/>
        <w:rPr>
          <w:rFonts w:ascii="Arial"/>
          <w:sz w:val="21"/>
        </w:rPr>
      </w:pPr>
    </w:p>
    <w:p w14:paraId="454DD55D">
      <w:pPr>
        <w:keepNext w:val="0"/>
        <w:keepLines w:val="0"/>
        <w:pageBreakBefore w:val="0"/>
        <w:kinsoku/>
        <w:wordWrap w:val="0"/>
        <w:overflowPunct/>
        <w:topLinePunct w:val="0"/>
        <w:bidi w:val="0"/>
        <w:spacing w:line="243" w:lineRule="auto"/>
        <w:jc w:val="both"/>
        <w:rPr>
          <w:rFonts w:ascii="Arial"/>
          <w:sz w:val="21"/>
        </w:rPr>
      </w:pPr>
    </w:p>
    <w:p w14:paraId="350418C3">
      <w:pPr>
        <w:keepNext w:val="0"/>
        <w:keepLines w:val="0"/>
        <w:pageBreakBefore w:val="0"/>
        <w:kinsoku/>
        <w:wordWrap w:val="0"/>
        <w:overflowPunct/>
        <w:topLinePunct w:val="0"/>
        <w:bidi w:val="0"/>
        <w:spacing w:line="244" w:lineRule="auto"/>
        <w:jc w:val="both"/>
        <w:rPr>
          <w:rFonts w:ascii="Arial"/>
          <w:sz w:val="21"/>
        </w:rPr>
      </w:pPr>
    </w:p>
    <w:p w14:paraId="0D5E4A61">
      <w:pPr>
        <w:pStyle w:val="5"/>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14:paraId="256778AF">
      <w:pPr>
        <w:pStyle w:val="5"/>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14:paraId="53BABDF1">
      <w:pPr>
        <w:pStyle w:val="5"/>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14:paraId="719DE909">
      <w:pPr>
        <w:pStyle w:val="5"/>
        <w:keepNext w:val="0"/>
        <w:keepLines w:val="0"/>
        <w:pageBreakBefore w:val="0"/>
        <w:kinsoku/>
        <w:wordWrap w:val="0"/>
        <w:overflowPunct/>
        <w:topLinePunct w:val="0"/>
        <w:bidi w:val="0"/>
        <w:spacing w:before="91" w:line="220" w:lineRule="auto"/>
        <w:ind w:left="3844"/>
        <w:jc w:val="both"/>
        <w:rPr>
          <w:spacing w:val="-1"/>
          <w:sz w:val="28"/>
          <w:szCs w:val="28"/>
          <w14:textOutline w14:w="1800" w14:cap="flat" w14:cmpd="sng">
            <w14:solidFill>
              <w14:srgbClr w14:val="000000"/>
            </w14:solidFill>
            <w14:prstDash w14:val="solid"/>
            <w14:miter w14:val="0"/>
          </w14:textOutline>
        </w:rPr>
      </w:pPr>
    </w:p>
    <w:p w14:paraId="1AEC43C8">
      <w:pPr>
        <w:pStyle w:val="5"/>
        <w:keepNext w:val="0"/>
        <w:keepLines w:val="0"/>
        <w:pageBreakBefore w:val="0"/>
        <w:kinsoku/>
        <w:wordWrap w:val="0"/>
        <w:overflowPunct/>
        <w:topLinePunct w:val="0"/>
        <w:bidi w:val="0"/>
        <w:spacing w:before="91" w:line="360" w:lineRule="auto"/>
        <w:ind w:left="3844"/>
        <w:jc w:val="both"/>
        <w:rPr>
          <w:spacing w:val="-1"/>
          <w:sz w:val="28"/>
          <w:szCs w:val="28"/>
          <w14:textOutline w14:w="1800" w14:cap="flat" w14:cmpd="sng">
            <w14:solidFill>
              <w14:srgbClr w14:val="000000"/>
            </w14:solidFill>
            <w14:prstDash w14:val="solid"/>
            <w14:miter w14:val="0"/>
          </w14:textOutline>
        </w:rPr>
      </w:pPr>
    </w:p>
    <w:p w14:paraId="30AF44C5">
      <w:pPr>
        <w:pStyle w:val="5"/>
        <w:keepNext w:val="0"/>
        <w:keepLines w:val="0"/>
        <w:pageBreakBefore w:val="0"/>
        <w:kinsoku/>
        <w:wordWrap w:val="0"/>
        <w:overflowPunct/>
        <w:topLinePunct w:val="0"/>
        <w:bidi w:val="0"/>
        <w:spacing w:before="91" w:line="360" w:lineRule="auto"/>
        <w:jc w:val="center"/>
        <w:rPr>
          <w:sz w:val="28"/>
          <w:szCs w:val="28"/>
        </w:rPr>
      </w:pPr>
      <w:r>
        <w:rPr>
          <w:spacing w:val="-1"/>
          <w:sz w:val="28"/>
          <w:szCs w:val="28"/>
          <w14:textOutline w14:w="1800" w14:cap="flat" w14:cmpd="sng">
            <w14:solidFill>
              <w14:srgbClr w14:val="000000"/>
            </w14:solidFill>
            <w14:prstDash w14:val="solid"/>
            <w14:miter w14:val="0"/>
          </w14:textOutline>
        </w:rPr>
        <w:t>供应商须知</w:t>
      </w:r>
    </w:p>
    <w:p w14:paraId="36FF9AB7">
      <w:pPr>
        <w:pStyle w:val="5"/>
        <w:keepNext w:val="0"/>
        <w:keepLines w:val="0"/>
        <w:pageBreakBefore w:val="0"/>
        <w:kinsoku/>
        <w:wordWrap w:val="0"/>
        <w:overflowPunct/>
        <w:topLinePunct w:val="0"/>
        <w:bidi w:val="0"/>
        <w:spacing w:before="270" w:line="360" w:lineRule="auto"/>
        <w:jc w:val="both"/>
        <w:rPr>
          <w:rFonts w:hint="eastAsia" w:asciiTheme="minorEastAsia" w:hAnsiTheme="minorEastAsia" w:eastAsiaTheme="minorEastAsia" w:cstheme="minorEastAsia"/>
          <w:spacing w:val="-1"/>
          <w:sz w:val="24"/>
          <w:szCs w:val="24"/>
        </w:rPr>
      </w:pPr>
      <w:r>
        <w:rPr>
          <w:spacing w:val="-10"/>
          <w:sz w:val="28"/>
          <w:szCs w:val="28"/>
          <w14:textOutline w14:w="1800" w14:cap="flat" w14:cmpd="sng">
            <w14:solidFill>
              <w14:srgbClr w14:val="000000"/>
            </w14:solidFill>
            <w14:prstDash w14:val="solid"/>
            <w14:miter w14:val="0"/>
          </w14:textOutline>
        </w:rPr>
        <w:t>一</w:t>
      </w:r>
      <w:r>
        <w:rPr>
          <w:rFonts w:hint="eastAsia"/>
          <w:spacing w:val="5"/>
          <w:sz w:val="28"/>
          <w:szCs w:val="28"/>
          <w:lang w:eastAsia="zh-CN"/>
        </w:rPr>
        <w:t>、</w:t>
      </w:r>
      <w:r>
        <w:rPr>
          <w:spacing w:val="-10"/>
          <w:sz w:val="28"/>
          <w:szCs w:val="28"/>
          <w14:textOutline w14:w="1800" w14:cap="flat" w14:cmpd="sng">
            <w14:solidFill>
              <w14:srgbClr w14:val="000000"/>
            </w14:solidFill>
            <w14:prstDash w14:val="solid"/>
            <w14:miter w14:val="0"/>
          </w14:textOutline>
        </w:rPr>
        <w:t>说明</w:t>
      </w:r>
    </w:p>
    <w:p w14:paraId="4721363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8"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1"/>
          <w:sz w:val="24"/>
          <w:szCs w:val="24"/>
        </w:rPr>
        <w:t>1</w:t>
      </w:r>
      <w:r>
        <w:rPr>
          <w:rFonts w:hint="eastAsia" w:asciiTheme="minorEastAsia" w:hAnsiTheme="minorEastAsia" w:eastAsiaTheme="minorEastAsia" w:cstheme="minorEastAsia"/>
          <w:b/>
          <w:bCs/>
          <w:spacing w:val="-1"/>
          <w:sz w:val="24"/>
          <w:szCs w:val="24"/>
          <w:lang w:val="en-US" w:eastAsia="zh-CN"/>
        </w:rPr>
        <w:t>.</w:t>
      </w:r>
      <w:r>
        <w:rPr>
          <w:rFonts w:hint="eastAsia" w:asciiTheme="minorEastAsia" w:hAnsiTheme="minorEastAsia" w:eastAsiaTheme="minorEastAsia" w:cstheme="minorEastAsia"/>
          <w:b/>
          <w:bCs/>
          <w:spacing w:val="-1"/>
          <w:sz w:val="24"/>
          <w:szCs w:val="24"/>
        </w:rPr>
        <w:t>采购人、采购代理机构、</w:t>
      </w:r>
      <w:r>
        <w:rPr>
          <w:rFonts w:hint="eastAsia" w:asciiTheme="minorEastAsia" w:hAnsiTheme="minorEastAsia" w:eastAsiaTheme="minorEastAsia" w:cstheme="minorEastAsia"/>
          <w:b/>
          <w:bCs/>
          <w:spacing w:val="-4"/>
          <w:sz w:val="24"/>
          <w:szCs w:val="24"/>
          <w:lang w:val="en-US" w:eastAsia="zh-CN"/>
        </w:rPr>
        <w:t>供应商</w:t>
      </w:r>
      <w:r>
        <w:rPr>
          <w:rFonts w:hint="eastAsia" w:asciiTheme="minorEastAsia" w:hAnsiTheme="minorEastAsia" w:eastAsiaTheme="minorEastAsia" w:cstheme="minorEastAsia"/>
          <w:b/>
          <w:bCs/>
          <w:spacing w:val="-1"/>
          <w:sz w:val="24"/>
          <w:szCs w:val="24"/>
        </w:rPr>
        <w:t>、联合体</w:t>
      </w:r>
    </w:p>
    <w:p w14:paraId="356DB19E">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采购人、采购代理机构：指依法进行政府采购的国家机关、事业单位、团体组织，及其委托的采购代理机构。本项目采购人、采购代理机构见第一章《</w:t>
      </w:r>
      <w:r>
        <w:rPr>
          <w:rFonts w:hint="eastAsia" w:asciiTheme="minorEastAsia" w:hAnsiTheme="minorEastAsia" w:eastAsiaTheme="minorEastAsia" w:cstheme="minorEastAsia"/>
          <w:spacing w:val="2"/>
          <w:sz w:val="24"/>
          <w:szCs w:val="24"/>
          <w:lang w:val="en-US" w:eastAsia="zh-CN"/>
        </w:rPr>
        <w:t>竞争性谈判公告</w:t>
      </w:r>
      <w:r>
        <w:rPr>
          <w:rFonts w:hint="eastAsia" w:asciiTheme="minorEastAsia" w:hAnsiTheme="minorEastAsia" w:eastAsiaTheme="minorEastAsia" w:cstheme="minorEastAsia"/>
          <w:spacing w:val="2"/>
          <w:sz w:val="24"/>
          <w:szCs w:val="24"/>
        </w:rPr>
        <w:t>》。</w:t>
      </w:r>
    </w:p>
    <w:p w14:paraId="1DDBEB5E">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1.2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供应商（也称申请人）：指向采购人</w:t>
      </w:r>
      <w:r>
        <w:rPr>
          <w:rFonts w:hint="eastAsia" w:asciiTheme="minorEastAsia" w:hAnsiTheme="minorEastAsia" w:eastAsiaTheme="minorEastAsia" w:cstheme="minorEastAsia"/>
          <w:spacing w:val="2"/>
          <w:sz w:val="24"/>
          <w:szCs w:val="24"/>
          <w:lang w:val="en-US" w:eastAsia="zh-CN"/>
        </w:rPr>
        <w:t>提</w:t>
      </w:r>
      <w:r>
        <w:rPr>
          <w:rFonts w:hint="eastAsia" w:asciiTheme="minorEastAsia" w:hAnsiTheme="minorEastAsia" w:eastAsiaTheme="minorEastAsia" w:cstheme="minorEastAsia"/>
          <w:spacing w:val="2"/>
          <w:sz w:val="24"/>
          <w:szCs w:val="24"/>
        </w:rPr>
        <w:t>供货物、工程或者服务的法人、其他组织或者自然人。</w:t>
      </w:r>
    </w:p>
    <w:p w14:paraId="0C3A1284">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1.3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联合体：指两个以上的自然人、法人或者其他组织组成一个联合体，以一个供应商的身份共同参加政府采购。</w:t>
      </w:r>
    </w:p>
    <w:p w14:paraId="35D2175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eastAsiaTheme="minorEastAsia" w:cstheme="minorEastAsia"/>
          <w:b/>
          <w:bCs/>
          <w:sz w:val="24"/>
          <w:szCs w:val="24"/>
        </w:rPr>
        <w:t>资金来源、项目属性、科研仪器设备采购</w:t>
      </w:r>
    </w:p>
    <w:p w14:paraId="337F9B6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2.1</w:t>
      </w:r>
      <w:r>
        <w:rPr>
          <w:rFonts w:hint="eastAsia" w:asciiTheme="minorEastAsia" w:hAnsiTheme="minorEastAsia" w:eastAsiaTheme="minorEastAsia" w:cstheme="minorEastAsia"/>
          <w:spacing w:val="7"/>
          <w:sz w:val="24"/>
          <w:szCs w:val="24"/>
          <w:lang w:val="en-US" w:eastAsia="zh-CN"/>
        </w:rPr>
        <w:t xml:space="preserve"> </w:t>
      </w:r>
      <w:r>
        <w:rPr>
          <w:rFonts w:hint="eastAsia" w:asciiTheme="minorEastAsia" w:hAnsiTheme="minorEastAsia" w:eastAsiaTheme="minorEastAsia" w:cstheme="minorEastAsia"/>
          <w:spacing w:val="7"/>
          <w:sz w:val="24"/>
          <w:szCs w:val="24"/>
        </w:rPr>
        <w:t>资金来源为财政性资金</w:t>
      </w:r>
      <w:r>
        <w:rPr>
          <w:rFonts w:hint="eastAsia" w:asciiTheme="minorEastAsia" w:hAnsiTheme="minorEastAsia" w:eastAsiaTheme="minorEastAsia" w:cstheme="minorEastAsia"/>
          <w:spacing w:val="7"/>
          <w:sz w:val="24"/>
          <w:szCs w:val="24"/>
          <w:u w:val="single"/>
          <w:lang w:val="en-US" w:eastAsia="zh-CN"/>
        </w:rPr>
        <w:t xml:space="preserve"> 89.18 </w:t>
      </w:r>
      <w:r>
        <w:rPr>
          <w:rFonts w:hint="eastAsia" w:asciiTheme="minorEastAsia" w:hAnsiTheme="minorEastAsia" w:eastAsiaTheme="minorEastAsia" w:cstheme="minorEastAsia"/>
          <w:spacing w:val="7"/>
          <w:sz w:val="24"/>
          <w:szCs w:val="24"/>
          <w:u w:val="none"/>
          <w:lang w:val="en-US" w:eastAsia="zh-CN"/>
        </w:rPr>
        <w:t>万元</w:t>
      </w:r>
      <w:r>
        <w:rPr>
          <w:rFonts w:hint="eastAsia" w:asciiTheme="minorEastAsia" w:hAnsiTheme="minorEastAsia" w:eastAsiaTheme="minorEastAsia" w:cstheme="minorEastAsia"/>
          <w:spacing w:val="-9"/>
          <w:sz w:val="24"/>
          <w:szCs w:val="24"/>
        </w:rPr>
        <w:t>。</w:t>
      </w:r>
    </w:p>
    <w:p w14:paraId="5B9F388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2.2</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项目属性见《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32608F0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2.3</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是否属于科研仪器设备采购见《</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2"/>
          <w:sz w:val="24"/>
          <w:szCs w:val="24"/>
          <w:lang w:eastAsia="zh-CN"/>
        </w:rPr>
        <w:t>须知表</w:t>
      </w:r>
      <w:r>
        <w:rPr>
          <w:rFonts w:hint="eastAsia" w:asciiTheme="minorEastAsia" w:hAnsiTheme="minorEastAsia" w:eastAsiaTheme="minorEastAsia" w:cstheme="minorEastAsia"/>
          <w:spacing w:val="2"/>
          <w:sz w:val="24"/>
          <w:szCs w:val="24"/>
        </w:rPr>
        <w:t>》。</w:t>
      </w:r>
    </w:p>
    <w:p w14:paraId="09B07F0C">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0" w:firstLineChars="200"/>
        <w:jc w:val="both"/>
        <w:textAlignment w:val="baseline"/>
        <w:rPr>
          <w:rFonts w:hint="eastAsia" w:asciiTheme="minorEastAsia" w:hAnsiTheme="minorEastAsia" w:eastAsiaTheme="minorEastAsia" w:cstheme="minorEastAsia"/>
          <w:b/>
          <w:bCs/>
          <w:spacing w:val="2"/>
          <w:sz w:val="24"/>
          <w:szCs w:val="24"/>
        </w:rPr>
      </w:pPr>
      <w:r>
        <w:rPr>
          <w:rFonts w:hint="eastAsia" w:asciiTheme="minorEastAsia" w:hAnsiTheme="minorEastAsia" w:eastAsiaTheme="minorEastAsia" w:cstheme="minorEastAsia"/>
          <w:b/>
          <w:bCs/>
          <w:spacing w:val="2"/>
          <w:sz w:val="24"/>
          <w:szCs w:val="24"/>
          <w:lang w:val="en-US" w:eastAsia="zh-CN"/>
        </w:rPr>
        <w:t>3.</w:t>
      </w:r>
      <w:r>
        <w:rPr>
          <w:rFonts w:hint="eastAsia" w:asciiTheme="minorEastAsia" w:hAnsiTheme="minorEastAsia" w:eastAsiaTheme="minorEastAsia" w:cstheme="minorEastAsia"/>
          <w:b/>
          <w:bCs/>
          <w:spacing w:val="2"/>
          <w:sz w:val="24"/>
          <w:szCs w:val="24"/>
        </w:rPr>
        <w:t>政府采购政策（包括但不限于下列具体政策要求）</w:t>
      </w:r>
    </w:p>
    <w:p w14:paraId="4D583CFE">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采购本国货物、工程和服务</w:t>
      </w:r>
    </w:p>
    <w:p w14:paraId="1015F0D4">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.1.1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政府采购应当采购本国货物、工程和服务。但有《中华人民共和国政府采购法》第十条规定情形的除外。</w:t>
      </w:r>
    </w:p>
    <w:p w14:paraId="03024A84">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.1.2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本项目如接受非本国货</w:t>
      </w:r>
      <w:r>
        <w:rPr>
          <w:rFonts w:hint="eastAsia" w:asciiTheme="minorEastAsia" w:hAnsiTheme="minorEastAsia" w:eastAsiaTheme="minorEastAsia" w:cstheme="minorEastAsia"/>
          <w:spacing w:val="-5"/>
          <w:sz w:val="24"/>
          <w:szCs w:val="24"/>
        </w:rPr>
        <w:t>物、工程、服务参与</w:t>
      </w:r>
      <w:r>
        <w:rPr>
          <w:rFonts w:hint="eastAsia" w:asciiTheme="minorEastAsia" w:hAnsiTheme="minorEastAsia" w:eastAsiaTheme="minorEastAsia" w:cstheme="minorEastAsia"/>
          <w:spacing w:val="-5"/>
          <w:sz w:val="24"/>
          <w:szCs w:val="24"/>
          <w:lang w:val="en-US" w:eastAsia="zh-CN"/>
        </w:rPr>
        <w:t>谈判</w:t>
      </w:r>
      <w:r>
        <w:rPr>
          <w:rFonts w:hint="eastAsia" w:asciiTheme="minorEastAsia" w:hAnsiTheme="minorEastAsia" w:eastAsiaTheme="minorEastAsia" w:cstheme="minorEastAsia"/>
          <w:spacing w:val="-5"/>
          <w:sz w:val="24"/>
          <w:szCs w:val="24"/>
        </w:rPr>
        <w:t>，则具体要求见第</w:t>
      </w:r>
      <w:r>
        <w:rPr>
          <w:rFonts w:hint="eastAsia" w:asciiTheme="minorEastAsia" w:hAnsiTheme="minorEastAsia" w:eastAsiaTheme="minorEastAsia" w:cstheme="minorEastAsia"/>
          <w:spacing w:val="-5"/>
          <w:sz w:val="24"/>
          <w:szCs w:val="24"/>
          <w:lang w:val="en-US" w:eastAsia="zh-CN"/>
        </w:rPr>
        <w:t>二</w:t>
      </w:r>
      <w:r>
        <w:rPr>
          <w:rFonts w:hint="eastAsia" w:asciiTheme="minorEastAsia" w:hAnsiTheme="minorEastAsia" w:eastAsiaTheme="minorEastAsia" w:cstheme="minorEastAsia"/>
          <w:spacing w:val="-19"/>
          <w:sz w:val="24"/>
          <w:szCs w:val="24"/>
        </w:rPr>
        <w:t>章《采购需求》。</w:t>
      </w:r>
    </w:p>
    <w:p w14:paraId="74A8E63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lang w:val="en-US" w:eastAsia="zh-CN"/>
        </w:rPr>
        <w:t>3</w:t>
      </w:r>
      <w:r>
        <w:rPr>
          <w:rFonts w:hint="eastAsia" w:asciiTheme="minorEastAsia" w:hAnsiTheme="minorEastAsia" w:eastAsiaTheme="minorEastAsia" w:cstheme="minorEastAsia"/>
          <w:spacing w:val="6"/>
          <w:sz w:val="24"/>
          <w:szCs w:val="24"/>
        </w:rPr>
        <w:t>.1.3</w:t>
      </w:r>
      <w:r>
        <w:rPr>
          <w:rFonts w:hint="eastAsia" w:asciiTheme="minorEastAsia" w:hAnsiTheme="minorEastAsia" w:eastAsiaTheme="minorEastAsia" w:cstheme="minorEastAsia"/>
          <w:spacing w:val="6"/>
          <w:sz w:val="24"/>
          <w:szCs w:val="24"/>
          <w:lang w:val="en-US" w:eastAsia="zh-CN"/>
        </w:rPr>
        <w:t xml:space="preserve"> </w:t>
      </w:r>
      <w:r>
        <w:rPr>
          <w:rFonts w:hint="eastAsia" w:asciiTheme="minorEastAsia" w:hAnsiTheme="minorEastAsia" w:eastAsiaTheme="minorEastAsia" w:cstheme="minorEastAsia"/>
          <w:spacing w:val="6"/>
          <w:sz w:val="24"/>
          <w:szCs w:val="24"/>
        </w:rPr>
        <w:t>进口产品指通过中国海关</w:t>
      </w:r>
      <w:r>
        <w:rPr>
          <w:rFonts w:hint="eastAsia" w:asciiTheme="minorEastAsia" w:hAnsiTheme="minorEastAsia" w:eastAsiaTheme="minorEastAsia" w:cstheme="minorEastAsia"/>
          <w:spacing w:val="5"/>
          <w:sz w:val="24"/>
          <w:szCs w:val="24"/>
        </w:rPr>
        <w:t>报关验放进入中国境内且产自关境外的产</w:t>
      </w:r>
      <w:r>
        <w:rPr>
          <w:rFonts w:hint="eastAsia" w:asciiTheme="minorEastAsia" w:hAnsiTheme="minorEastAsia" w:eastAsiaTheme="minorEastAsia" w:cstheme="minorEastAsia"/>
          <w:spacing w:val="-5"/>
          <w:sz w:val="24"/>
          <w:szCs w:val="24"/>
        </w:rPr>
        <w:t>品，包括已经进入中国境内的进口产品。关于进口产品的相关规定依据《政府采购进口产品管理办法》（财库〔2007〕119号文）、《关</w:t>
      </w:r>
      <w:r>
        <w:rPr>
          <w:rFonts w:hint="eastAsia" w:asciiTheme="minorEastAsia" w:hAnsiTheme="minorEastAsia" w:eastAsiaTheme="minorEastAsia" w:cstheme="minorEastAsia"/>
          <w:spacing w:val="5"/>
          <w:sz w:val="24"/>
          <w:szCs w:val="24"/>
        </w:rPr>
        <w:t>于政府采购进口产品管理有关问题的通知》（财办库〔</w:t>
      </w:r>
      <w:r>
        <w:rPr>
          <w:rFonts w:hint="eastAsia" w:asciiTheme="minorEastAsia" w:hAnsiTheme="minorEastAsia" w:eastAsiaTheme="minorEastAsia" w:cstheme="minorEastAsia"/>
          <w:spacing w:val="4"/>
          <w:sz w:val="24"/>
          <w:szCs w:val="24"/>
        </w:rPr>
        <w:t>2008〕248</w:t>
      </w:r>
      <w:r>
        <w:rPr>
          <w:rFonts w:hint="eastAsia" w:asciiTheme="minorEastAsia" w:hAnsiTheme="minorEastAsia" w:eastAsiaTheme="minorEastAsia" w:cstheme="minorEastAsia"/>
          <w:spacing w:val="-38"/>
          <w:sz w:val="24"/>
          <w:szCs w:val="24"/>
        </w:rPr>
        <w:t>号文）</w:t>
      </w:r>
      <w:r>
        <w:rPr>
          <w:rFonts w:hint="eastAsia" w:asciiTheme="minorEastAsia" w:hAnsiTheme="minorEastAsia" w:eastAsiaTheme="minorEastAsia" w:cstheme="minorEastAsia"/>
          <w:spacing w:val="5"/>
          <w:sz w:val="24"/>
          <w:szCs w:val="24"/>
          <w:lang w:val="en-US" w:eastAsia="zh-CN"/>
        </w:rPr>
        <w:t>以及南阳市财政局的具体规定</w:t>
      </w:r>
      <w:r>
        <w:rPr>
          <w:rFonts w:hint="eastAsia" w:asciiTheme="minorEastAsia" w:hAnsiTheme="minorEastAsia" w:eastAsiaTheme="minorEastAsia" w:cstheme="minorEastAsia"/>
          <w:spacing w:val="5"/>
          <w:sz w:val="24"/>
          <w:szCs w:val="24"/>
        </w:rPr>
        <w:t>。</w:t>
      </w:r>
    </w:p>
    <w:p w14:paraId="132FC70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.2</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中小企业、监狱企业及残疾人福利性单位</w:t>
      </w:r>
    </w:p>
    <w:p w14:paraId="5F0F34AF">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72"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.2.1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中小企业定义：</w:t>
      </w:r>
    </w:p>
    <w:p w14:paraId="2DD71606">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HYPERLINK"5.2.1.1"</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.2.1.1</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rFonts w:hint="eastAsia" w:asciiTheme="minorEastAsia" w:hAnsiTheme="minorEastAsia" w:eastAsiaTheme="minorEastAsia" w:cstheme="minorEastAsia"/>
          <w:spacing w:val="-4"/>
          <w:sz w:val="24"/>
          <w:szCs w:val="24"/>
          <w:lang w:val="en-US" w:eastAsia="zh-CN"/>
        </w:rPr>
        <w:t>执行</w:t>
      </w:r>
      <w:r>
        <w:rPr>
          <w:rFonts w:hint="eastAsia" w:asciiTheme="minorEastAsia" w:hAnsiTheme="minorEastAsia" w:eastAsiaTheme="minorEastAsia" w:cstheme="minorEastAsia"/>
          <w:spacing w:val="-4"/>
          <w:sz w:val="24"/>
          <w:szCs w:val="24"/>
        </w:rPr>
        <w:t>。</w:t>
      </w:r>
    </w:p>
    <w:p w14:paraId="137C7802">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HYPERLINK"5.2.1.2"</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.2.1.2</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供的货物、工程或者服务符合下列情形的，享受中小企业扶持政策：</w:t>
      </w:r>
    </w:p>
    <w:p w14:paraId="42C7B713">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（1）在货物采购项目中，货物由中小企业制造，即货物由中小企业生产且使用该中小企业商号或者注册商标；</w:t>
      </w:r>
    </w:p>
    <w:p w14:paraId="011F5BE6">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（2）在工程采购项目中，工程由中小企业承建，即工程施工单位为中小企业；</w:t>
      </w:r>
    </w:p>
    <w:p w14:paraId="3A06F203">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（3）在服务采购项目中，服务由中小企业承接，即</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供服务的人员为中小企业依照《中华人民共和国劳动合同法》订立劳动合同的从业人员。</w:t>
      </w:r>
    </w:p>
    <w:p w14:paraId="3DBDF6B1">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HYPERLINK"5.2.1.3"</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.2.1.3</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在货物采购项目中，供应商</w:t>
      </w:r>
      <w:r>
        <w:rPr>
          <w:rFonts w:hint="eastAsia" w:asciiTheme="minorEastAsia" w:hAnsiTheme="minorEastAsia" w:eastAsiaTheme="minorEastAsia" w:cstheme="minorEastAsia"/>
          <w:spacing w:val="-4"/>
          <w:sz w:val="24"/>
          <w:szCs w:val="24"/>
          <w:lang w:val="en-US" w:eastAsia="zh-CN"/>
        </w:rPr>
        <w:t>提</w:t>
      </w:r>
      <w:r>
        <w:rPr>
          <w:rFonts w:hint="eastAsia" w:asciiTheme="minorEastAsia" w:hAnsiTheme="minorEastAsia" w:eastAsiaTheme="minorEastAsia" w:cstheme="minorEastAsia"/>
          <w:spacing w:val="-4"/>
          <w:sz w:val="24"/>
          <w:szCs w:val="24"/>
        </w:rPr>
        <w:t>供的货物既有中小企业制造货物，也有大型企业制造货物的，不享受中小企业扶持政策。</w:t>
      </w:r>
    </w:p>
    <w:p w14:paraId="1E0334AD">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fldChar w:fldCharType="begin"/>
      </w:r>
      <w:r>
        <w:rPr>
          <w:rFonts w:hint="eastAsia" w:asciiTheme="minorEastAsia" w:hAnsiTheme="minorEastAsia" w:eastAsiaTheme="minorEastAsia" w:cstheme="minorEastAsia"/>
          <w:spacing w:val="-4"/>
          <w:sz w:val="24"/>
          <w:szCs w:val="24"/>
        </w:rPr>
        <w:instrText xml:space="preserve">HYPERLINK"5.2.1.4"</w:instrText>
      </w:r>
      <w:r>
        <w:rPr>
          <w:rFonts w:hint="eastAsia" w:asciiTheme="minorEastAsia" w:hAnsiTheme="minorEastAsia" w:eastAsiaTheme="minorEastAsia" w:cstheme="minorEastAsia"/>
          <w:spacing w:val="-4"/>
          <w:sz w:val="24"/>
          <w:szCs w:val="24"/>
        </w:rPr>
        <w:fldChar w:fldCharType="separate"/>
      </w: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.2.1.4</w:t>
      </w:r>
      <w:r>
        <w:rPr>
          <w:rFonts w:hint="eastAsia" w:asciiTheme="minorEastAsia" w:hAnsiTheme="minorEastAsia" w:eastAsiaTheme="minorEastAsia" w:cstheme="minorEastAsia"/>
          <w:spacing w:val="-4"/>
          <w:sz w:val="24"/>
          <w:szCs w:val="24"/>
        </w:rPr>
        <w:fldChar w:fldCharType="end"/>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以联合体形式参加政府采购活动，联合体各方均为中小企业的，联合体视同中小企业。其中，联合体各方均为小微企业的，联合体视同小微企业。</w:t>
      </w:r>
    </w:p>
    <w:p w14:paraId="063211CC">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6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val="en-US" w:eastAsia="zh-CN"/>
        </w:rPr>
        <w:t>3</w:t>
      </w:r>
      <w:r>
        <w:rPr>
          <w:rFonts w:hint="eastAsia" w:asciiTheme="minorEastAsia" w:hAnsiTheme="minorEastAsia" w:eastAsiaTheme="minorEastAsia" w:cstheme="minorEastAsia"/>
          <w:spacing w:val="-4"/>
          <w:sz w:val="24"/>
          <w:szCs w:val="24"/>
        </w:rPr>
        <w:t>.2.2</w:t>
      </w:r>
      <w:r>
        <w:rPr>
          <w:rFonts w:hint="eastAsia" w:asciiTheme="minorEastAsia" w:hAnsiTheme="minorEastAsia" w:eastAsiaTheme="minorEastAsia" w:cstheme="minorEastAsia"/>
          <w:spacing w:val="-4"/>
          <w:sz w:val="24"/>
          <w:szCs w:val="24"/>
          <w:lang w:val="en-US" w:eastAsia="zh-CN"/>
        </w:rPr>
        <w:t xml:space="preserve"> </w:t>
      </w:r>
      <w:r>
        <w:rPr>
          <w:rFonts w:hint="eastAsia" w:asciiTheme="minorEastAsia" w:hAnsiTheme="minorEastAsia" w:eastAsiaTheme="minorEastAsia" w:cstheme="minorEastAsia"/>
          <w:spacing w:val="-4"/>
          <w:sz w:val="24"/>
          <w:szCs w:val="24"/>
        </w:rPr>
        <w:t>在政府采购活动中，监狱企业视同小型、微型企业，享受预留份额、评审中价格扣除等政府采购促进中小企业发展的政府采购政策。监狱</w:t>
      </w:r>
      <w:r>
        <w:rPr>
          <w:rFonts w:hint="eastAsia" w:asciiTheme="minorEastAsia" w:hAnsiTheme="minorEastAsia" w:eastAsiaTheme="minorEastAsia" w:cstheme="minorEastAsia"/>
          <w:spacing w:val="-6"/>
          <w:sz w:val="24"/>
          <w:szCs w:val="24"/>
        </w:rPr>
        <w:t>企业定义：是指由司法部认定的为罪犯、戒</w:t>
      </w:r>
      <w:r>
        <w:rPr>
          <w:rFonts w:hint="eastAsia" w:asciiTheme="minorEastAsia" w:hAnsiTheme="minorEastAsia" w:eastAsiaTheme="minorEastAsia" w:cstheme="minorEastAsia"/>
          <w:spacing w:val="-7"/>
          <w:sz w:val="24"/>
          <w:szCs w:val="24"/>
        </w:rPr>
        <w:t>毒人员</w:t>
      </w:r>
      <w:r>
        <w:rPr>
          <w:rFonts w:hint="eastAsia" w:asciiTheme="minorEastAsia" w:hAnsiTheme="minorEastAsia" w:eastAsiaTheme="minorEastAsia" w:cstheme="minorEastAsia"/>
          <w:spacing w:val="-7"/>
          <w:sz w:val="24"/>
          <w:szCs w:val="24"/>
          <w:lang w:val="en-US" w:eastAsia="zh-CN"/>
        </w:rPr>
        <w:t>提</w:t>
      </w:r>
      <w:r>
        <w:rPr>
          <w:rFonts w:hint="eastAsia" w:asciiTheme="minorEastAsia" w:hAnsiTheme="minorEastAsia" w:eastAsiaTheme="minorEastAsia" w:cstheme="minorEastAsia"/>
          <w:spacing w:val="-7"/>
          <w:sz w:val="24"/>
          <w:szCs w:val="24"/>
        </w:rPr>
        <w:t>供生产项目和劳</w:t>
      </w:r>
      <w:r>
        <w:rPr>
          <w:rFonts w:hint="eastAsia" w:asciiTheme="minorEastAsia" w:hAnsiTheme="minorEastAsia" w:eastAsiaTheme="minorEastAsia" w:cstheme="minorEastAsia"/>
          <w:spacing w:val="-8"/>
          <w:sz w:val="24"/>
          <w:szCs w:val="24"/>
        </w:rPr>
        <w:t>动对象，且全部产权属于司法部监狱管理局、戒毒管理局、直属煤矿</w:t>
      </w:r>
      <w:r>
        <w:rPr>
          <w:rFonts w:hint="eastAsia" w:asciiTheme="minorEastAsia" w:hAnsiTheme="minorEastAsia" w:eastAsiaTheme="minorEastAsia" w:cstheme="minorEastAsia"/>
          <w:spacing w:val="-13"/>
          <w:sz w:val="24"/>
          <w:szCs w:val="24"/>
        </w:rPr>
        <w:t>管理局，各省、自治区、直辖市监狱管理</w:t>
      </w:r>
      <w:r>
        <w:rPr>
          <w:rFonts w:hint="eastAsia" w:asciiTheme="minorEastAsia" w:hAnsiTheme="minorEastAsia" w:eastAsiaTheme="minorEastAsia" w:cstheme="minorEastAsia"/>
          <w:spacing w:val="-14"/>
          <w:sz w:val="24"/>
          <w:szCs w:val="24"/>
        </w:rPr>
        <w:t>局、戒毒管理局，各地（设</w:t>
      </w:r>
      <w:r>
        <w:rPr>
          <w:rFonts w:hint="eastAsia" w:asciiTheme="minorEastAsia" w:hAnsiTheme="minorEastAsia" w:eastAsiaTheme="minorEastAsia" w:cstheme="minorEastAsia"/>
          <w:spacing w:val="-13"/>
          <w:sz w:val="24"/>
          <w:szCs w:val="24"/>
        </w:rPr>
        <w:t>区的市）监狱、强制隔离戒毒所、戒毒康复所，以及新疆生产建设兵</w:t>
      </w:r>
      <w:r>
        <w:rPr>
          <w:rFonts w:hint="eastAsia" w:asciiTheme="minorEastAsia" w:hAnsiTheme="minorEastAsia" w:eastAsiaTheme="minorEastAsia" w:cstheme="minorEastAsia"/>
          <w:spacing w:val="-4"/>
          <w:sz w:val="24"/>
          <w:szCs w:val="24"/>
        </w:rPr>
        <w:t>团监狱管理局、戒毒管理局的企业。</w:t>
      </w:r>
    </w:p>
    <w:p w14:paraId="50BC563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在政府采购活动中，残疾人福利性单位视同小型、微型企业</w:t>
      </w:r>
      <w:r>
        <w:rPr>
          <w:rFonts w:hint="eastAsia" w:asciiTheme="minorEastAsia" w:hAnsiTheme="minorEastAsia" w:eastAsiaTheme="minorEastAsia" w:cstheme="minorEastAsia"/>
          <w:spacing w:val="-9"/>
          <w:sz w:val="24"/>
          <w:szCs w:val="24"/>
        </w:rPr>
        <w:t>，享受预</w:t>
      </w:r>
      <w:r>
        <w:rPr>
          <w:rFonts w:hint="eastAsia" w:asciiTheme="minorEastAsia" w:hAnsiTheme="minorEastAsia" w:eastAsiaTheme="minorEastAsia" w:cstheme="minorEastAsia"/>
          <w:spacing w:val="-5"/>
          <w:sz w:val="24"/>
          <w:szCs w:val="24"/>
        </w:rPr>
        <w:t>留份额、评审中价格扣除等促进中小企业发展的政府采购政策。残疾</w:t>
      </w:r>
      <w:r>
        <w:rPr>
          <w:rFonts w:hint="eastAsia" w:asciiTheme="minorEastAsia" w:hAnsiTheme="minorEastAsia" w:eastAsiaTheme="minorEastAsia" w:cstheme="minorEastAsia"/>
          <w:spacing w:val="-7"/>
          <w:sz w:val="24"/>
          <w:szCs w:val="24"/>
        </w:rPr>
        <w:t>人福利性单位定义：享受政府采购支持政策的残疾人福利性单位应当</w:t>
      </w:r>
      <w:r>
        <w:rPr>
          <w:rFonts w:hint="eastAsia" w:asciiTheme="minorEastAsia" w:hAnsiTheme="minorEastAsia" w:eastAsiaTheme="minorEastAsia" w:cstheme="minorEastAsia"/>
          <w:spacing w:val="-9"/>
          <w:sz w:val="24"/>
          <w:szCs w:val="24"/>
        </w:rPr>
        <w:t>同时满足以下条件：</w:t>
      </w:r>
    </w:p>
    <w:p w14:paraId="2E34D78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HYPERLINK"5.2.3.1"</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.2.3.1</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安置的残疾人占本单位在职职工人数的比例不低于25%（含25%），并且安置的残疾人人数不少于10人（含10人）；</w:t>
      </w:r>
    </w:p>
    <w:p w14:paraId="5EEB0DE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HYPERLINK"5.2.3.2"</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.2.3.2</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依法与安置的每位残疾人签订了一年以上（含一年）的劳动合同或服务协议；</w:t>
      </w:r>
    </w:p>
    <w:p w14:paraId="7A19DAF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HYPERLINK"5.2.3.3"</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.2.3.3</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为安置的每位残疾人按月足额缴纳了基本养老、医疗、失业</w:t>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工伤和生育等社会保险费；</w:t>
      </w:r>
    </w:p>
    <w:p w14:paraId="06C0AD4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HYPERLINK"5.2.3.4"</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.2.3.4</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通过银行等金融机构向安置的每位残疾人，按月支付了不低于单位所在区县的月最低工资标准的工资；</w:t>
      </w:r>
    </w:p>
    <w:p w14:paraId="0017BDAE">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HYPERLINK"5.2.3.5"</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.2.3.5</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提</w:t>
      </w:r>
      <w:r>
        <w:rPr>
          <w:rFonts w:hint="eastAsia" w:asciiTheme="minorEastAsia" w:hAnsiTheme="minorEastAsia" w:eastAsiaTheme="minorEastAsia" w:cstheme="minorEastAsia"/>
          <w:spacing w:val="-8"/>
          <w:sz w:val="24"/>
          <w:szCs w:val="24"/>
        </w:rPr>
        <w:t>供本单位制造的货物、承担的工程或者服务（以下简称产品），或者</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供其他残疾人福利性单位制造的货物（不包括使用非残疾人福利性单位注册商标的货物）；</w:t>
      </w:r>
    </w:p>
    <w:p w14:paraId="43D485D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fldChar w:fldCharType="begin"/>
      </w:r>
      <w:r>
        <w:rPr>
          <w:rFonts w:hint="eastAsia" w:asciiTheme="minorEastAsia" w:hAnsiTheme="minorEastAsia" w:eastAsiaTheme="minorEastAsia" w:cstheme="minorEastAsia"/>
          <w:spacing w:val="-8"/>
          <w:sz w:val="24"/>
          <w:szCs w:val="24"/>
        </w:rPr>
        <w:instrText xml:space="preserve">HYPERLINK"5.2.3.6"</w:instrText>
      </w:r>
      <w:r>
        <w:rPr>
          <w:rFonts w:hint="eastAsia" w:asciiTheme="minorEastAsia" w:hAnsiTheme="minorEastAsia" w:eastAsiaTheme="minorEastAsia" w:cstheme="minorEastAsia"/>
          <w:spacing w:val="-8"/>
          <w:sz w:val="24"/>
          <w:szCs w:val="24"/>
        </w:rPr>
        <w:fldChar w:fldCharType="separate"/>
      </w: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.2.3.6</w:t>
      </w:r>
      <w:r>
        <w:rPr>
          <w:rFonts w:hint="eastAsia" w:asciiTheme="minorEastAsia" w:hAnsiTheme="minorEastAsia" w:eastAsiaTheme="minorEastAsia" w:cstheme="minorEastAsia"/>
          <w:spacing w:val="-8"/>
          <w:sz w:val="24"/>
          <w:szCs w:val="24"/>
        </w:rPr>
        <w:fldChar w:fldCharType="end"/>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7527FCC5">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本项目是否专门面向中小企业预留采购份额见第一章《</w:t>
      </w:r>
      <w:r>
        <w:rPr>
          <w:rFonts w:hint="eastAsia" w:asciiTheme="minorEastAsia" w:hAnsiTheme="minorEastAsia" w:eastAsiaTheme="minorEastAsia" w:cstheme="minorEastAsia"/>
          <w:spacing w:val="-8"/>
          <w:sz w:val="24"/>
          <w:szCs w:val="24"/>
          <w:lang w:val="en-US" w:eastAsia="zh-CN"/>
        </w:rPr>
        <w:t>竞争性谈判公告</w:t>
      </w:r>
      <w:r>
        <w:rPr>
          <w:rFonts w:hint="eastAsia" w:asciiTheme="minorEastAsia" w:hAnsiTheme="minorEastAsia" w:eastAsiaTheme="minorEastAsia" w:cstheme="minorEastAsia"/>
          <w:spacing w:val="-8"/>
          <w:sz w:val="24"/>
          <w:szCs w:val="24"/>
        </w:rPr>
        <w:t>》。</w:t>
      </w:r>
    </w:p>
    <w:p w14:paraId="3E99136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.2.5</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采购标的对应的中小企业划分标准所属行业见《</w:t>
      </w:r>
      <w:r>
        <w:rPr>
          <w:rFonts w:hint="eastAsia" w:asciiTheme="minorEastAsia" w:hAnsiTheme="minorEastAsia" w:eastAsiaTheme="minorEastAsia" w:cstheme="minorEastAsia"/>
          <w:spacing w:val="-8"/>
          <w:sz w:val="24"/>
          <w:szCs w:val="24"/>
          <w:lang w:val="en-US" w:eastAsia="zh-CN"/>
        </w:rPr>
        <w:t>供应商</w:t>
      </w:r>
      <w:r>
        <w:rPr>
          <w:rFonts w:hint="eastAsia" w:asciiTheme="minorEastAsia" w:hAnsiTheme="minorEastAsia" w:eastAsiaTheme="minorEastAsia" w:cstheme="minorEastAsia"/>
          <w:spacing w:val="-8"/>
          <w:sz w:val="24"/>
          <w:szCs w:val="24"/>
          <w:lang w:eastAsia="zh-CN"/>
        </w:rPr>
        <w:t>须知表</w:t>
      </w:r>
      <w:r>
        <w:rPr>
          <w:rFonts w:hint="eastAsia" w:asciiTheme="minorEastAsia" w:hAnsiTheme="minorEastAsia" w:eastAsiaTheme="minorEastAsia" w:cstheme="minorEastAsia"/>
          <w:spacing w:val="-8"/>
          <w:sz w:val="24"/>
          <w:szCs w:val="24"/>
        </w:rPr>
        <w:t>》。</w:t>
      </w:r>
    </w:p>
    <w:p w14:paraId="37535D8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.2.6</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小微企业价格评审优惠的政策调整：见第四章《</w:t>
      </w:r>
      <w:r>
        <w:rPr>
          <w:rFonts w:hint="eastAsia" w:asciiTheme="minorEastAsia" w:hAnsiTheme="minorEastAsia" w:eastAsiaTheme="minorEastAsia" w:cstheme="minorEastAsia"/>
          <w:spacing w:val="-8"/>
          <w:sz w:val="24"/>
          <w:szCs w:val="24"/>
          <w:lang w:eastAsia="zh-CN"/>
        </w:rPr>
        <w:t>评审程序和评定成交的标准</w:t>
      </w:r>
      <w:r>
        <w:rPr>
          <w:rFonts w:hint="eastAsia" w:asciiTheme="minorEastAsia" w:hAnsiTheme="minorEastAsia" w:eastAsiaTheme="minorEastAsia" w:cstheme="minorEastAsia"/>
          <w:spacing w:val="-8"/>
          <w:sz w:val="24"/>
          <w:szCs w:val="24"/>
        </w:rPr>
        <w:t>》。</w:t>
      </w:r>
    </w:p>
    <w:p w14:paraId="66CD5FE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w:t>
      </w:r>
    </w:p>
    <w:p w14:paraId="534BAAE1">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政府采购节能产品、环境标志产品实施品目清单管理。财政部、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56F43DC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.3.2</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14:paraId="350D313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.3.3</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如本项目采购产品属于实施政府强制采购品目清单范围的节能产品，则</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8"/>
          <w:sz w:val="24"/>
          <w:szCs w:val="24"/>
        </w:rPr>
        <w:t>所报产品必须获得国家确定的认证机构出具的、处于有效期之内的节能产品认证证书，</w:t>
      </w:r>
      <w:r>
        <w:rPr>
          <w:rFonts w:hint="eastAsia" w:asciiTheme="minorEastAsia" w:hAnsiTheme="minorEastAsia" w:eastAsiaTheme="minorEastAsia" w:cstheme="minorEastAsia"/>
          <w:b/>
          <w:bCs/>
          <w:spacing w:val="-8"/>
          <w:sz w:val="24"/>
          <w:szCs w:val="24"/>
        </w:rPr>
        <w:t>否则</w:t>
      </w:r>
      <w:r>
        <w:rPr>
          <w:rFonts w:hint="eastAsia" w:asciiTheme="minorEastAsia" w:hAnsiTheme="minorEastAsia" w:eastAsiaTheme="minorEastAsia" w:cstheme="minorEastAsia"/>
          <w:b/>
          <w:bCs/>
          <w:spacing w:val="-8"/>
          <w:sz w:val="24"/>
          <w:szCs w:val="24"/>
          <w:lang w:val="en-US" w:eastAsia="zh-CN"/>
        </w:rPr>
        <w:t>响应</w:t>
      </w:r>
      <w:r>
        <w:rPr>
          <w:rFonts w:hint="eastAsia" w:asciiTheme="minorEastAsia" w:hAnsiTheme="minorEastAsia" w:eastAsiaTheme="minorEastAsia" w:cstheme="minorEastAsia"/>
          <w:b/>
          <w:bCs/>
          <w:spacing w:val="-8"/>
          <w:sz w:val="24"/>
          <w:szCs w:val="24"/>
        </w:rPr>
        <w:t>无效；</w:t>
      </w:r>
    </w:p>
    <w:p w14:paraId="5073EAD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.3.4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非政府强制采购的节能产品或环境标志产品，依据品目清单和认证证书实施政府优先采购。优先采购的具体规定见第四章《</w:t>
      </w:r>
      <w:r>
        <w:rPr>
          <w:rFonts w:hint="eastAsia" w:asciiTheme="minorEastAsia" w:hAnsiTheme="minorEastAsia" w:eastAsiaTheme="minorEastAsia" w:cstheme="minorEastAsia"/>
          <w:spacing w:val="-8"/>
          <w:sz w:val="24"/>
          <w:szCs w:val="24"/>
          <w:lang w:eastAsia="zh-CN"/>
        </w:rPr>
        <w:t>评审程序和评定成交的标准</w:t>
      </w:r>
      <w:r>
        <w:rPr>
          <w:rFonts w:hint="eastAsia" w:asciiTheme="minorEastAsia" w:hAnsiTheme="minorEastAsia" w:eastAsiaTheme="minorEastAsia" w:cstheme="minorEastAsia"/>
          <w:spacing w:val="-8"/>
          <w:sz w:val="24"/>
          <w:szCs w:val="24"/>
        </w:rPr>
        <w:t>》。（如涉及）。</w:t>
      </w:r>
    </w:p>
    <w:p w14:paraId="392201C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.4</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正版软件</w:t>
      </w:r>
    </w:p>
    <w:p w14:paraId="2404AC9C">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48" w:firstLineChars="200"/>
        <w:jc w:val="both"/>
        <w:textAlignment w:val="baseline"/>
        <w:rPr>
          <w:rFonts w:hint="eastAsia"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lang w:val="en-US" w:eastAsia="zh-CN"/>
        </w:rPr>
        <w:t>3</w:t>
      </w:r>
      <w:r>
        <w:rPr>
          <w:rFonts w:hint="eastAsia" w:asciiTheme="minorEastAsia" w:hAnsiTheme="minorEastAsia" w:eastAsiaTheme="minorEastAsia" w:cstheme="minorEastAsia"/>
          <w:spacing w:val="-8"/>
          <w:sz w:val="24"/>
          <w:szCs w:val="24"/>
        </w:rPr>
        <w:t>.4.1</w:t>
      </w:r>
      <w:r>
        <w:rPr>
          <w:rFonts w:hint="eastAsia" w:asciiTheme="minorEastAsia" w:hAnsiTheme="minorEastAsia" w:eastAsiaTheme="minorEastAsia" w:cstheme="minorEastAsia"/>
          <w:spacing w:val="-8"/>
          <w:sz w:val="24"/>
          <w:szCs w:val="24"/>
          <w:lang w:val="en-US" w:eastAsia="zh-CN"/>
        </w:rPr>
        <w:t xml:space="preserve"> </w:t>
      </w:r>
      <w:r>
        <w:rPr>
          <w:rFonts w:hint="eastAsia" w:asciiTheme="minorEastAsia" w:hAnsiTheme="minorEastAsia" w:eastAsiaTheme="minorEastAsia" w:cstheme="minorEastAsia"/>
          <w:spacing w:val="-8"/>
          <w:sz w:val="24"/>
          <w:szCs w:val="24"/>
        </w:rPr>
        <w:t>依据《财政部</w:t>
      </w:r>
      <w:r>
        <w:rPr>
          <w:rFonts w:hint="eastAsia" w:asciiTheme="minorEastAsia" w:hAnsiTheme="minorEastAsia" w:eastAsiaTheme="minorEastAsia" w:cstheme="minorEastAsia"/>
          <w:spacing w:val="-8"/>
          <w:sz w:val="24"/>
          <w:szCs w:val="24"/>
          <w:lang w:eastAsia="zh-CN"/>
        </w:rPr>
        <w:t>、</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lang w:eastAsia="zh-CN"/>
        </w:rPr>
        <w:t>、</w:t>
      </w:r>
      <w:r>
        <w:rPr>
          <w:rFonts w:hint="eastAsia" w:asciiTheme="minorEastAsia" w:hAnsiTheme="minorEastAsia" w:eastAsiaTheme="minorEastAsia" w:cstheme="minorEastAsia"/>
          <w:spacing w:val="-8"/>
          <w:sz w:val="24"/>
          <w:szCs w:val="24"/>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15629.11/1102）并通过国家产品认证的产品。其中，国家有特殊信息安全要求的项目必须采购认证产品，否则</w:t>
      </w:r>
      <w:r>
        <w:rPr>
          <w:rFonts w:hint="eastAsia" w:asciiTheme="minorEastAsia" w:hAnsiTheme="minorEastAsia" w:eastAsiaTheme="minorEastAsia" w:cstheme="minorEastAsia"/>
          <w:spacing w:val="-8"/>
          <w:sz w:val="24"/>
          <w:szCs w:val="24"/>
          <w:lang w:val="en-US" w:eastAsia="zh-CN"/>
        </w:rPr>
        <w:t>响应</w:t>
      </w:r>
      <w:r>
        <w:rPr>
          <w:rFonts w:hint="eastAsia" w:asciiTheme="minorEastAsia" w:hAnsiTheme="minorEastAsia" w:eastAsiaTheme="minorEastAsia" w:cstheme="minorEastAsia"/>
          <w:spacing w:val="-8"/>
          <w:sz w:val="24"/>
          <w:szCs w:val="24"/>
        </w:rPr>
        <w:t>无效。财政部、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begin"/>
      </w:r>
      <w:r>
        <w:rPr>
          <w:rFonts w:hint="default" w:asciiTheme="minorEastAsia" w:hAnsiTheme="minorEastAsia" w:eastAsiaTheme="minorEastAsia" w:cstheme="minorEastAsia"/>
          <w:b w:val="0"/>
          <w:snapToGrid w:val="0"/>
          <w:color w:val="000000"/>
          <w:spacing w:val="-8"/>
          <w:kern w:val="0"/>
          <w:sz w:val="24"/>
          <w:szCs w:val="24"/>
          <w:lang w:val="en-US" w:eastAsia="en-US" w:bidi="ar-SA"/>
        </w:rPr>
        <w:instrText xml:space="preserve">HYPERLINK"https://www.baidu.com/link?url=pV2gqlWQVIfLHb2GO1RMJVp24ETQ1a_TiqQ-2CHpcULsECvXubLhLHJTcTJbIedy&amp;wd=&amp;eqid=88c7d5f9006c2d6b0000000265780e74"\t"https://www.baidu.com/_blank"</w:instrTex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separate"/>
      </w:r>
      <w:r>
        <w:rPr>
          <w:rFonts w:hint="default" w:asciiTheme="minorEastAsia" w:hAnsiTheme="minorEastAsia" w:eastAsiaTheme="minorEastAsia" w:cstheme="minorEastAsia"/>
          <w:b w:val="0"/>
          <w:snapToGrid w:val="0"/>
          <w:color w:val="000000"/>
          <w:spacing w:val="-8"/>
          <w:kern w:val="0"/>
          <w:sz w:val="24"/>
          <w:szCs w:val="24"/>
          <w:lang w:val="en-US" w:eastAsia="en-US" w:bidi="ar-SA"/>
        </w:rPr>
        <w:t>中华人民共和国国家发展和改革委员会</w:t>
      </w:r>
      <w:r>
        <w:rPr>
          <w:rFonts w:hint="default" w:asciiTheme="minorEastAsia" w:hAnsiTheme="minorEastAsia" w:eastAsiaTheme="minorEastAsia" w:cstheme="minorEastAsia"/>
          <w:b w:val="0"/>
          <w:snapToGrid w:val="0"/>
          <w:color w:val="000000"/>
          <w:spacing w:val="-8"/>
          <w:kern w:val="0"/>
          <w:sz w:val="24"/>
          <w:szCs w:val="24"/>
          <w:lang w:val="en-US" w:eastAsia="en-US" w:bidi="ar-SA"/>
        </w:rPr>
        <w:fldChar w:fldCharType="end"/>
      </w:r>
      <w:r>
        <w:rPr>
          <w:rFonts w:hint="eastAsia" w:asciiTheme="minorEastAsia" w:hAnsiTheme="minorEastAsia" w:eastAsiaTheme="minorEastAsia" w:cstheme="minorEastAsia"/>
          <w:spacing w:val="-8"/>
          <w:sz w:val="24"/>
          <w:szCs w:val="24"/>
        </w:rPr>
        <w:t>、信息产业部以文件形式确定、公布并适时调整。</w:t>
      </w:r>
    </w:p>
    <w:p w14:paraId="7E9D06E4">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6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3</w:t>
      </w:r>
      <w:r>
        <w:rPr>
          <w:rFonts w:hint="eastAsia" w:asciiTheme="minorEastAsia" w:hAnsiTheme="minorEastAsia" w:eastAsiaTheme="minorEastAsia" w:cstheme="minorEastAsia"/>
          <w:spacing w:val="-3"/>
          <w:sz w:val="24"/>
          <w:szCs w:val="24"/>
        </w:rPr>
        <w:t>.4.2</w:t>
      </w:r>
      <w:r>
        <w:rPr>
          <w:rFonts w:hint="eastAsia" w:asciiTheme="minorEastAsia" w:hAnsiTheme="minorEastAsia" w:eastAsiaTheme="minorEastAsia" w:cstheme="minorEastAsia"/>
          <w:spacing w:val="-3"/>
          <w:sz w:val="24"/>
          <w:szCs w:val="24"/>
          <w:lang w:val="en-US" w:eastAsia="zh-CN"/>
        </w:rPr>
        <w:t xml:space="preserve"> </w:t>
      </w:r>
      <w:r>
        <w:rPr>
          <w:rFonts w:hint="eastAsia" w:asciiTheme="minorEastAsia" w:hAnsiTheme="minorEastAsia" w:eastAsiaTheme="minorEastAsia" w:cstheme="minorEastAsia"/>
          <w:spacing w:val="-3"/>
          <w:sz w:val="24"/>
          <w:szCs w:val="24"/>
        </w:rPr>
        <w:t>各级政府部门在购置计算机办公设备时，必须采购预装正版操作系统</w:t>
      </w:r>
      <w:r>
        <w:rPr>
          <w:rFonts w:hint="eastAsia" w:asciiTheme="minorEastAsia" w:hAnsiTheme="minorEastAsia" w:eastAsiaTheme="minorEastAsia" w:cstheme="minorEastAsia"/>
          <w:spacing w:val="-9"/>
          <w:sz w:val="24"/>
          <w:szCs w:val="24"/>
        </w:rPr>
        <w:t>软件的计算机产品，相关规定依据《国家版权局、信息产业</w:t>
      </w:r>
      <w:r>
        <w:rPr>
          <w:rFonts w:hint="eastAsia" w:asciiTheme="minorEastAsia" w:hAnsiTheme="minorEastAsia" w:eastAsiaTheme="minorEastAsia" w:cstheme="minorEastAsia"/>
          <w:spacing w:val="-10"/>
          <w:sz w:val="24"/>
          <w:szCs w:val="24"/>
        </w:rPr>
        <w:t>部、财政</w:t>
      </w:r>
      <w:r>
        <w:rPr>
          <w:rFonts w:hint="eastAsia" w:asciiTheme="minorEastAsia" w:hAnsiTheme="minorEastAsia" w:eastAsiaTheme="minorEastAsia" w:cstheme="minorEastAsia"/>
          <w:spacing w:val="-4"/>
          <w:sz w:val="24"/>
          <w:szCs w:val="24"/>
        </w:rPr>
        <w:t>部、国务院机关事务管理局关于政府部门购置计算机办公设备必须采</w:t>
      </w:r>
      <w:r>
        <w:rPr>
          <w:rFonts w:hint="eastAsia" w:asciiTheme="minorEastAsia" w:hAnsiTheme="minorEastAsia" w:eastAsiaTheme="minorEastAsia" w:cstheme="minorEastAsia"/>
          <w:spacing w:val="-3"/>
          <w:sz w:val="24"/>
          <w:szCs w:val="24"/>
        </w:rPr>
        <w:t>购已预装正版操作系统软件产品的通知》（国权联〔200</w:t>
      </w:r>
      <w:r>
        <w:rPr>
          <w:rFonts w:hint="eastAsia" w:asciiTheme="minorEastAsia" w:hAnsiTheme="minorEastAsia" w:eastAsiaTheme="minorEastAsia" w:cstheme="minorEastAsia"/>
          <w:spacing w:val="-4"/>
          <w:sz w:val="24"/>
          <w:szCs w:val="24"/>
        </w:rPr>
        <w:t>6〕1号）、</w:t>
      </w:r>
      <w:r>
        <w:rPr>
          <w:rFonts w:hint="eastAsia" w:asciiTheme="minorEastAsia" w:hAnsiTheme="minorEastAsia" w:eastAsiaTheme="minorEastAsia" w:cstheme="minorEastAsia"/>
          <w:sz w:val="24"/>
          <w:szCs w:val="24"/>
        </w:rPr>
        <w:t>《国务院办公厅关于进一步做好政府机关使用正版</w:t>
      </w:r>
      <w:r>
        <w:rPr>
          <w:rFonts w:hint="eastAsia" w:asciiTheme="minorEastAsia" w:hAnsiTheme="minorEastAsia" w:eastAsiaTheme="minorEastAsia" w:cstheme="minorEastAsia"/>
          <w:spacing w:val="-1"/>
          <w:sz w:val="24"/>
          <w:szCs w:val="24"/>
        </w:rPr>
        <w:t>软件工作的通知》</w:t>
      </w:r>
      <w:r>
        <w:rPr>
          <w:rFonts w:hint="eastAsia" w:asciiTheme="minorEastAsia" w:hAnsiTheme="minorEastAsia" w:eastAsiaTheme="minorEastAsia" w:cstheme="minorEastAsia"/>
          <w:spacing w:val="-3"/>
          <w:sz w:val="24"/>
          <w:szCs w:val="24"/>
        </w:rPr>
        <w:t>（国办发〔2010〕47号）、《财政部关于进一步做好政府机关使用</w:t>
      </w:r>
      <w:r>
        <w:rPr>
          <w:rFonts w:hint="eastAsia" w:asciiTheme="minorEastAsia" w:hAnsiTheme="minorEastAsia" w:eastAsiaTheme="minorEastAsia" w:cstheme="minorEastAsia"/>
          <w:spacing w:val="-6"/>
          <w:sz w:val="24"/>
          <w:szCs w:val="24"/>
        </w:rPr>
        <w:t>正版软件工作的通知》（财预〔2010〕536号）。</w:t>
      </w:r>
    </w:p>
    <w:p w14:paraId="286F309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.5</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网络安全专用产品</w:t>
      </w:r>
    </w:p>
    <w:p w14:paraId="66F62617">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val="en-US" w:eastAsia="zh-CN"/>
        </w:rPr>
        <w:t>3</w:t>
      </w:r>
      <w:r>
        <w:rPr>
          <w:rFonts w:hint="eastAsia" w:asciiTheme="minorEastAsia" w:hAnsiTheme="minorEastAsia" w:eastAsiaTheme="minorEastAsia" w:cstheme="minorEastAsia"/>
          <w:spacing w:val="-1"/>
          <w:sz w:val="24"/>
          <w:szCs w:val="24"/>
        </w:rPr>
        <w:t>.5.1</w:t>
      </w:r>
      <w:r>
        <w:rPr>
          <w:rFonts w:hint="eastAsia" w:asciiTheme="minorEastAsia" w:hAnsiTheme="minorEastAsia" w:eastAsiaTheme="minorEastAsia" w:cstheme="minorEastAsia"/>
          <w:spacing w:val="-1"/>
          <w:sz w:val="24"/>
          <w:szCs w:val="24"/>
          <w:lang w:val="en-US" w:eastAsia="zh-CN"/>
        </w:rPr>
        <w:t xml:space="preserve"> </w:t>
      </w:r>
      <w:r>
        <w:rPr>
          <w:rFonts w:hint="eastAsia" w:asciiTheme="minorEastAsia" w:hAnsiTheme="minorEastAsia" w:eastAsiaTheme="minorEastAsia" w:cstheme="minorEastAsia"/>
          <w:spacing w:val="-1"/>
          <w:sz w:val="24"/>
          <w:szCs w:val="24"/>
        </w:rPr>
        <w:t>所投产品属于列入《网络关键设备和网络安全专用产品目录》的网络</w:t>
      </w:r>
      <w:r>
        <w:rPr>
          <w:rFonts w:hint="eastAsia" w:asciiTheme="minorEastAsia" w:hAnsiTheme="minorEastAsia" w:eastAsiaTheme="minorEastAsia" w:cstheme="minorEastAsia"/>
          <w:spacing w:val="-2"/>
          <w:sz w:val="24"/>
          <w:szCs w:val="24"/>
        </w:rPr>
        <w:t>安全专用产品，应当在国家互联网信息办公室会同工业和信息化部、</w:t>
      </w:r>
      <w:r>
        <w:rPr>
          <w:rFonts w:hint="eastAsia" w:asciiTheme="minorEastAsia" w:hAnsiTheme="minorEastAsia" w:eastAsiaTheme="minorEastAsia" w:cstheme="minorEastAsia"/>
          <w:spacing w:val="-4"/>
          <w:sz w:val="24"/>
          <w:szCs w:val="24"/>
        </w:rPr>
        <w:t>公安部、国家认证认可监督管理委员会统一公布和更新</w:t>
      </w:r>
      <w:r>
        <w:rPr>
          <w:rFonts w:hint="eastAsia" w:asciiTheme="minorEastAsia" w:hAnsiTheme="minorEastAsia" w:eastAsiaTheme="minorEastAsia" w:cstheme="minorEastAsia"/>
          <w:spacing w:val="-5"/>
          <w:sz w:val="24"/>
          <w:szCs w:val="24"/>
        </w:rPr>
        <w:t>的符合要求的</w:t>
      </w:r>
      <w:r>
        <w:rPr>
          <w:rFonts w:hint="eastAsia" w:asciiTheme="minorEastAsia" w:hAnsiTheme="minorEastAsia" w:eastAsiaTheme="minorEastAsia" w:cstheme="minorEastAsia"/>
          <w:spacing w:val="-4"/>
          <w:sz w:val="24"/>
          <w:szCs w:val="24"/>
        </w:rPr>
        <w:t>网络关键设备和网络安全专用产品清单中。</w:t>
      </w:r>
    </w:p>
    <w:p w14:paraId="59BA9F0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 xml:space="preserve">6 </w:t>
      </w:r>
      <w:r>
        <w:rPr>
          <w:rFonts w:hint="eastAsia" w:asciiTheme="minorEastAsia" w:hAnsiTheme="minorEastAsia" w:eastAsiaTheme="minorEastAsia" w:cstheme="minorEastAsia"/>
          <w:spacing w:val="2"/>
          <w:sz w:val="24"/>
          <w:szCs w:val="24"/>
        </w:rPr>
        <w:t>采购需求标准</w:t>
      </w:r>
    </w:p>
    <w:p w14:paraId="30B7879C">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3</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lang w:val="en-US" w:eastAsia="zh-CN"/>
        </w:rPr>
        <w:t>6</w:t>
      </w:r>
      <w:r>
        <w:rPr>
          <w:rFonts w:hint="eastAsia" w:asciiTheme="minorEastAsia" w:hAnsiTheme="minorEastAsia" w:eastAsiaTheme="minorEastAsia" w:cstheme="minorEastAsia"/>
          <w:spacing w:val="2"/>
          <w:sz w:val="24"/>
          <w:szCs w:val="24"/>
        </w:rPr>
        <w:t>.1</w:t>
      </w:r>
      <w:r>
        <w:rPr>
          <w:rFonts w:hint="eastAsia" w:asciiTheme="minorEastAsia" w:hAnsiTheme="minorEastAsia" w:eastAsiaTheme="minorEastAsia" w:cstheme="minorEastAsia"/>
          <w:spacing w:val="2"/>
          <w:sz w:val="24"/>
          <w:szCs w:val="24"/>
          <w:lang w:val="en-US" w:eastAsia="zh-CN"/>
        </w:rPr>
        <w:t xml:space="preserve"> </w:t>
      </w:r>
      <w:r>
        <w:rPr>
          <w:rFonts w:hint="eastAsia" w:asciiTheme="minorEastAsia" w:hAnsiTheme="minorEastAsia" w:eastAsiaTheme="minorEastAsia" w:cstheme="minorEastAsia"/>
          <w:spacing w:val="2"/>
          <w:sz w:val="24"/>
          <w:szCs w:val="24"/>
        </w:rPr>
        <w:t>商品包装、快递包装政府采购需求标准（试行）</w:t>
      </w:r>
      <w:r>
        <w:rPr>
          <w:rFonts w:hint="eastAsia" w:asciiTheme="minorEastAsia" w:hAnsiTheme="minorEastAsia" w:eastAsiaTheme="minorEastAsia" w:cstheme="minorEastAsia"/>
          <w:spacing w:val="-12"/>
          <w:sz w:val="24"/>
          <w:szCs w:val="24"/>
        </w:rPr>
        <w:t>为助力打好污染防治攻坚战，推广使用绿色包装，根据财政部关于印发《商品包装政府采购需求标准（试行）》、《快递包装政府采购需求</w:t>
      </w:r>
      <w:r>
        <w:rPr>
          <w:rFonts w:hint="eastAsia" w:asciiTheme="minorEastAsia" w:hAnsiTheme="minorEastAsia" w:eastAsiaTheme="minorEastAsia" w:cstheme="minorEastAsia"/>
          <w:spacing w:val="-3"/>
          <w:sz w:val="24"/>
          <w:szCs w:val="24"/>
        </w:rPr>
        <w:t>标准（试行）》的通知（财办库〔2020〕1</w:t>
      </w:r>
      <w:r>
        <w:rPr>
          <w:rFonts w:hint="eastAsia" w:asciiTheme="minorEastAsia" w:hAnsiTheme="minorEastAsia" w:eastAsiaTheme="minorEastAsia" w:cstheme="minorEastAsia"/>
          <w:spacing w:val="-4"/>
          <w:sz w:val="24"/>
          <w:szCs w:val="24"/>
        </w:rPr>
        <w:t>23号</w:t>
      </w:r>
      <w:r>
        <w:rPr>
          <w:rFonts w:hint="eastAsia" w:asciiTheme="minorEastAsia" w:hAnsiTheme="minorEastAsia" w:eastAsiaTheme="minorEastAsia" w:cstheme="minorEastAsia"/>
          <w:spacing w:val="-28"/>
          <w:sz w:val="24"/>
          <w:szCs w:val="24"/>
        </w:rPr>
        <w:t>），</w:t>
      </w:r>
      <w:r>
        <w:rPr>
          <w:rFonts w:hint="eastAsia" w:asciiTheme="minorEastAsia" w:hAnsiTheme="minorEastAsia" w:eastAsiaTheme="minorEastAsia" w:cstheme="minorEastAsia"/>
          <w:spacing w:val="-4"/>
          <w:sz w:val="24"/>
          <w:szCs w:val="24"/>
        </w:rPr>
        <w:t>本项目如涉及商</w:t>
      </w:r>
      <w:r>
        <w:rPr>
          <w:rFonts w:hint="eastAsia" w:asciiTheme="minorEastAsia" w:hAnsiTheme="minorEastAsia" w:eastAsiaTheme="minorEastAsia" w:cstheme="minorEastAsia"/>
          <w:spacing w:val="-6"/>
          <w:sz w:val="24"/>
          <w:szCs w:val="24"/>
        </w:rPr>
        <w:t>品包装和快递包装的，则其具体要求见第</w:t>
      </w:r>
      <w:r>
        <w:rPr>
          <w:rFonts w:hint="eastAsia" w:asciiTheme="minorEastAsia" w:hAnsiTheme="minorEastAsia" w:eastAsiaTheme="minorEastAsia" w:cstheme="minorEastAsia"/>
          <w:spacing w:val="-6"/>
          <w:sz w:val="24"/>
          <w:szCs w:val="24"/>
          <w:lang w:val="en-US" w:eastAsia="zh-CN"/>
        </w:rPr>
        <w:t>二</w:t>
      </w:r>
      <w:r>
        <w:rPr>
          <w:rFonts w:hint="eastAsia" w:asciiTheme="minorEastAsia" w:hAnsiTheme="minorEastAsia" w:eastAsiaTheme="minorEastAsia" w:cstheme="minorEastAsia"/>
          <w:spacing w:val="-6"/>
          <w:sz w:val="24"/>
          <w:szCs w:val="24"/>
        </w:rPr>
        <w:t>章《采购需求》。</w:t>
      </w:r>
    </w:p>
    <w:p w14:paraId="1DF3B45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lang w:val="en-US" w:eastAsia="zh-CN"/>
        </w:rPr>
        <w:t>3</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12"/>
          <w:sz w:val="24"/>
          <w:szCs w:val="24"/>
          <w:lang w:val="en-US" w:eastAsia="zh-CN"/>
        </w:rPr>
        <w:t>6</w:t>
      </w:r>
      <w:r>
        <w:rPr>
          <w:rFonts w:hint="eastAsia" w:asciiTheme="minorEastAsia" w:hAnsiTheme="minorEastAsia" w:eastAsiaTheme="minorEastAsia" w:cstheme="minorEastAsia"/>
          <w:spacing w:val="-12"/>
          <w:sz w:val="24"/>
          <w:szCs w:val="24"/>
        </w:rPr>
        <w:t>.2</w:t>
      </w:r>
      <w:r>
        <w:rPr>
          <w:rFonts w:hint="eastAsia" w:asciiTheme="minorEastAsia" w:hAnsiTheme="minorEastAsia" w:eastAsiaTheme="minorEastAsia" w:cstheme="minorEastAsia"/>
          <w:spacing w:val="-12"/>
          <w:sz w:val="24"/>
          <w:szCs w:val="24"/>
          <w:lang w:val="en-US" w:eastAsia="zh-CN"/>
        </w:rPr>
        <w:t xml:space="preserve"> </w:t>
      </w:r>
      <w:r>
        <w:rPr>
          <w:rFonts w:hint="eastAsia" w:asciiTheme="minorEastAsia" w:hAnsiTheme="minorEastAsia" w:eastAsiaTheme="minorEastAsia" w:cstheme="minorEastAsia"/>
          <w:spacing w:val="-12"/>
          <w:sz w:val="24"/>
          <w:szCs w:val="24"/>
        </w:rPr>
        <w:t>绿色数据中心政府采购需求标准（试行）</w:t>
      </w:r>
    </w:p>
    <w:p w14:paraId="197430B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32" w:firstLineChars="200"/>
        <w:jc w:val="both"/>
        <w:textAlignment w:val="baseline"/>
        <w:rPr>
          <w:rFonts w:hint="eastAsia" w:asciiTheme="minorEastAsia" w:hAnsiTheme="minorEastAsia" w:eastAsiaTheme="minorEastAsia" w:cstheme="minorEastAsia"/>
          <w:spacing w:val="-12"/>
          <w:sz w:val="24"/>
          <w:szCs w:val="24"/>
        </w:rPr>
      </w:pPr>
      <w:r>
        <w:rPr>
          <w:rFonts w:hint="eastAsia" w:asciiTheme="minorEastAsia" w:hAnsiTheme="minorEastAsia" w:eastAsiaTheme="minorEastAsia" w:cstheme="minorEastAsia"/>
          <w:spacing w:val="-12"/>
          <w:sz w:val="24"/>
          <w:szCs w:val="24"/>
        </w:rPr>
        <w:t>为加快数据中心绿色转型，根据财政部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生态环境部</w:t>
      </w:r>
      <w:r>
        <w:rPr>
          <w:rFonts w:hint="eastAsia" w:asciiTheme="minorEastAsia" w:hAnsiTheme="minorEastAsia" w:eastAsiaTheme="minorEastAsia" w:cstheme="minorEastAsia"/>
          <w:spacing w:val="-12"/>
          <w:sz w:val="24"/>
          <w:szCs w:val="24"/>
          <w:lang w:eastAsia="zh-CN"/>
        </w:rPr>
        <w:t>、</w:t>
      </w:r>
      <w:r>
        <w:rPr>
          <w:rFonts w:hint="eastAsia" w:asciiTheme="minorEastAsia" w:hAnsiTheme="minorEastAsia" w:eastAsiaTheme="minorEastAsia" w:cstheme="minorEastAsia"/>
          <w:spacing w:val="-12"/>
          <w:sz w:val="24"/>
          <w:szCs w:val="24"/>
        </w:rPr>
        <w:t>工业和信息化部关于印发《绿色数据中心政府采购需求标准（试行）》的通知（财库〔2023〕7号），本项目如涉及绿色数据中心，则具体要求见第</w:t>
      </w:r>
      <w:r>
        <w:rPr>
          <w:rFonts w:hint="eastAsia" w:asciiTheme="minorEastAsia" w:hAnsiTheme="minorEastAsia" w:eastAsiaTheme="minorEastAsia" w:cstheme="minorEastAsia"/>
          <w:spacing w:val="-12"/>
          <w:sz w:val="24"/>
          <w:szCs w:val="24"/>
          <w:lang w:val="en-US" w:eastAsia="zh-CN"/>
        </w:rPr>
        <w:t>二</w:t>
      </w:r>
      <w:r>
        <w:rPr>
          <w:rFonts w:hint="eastAsia" w:asciiTheme="minorEastAsia" w:hAnsiTheme="minorEastAsia" w:eastAsiaTheme="minorEastAsia" w:cstheme="minorEastAsia"/>
          <w:spacing w:val="-12"/>
          <w:sz w:val="24"/>
          <w:szCs w:val="24"/>
        </w:rPr>
        <w:t>章《采购需求》。</w:t>
      </w:r>
    </w:p>
    <w:p w14:paraId="33188D7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7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pacing w:val="-2"/>
          <w:sz w:val="24"/>
          <w:szCs w:val="24"/>
          <w:lang w:val="en-US" w:eastAsia="zh-CN"/>
        </w:rPr>
        <w:t>4.采购</w:t>
      </w:r>
      <w:r>
        <w:rPr>
          <w:rFonts w:hint="eastAsia" w:asciiTheme="minorEastAsia" w:hAnsiTheme="minorEastAsia" w:eastAsiaTheme="minorEastAsia" w:cstheme="minorEastAsia"/>
          <w:b/>
          <w:bCs/>
          <w:spacing w:val="-2"/>
          <w:sz w:val="24"/>
          <w:szCs w:val="24"/>
        </w:rPr>
        <w:t>费用</w:t>
      </w:r>
    </w:p>
    <w:p w14:paraId="44FC0EA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8"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4"/>
          <w:sz w:val="24"/>
          <w:szCs w:val="24"/>
        </w:rPr>
        <w:t>应自行承担所有与准备和参加</w:t>
      </w:r>
      <w:r>
        <w:rPr>
          <w:rFonts w:hint="eastAsia" w:asciiTheme="minorEastAsia" w:hAnsiTheme="minorEastAsia" w:eastAsiaTheme="minorEastAsia" w:cstheme="minorEastAsia"/>
          <w:spacing w:val="-4"/>
          <w:sz w:val="24"/>
          <w:szCs w:val="24"/>
          <w:lang w:val="en-US" w:eastAsia="zh-CN"/>
        </w:rPr>
        <w:t>本次采购</w:t>
      </w:r>
      <w:r>
        <w:rPr>
          <w:rFonts w:hint="eastAsia" w:asciiTheme="minorEastAsia" w:hAnsiTheme="minorEastAsia" w:eastAsiaTheme="minorEastAsia" w:cstheme="minorEastAsia"/>
          <w:spacing w:val="-4"/>
          <w:sz w:val="24"/>
          <w:szCs w:val="24"/>
        </w:rPr>
        <w:t>有关的费用</w:t>
      </w:r>
      <w:r>
        <w:rPr>
          <w:rFonts w:hint="eastAsia" w:asciiTheme="minorEastAsia" w:hAnsiTheme="minorEastAsia" w:eastAsiaTheme="minorEastAsia" w:cstheme="minorEastAsia"/>
          <w:spacing w:val="-5"/>
          <w:sz w:val="24"/>
          <w:szCs w:val="24"/>
        </w:rPr>
        <w:t>，无论</w:t>
      </w:r>
      <w:r>
        <w:rPr>
          <w:rFonts w:hint="eastAsia" w:asciiTheme="minorEastAsia" w:hAnsiTheme="minorEastAsia" w:eastAsiaTheme="minorEastAsia" w:cstheme="minorEastAsia"/>
          <w:spacing w:val="-5"/>
          <w:sz w:val="24"/>
          <w:szCs w:val="24"/>
          <w:lang w:val="en-US" w:eastAsia="zh-CN"/>
        </w:rPr>
        <w:t>谈判</w:t>
      </w:r>
      <w:r>
        <w:rPr>
          <w:rFonts w:hint="eastAsia" w:asciiTheme="minorEastAsia" w:hAnsiTheme="minorEastAsia" w:eastAsiaTheme="minorEastAsia" w:cstheme="minorEastAsia"/>
          <w:spacing w:val="-5"/>
          <w:sz w:val="24"/>
          <w:szCs w:val="24"/>
        </w:rPr>
        <w:t>的结果如何，</w:t>
      </w:r>
      <w:r>
        <w:rPr>
          <w:rFonts w:hint="eastAsia" w:asciiTheme="minorEastAsia" w:hAnsiTheme="minorEastAsia" w:eastAsiaTheme="minorEastAsia" w:cstheme="minorEastAsia"/>
          <w:spacing w:val="-1"/>
          <w:sz w:val="24"/>
          <w:szCs w:val="24"/>
        </w:rPr>
        <w:t>采购人或采购代理机构在任何情况下均无承担</w:t>
      </w:r>
      <w:r>
        <w:rPr>
          <w:rFonts w:hint="eastAsia" w:asciiTheme="minorEastAsia" w:hAnsiTheme="minorEastAsia" w:eastAsiaTheme="minorEastAsia" w:cstheme="minorEastAsia"/>
          <w:spacing w:val="-2"/>
          <w:sz w:val="24"/>
          <w:szCs w:val="24"/>
        </w:rPr>
        <w:t>这些费用的义务和责任。</w:t>
      </w:r>
    </w:p>
    <w:p w14:paraId="4EC2F9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b/>
          <w:bCs/>
          <w:snapToGrid w:val="0"/>
          <w:color w:val="000000"/>
          <w:spacing w:val="-4"/>
          <w:kern w:val="0"/>
          <w:sz w:val="24"/>
          <w:szCs w:val="24"/>
          <w:lang w:val="en-US" w:eastAsia="zh-CN" w:bidi="ar-SA"/>
        </w:rPr>
      </w:pPr>
      <w:r>
        <w:rPr>
          <w:rFonts w:hint="eastAsia" w:asciiTheme="minorEastAsia" w:hAnsiTheme="minorEastAsia" w:eastAsiaTheme="minorEastAsia" w:cstheme="minorEastAsia"/>
          <w:b/>
          <w:bCs/>
          <w:snapToGrid w:val="0"/>
          <w:color w:val="000000"/>
          <w:spacing w:val="-4"/>
          <w:kern w:val="0"/>
          <w:sz w:val="24"/>
          <w:szCs w:val="24"/>
          <w:lang w:val="en-US" w:eastAsia="zh-CN" w:bidi="ar-SA"/>
        </w:rPr>
        <w:t>5.采购范围及适用法律</w:t>
      </w:r>
    </w:p>
    <w:p w14:paraId="5B0F74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5.1 本次采购适用的法律、法规为《中华人民共和国政府采购法》《中华人民共和国政府采购法实施条例》《政府采购非招标采购方式管理办法》《中华人民共和国民法典》以及其他相关政府采购法律法规。</w:t>
      </w:r>
    </w:p>
    <w:p w14:paraId="573DF2D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5.2 “监督管理部门”是指</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南阳市财政局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37012E10">
      <w:pPr>
        <w:keepNext w:val="0"/>
        <w:keepLines w:val="0"/>
        <w:pageBreakBefore w:val="0"/>
        <w:kinsoku/>
        <w:wordWrap w:val="0"/>
        <w:overflowPunct/>
        <w:topLinePunct w:val="0"/>
        <w:bidi w:val="0"/>
        <w:spacing w:line="360" w:lineRule="auto"/>
        <w:ind w:firstLine="567"/>
        <w:jc w:val="both"/>
        <w:rPr>
          <w:rFonts w:hint="default"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5.3 “货物”指供应商按采购文件规定，须向采购人提供的与本次采购相关的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医学影像数智化虚拟仿真实训基地 </w:t>
      </w:r>
      <w:r>
        <w:rPr>
          <w:rFonts w:hint="eastAsia" w:asciiTheme="minorEastAsia" w:hAnsiTheme="minorEastAsia" w:eastAsiaTheme="minorEastAsia" w:cstheme="minorEastAsia"/>
          <w:snapToGrid w:val="0"/>
          <w:color w:val="000000"/>
          <w:spacing w:val="-2"/>
          <w:kern w:val="0"/>
          <w:sz w:val="24"/>
          <w:szCs w:val="24"/>
          <w:lang w:val="en-US" w:eastAsia="zh-CN" w:bidi="ar-SA"/>
        </w:rPr>
        <w:t>。</w:t>
      </w:r>
    </w:p>
    <w:p w14:paraId="09CAAAA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napToGrid w:val="0"/>
          <w:color w:val="000000"/>
          <w:spacing w:val="-4"/>
          <w:kern w:val="0"/>
          <w:sz w:val="24"/>
          <w:szCs w:val="24"/>
          <w:lang w:val="en-US" w:eastAsia="zh-CN" w:bidi="ar-SA"/>
        </w:rPr>
      </w:pPr>
      <w:r>
        <w:rPr>
          <w:rFonts w:hint="eastAsia" w:asciiTheme="minorEastAsia" w:hAnsiTheme="minorEastAsia" w:eastAsiaTheme="minorEastAsia" w:cstheme="minorEastAsia"/>
          <w:snapToGrid w:val="0"/>
          <w:color w:val="000000"/>
          <w:spacing w:val="-4"/>
          <w:kern w:val="0"/>
          <w:sz w:val="24"/>
          <w:szCs w:val="24"/>
          <w:lang w:val="en-US" w:eastAsia="zh-CN" w:bidi="ar-SA"/>
        </w:rPr>
        <w:t>5.4 “服务”指采购文件规定供应商应承担的</w:t>
      </w:r>
      <w:r>
        <w:rPr>
          <w:rFonts w:hint="eastAsia" w:asciiTheme="minorEastAsia" w:hAnsiTheme="minorEastAsia" w:eastAsiaTheme="minorEastAsia" w:cstheme="minorEastAsia"/>
          <w:snapToGrid w:val="0"/>
          <w:color w:val="000000"/>
          <w:spacing w:val="-2"/>
          <w:kern w:val="0"/>
          <w:sz w:val="24"/>
          <w:szCs w:val="24"/>
          <w:u w:val="single"/>
          <w:lang w:val="en-US" w:eastAsia="zh-CN" w:bidi="ar-SA"/>
        </w:rPr>
        <w:t xml:space="preserve"> 安装调试及售后 </w:t>
      </w:r>
      <w:r>
        <w:rPr>
          <w:rFonts w:hint="eastAsia" w:asciiTheme="minorEastAsia" w:hAnsiTheme="minorEastAsia" w:eastAsiaTheme="minorEastAsia" w:cstheme="minorEastAsia"/>
          <w:snapToGrid w:val="0"/>
          <w:color w:val="000000"/>
          <w:spacing w:val="-4"/>
          <w:kern w:val="0"/>
          <w:sz w:val="24"/>
          <w:szCs w:val="24"/>
          <w:lang w:val="en-US" w:eastAsia="zh-CN" w:bidi="ar-SA"/>
        </w:rPr>
        <w:t>服务。</w:t>
      </w:r>
    </w:p>
    <w:p w14:paraId="2B8D0ABB">
      <w:pPr>
        <w:keepNext w:val="0"/>
        <w:keepLines w:val="0"/>
        <w:pageBreakBefore w:val="0"/>
        <w:kinsoku/>
        <w:wordWrap w:val="0"/>
        <w:overflowPunct/>
        <w:topLinePunct w:val="0"/>
        <w:bidi w:val="0"/>
        <w:spacing w:line="292" w:lineRule="auto"/>
        <w:jc w:val="both"/>
        <w:rPr>
          <w:rFonts w:ascii="Arial"/>
          <w:sz w:val="21"/>
        </w:rPr>
      </w:pPr>
    </w:p>
    <w:p w14:paraId="7B378D64">
      <w:pPr>
        <w:pStyle w:val="5"/>
        <w:keepNext w:val="0"/>
        <w:keepLines w:val="0"/>
        <w:pageBreakBefore w:val="0"/>
        <w:kinsoku/>
        <w:wordWrap w:val="0"/>
        <w:overflowPunct/>
        <w:topLinePunct w:val="0"/>
        <w:bidi w:val="0"/>
        <w:spacing w:before="91" w:line="360" w:lineRule="auto"/>
        <w:jc w:val="both"/>
        <w:rPr>
          <w:rFonts w:hint="eastAsia"/>
          <w:sz w:val="24"/>
          <w:szCs w:val="24"/>
          <w:lang w:val="en-US" w:eastAsia="zh-CN"/>
        </w:rPr>
      </w:pPr>
      <w:r>
        <w:rPr>
          <w:spacing w:val="-1"/>
          <w:sz w:val="28"/>
          <w:szCs w:val="28"/>
          <w14:textOutline w14:w="1800" w14:cap="flat" w14:cmpd="sng">
            <w14:solidFill>
              <w14:srgbClr w14:val="000000"/>
            </w14:solidFill>
            <w14:prstDash w14:val="solid"/>
            <w14:miter w14:val="0"/>
          </w14:textOutline>
        </w:rPr>
        <w:t>二</w:t>
      </w:r>
      <w:r>
        <w:rPr>
          <w:rFonts w:hint="eastAsia"/>
          <w:spacing w:val="-1"/>
          <w:sz w:val="28"/>
          <w:szCs w:val="28"/>
          <w:lang w:eastAsia="zh-CN"/>
        </w:rPr>
        <w:t>、</w:t>
      </w:r>
      <w:r>
        <w:rPr>
          <w:spacing w:val="-1"/>
          <w:sz w:val="28"/>
          <w:szCs w:val="28"/>
          <w14:textOutline w14:w="1800" w14:cap="flat" w14:cmpd="sng">
            <w14:solidFill>
              <w14:srgbClr w14:val="000000"/>
            </w14:solidFill>
            <w14:prstDash w14:val="solid"/>
            <w14:miter w14:val="0"/>
          </w14:textOutline>
        </w:rPr>
        <w:t>竞争性</w:t>
      </w:r>
      <w:r>
        <w:rPr>
          <w:rFonts w:hint="eastAsia"/>
          <w:spacing w:val="-1"/>
          <w:sz w:val="28"/>
          <w:szCs w:val="28"/>
          <w:lang w:eastAsia="zh-CN"/>
          <w14:textOutline w14:w="1800" w14:cap="flat" w14:cmpd="sng">
            <w14:solidFill>
              <w14:srgbClr w14:val="000000"/>
            </w14:solidFill>
            <w14:prstDash w14:val="solid"/>
            <w14:miter w14:val="0"/>
          </w14:textOutline>
        </w:rPr>
        <w:t>谈判</w:t>
      </w:r>
      <w:r>
        <w:rPr>
          <w:spacing w:val="-1"/>
          <w:sz w:val="28"/>
          <w:szCs w:val="28"/>
          <w14:textOutline w14:w="1800" w14:cap="flat" w14:cmpd="sng">
            <w14:solidFill>
              <w14:srgbClr w14:val="000000"/>
            </w14:solidFill>
            <w14:prstDash w14:val="solid"/>
            <w14:miter w14:val="0"/>
          </w14:textOutline>
        </w:rPr>
        <w:t>文件</w:t>
      </w:r>
    </w:p>
    <w:p w14:paraId="09C272FC">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sz w:val="24"/>
          <w:szCs w:val="24"/>
        </w:rPr>
      </w:pPr>
      <w:r>
        <w:rPr>
          <w:rFonts w:hint="eastAsia"/>
          <w:b/>
          <w:bCs/>
          <w:sz w:val="24"/>
          <w:szCs w:val="24"/>
          <w:lang w:val="en-US" w:eastAsia="zh-CN"/>
        </w:rPr>
        <w:t>6.</w:t>
      </w:r>
      <w:r>
        <w:rPr>
          <w:b/>
          <w:bCs/>
          <w:sz w:val="24"/>
          <w:szCs w:val="24"/>
        </w:rPr>
        <w:t>竞争性</w:t>
      </w:r>
      <w:r>
        <w:rPr>
          <w:rFonts w:hint="eastAsia"/>
          <w:b/>
          <w:bCs/>
          <w:sz w:val="24"/>
          <w:szCs w:val="24"/>
          <w:lang w:eastAsia="zh-CN"/>
        </w:rPr>
        <w:t>谈判</w:t>
      </w:r>
      <w:r>
        <w:rPr>
          <w:b/>
          <w:bCs/>
          <w:sz w:val="24"/>
          <w:szCs w:val="24"/>
        </w:rPr>
        <w:t>文件构成</w:t>
      </w:r>
    </w:p>
    <w:p w14:paraId="3785637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rFonts w:hint="eastAsia"/>
          <w:spacing w:val="-1"/>
          <w:sz w:val="24"/>
          <w:szCs w:val="24"/>
          <w:lang w:val="en-US" w:eastAsia="zh-CN"/>
        </w:rPr>
        <w:t>6</w:t>
      </w:r>
      <w:r>
        <w:rPr>
          <w:spacing w:val="-1"/>
          <w:sz w:val="24"/>
          <w:szCs w:val="24"/>
        </w:rPr>
        <w:t>.1</w:t>
      </w:r>
      <w:r>
        <w:rPr>
          <w:rFonts w:hint="eastAsia"/>
          <w:spacing w:val="-1"/>
          <w:sz w:val="24"/>
          <w:szCs w:val="24"/>
          <w:lang w:val="en-US" w:eastAsia="zh-CN"/>
        </w:rPr>
        <w:t xml:space="preserve"> </w:t>
      </w:r>
      <w:r>
        <w:rPr>
          <w:spacing w:val="-1"/>
          <w:sz w:val="24"/>
          <w:szCs w:val="24"/>
        </w:rPr>
        <w:t>竞争性</w:t>
      </w:r>
      <w:r>
        <w:rPr>
          <w:rFonts w:hint="eastAsia"/>
          <w:spacing w:val="-1"/>
          <w:sz w:val="24"/>
          <w:szCs w:val="24"/>
          <w:lang w:eastAsia="zh-CN"/>
        </w:rPr>
        <w:t>谈判</w:t>
      </w:r>
      <w:r>
        <w:rPr>
          <w:spacing w:val="-1"/>
          <w:sz w:val="24"/>
          <w:szCs w:val="24"/>
        </w:rPr>
        <w:t>文件包括以下部分：</w:t>
      </w:r>
    </w:p>
    <w:p w14:paraId="436AD2B8">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fldChar w:fldCharType="begin"/>
      </w:r>
      <w:r>
        <w:rPr>
          <w:spacing w:val="-1"/>
          <w:sz w:val="24"/>
          <w:szCs w:val="24"/>
        </w:rPr>
        <w:instrText xml:space="preserve">HYPERLINK\l"bookmark1"</w:instrText>
      </w:r>
      <w:r>
        <w:rPr>
          <w:spacing w:val="-1"/>
          <w:sz w:val="24"/>
          <w:szCs w:val="24"/>
        </w:rPr>
        <w:fldChar w:fldCharType="separate"/>
      </w:r>
      <w:r>
        <w:rPr>
          <w:spacing w:val="-1"/>
          <w:sz w:val="24"/>
          <w:szCs w:val="24"/>
        </w:rPr>
        <w:t>第一章</w:t>
      </w:r>
      <w:r>
        <w:rPr>
          <w:rFonts w:hint="eastAsia"/>
          <w:spacing w:val="-1"/>
          <w:sz w:val="24"/>
          <w:szCs w:val="24"/>
          <w:lang w:val="en-US" w:eastAsia="zh-CN"/>
        </w:rPr>
        <w:t xml:space="preserve"> </w:t>
      </w:r>
      <w:r>
        <w:rPr>
          <w:rFonts w:hint="eastAsia"/>
          <w:spacing w:val="-1"/>
          <w:sz w:val="24"/>
          <w:szCs w:val="24"/>
          <w:lang w:eastAsia="zh-CN"/>
        </w:rPr>
        <w:t>竞争性谈判公告</w:t>
      </w:r>
      <w:r>
        <w:rPr>
          <w:spacing w:val="-1"/>
          <w:sz w:val="24"/>
          <w:szCs w:val="24"/>
        </w:rPr>
        <w:fldChar w:fldCharType="end"/>
      </w:r>
    </w:p>
    <w:p w14:paraId="07D8DF7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第二章</w:t>
      </w:r>
      <w:r>
        <w:rPr>
          <w:rFonts w:hint="eastAsia"/>
          <w:spacing w:val="-1"/>
          <w:sz w:val="24"/>
          <w:szCs w:val="24"/>
          <w:lang w:val="en-US" w:eastAsia="zh-CN"/>
        </w:rPr>
        <w:t xml:space="preserve"> </w:t>
      </w:r>
      <w:r>
        <w:rPr>
          <w:spacing w:val="-1"/>
          <w:sz w:val="24"/>
          <w:szCs w:val="24"/>
        </w:rPr>
        <w:t>采购需求</w:t>
      </w:r>
    </w:p>
    <w:p w14:paraId="012F03C0">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第三章</w:t>
      </w:r>
      <w:r>
        <w:rPr>
          <w:rFonts w:hint="eastAsia"/>
          <w:spacing w:val="-1"/>
          <w:sz w:val="24"/>
          <w:szCs w:val="24"/>
          <w:lang w:val="en-US" w:eastAsia="zh-CN"/>
        </w:rPr>
        <w:t xml:space="preserve"> </w:t>
      </w:r>
      <w:r>
        <w:rPr>
          <w:spacing w:val="-1"/>
          <w:sz w:val="24"/>
          <w:szCs w:val="24"/>
        </w:rPr>
        <w:t>供应商须知</w:t>
      </w:r>
    </w:p>
    <w:p w14:paraId="36B5BB53">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第四章</w:t>
      </w:r>
      <w:r>
        <w:rPr>
          <w:rFonts w:hint="eastAsia"/>
          <w:spacing w:val="-1"/>
          <w:sz w:val="24"/>
          <w:szCs w:val="24"/>
          <w:lang w:val="en-US" w:eastAsia="zh-CN"/>
        </w:rPr>
        <w:t xml:space="preserve"> </w:t>
      </w:r>
      <w:r>
        <w:rPr>
          <w:rFonts w:hint="eastAsia"/>
          <w:spacing w:val="-1"/>
          <w:sz w:val="24"/>
          <w:szCs w:val="24"/>
          <w:lang w:eastAsia="zh-CN"/>
        </w:rPr>
        <w:t>评审程序和评定成交的标准</w:t>
      </w:r>
    </w:p>
    <w:p w14:paraId="09B555E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第五章</w:t>
      </w:r>
      <w:r>
        <w:rPr>
          <w:rFonts w:hint="eastAsia"/>
          <w:spacing w:val="-1"/>
          <w:sz w:val="24"/>
          <w:szCs w:val="24"/>
          <w:lang w:val="en-US" w:eastAsia="zh-CN"/>
        </w:rPr>
        <w:t xml:space="preserve"> </w:t>
      </w:r>
      <w:r>
        <w:rPr>
          <w:rFonts w:hint="eastAsia"/>
          <w:spacing w:val="-1"/>
          <w:sz w:val="24"/>
          <w:szCs w:val="24"/>
          <w:lang w:eastAsia="zh-CN"/>
        </w:rPr>
        <w:t>政府采购合同（草案）</w:t>
      </w:r>
    </w:p>
    <w:p w14:paraId="5824DDC0">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spacing w:val="-1"/>
          <w:sz w:val="24"/>
          <w:szCs w:val="24"/>
        </w:rPr>
      </w:pPr>
      <w:r>
        <w:rPr>
          <w:spacing w:val="-1"/>
          <w:sz w:val="24"/>
          <w:szCs w:val="24"/>
        </w:rPr>
        <w:t>第六章</w:t>
      </w:r>
      <w:r>
        <w:rPr>
          <w:rFonts w:hint="eastAsia"/>
          <w:spacing w:val="-1"/>
          <w:sz w:val="24"/>
          <w:szCs w:val="24"/>
          <w:lang w:val="en-US" w:eastAsia="zh-CN"/>
        </w:rPr>
        <w:t xml:space="preserve"> </w:t>
      </w:r>
      <w:r>
        <w:rPr>
          <w:spacing w:val="-1"/>
          <w:sz w:val="24"/>
          <w:szCs w:val="24"/>
        </w:rPr>
        <w:t>响应文件格式</w:t>
      </w:r>
    </w:p>
    <w:p w14:paraId="29BF96CE">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6.2 供应商应认真阅读竞争性谈判文件的全部内容。供应商应按照竞争性谈判文件要求提交响应文件并保证所提供的全部资料的真实性，并对竞争性谈判文件做出实质性响应，否则响应无效。</w:t>
      </w:r>
    </w:p>
    <w:p w14:paraId="3C3CFD5F">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7.对竞争性谈判文件的澄清或修改</w:t>
      </w:r>
    </w:p>
    <w:p w14:paraId="00CE0640">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7.1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可用补充文件的方式修正竞争性谈判文件，补充文件内容以公告的形式告知所有竞争性谈判文件收受人，该补充文件将成为竞争性谈判文件的组成部分，并替代所修正的部分。</w:t>
      </w:r>
    </w:p>
    <w:p w14:paraId="70094E6A">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 xml:space="preserve">7.2 </w:t>
      </w:r>
      <w:r>
        <w:rPr>
          <w:rFonts w:hint="eastAsia" w:asciiTheme="minorEastAsia" w:hAnsiTheme="minorEastAsia" w:eastAsiaTheme="minorEastAsia" w:cstheme="minorEastAsia"/>
          <w:spacing w:val="-8"/>
          <w:sz w:val="24"/>
          <w:szCs w:val="24"/>
          <w:lang w:val="en-US" w:eastAsia="zh-CN"/>
        </w:rPr>
        <w:t>采购人或采购代理机构</w:t>
      </w:r>
      <w:r>
        <w:rPr>
          <w:rFonts w:hint="eastAsia"/>
          <w:spacing w:val="-1"/>
          <w:sz w:val="24"/>
          <w:szCs w:val="24"/>
          <w:lang w:val="en-US" w:eastAsia="zh-CN"/>
        </w:rPr>
        <w:t>可以酌情延长上传截止时间，并将此变更以公告形式通知所有竞争性谈判文件收受人。</w:t>
      </w:r>
    </w:p>
    <w:p w14:paraId="359E8DB3">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7.3 澄清或者修改的内容为竞争性谈判文件的组成部分，并对所有获取竞争性谈判文件的潜在供应商具有约束力。澄清或者修改的内容可能影响响应文件编制的，将在提交首次响应文件截止之日3个工作日前，以书面形式</w:t>
      </w:r>
      <w:r>
        <w:rPr>
          <w:rFonts w:hint="eastAsia" w:asciiTheme="minorEastAsia" w:hAnsiTheme="minorEastAsia" w:eastAsiaTheme="minorEastAsia" w:cstheme="minorEastAsia"/>
          <w:spacing w:val="-8"/>
          <w:sz w:val="24"/>
          <w:szCs w:val="24"/>
          <w:lang w:val="en-US" w:eastAsia="zh-CN"/>
        </w:rPr>
        <w:t>（必须在原公告发布媒体上发布公告）</w:t>
      </w:r>
      <w:r>
        <w:rPr>
          <w:rFonts w:hint="eastAsia"/>
          <w:spacing w:val="-1"/>
          <w:sz w:val="24"/>
          <w:szCs w:val="24"/>
          <w:lang w:val="en-US" w:eastAsia="zh-CN"/>
        </w:rPr>
        <w:t>通知所有获取谈判文件的供应商；不足上述时间的，将顺延上传响应文件截止时间。</w:t>
      </w:r>
    </w:p>
    <w:p w14:paraId="4B5AF302">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7.4 政府采购项目实行网上受理，开标前所有信息保密。因此，采购人或采购代理机构发布的一切公告信息（包括采购公告、变更公告、澄清公告等）均在“河南省政府采购网”“南阳市公共资源交易中心网”等媒体发布，请潜在供应商随时查询有关公告信息。若因潜在供应商没有及时查看到公告信息而造成的失误，责任自负。</w:t>
      </w:r>
    </w:p>
    <w:p w14:paraId="60AC286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50" w:firstLineChars="200"/>
        <w:jc w:val="both"/>
        <w:textAlignment w:val="baseline"/>
        <w:rPr>
          <w:rFonts w:hint="default" w:asciiTheme="minorEastAsia" w:hAnsiTheme="minorEastAsia" w:eastAsiaTheme="minorEastAsia" w:cstheme="minorEastAsia"/>
          <w:b/>
          <w:bCs/>
          <w:spacing w:val="-8"/>
          <w:sz w:val="24"/>
          <w:szCs w:val="24"/>
          <w:lang w:val="en-US" w:eastAsia="zh-CN"/>
        </w:rPr>
      </w:pPr>
      <w:r>
        <w:rPr>
          <w:rFonts w:hint="eastAsia" w:asciiTheme="minorEastAsia" w:hAnsiTheme="minorEastAsia" w:eastAsiaTheme="minorEastAsia" w:cstheme="minorEastAsia"/>
          <w:b/>
          <w:bCs/>
          <w:spacing w:val="-8"/>
          <w:sz w:val="24"/>
          <w:szCs w:val="24"/>
          <w:lang w:val="en-US" w:eastAsia="zh-CN"/>
        </w:rPr>
        <w:t>7.5 供应商应关注是否有发布最新的澄清更正公告和更正的最新谈判文件（电子答疑文件），如有则需下载最新的谈判文件，并在此基础上制作最新的响应文件并上传。</w:t>
      </w:r>
    </w:p>
    <w:p w14:paraId="5F5F381D">
      <w:pPr>
        <w:pStyle w:val="5"/>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spacing w:val="-1"/>
          <w:sz w:val="24"/>
          <w:szCs w:val="24"/>
          <w:lang w:val="en-US" w:eastAsia="zh-CN"/>
        </w:rPr>
      </w:pPr>
    </w:p>
    <w:p w14:paraId="4A68CFA6">
      <w:pPr>
        <w:pStyle w:val="5"/>
        <w:keepNext w:val="0"/>
        <w:keepLines w:val="0"/>
        <w:pageBreakBefore w:val="0"/>
        <w:kinsoku/>
        <w:wordWrap w:val="0"/>
        <w:overflowPunct/>
        <w:topLinePunct w:val="0"/>
        <w:bidi w:val="0"/>
        <w:spacing w:before="91" w:line="360" w:lineRule="auto"/>
        <w:jc w:val="both"/>
        <w:rPr>
          <w:rFonts w:hint="eastAsia" w:ascii="Arial" w:hAnsi="Arial" w:eastAsia="宋体" w:cs="Arial"/>
          <w:sz w:val="24"/>
          <w:szCs w:val="24"/>
          <w:lang w:val="en-US" w:eastAsia="zh-CN"/>
        </w:rPr>
      </w:pPr>
      <w:r>
        <w:rPr>
          <w:spacing w:val="-4"/>
          <w:sz w:val="28"/>
          <w:szCs w:val="28"/>
          <w14:textOutline w14:w="1800" w14:cap="flat" w14:cmpd="sng">
            <w14:solidFill>
              <w14:srgbClr w14:val="000000"/>
            </w14:solidFill>
            <w14:prstDash w14:val="solid"/>
            <w14:miter w14:val="0"/>
          </w14:textOutline>
        </w:rPr>
        <w:t>三</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响应文件的编制</w:t>
      </w:r>
    </w:p>
    <w:p w14:paraId="419C4557">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8.响应范围、竞争性谈判文件中计量单位的使用及谈判语言</w:t>
      </w:r>
    </w:p>
    <w:p w14:paraId="62EED13C">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8.1 本项目如划分采购包，供应商可以对本项目的其中一个采购包进行响应，也可同时对多个采购包进行响应。供应商应当对所参与采购包对应第二章《采购需求》所列的全部内容进行响应，不得将一个采购包中的内容拆分响应，否则其对该采购包的响应将被认定为无效响应。</w:t>
      </w:r>
    </w:p>
    <w:p w14:paraId="206B21AC">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8.2 除竞争性谈判文件有特殊要求外，本项目谈判所使用的计量单位，应采用中华人民共和国法定计量单位。</w:t>
      </w:r>
    </w:p>
    <w:p w14:paraId="6FE2892B">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8.3 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14:paraId="53F581B6">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8" w:firstLineChars="200"/>
        <w:jc w:val="both"/>
        <w:textAlignment w:val="baseline"/>
        <w:rPr>
          <w:rFonts w:hint="eastAsia"/>
          <w:b/>
          <w:bCs/>
          <w:spacing w:val="-1"/>
          <w:sz w:val="24"/>
          <w:szCs w:val="24"/>
          <w:lang w:val="en-US" w:eastAsia="zh-CN"/>
        </w:rPr>
      </w:pPr>
      <w:r>
        <w:rPr>
          <w:rFonts w:hint="eastAsia"/>
          <w:b/>
          <w:bCs/>
          <w:spacing w:val="-1"/>
          <w:sz w:val="24"/>
          <w:szCs w:val="24"/>
          <w:lang w:val="en-US" w:eastAsia="zh-CN"/>
        </w:rPr>
        <w:t>9.响应文件构成</w:t>
      </w:r>
    </w:p>
    <w:p w14:paraId="7FA4D202">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9.1 供应商应当按照竞争性谈判文件的要求编制响应文件，并对其提交的响应文件的真实性、合法性承担法律责任。响应文件的部分格式要求，见第六章《响应文件格式》。</w:t>
      </w:r>
    </w:p>
    <w:p w14:paraId="64CBB840">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76" w:firstLineChars="200"/>
        <w:jc w:val="both"/>
        <w:textAlignment w:val="baseline"/>
        <w:rPr>
          <w:rFonts w:hint="eastAsia"/>
          <w:spacing w:val="-1"/>
          <w:sz w:val="24"/>
          <w:szCs w:val="24"/>
          <w:lang w:val="en-US" w:eastAsia="zh-CN"/>
        </w:rPr>
      </w:pPr>
      <w:r>
        <w:rPr>
          <w:rFonts w:hint="eastAsia"/>
          <w:spacing w:val="-1"/>
          <w:sz w:val="24"/>
          <w:szCs w:val="24"/>
          <w:lang w:val="en-US" w:eastAsia="zh-CN"/>
        </w:rPr>
        <w:t>9.2 对于竞争性谈判文件中标记了实质性格式文件的，供应商不得改变格式中给定的文字所表达的含义，不得删减格式中的实质性内容，不得对应当填写的空格不填写或不实质性响应，否则响应无效。未标记实质性格式的文件和竞争性谈判文件未提供格式的内容，可由供应商自行编写。</w:t>
      </w:r>
    </w:p>
    <w:p w14:paraId="773E5A6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电子</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文件应使用CA数字证书生成并在截止时间前上传其加密版本，</w:t>
      </w:r>
      <w:r>
        <w:rPr>
          <w:rFonts w:hint="eastAsia" w:asciiTheme="minorEastAsia" w:hAnsiTheme="minorEastAsia" w:eastAsiaTheme="minorEastAsia" w:cstheme="minorEastAsia"/>
          <w:sz w:val="24"/>
          <w:szCs w:val="24"/>
          <w:lang w:val="en-US" w:eastAsia="zh-CN"/>
        </w:rPr>
        <w:t>根据谈判文件中规定的下载平台要求，</w:t>
      </w:r>
      <w:r>
        <w:rPr>
          <w:rFonts w:hint="eastAsia" w:asciiTheme="minorEastAsia" w:hAnsiTheme="minorEastAsia" w:eastAsiaTheme="minorEastAsia" w:cstheme="minorEastAsia"/>
          <w:sz w:val="24"/>
          <w:szCs w:val="24"/>
          <w:lang w:eastAsia="zh-CN"/>
        </w:rPr>
        <w:t>具体详见《投标文件制作工具操作手册》。</w:t>
      </w:r>
      <w:r>
        <w:rPr>
          <w:rFonts w:hint="eastAsia" w:asciiTheme="minorEastAsia" w:hAnsiTheme="minorEastAsia" w:eastAsiaTheme="minorEastAsia" w:cstheme="minorEastAsia"/>
          <w:b/>
          <w:bCs/>
          <w:sz w:val="24"/>
          <w:szCs w:val="24"/>
          <w:lang w:eastAsia="zh-CN"/>
        </w:rPr>
        <w:t>否则，被视为无效</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文件，将被平台系统拒绝。</w:t>
      </w:r>
    </w:p>
    <w:p w14:paraId="4A4B2B0E">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9.4 </w:t>
      </w:r>
      <w:r>
        <w:rPr>
          <w:rFonts w:hint="eastAsia" w:asciiTheme="minorEastAsia" w:hAnsiTheme="minorEastAsia" w:eastAsiaTheme="minorEastAsia" w:cstheme="minorEastAsia"/>
          <w:sz w:val="24"/>
          <w:szCs w:val="24"/>
        </w:rPr>
        <w:t>第四章《</w:t>
      </w:r>
      <w:r>
        <w:rPr>
          <w:rFonts w:hint="eastAsia" w:eastAsiaTheme="minorEastAsia"/>
          <w:spacing w:val="-1"/>
          <w:sz w:val="24"/>
          <w:szCs w:val="24"/>
          <w:lang w:eastAsia="zh-CN"/>
        </w:rPr>
        <w:t>评审程序和评定成交的标准</w:t>
      </w:r>
      <w:r>
        <w:rPr>
          <w:rFonts w:hint="eastAsia" w:asciiTheme="minorEastAsia" w:hAnsiTheme="minorEastAsia" w:eastAsiaTheme="minorEastAsia" w:cstheme="minorEastAsia"/>
          <w:sz w:val="24"/>
          <w:szCs w:val="24"/>
        </w:rPr>
        <w:t>》中涉及的证明文件。</w:t>
      </w:r>
    </w:p>
    <w:p w14:paraId="3E4A8D13">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 xml:space="preserve">5 </w:t>
      </w:r>
      <w:r>
        <w:rPr>
          <w:rFonts w:hint="eastAsia" w:asciiTheme="minorEastAsia" w:hAnsiTheme="minorEastAsia" w:eastAsiaTheme="minorEastAsia" w:cstheme="minorEastAsia"/>
          <w:sz w:val="24"/>
          <w:szCs w:val="24"/>
        </w:rPr>
        <w:t>对照第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章《采购需求》，说明所</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供货物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val="en-US" w:eastAsia="zh-CN"/>
        </w:rPr>
        <w:t>或工程</w:t>
      </w:r>
      <w:r>
        <w:rPr>
          <w:rFonts w:hint="eastAsia" w:asciiTheme="minorEastAsia" w:hAnsiTheme="minorEastAsia" w:eastAsiaTheme="minorEastAsia" w:cstheme="minorEastAsia"/>
          <w:sz w:val="24"/>
          <w:szCs w:val="24"/>
        </w:rPr>
        <w:t>已对第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章《采购需求》做出了响应，或申明与第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章《采购需求》的偏差和例外。如第</w:t>
      </w:r>
      <w:r>
        <w:rPr>
          <w:rFonts w:hint="eastAsia" w:asciiTheme="minorEastAsia" w:hAnsiTheme="minorEastAsia" w:eastAsiaTheme="minorEastAsia" w:cstheme="minorEastAsia"/>
          <w:sz w:val="24"/>
          <w:szCs w:val="24"/>
          <w:lang w:val="en-US" w:eastAsia="zh-CN"/>
        </w:rPr>
        <w:t>二</w:t>
      </w:r>
      <w:r>
        <w:rPr>
          <w:rFonts w:hint="eastAsia" w:asciiTheme="minorEastAsia" w:hAnsiTheme="minorEastAsia" w:eastAsiaTheme="minorEastAsia" w:cstheme="minorEastAsia"/>
          <w:sz w:val="24"/>
          <w:szCs w:val="24"/>
        </w:rPr>
        <w:t>章《采购需求》中要求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供证明文件的，</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rPr>
        <w:t>应当按具体要求</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供证明文件。</w:t>
      </w:r>
    </w:p>
    <w:p w14:paraId="6CA28265">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9.6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编制响应文件时，涉及营业执照、资质、业绩、财务、社保、纳税及各类证书、报告等内容，必须是原件的扫描件。</w:t>
      </w:r>
    </w:p>
    <w:p w14:paraId="70B8B59D">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9.7 </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z w:val="24"/>
          <w:szCs w:val="24"/>
          <w:lang w:val="en-US" w:eastAsia="zh-CN"/>
        </w:rPr>
        <w:t>认为应附的其他材料。</w:t>
      </w:r>
    </w:p>
    <w:p w14:paraId="30424DC5">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10.报价</w:t>
      </w:r>
    </w:p>
    <w:p w14:paraId="14CB80BA">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 xml:space="preserve"> 报价</w:t>
      </w:r>
      <w:r>
        <w:rPr>
          <w:rFonts w:hint="eastAsia" w:asciiTheme="minorEastAsia" w:hAnsiTheme="minorEastAsia" w:eastAsiaTheme="minorEastAsia" w:cstheme="minorEastAsia"/>
          <w:sz w:val="24"/>
          <w:szCs w:val="24"/>
        </w:rPr>
        <w:t>均以人民币报价。</w:t>
      </w:r>
    </w:p>
    <w:p w14:paraId="1CB99E34">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的报价应包括为完成本项目所发生的一切费用和税费，采购人将不再支付报价以外的任何费用。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的报价应包括但不限于下列内容，</w:t>
      </w:r>
      <w:r>
        <w:rPr>
          <w:rFonts w:hint="eastAsia" w:asciiTheme="minorEastAsia" w:hAnsiTheme="minorEastAsia" w:eastAsiaTheme="minorEastAsia" w:cstheme="minorEastAsia"/>
          <w:sz w:val="24"/>
          <w:szCs w:val="24"/>
          <w:lang w:val="en-US" w:eastAsia="zh-CN"/>
        </w:rPr>
        <w:t>谈判文件</w:t>
      </w:r>
      <w:r>
        <w:rPr>
          <w:rFonts w:hint="eastAsia" w:asciiTheme="minorEastAsia" w:hAnsiTheme="minorEastAsia" w:eastAsiaTheme="minorEastAsia" w:cstheme="minorEastAsia"/>
          <w:sz w:val="24"/>
          <w:szCs w:val="24"/>
        </w:rPr>
        <w:t>中有特殊规定的，从其规定。</w:t>
      </w:r>
    </w:p>
    <w:p w14:paraId="70831AF8">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所投</w:t>
      </w:r>
      <w:r>
        <w:rPr>
          <w:rFonts w:hint="eastAsia" w:asciiTheme="minorEastAsia" w:hAnsiTheme="minorEastAsia" w:eastAsiaTheme="minorEastAsia" w:cstheme="minorEastAsia"/>
          <w:sz w:val="24"/>
          <w:szCs w:val="24"/>
        </w:rPr>
        <w:t>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r>
        <w:rPr>
          <w:rFonts w:hint="eastAsia" w:asciiTheme="minorEastAsia" w:hAnsiTheme="minorEastAsia" w:eastAsiaTheme="minorEastAsia" w:cstheme="minorEastAsia"/>
          <w:sz w:val="24"/>
          <w:szCs w:val="24"/>
          <w:lang w:eastAsia="zh-CN"/>
        </w:rPr>
        <w:t>报价时应详细列出所投产品的生产厂商、品牌、型号、单价、数量、总价等。</w:t>
      </w:r>
    </w:p>
    <w:p w14:paraId="7D3D6EE2">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服务项目</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谈判</w:t>
      </w:r>
      <w:r>
        <w:rPr>
          <w:rFonts w:hint="eastAsia" w:asciiTheme="minorEastAsia" w:hAnsiTheme="minorEastAsia" w:eastAsiaTheme="minorEastAsia" w:cstheme="minorEastAsia"/>
          <w:sz w:val="24"/>
          <w:szCs w:val="24"/>
        </w:rPr>
        <w:t>文件要求完成本项目的全部相关费用。</w:t>
      </w:r>
    </w:p>
    <w:p w14:paraId="6C4A642B">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.3</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采购人不得向供应商索要或者接受其给予的赠品、回扣或者与采购无关的其他商品、服务。</w:t>
      </w:r>
    </w:p>
    <w:p w14:paraId="71F83399">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不能</w:t>
      </w:r>
      <w:r>
        <w:rPr>
          <w:rFonts w:hint="eastAsia" w:asciiTheme="minorEastAsia" w:hAnsiTheme="minorEastAsia" w:eastAsiaTheme="minorEastAsia" w:cstheme="minorEastAsia"/>
          <w:sz w:val="24"/>
          <w:szCs w:val="24"/>
          <w:lang w:val="en-US" w:eastAsia="zh-CN"/>
        </w:rPr>
        <w:t>提</w:t>
      </w:r>
      <w:r>
        <w:rPr>
          <w:rFonts w:hint="eastAsia" w:asciiTheme="minorEastAsia" w:hAnsiTheme="minorEastAsia" w:eastAsiaTheme="minorEastAsia" w:cstheme="minorEastAsia"/>
          <w:sz w:val="24"/>
          <w:szCs w:val="24"/>
        </w:rPr>
        <w:t>供任何有选择性或可调整的报价（</w:t>
      </w:r>
      <w:r>
        <w:rPr>
          <w:rFonts w:hint="eastAsia" w:asciiTheme="minorEastAsia" w:hAnsiTheme="minorEastAsia" w:eastAsiaTheme="minorEastAsia" w:cstheme="minorEastAsia"/>
          <w:snapToGrid w:val="0"/>
          <w:color w:val="000000"/>
          <w:spacing w:val="-2"/>
          <w:kern w:val="0"/>
          <w:sz w:val="24"/>
          <w:szCs w:val="24"/>
          <w:lang w:val="en-US" w:eastAsia="zh-CN" w:bidi="ar-SA"/>
        </w:rPr>
        <w:t>竞争性谈判</w:t>
      </w:r>
      <w:r>
        <w:rPr>
          <w:rFonts w:hint="eastAsia" w:asciiTheme="minorEastAsia" w:hAnsiTheme="minorEastAsia" w:eastAsiaTheme="minorEastAsia" w:cstheme="minorEastAsia"/>
          <w:sz w:val="24"/>
          <w:szCs w:val="24"/>
        </w:rPr>
        <w:t>文件另有规定的除外），否则其</w:t>
      </w: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rPr>
        <w:t>无效。</w:t>
      </w:r>
    </w:p>
    <w:p w14:paraId="4C773288">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10.5 本项目将按供应商所提交的单价和总价来支付本项目所需的费用。对供应商没有填写单价和总价的内容,将被认为这些项目费用已包括在报价中。</w:t>
      </w:r>
    </w:p>
    <w:p w14:paraId="08DC4081">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10.6 谈判结束，供应商进行网上最终报价。</w:t>
      </w:r>
    </w:p>
    <w:p w14:paraId="4DFAB624">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10.7 本次采购设有预算，供应商最终报价超过预算的，谈判小组将不予评议。</w:t>
      </w:r>
    </w:p>
    <w:p w14:paraId="5E0E3AF2">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10.8 供应商的所有报价不得低于成本恶意竞争。</w:t>
      </w:r>
    </w:p>
    <w:p w14:paraId="394AC917">
      <w:pPr>
        <w:keepNext w:val="0"/>
        <w:keepLines w:val="0"/>
        <w:pageBreakBefore w:val="0"/>
        <w:widowControl/>
        <w:kinsoku/>
        <w:wordWrap w:val="0"/>
        <w:overflowPunct/>
        <w:topLinePunct w:val="0"/>
        <w:autoSpaceDE/>
        <w:autoSpaceDN/>
        <w:bidi w:val="0"/>
        <w:adjustRightInd/>
        <w:snapToGrid/>
        <w:spacing w:after="0" w:line="360" w:lineRule="auto"/>
        <w:ind w:firstLine="478" w:firstLineChars="200"/>
        <w:jc w:val="both"/>
        <w:textAlignment w:val="auto"/>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11.响应有效期</w:t>
      </w:r>
    </w:p>
    <w:p w14:paraId="3A4B6082">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11.1 响应文件应在本竞争性谈判文件《供应商须知表》中规定的响应有效期内保持有效，响应有效期少于谈判文件规定期限的，其响应无效。成交人的响应有效期延长至项目验收合格之日。</w:t>
      </w:r>
    </w:p>
    <w:p w14:paraId="3003598C">
      <w:pPr>
        <w:keepNext w:val="0"/>
        <w:keepLines w:val="0"/>
        <w:pageBreakBefore w:val="0"/>
        <w:widowControl/>
        <w:kinsoku/>
        <w:wordWrap w:val="0"/>
        <w:overflowPunct/>
        <w:topLinePunct w:val="0"/>
        <w:autoSpaceDE/>
        <w:autoSpaceDN/>
        <w:bidi w:val="0"/>
        <w:adjustRightInd/>
        <w:snapToGrid/>
        <w:spacing w:after="0" w:line="360" w:lineRule="auto"/>
        <w:ind w:firstLine="476" w:firstLineChars="200"/>
        <w:jc w:val="both"/>
        <w:textAlignment w:val="auto"/>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11.2 特别情况下，采购代理机构、采购人可于响应有效期满之前要求供应商同意延长有效期，要求与答复均为书面形式。供应商可以拒绝上述要求。对于同意该要求的供应商，既不要求也不允许其修改响应文件。</w:t>
      </w:r>
    </w:p>
    <w:p w14:paraId="5ED0CCC9">
      <w:pPr>
        <w:keepNext w:val="0"/>
        <w:keepLines w:val="0"/>
        <w:pageBreakBefore w:val="0"/>
        <w:widowControl/>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12.响应</w:t>
      </w:r>
      <w:r>
        <w:rPr>
          <w:rFonts w:hint="eastAsia" w:asciiTheme="minorEastAsia" w:hAnsiTheme="minorEastAsia" w:eastAsiaTheme="minorEastAsia" w:cstheme="minorEastAsia"/>
          <w:b/>
          <w:bCs/>
          <w:sz w:val="24"/>
          <w:szCs w:val="24"/>
        </w:rPr>
        <w:t>文件的签署、盖章</w:t>
      </w:r>
    </w:p>
    <w:p w14:paraId="43169400">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12.1 电子响应文件必须在规定签章处电子签章或手写签字后扫描上传进响应文件。</w:t>
      </w:r>
    </w:p>
    <w:p w14:paraId="6E9E929F">
      <w:pPr>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12.2 竞争性谈判文件要求盖章的内容，一般通过CA加盖电子签章。</w:t>
      </w:r>
    </w:p>
    <w:p w14:paraId="31213433">
      <w:pPr>
        <w:pStyle w:val="5"/>
        <w:keepNext w:val="0"/>
        <w:keepLines w:val="0"/>
        <w:pageBreakBefore w:val="0"/>
        <w:kinsoku/>
        <w:wordWrap w:val="0"/>
        <w:overflowPunct/>
        <w:topLinePunct w:val="0"/>
        <w:bidi w:val="0"/>
        <w:spacing w:before="122" w:line="190" w:lineRule="auto"/>
        <w:jc w:val="both"/>
        <w:rPr>
          <w:spacing w:val="-4"/>
          <w:sz w:val="28"/>
          <w:szCs w:val="28"/>
          <w14:textOutline w14:w="1800" w14:cap="flat" w14:cmpd="sng">
            <w14:solidFill>
              <w14:srgbClr w14:val="000000"/>
            </w14:solidFill>
            <w14:prstDash w14:val="solid"/>
            <w14:miter w14:val="0"/>
          </w14:textOutline>
        </w:rPr>
      </w:pPr>
    </w:p>
    <w:p w14:paraId="7019DA8A">
      <w:pPr>
        <w:pStyle w:val="5"/>
        <w:keepNext w:val="0"/>
        <w:keepLines w:val="0"/>
        <w:pageBreakBefore w:val="0"/>
        <w:kinsoku/>
        <w:wordWrap w:val="0"/>
        <w:overflowPunct/>
        <w:topLinePunct w:val="0"/>
        <w:bidi w:val="0"/>
        <w:spacing w:before="122" w:line="360" w:lineRule="auto"/>
        <w:jc w:val="both"/>
        <w:rPr>
          <w:rFonts w:hint="eastAsia" w:ascii="宋体" w:hAnsi="宋体" w:eastAsia="宋体" w:cs="宋体"/>
          <w:snapToGrid w:val="0"/>
          <w:color w:val="000000"/>
          <w:spacing w:val="-1"/>
          <w:kern w:val="0"/>
          <w:sz w:val="24"/>
          <w:szCs w:val="24"/>
          <w:lang w:val="en-US" w:eastAsia="zh-CN" w:bidi="ar-SA"/>
        </w:rPr>
      </w:pPr>
      <w:r>
        <w:rPr>
          <w:spacing w:val="-4"/>
          <w:sz w:val="28"/>
          <w:szCs w:val="28"/>
          <w14:textOutline w14:w="1800" w14:cap="flat" w14:cmpd="sng">
            <w14:solidFill>
              <w14:srgbClr w14:val="000000"/>
            </w14:solidFill>
            <w14:prstDash w14:val="solid"/>
            <w14:miter w14:val="0"/>
          </w14:textOutline>
        </w:rPr>
        <w:t>四</w:t>
      </w:r>
      <w:r>
        <w:rPr>
          <w:rFonts w:hint="eastAsia"/>
          <w:spacing w:val="10"/>
          <w:sz w:val="28"/>
          <w:szCs w:val="28"/>
          <w:lang w:eastAsia="zh-CN"/>
        </w:rPr>
        <w:t>、</w:t>
      </w:r>
      <w:r>
        <w:rPr>
          <w:spacing w:val="-4"/>
          <w:sz w:val="28"/>
          <w:szCs w:val="28"/>
          <w14:textOutline w14:w="1800" w14:cap="flat" w14:cmpd="sng">
            <w14:solidFill>
              <w14:srgbClr w14:val="000000"/>
            </w14:solidFill>
            <w14:prstDash w14:val="solid"/>
            <w14:miter w14:val="0"/>
          </w14:textOutline>
        </w:rPr>
        <w:t>响应文件的</w:t>
      </w:r>
      <w:r>
        <w:rPr>
          <w:rFonts w:hint="eastAsia" w:ascii="Arial Unicode MS" w:hAnsi="Arial Unicode MS" w:eastAsia="宋体" w:cs="Arial Unicode MS"/>
          <w:spacing w:val="-4"/>
          <w:sz w:val="28"/>
          <w:szCs w:val="28"/>
          <w:lang w:eastAsia="zh-CN"/>
          <w14:textOutline w14:w="1800" w14:cap="flat" w14:cmpd="sng">
            <w14:solidFill>
              <w14:srgbClr w14:val="000000"/>
            </w14:solidFill>
            <w14:prstDash w14:val="solid"/>
            <w14:miter w14:val="0"/>
          </w14:textOutline>
        </w:rPr>
        <w:t>提</w:t>
      </w:r>
      <w:r>
        <w:rPr>
          <w:rFonts w:ascii="Arial Unicode MS" w:hAnsi="Arial Unicode MS" w:eastAsia="Arial Unicode MS" w:cs="Arial Unicode MS"/>
          <w:spacing w:val="-4"/>
          <w:sz w:val="28"/>
          <w:szCs w:val="28"/>
          <w14:textOutline w14:w="1800" w14:cap="flat" w14:cmpd="sng">
            <w14:solidFill>
              <w14:srgbClr w14:val="000000"/>
            </w14:solidFill>
            <w14:prstDash w14:val="solid"/>
            <w14:miter w14:val="0"/>
          </w14:textOutline>
        </w:rPr>
        <w:t>交</w:t>
      </w:r>
    </w:p>
    <w:p w14:paraId="38ED5E5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w:t>
      </w:r>
      <w:r>
        <w:rPr>
          <w:rFonts w:hint="eastAsia" w:cs="宋体"/>
          <w:b/>
          <w:bCs/>
          <w:snapToGrid w:val="0"/>
          <w:color w:val="000000"/>
          <w:spacing w:val="-1"/>
          <w:kern w:val="0"/>
          <w:sz w:val="24"/>
          <w:szCs w:val="24"/>
          <w:lang w:val="en-US" w:eastAsia="zh-CN" w:bidi="ar-SA"/>
        </w:rPr>
        <w:t>3</w:t>
      </w:r>
      <w:r>
        <w:rPr>
          <w:rFonts w:hint="eastAsia" w:ascii="宋体" w:hAnsi="宋体" w:eastAsia="宋体" w:cs="宋体"/>
          <w:b/>
          <w:bCs/>
          <w:snapToGrid w:val="0"/>
          <w:color w:val="000000"/>
          <w:spacing w:val="-1"/>
          <w:kern w:val="0"/>
          <w:sz w:val="24"/>
          <w:szCs w:val="24"/>
          <w:lang w:val="en-US" w:eastAsia="zh-CN" w:bidi="ar-SA"/>
        </w:rPr>
        <w:t>.响应文件的提交</w:t>
      </w:r>
    </w:p>
    <w:p w14:paraId="62625F1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2" w:firstLineChars="200"/>
        <w:jc w:val="both"/>
        <w:textAlignment w:val="baseline"/>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3.</w:t>
      </w:r>
      <w:r>
        <w:rPr>
          <w:rFonts w:hint="eastAsia" w:asciiTheme="minorEastAsia" w:hAnsiTheme="minorEastAsia" w:eastAsiaTheme="minorEastAsia" w:cstheme="minorEastAsia"/>
          <w:spacing w:val="3"/>
          <w:sz w:val="24"/>
          <w:szCs w:val="24"/>
        </w:rPr>
        <w:t>1</w:t>
      </w:r>
      <w:r>
        <w:rPr>
          <w:rFonts w:hint="eastAsia" w:asciiTheme="minorEastAsia" w:hAnsiTheme="minorEastAsia" w:eastAsiaTheme="minorEastAsia" w:cstheme="minorEastAsia"/>
          <w:spacing w:val="3"/>
          <w:sz w:val="24"/>
          <w:szCs w:val="24"/>
          <w:lang w:val="en-US" w:eastAsia="zh-CN"/>
        </w:rPr>
        <w:t xml:space="preserve"> 电子响应文件的提交是指使用南阳市公共资源交易中心网上交易系统在上传截止时间前完成制作软件生成的加密电子响应文件的上传。未在上传截止时间前完成上传的，视为逾期提交。逾期提交的响应文件不予受理。</w:t>
      </w:r>
    </w:p>
    <w:p w14:paraId="466EF42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13.2 采购人及采购代理机构拒绝接受通过电子交易平台以外任何形式提交的响应文件。</w:t>
      </w:r>
    </w:p>
    <w:p w14:paraId="44F68DAF">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78" w:firstLineChars="200"/>
        <w:jc w:val="both"/>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14.响应文件上传截止时间</w:t>
      </w:r>
    </w:p>
    <w:p w14:paraId="67FC8D9A">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供应商应在采购文件要求响应文件上传截止时间前，将电子响应文件提交至电子交易平台。</w:t>
      </w:r>
    </w:p>
    <w:p w14:paraId="5B943B07">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15.响应文件的修改与撤回</w:t>
      </w:r>
    </w:p>
    <w:p w14:paraId="76639C5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15.1在采购文件规定的电子响应文件上传截止时间前，供应商可以修改或撤回已上传的电子响应文件，最终电子响应文件以上传截止时间前完成上传至南阳市公共资源交易电子交易平台最后一份加密电子响应文件为准。</w:t>
      </w:r>
      <w:r>
        <w:rPr>
          <w:rFonts w:hint="eastAsia" w:asciiTheme="minorEastAsia" w:hAnsiTheme="minorEastAsia" w:eastAsiaTheme="minorEastAsia" w:cstheme="minorEastAsia"/>
          <w:spacing w:val="3"/>
          <w:sz w:val="24"/>
          <w:szCs w:val="24"/>
          <w:lang w:val="en-US" w:eastAsia="zh-CN"/>
        </w:rPr>
        <w:t>上传截止时间之后，供应商不得修改或撤回电子响应文件。</w:t>
      </w:r>
    </w:p>
    <w:p w14:paraId="674F1074">
      <w:pPr>
        <w:keepNext w:val="0"/>
        <w:keepLines w:val="0"/>
        <w:pageBreakBefore w:val="0"/>
        <w:widowControl/>
        <w:kinsoku/>
        <w:wordWrap w:val="0"/>
        <w:overflowPunct/>
        <w:topLinePunct w:val="0"/>
        <w:autoSpaceDE w:val="0"/>
        <w:autoSpaceDN w:val="0"/>
        <w:bidi w:val="0"/>
        <w:adjustRightInd w:val="0"/>
        <w:snapToGrid w:val="0"/>
        <w:spacing w:line="360" w:lineRule="auto"/>
        <w:ind w:left="0"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32F76EA">
      <w:pPr>
        <w:keepNext w:val="0"/>
        <w:keepLines w:val="0"/>
        <w:pageBreakBefore w:val="0"/>
        <w:kinsoku/>
        <w:wordWrap w:val="0"/>
        <w:overflowPunct/>
        <w:topLinePunct w:val="0"/>
        <w:bidi w:val="0"/>
        <w:spacing w:line="256" w:lineRule="auto"/>
        <w:jc w:val="both"/>
        <w:rPr>
          <w:rFonts w:ascii="Arial"/>
          <w:sz w:val="21"/>
        </w:rPr>
      </w:pPr>
    </w:p>
    <w:p w14:paraId="412578E1">
      <w:pPr>
        <w:keepNext w:val="0"/>
        <w:keepLines w:val="0"/>
        <w:pageBreakBefore w:val="0"/>
        <w:kinsoku/>
        <w:wordWrap w:val="0"/>
        <w:overflowPunct/>
        <w:topLinePunct w:val="0"/>
        <w:bidi w:val="0"/>
        <w:spacing w:line="256" w:lineRule="auto"/>
        <w:jc w:val="both"/>
        <w:rPr>
          <w:rFonts w:ascii="Arial"/>
          <w:sz w:val="21"/>
        </w:rPr>
      </w:pPr>
    </w:p>
    <w:p w14:paraId="52ADD3CD">
      <w:pPr>
        <w:pStyle w:val="5"/>
        <w:keepNext w:val="0"/>
        <w:keepLines w:val="0"/>
        <w:pageBreakBefore w:val="0"/>
        <w:kinsoku/>
        <w:wordWrap w:val="0"/>
        <w:overflowPunct/>
        <w:topLinePunct w:val="0"/>
        <w:bidi w:val="0"/>
        <w:spacing w:before="1" w:line="218" w:lineRule="auto"/>
        <w:jc w:val="both"/>
        <w:rPr>
          <w:sz w:val="24"/>
          <w:szCs w:val="24"/>
        </w:rPr>
      </w:pPr>
    </w:p>
    <w:p w14:paraId="2CBA7F2F">
      <w:pPr>
        <w:keepNext w:val="0"/>
        <w:keepLines w:val="0"/>
        <w:pageBreakBefore w:val="0"/>
        <w:kinsoku/>
        <w:wordWrap w:val="0"/>
        <w:overflowPunct/>
        <w:topLinePunct w:val="0"/>
        <w:bidi w:val="0"/>
        <w:spacing w:line="218" w:lineRule="auto"/>
        <w:jc w:val="both"/>
        <w:rPr>
          <w:sz w:val="24"/>
          <w:szCs w:val="24"/>
        </w:rPr>
        <w:sectPr>
          <w:headerReference r:id="rId6" w:type="default"/>
          <w:footerReference r:id="rId7" w:type="default"/>
          <w:pgSz w:w="11907" w:h="16840"/>
          <w:pgMar w:top="1440" w:right="1800" w:bottom="1440" w:left="1800" w:header="878" w:footer="886" w:gutter="0"/>
          <w:pgNumType w:fmt="decimal" w:start="1"/>
          <w:cols w:space="720" w:num="1"/>
        </w:sectPr>
      </w:pPr>
    </w:p>
    <w:p w14:paraId="738B3674">
      <w:pPr>
        <w:pStyle w:val="5"/>
        <w:keepNext w:val="0"/>
        <w:keepLines w:val="0"/>
        <w:pageBreakBefore w:val="0"/>
        <w:kinsoku/>
        <w:wordWrap w:val="0"/>
        <w:overflowPunct/>
        <w:topLinePunct w:val="0"/>
        <w:bidi w:val="0"/>
        <w:spacing w:before="353" w:line="219" w:lineRule="auto"/>
        <w:jc w:val="center"/>
        <w:rPr>
          <w:rFonts w:hint="eastAsia" w:eastAsia="宋体"/>
          <w:sz w:val="36"/>
          <w:szCs w:val="36"/>
          <w:lang w:eastAsia="zh-CN"/>
          <w14:textOutline w14:w="2306" w14:cap="flat" w14:cmpd="sng">
            <w14:solidFill>
              <w14:srgbClr w14:val="000000"/>
            </w14:solidFill>
            <w14:prstDash w14:val="solid"/>
            <w14:miter w14:val="0"/>
          </w14:textOutline>
        </w:rPr>
      </w:pPr>
      <w:r>
        <w:rPr>
          <w:sz w:val="36"/>
          <w:szCs w:val="36"/>
          <w14:textOutline w14:w="2306" w14:cap="flat" w14:cmpd="sng">
            <w14:solidFill>
              <w14:srgbClr w14:val="000000"/>
            </w14:solidFill>
            <w14:prstDash w14:val="solid"/>
            <w14:miter w14:val="0"/>
          </w14:textOutline>
        </w:rPr>
        <w:t>第</w:t>
      </w:r>
      <w:r>
        <w:rPr>
          <w:rFonts w:hint="eastAsia"/>
          <w:sz w:val="36"/>
          <w:szCs w:val="36"/>
          <w:lang w:val="en-US" w:eastAsia="zh-CN"/>
          <w14:textOutline w14:w="2306" w14:cap="flat" w14:cmpd="sng">
            <w14:solidFill>
              <w14:srgbClr w14:val="000000"/>
            </w14:solidFill>
            <w14:prstDash w14:val="solid"/>
            <w14:miter w14:val="0"/>
          </w14:textOutline>
        </w:rPr>
        <w:t>四</w:t>
      </w:r>
      <w:r>
        <w:rPr>
          <w:sz w:val="36"/>
          <w:szCs w:val="36"/>
          <w14:textOutline w14:w="2306" w14:cap="flat" w14:cmpd="sng">
            <w14:solidFill>
              <w14:srgbClr w14:val="000000"/>
            </w14:solidFill>
            <w14:prstDash w14:val="solid"/>
            <w14:miter w14:val="0"/>
          </w14:textOutline>
        </w:rPr>
        <w:t>章</w:t>
      </w:r>
      <w:r>
        <w:rPr>
          <w:rFonts w:hint="eastAsia"/>
          <w:sz w:val="36"/>
          <w:szCs w:val="36"/>
          <w:lang w:val="en-US" w:eastAsia="zh-CN"/>
          <w14:textOutline w14:w="2306" w14:cap="flat" w14:cmpd="sng">
            <w14:solidFill>
              <w14:srgbClr w14:val="000000"/>
            </w14:solidFill>
            <w14:prstDash w14:val="solid"/>
            <w14:miter w14:val="0"/>
          </w14:textOutline>
        </w:rPr>
        <w:t xml:space="preserve"> </w:t>
      </w:r>
      <w:r>
        <w:rPr>
          <w:rFonts w:hint="eastAsia"/>
          <w:sz w:val="36"/>
          <w:szCs w:val="36"/>
          <w:lang w:eastAsia="zh-CN"/>
          <w14:textOutline w14:w="2306" w14:cap="flat" w14:cmpd="sng">
            <w14:solidFill>
              <w14:srgbClr w14:val="000000"/>
            </w14:solidFill>
            <w14:prstDash w14:val="solid"/>
            <w14:miter w14:val="0"/>
          </w14:textOutline>
        </w:rPr>
        <w:t>评审程序和评定成交的标准</w:t>
      </w:r>
    </w:p>
    <w:p w14:paraId="4744FF91">
      <w:pPr>
        <w:pStyle w:val="5"/>
        <w:keepNext w:val="0"/>
        <w:keepLines w:val="0"/>
        <w:pageBreakBefore w:val="0"/>
        <w:kinsoku/>
        <w:wordWrap w:val="0"/>
        <w:overflowPunct/>
        <w:topLinePunct w:val="0"/>
        <w:bidi w:val="0"/>
        <w:spacing w:before="256" w:line="220" w:lineRule="auto"/>
        <w:ind w:left="3702"/>
        <w:jc w:val="both"/>
        <w:outlineLvl w:val="1"/>
        <w:rPr>
          <w:spacing w:val="-2"/>
          <w:sz w:val="24"/>
          <w:szCs w:val="24"/>
          <w14:textOutline w14:w="1537" w14:cap="flat" w14:cmpd="sng">
            <w14:solidFill>
              <w14:srgbClr w14:val="000000"/>
            </w14:solidFill>
            <w14:prstDash w14:val="solid"/>
            <w14:miter w14:val="0"/>
          </w14:textOutline>
        </w:rPr>
      </w:pPr>
    </w:p>
    <w:p w14:paraId="026173B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一、编制、确认竞争性谈判文件</w:t>
      </w:r>
    </w:p>
    <w:p w14:paraId="04B10878">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pacing w:val="3"/>
          <w:sz w:val="24"/>
          <w:szCs w:val="24"/>
          <w:lang w:val="en-US" w:eastAsia="zh-CN"/>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zh-CN" w:bidi="ar-SA"/>
        </w:rPr>
        <w:t>根据采购项目特点和采购实际需求编制竞争性谈判文件，编制的竞争性谈判文件应由采购人审核并确认。</w:t>
      </w:r>
    </w:p>
    <w:p w14:paraId="525AA46B">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1B0928D">
      <w:pPr>
        <w:keepNext w:val="0"/>
        <w:keepLines w:val="0"/>
        <w:pageBreakBefore w:val="0"/>
        <w:widowControl/>
        <w:tabs>
          <w:tab w:val="left" w:pos="743"/>
        </w:tabs>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二、发布竞争性谈判公告，邀请供应商参加谈判</w:t>
      </w:r>
    </w:p>
    <w:p w14:paraId="2CFBE5C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竞争性谈判文件经采购人书面确认后，将在指定媒体和南阳市公共资源交易中心网发布竞争性谈判公告。供应商按照公告和竞争性谈判文件要求制作并递交响应文件。</w:t>
      </w:r>
    </w:p>
    <w:p w14:paraId="37640059">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C4C4DA1">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三、组建谈判小组</w:t>
      </w:r>
    </w:p>
    <w:p w14:paraId="4786C014">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根据</w:t>
      </w:r>
      <w:r>
        <w:rPr>
          <w:rFonts w:hint="eastAsia" w:asciiTheme="minorEastAsia" w:hAnsiTheme="minorEastAsia" w:eastAsiaTheme="minorEastAsia" w:cstheme="minorEastAsia"/>
          <w:snapToGrid w:val="0"/>
          <w:color w:val="000000"/>
          <w:spacing w:val="-2"/>
          <w:kern w:val="0"/>
          <w:sz w:val="24"/>
          <w:szCs w:val="24"/>
          <w:lang w:val="en-US" w:eastAsia="zh-CN" w:bidi="ar-SA"/>
        </w:rPr>
        <w:t>《中华人民共和国政府采购法》《中华人民共和国政府采购法实施条例》《政府采购非招标采购方式管理办法》</w:t>
      </w:r>
      <w:r>
        <w:rPr>
          <w:rFonts w:hint="eastAsia" w:asciiTheme="minorEastAsia" w:hAnsiTheme="minorEastAsia" w:eastAsiaTheme="minorEastAsia" w:cstheme="minorEastAsia"/>
          <w:snapToGrid w:val="0"/>
          <w:color w:val="000000"/>
          <w:spacing w:val="3"/>
          <w:kern w:val="0"/>
          <w:sz w:val="24"/>
          <w:szCs w:val="24"/>
          <w:lang w:val="en-US" w:eastAsia="zh-CN" w:bidi="ar-SA"/>
        </w:rPr>
        <w:t>的规定和采购项目的特点组建竞争性谈判小组，竞争性谈判小组由采购人代表和评审专家共3人以上单数组成，其中评审专家人数不得少于谈判小组成员总数的2/3。评审专家应当从政府采购评审专家库内相关专业的专家名单中随机抽取。技术复杂、专业性强的采购项目，评审专家中应当包含1名法律专家。达到公开招标数额标准的货物或者服务采购项目，或者达到招标规模标准的政府采购工程，竞争性谈判小组应当由5人以上单数组成。</w:t>
      </w:r>
    </w:p>
    <w:p w14:paraId="6FBE63D3">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竞争性谈判小组对竞争性谈判文件进行审核并确认，负责对响应文件进行评审、质疑、评估、比较、确定成交候选人。</w:t>
      </w:r>
    </w:p>
    <w:p w14:paraId="10DD2F3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评审专家应当严格遵守评审工作纪律，按照客观、公正、审慎的原则，根据谈判文件规定的评审程序和评定成交的标准进行独立评审。</w:t>
      </w:r>
    </w:p>
    <w:p w14:paraId="776F20DF">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应当在评审报告上使用本人CA锁进行签章，对自己的评审意见承担法律责任。对需要共同认定的事项存在争议的，按照少数服从多数的原则做出结论。对评审报告有异议的，应当在评审报告上签署不同意见并说明理由，否则视为同意评审报告。</w:t>
      </w:r>
    </w:p>
    <w:p w14:paraId="543E81FC">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pacing w:val="3"/>
          <w:sz w:val="24"/>
          <w:szCs w:val="24"/>
          <w:lang w:val="en-US" w:eastAsia="zh-CN"/>
        </w:rPr>
      </w:pPr>
      <w:r>
        <w:rPr>
          <w:rFonts w:hint="eastAsia" w:asciiTheme="minorEastAsia" w:hAnsiTheme="minorEastAsia" w:eastAsiaTheme="minorEastAsia" w:cstheme="minorEastAsia"/>
          <w:spacing w:val="3"/>
          <w:sz w:val="24"/>
          <w:szCs w:val="24"/>
          <w:lang w:val="en-US" w:eastAsia="zh-CN"/>
        </w:rPr>
        <w:t>评审活动结束，按照《河南省政府采购评审专家劳务报酬支付标准》的通知(豫财购〔2017〕9号)的规定，发放劳务报酬。</w:t>
      </w:r>
    </w:p>
    <w:p w14:paraId="4EE2F566">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评审专家未完成评审工作擅自离开评审现场，或者在评审活动中有违法违规行为的，不得获取劳务报酬和报销异地评审差旅费。评审专家以外的其他人员不得获取评审劳务报酬。</w:t>
      </w:r>
    </w:p>
    <w:p w14:paraId="736E45B9">
      <w:pPr>
        <w:pStyle w:val="12"/>
        <w:keepNext w:val="0"/>
        <w:keepLines w:val="0"/>
        <w:pageBreakBefore w:val="0"/>
        <w:widowControl/>
        <w:kinsoku/>
        <w:wordWrap w:val="0"/>
        <w:overflowPunct/>
        <w:topLinePunct w:val="0"/>
        <w:autoSpaceDE w:val="0"/>
        <w:autoSpaceDN w:val="0"/>
        <w:bidi w:val="0"/>
        <w:adjustRightInd w:val="0"/>
        <w:snapToGrid w:val="0"/>
        <w:spacing w:after="0" w:line="360" w:lineRule="auto"/>
        <w:ind w:left="0" w:leftChars="0" w:firstLine="494" w:firstLineChars="200"/>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322C966">
      <w:pPr>
        <w:pStyle w:val="12"/>
        <w:keepNext w:val="0"/>
        <w:keepLines w:val="0"/>
        <w:pageBreakBefore w:val="0"/>
        <w:widowControl/>
        <w:kinsoku/>
        <w:wordWrap w:val="0"/>
        <w:overflowPunct/>
        <w:topLinePunct w:val="0"/>
        <w:autoSpaceDE w:val="0"/>
        <w:autoSpaceDN w:val="0"/>
        <w:bidi w:val="0"/>
        <w:adjustRightInd w:val="0"/>
        <w:snapToGrid w:val="0"/>
        <w:spacing w:after="0" w:line="360" w:lineRule="auto"/>
        <w:ind w:left="0" w:leftChars="0" w:firstLine="0" w:firstLineChars="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四、解密电子响应文件</w:t>
      </w:r>
    </w:p>
    <w:p w14:paraId="76B1BD4D">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92" w:firstLineChars="200"/>
        <w:jc w:val="both"/>
        <w:textAlignment w:val="baseline"/>
        <w:outlineLvl w:val="1"/>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供应商解密：供应商制作电子响应文件时，必须使用本单位的CA扫码进行加密，供应商在解密前须自行检查CA的有效性。解密时未在开启响应文件时间后30分钟内进行解密成功的视为撤销其响应文件（因电子开标系统原因除外）。</w:t>
      </w:r>
    </w:p>
    <w:p w14:paraId="24772A01">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330AF71">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五、评审</w:t>
      </w:r>
    </w:p>
    <w:p w14:paraId="29D1D9C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谈判小组对供应商提交的响应文件进行评审。主要对响应文件的有效性、完整性和响应程度进行审查，具体包括：</w:t>
      </w:r>
    </w:p>
    <w:p w14:paraId="245F3632">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92"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1.资格性审查</w:t>
      </w:r>
    </w:p>
    <w:tbl>
      <w:tblPr>
        <w:tblStyle w:val="19"/>
        <w:tblW w:w="827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92"/>
        <w:gridCol w:w="1298"/>
        <w:gridCol w:w="3796"/>
        <w:gridCol w:w="2684"/>
      </w:tblGrid>
      <w:tr w14:paraId="05A64E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492" w:type="dxa"/>
            <w:vAlign w:val="top"/>
          </w:tcPr>
          <w:p w14:paraId="622B5348">
            <w:pPr>
              <w:keepNext w:val="0"/>
              <w:keepLines w:val="0"/>
              <w:pageBreakBefore w:val="0"/>
              <w:kinsoku/>
              <w:wordWrap w:val="0"/>
              <w:overflowPunct/>
              <w:topLinePunct w:val="0"/>
              <w:bidi w:val="0"/>
              <w:spacing w:before="119" w:line="222"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序号</w:t>
            </w:r>
          </w:p>
        </w:tc>
        <w:tc>
          <w:tcPr>
            <w:tcW w:w="1298" w:type="dxa"/>
            <w:vAlign w:val="top"/>
          </w:tcPr>
          <w:p w14:paraId="4384F64D">
            <w:pPr>
              <w:keepNext w:val="0"/>
              <w:keepLines w:val="0"/>
              <w:pageBreakBefore w:val="0"/>
              <w:kinsoku/>
              <w:wordWrap w:val="0"/>
              <w:overflowPunct/>
              <w:topLinePunct w:val="0"/>
              <w:bidi w:val="0"/>
              <w:spacing w:before="119" w:line="22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审查因素</w:t>
            </w:r>
          </w:p>
        </w:tc>
        <w:tc>
          <w:tcPr>
            <w:tcW w:w="3796" w:type="dxa"/>
            <w:vAlign w:val="top"/>
          </w:tcPr>
          <w:p w14:paraId="689BDFA3">
            <w:pPr>
              <w:keepNext w:val="0"/>
              <w:keepLines w:val="0"/>
              <w:pageBreakBefore w:val="0"/>
              <w:kinsoku/>
              <w:wordWrap w:val="0"/>
              <w:overflowPunct/>
              <w:topLinePunct w:val="0"/>
              <w:bidi w:val="0"/>
              <w:spacing w:before="119" w:line="220"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14:textOutline w14:w="1537" w14:cap="flat" w14:cmpd="sng">
                  <w14:solidFill>
                    <w14:srgbClr w14:val="000000"/>
                  </w14:solidFill>
                  <w14:prstDash w14:val="solid"/>
                  <w14:miter w14:val="0"/>
                </w14:textOutline>
              </w:rPr>
              <w:t>审查内容</w:t>
            </w:r>
          </w:p>
        </w:tc>
        <w:tc>
          <w:tcPr>
            <w:tcW w:w="2684" w:type="dxa"/>
            <w:vAlign w:val="top"/>
          </w:tcPr>
          <w:p w14:paraId="3ACB15E3">
            <w:pPr>
              <w:keepNext w:val="0"/>
              <w:keepLines w:val="0"/>
              <w:pageBreakBefore w:val="0"/>
              <w:kinsoku/>
              <w:wordWrap w:val="0"/>
              <w:overflowPunct/>
              <w:topLinePunct w:val="0"/>
              <w:bidi w:val="0"/>
              <w:spacing w:before="119" w:line="22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2"/>
                <w:sz w:val="24"/>
                <w:szCs w:val="24"/>
                <w:lang w:val="en-US" w:eastAsia="zh-CN"/>
                <w14:textOutline w14:w="1537" w14:cap="flat" w14:cmpd="sng">
                  <w14:solidFill>
                    <w14:srgbClr w14:val="000000"/>
                  </w14:solidFill>
                  <w14:prstDash w14:val="solid"/>
                  <w14:miter w14:val="0"/>
                </w14:textOutline>
              </w:rPr>
              <w:t>备注</w:t>
            </w:r>
          </w:p>
        </w:tc>
      </w:tr>
      <w:tr w14:paraId="2C4A91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492" w:type="dxa"/>
            <w:vAlign w:val="center"/>
          </w:tcPr>
          <w:p w14:paraId="522DA06B">
            <w:pPr>
              <w:pStyle w:val="20"/>
              <w:keepNext w:val="0"/>
              <w:keepLines w:val="0"/>
              <w:pageBreakBefore w:val="0"/>
              <w:kinsoku/>
              <w:wordWrap w:val="0"/>
              <w:overflowPunct/>
              <w:topLinePunct w:val="0"/>
              <w:bidi w:val="0"/>
              <w:spacing w:line="454" w:lineRule="auto"/>
              <w:jc w:val="both"/>
              <w:rPr>
                <w:rFonts w:hint="eastAsia" w:asciiTheme="minorEastAsia" w:hAnsiTheme="minorEastAsia" w:eastAsiaTheme="minorEastAsia" w:cstheme="minorEastAsia"/>
              </w:rPr>
            </w:pPr>
          </w:p>
          <w:p w14:paraId="4A3843E8">
            <w:pPr>
              <w:pStyle w:val="20"/>
              <w:keepNext w:val="0"/>
              <w:keepLines w:val="0"/>
              <w:pageBreakBefore w:val="0"/>
              <w:kinsoku/>
              <w:wordWrap w:val="0"/>
              <w:overflowPunct/>
              <w:topLinePunct w:val="0"/>
              <w:bidi w:val="0"/>
              <w:spacing w:before="69" w:line="199" w:lineRule="auto"/>
              <w:ind w:left="372"/>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298" w:type="dxa"/>
            <w:vAlign w:val="center"/>
          </w:tcPr>
          <w:p w14:paraId="17DEE605">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w:t>
            </w:r>
            <w:r>
              <w:rPr>
                <w:rFonts w:hint="eastAsia" w:asciiTheme="minorEastAsia" w:hAnsiTheme="minorEastAsia" w:eastAsiaTheme="minorEastAsia" w:cstheme="minorEastAsia"/>
                <w:spacing w:val="-2"/>
                <w:sz w:val="24"/>
                <w:szCs w:val="24"/>
                <w:lang w:val="en-US" w:eastAsia="zh-CN"/>
              </w:rPr>
              <w:t>竞争性谈判公告</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spacing w:val="-2"/>
                <w:sz w:val="24"/>
                <w:szCs w:val="24"/>
                <w:lang w:val="en-US" w:eastAsia="zh-CN"/>
              </w:rPr>
              <w:t>具备的</w:t>
            </w:r>
            <w:r>
              <w:rPr>
                <w:rFonts w:hint="eastAsia" w:asciiTheme="minorEastAsia" w:hAnsiTheme="minorEastAsia" w:eastAsiaTheme="minorEastAsia" w:cstheme="minorEastAsia"/>
                <w:spacing w:val="-2"/>
                <w:sz w:val="24"/>
                <w:szCs w:val="24"/>
              </w:rPr>
              <w:t>资格要求</w:t>
            </w:r>
          </w:p>
        </w:tc>
        <w:tc>
          <w:tcPr>
            <w:tcW w:w="3796" w:type="dxa"/>
            <w:vAlign w:val="top"/>
          </w:tcPr>
          <w:p w14:paraId="5F65E7B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napToGrid w:val="0"/>
                <w:color w:val="000000"/>
                <w:spacing w:val="-14"/>
                <w:kern w:val="0"/>
                <w:sz w:val="24"/>
                <w:szCs w:val="24"/>
                <w:lang w:val="en-US" w:eastAsia="zh-CN" w:bidi="ar-SA"/>
              </w:rPr>
              <w:t>1.</w:t>
            </w:r>
            <w:r>
              <w:rPr>
                <w:rFonts w:hint="eastAsia" w:asciiTheme="minorEastAsia" w:hAnsiTheme="minorEastAsia" w:eastAsiaTheme="minorEastAsia" w:cstheme="minorEastAsia"/>
                <w:spacing w:val="-2"/>
                <w:sz w:val="24"/>
                <w:szCs w:val="24"/>
                <w:lang w:val="en-US" w:eastAsia="zh-CN"/>
              </w:rPr>
              <w:t>注册于中华人民共和国境内，具有独立承担民事责任能力；</w:t>
            </w:r>
          </w:p>
          <w:p w14:paraId="131AE80E">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2.具有良好的商业信誉和健全的财务会计制度；</w:t>
            </w:r>
          </w:p>
          <w:p w14:paraId="7BE54C21">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3.具有履行合同所必需的设备和专业技术能力；</w:t>
            </w:r>
          </w:p>
          <w:p w14:paraId="0BBB123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4.有依法缴纳税收和社会保障资金的良好记录；</w:t>
            </w:r>
          </w:p>
          <w:p w14:paraId="2274F39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5.</w:t>
            </w:r>
            <w:r>
              <w:rPr>
                <w:rFonts w:hint="eastAsia" w:asciiTheme="minorEastAsia" w:hAnsiTheme="minorEastAsia" w:eastAsiaTheme="minorEastAsia" w:cstheme="minorEastAsia"/>
                <w:snapToGrid w:val="0"/>
                <w:color w:val="000000"/>
                <w:spacing w:val="-14"/>
                <w:kern w:val="0"/>
                <w:sz w:val="24"/>
                <w:szCs w:val="24"/>
                <w:lang w:val="en-US" w:eastAsia="zh-CN" w:bidi="ar-SA"/>
              </w:rPr>
              <w:t>参加政府采购活动前三年内，在经营活动中没有重大违法记录；</w:t>
            </w:r>
          </w:p>
          <w:p w14:paraId="7A570006">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6.根据《关于在政府采购活动中查询及使用信用记录有关问题的通知》(财库</w:t>
            </w:r>
            <w:r>
              <w:rPr>
                <w:rFonts w:hint="eastAsia" w:asciiTheme="minorEastAsia" w:hAnsiTheme="minorEastAsia" w:eastAsiaTheme="minorEastAsia" w:cstheme="minorEastAsia"/>
                <w:spacing w:val="-12"/>
                <w:sz w:val="24"/>
                <w:szCs w:val="24"/>
              </w:rPr>
              <w:t>〔20</w:t>
            </w:r>
            <w:r>
              <w:rPr>
                <w:rFonts w:hint="eastAsia" w:asciiTheme="minorEastAsia" w:hAnsiTheme="minorEastAsia" w:eastAsiaTheme="minorEastAsia" w:cstheme="minorEastAsia"/>
                <w:spacing w:val="-12"/>
                <w:sz w:val="24"/>
                <w:szCs w:val="24"/>
                <w:lang w:val="en-US" w:eastAsia="zh-CN"/>
              </w:rPr>
              <w:t>16</w:t>
            </w:r>
            <w:r>
              <w:rPr>
                <w:rFonts w:hint="eastAsia" w:asciiTheme="minorEastAsia" w:hAnsiTheme="minorEastAsia" w:eastAsiaTheme="minorEastAsia" w:cstheme="minorEastAsia"/>
                <w:spacing w:val="-12"/>
                <w:sz w:val="24"/>
                <w:szCs w:val="24"/>
              </w:rPr>
              <w:t>〕</w:t>
            </w:r>
            <w:r>
              <w:rPr>
                <w:rFonts w:hint="eastAsia" w:asciiTheme="minorEastAsia" w:hAnsiTheme="minorEastAsia" w:eastAsiaTheme="minorEastAsia" w:cstheme="minorEastAsia"/>
                <w:spacing w:val="-2"/>
                <w:sz w:val="24"/>
                <w:szCs w:val="24"/>
                <w:lang w:val="en-US" w:eastAsia="zh-CN"/>
              </w:rPr>
              <w:t>125号)的规定，对列入失信被执行人、重大税收违法案件当事人名单、政府采购严重违法失信行为记录名单的供应商，拒绝参与本项目政府采购活动【查询渠道：“信用中国”网站（www.creditchina.gov.cn）、中国政府采购网（www.ccgp.gov.cn）】，查询时间为发布公告之日起到投标截止时间；</w:t>
            </w:r>
          </w:p>
          <w:p w14:paraId="47CB910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val="en-US" w:eastAsia="zh-CN"/>
              </w:rPr>
              <w:t>7.遵守国家有关法律、法规、规章。</w:t>
            </w:r>
          </w:p>
        </w:tc>
        <w:tc>
          <w:tcPr>
            <w:tcW w:w="2684" w:type="dxa"/>
            <w:vAlign w:val="top"/>
          </w:tcPr>
          <w:p w14:paraId="1254C3FB">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供应商为企业（包括合伙企业、个体工商户）的，应提供有效的</w:t>
            </w:r>
            <w:bookmarkStart w:id="8" w:name="_GoBack"/>
            <w:r>
              <w:rPr>
                <w:rFonts w:hint="eastAsia" w:asciiTheme="minorEastAsia" w:hAnsiTheme="minorEastAsia" w:eastAsiaTheme="minorEastAsia" w:cstheme="minorEastAsia"/>
                <w:spacing w:val="-2"/>
                <w:sz w:val="24"/>
                <w:szCs w:val="24"/>
                <w:lang w:val="en-US" w:eastAsia="zh-CN"/>
              </w:rPr>
              <w:t>营业执照</w:t>
            </w:r>
            <w:bookmarkEnd w:id="8"/>
            <w:r>
              <w:rPr>
                <w:rFonts w:hint="eastAsia" w:asciiTheme="minorEastAsia" w:hAnsiTheme="minorEastAsia" w:eastAsiaTheme="minorEastAsia" w:cstheme="minorEastAsia"/>
                <w:spacing w:val="-2"/>
                <w:sz w:val="24"/>
                <w:szCs w:val="24"/>
                <w:lang w:val="en-US" w:eastAsia="zh-CN"/>
              </w:rPr>
              <w:t>；</w:t>
            </w:r>
          </w:p>
          <w:p w14:paraId="492A4F4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供应商为事业单位的，应提供有效的事业单位法人证书；</w:t>
            </w:r>
          </w:p>
          <w:p w14:paraId="7A519EB4">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供应商是非企业机构的，应提供有效的执业许可证、登记证书等证明文件；</w:t>
            </w:r>
          </w:p>
          <w:p w14:paraId="100C19ED">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spacing w:val="-2"/>
                <w:sz w:val="24"/>
                <w:szCs w:val="24"/>
                <w:lang w:val="en-US" w:eastAsia="zh-CN"/>
              </w:rPr>
            </w:pPr>
            <w:r>
              <w:rPr>
                <w:rFonts w:hint="eastAsia" w:asciiTheme="minorEastAsia" w:hAnsiTheme="minorEastAsia" w:eastAsiaTheme="minorEastAsia" w:cstheme="minorEastAsia"/>
                <w:spacing w:val="-2"/>
                <w:sz w:val="24"/>
                <w:szCs w:val="24"/>
                <w:lang w:val="en-US" w:eastAsia="zh-CN"/>
              </w:rPr>
              <w:t>供应商是自然人的，应提供有效的自然人身份证明。</w:t>
            </w:r>
          </w:p>
          <w:p w14:paraId="519C9317">
            <w:pPr>
              <w:keepNext w:val="0"/>
              <w:keepLines w:val="0"/>
              <w:pageBreakBefore w:val="0"/>
              <w:kinsoku/>
              <w:wordWrap w:val="0"/>
              <w:overflowPunct/>
              <w:topLinePunct w:val="0"/>
              <w:bidi w:val="0"/>
              <w:spacing w:before="32" w:line="232" w:lineRule="auto"/>
              <w:ind w:left="112" w:right="105"/>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lang w:val="en-US" w:eastAsia="zh-CN"/>
              </w:rPr>
              <w:t>分支机构参加采购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39BF5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492" w:type="dxa"/>
            <w:vAlign w:val="top"/>
          </w:tcPr>
          <w:p w14:paraId="28168928">
            <w:pPr>
              <w:pStyle w:val="20"/>
              <w:keepNext w:val="0"/>
              <w:keepLines w:val="0"/>
              <w:pageBreakBefore w:val="0"/>
              <w:kinsoku/>
              <w:wordWrap w:val="0"/>
              <w:overflowPunct/>
              <w:topLinePunct w:val="0"/>
              <w:bidi w:val="0"/>
              <w:spacing w:before="137" w:line="201" w:lineRule="auto"/>
              <w:ind w:left="243"/>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8"/>
                <w:sz w:val="24"/>
                <w:szCs w:val="24"/>
                <w:lang w:val="en-US" w:eastAsia="zh-CN"/>
              </w:rPr>
              <w:t>2</w:t>
            </w:r>
          </w:p>
        </w:tc>
        <w:tc>
          <w:tcPr>
            <w:tcW w:w="1298" w:type="dxa"/>
            <w:vAlign w:val="top"/>
          </w:tcPr>
          <w:p w14:paraId="29FD6ADB">
            <w:pPr>
              <w:keepNext w:val="0"/>
              <w:keepLines w:val="0"/>
              <w:pageBreakBefore w:val="0"/>
              <w:kinsoku/>
              <w:wordWrap w:val="0"/>
              <w:overflowPunct/>
              <w:topLinePunct w:val="0"/>
              <w:bidi w:val="0"/>
              <w:spacing w:before="116" w:line="221" w:lineRule="auto"/>
              <w:ind w:left="136"/>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
                <w:sz w:val="24"/>
                <w:szCs w:val="24"/>
              </w:rPr>
              <w:t>中小企业政策</w:t>
            </w:r>
          </w:p>
        </w:tc>
        <w:tc>
          <w:tcPr>
            <w:tcW w:w="3796" w:type="dxa"/>
            <w:vAlign w:val="top"/>
          </w:tcPr>
          <w:p w14:paraId="765CC531">
            <w:pPr>
              <w:keepNext w:val="0"/>
              <w:keepLines w:val="0"/>
              <w:pageBreakBefore w:val="0"/>
              <w:kinsoku/>
              <w:wordWrap w:val="0"/>
              <w:overflowPunct/>
              <w:topLinePunct w:val="0"/>
              <w:bidi w:val="0"/>
              <w:spacing w:before="116" w:line="219" w:lineRule="auto"/>
              <w:ind w:left="11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w:t>
            </w:r>
            <w:r>
              <w:rPr>
                <w:rFonts w:hint="eastAsia" w:asciiTheme="minorEastAsia" w:hAnsiTheme="minorEastAsia" w:eastAsiaTheme="minorEastAsia" w:cstheme="minorEastAsia"/>
                <w:spacing w:val="-2"/>
                <w:sz w:val="24"/>
                <w:szCs w:val="24"/>
                <w:lang w:eastAsia="zh-CN"/>
              </w:rPr>
              <w:t>竞争性谈判公告</w:t>
            </w:r>
            <w:r>
              <w:rPr>
                <w:rFonts w:hint="eastAsia" w:asciiTheme="minorEastAsia" w:hAnsiTheme="minorEastAsia" w:eastAsiaTheme="minorEastAsia" w:cstheme="minorEastAsia"/>
                <w:spacing w:val="-2"/>
                <w:sz w:val="24"/>
                <w:szCs w:val="24"/>
              </w:rPr>
              <w:t>》</w:t>
            </w:r>
          </w:p>
        </w:tc>
        <w:tc>
          <w:tcPr>
            <w:tcW w:w="2684" w:type="dxa"/>
            <w:vAlign w:val="top"/>
          </w:tcPr>
          <w:p w14:paraId="247E110C">
            <w:pPr>
              <w:pStyle w:val="20"/>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r w14:paraId="644B1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4" w:hRule="atLeast"/>
        </w:trPr>
        <w:tc>
          <w:tcPr>
            <w:tcW w:w="492" w:type="dxa"/>
            <w:vAlign w:val="top"/>
          </w:tcPr>
          <w:p w14:paraId="2C01D105">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7B446D66">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22716519">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2410A509">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06C0EEB0">
            <w:pPr>
              <w:pStyle w:val="20"/>
              <w:keepNext w:val="0"/>
              <w:keepLines w:val="0"/>
              <w:pageBreakBefore w:val="0"/>
              <w:kinsoku/>
              <w:wordWrap w:val="0"/>
              <w:overflowPunct/>
              <w:topLinePunct w:val="0"/>
              <w:bidi w:val="0"/>
              <w:spacing w:line="258" w:lineRule="auto"/>
              <w:jc w:val="both"/>
              <w:rPr>
                <w:rFonts w:hint="eastAsia" w:asciiTheme="minorEastAsia" w:hAnsiTheme="minorEastAsia" w:eastAsiaTheme="minorEastAsia" w:cstheme="minorEastAsia"/>
              </w:rPr>
            </w:pPr>
          </w:p>
          <w:p w14:paraId="146B4806">
            <w:pPr>
              <w:pStyle w:val="20"/>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980EEA4">
            <w:pPr>
              <w:pStyle w:val="20"/>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24D3C4F8">
            <w:pPr>
              <w:pStyle w:val="20"/>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3A6F3B6A">
            <w:pPr>
              <w:pStyle w:val="20"/>
              <w:keepNext w:val="0"/>
              <w:keepLines w:val="0"/>
              <w:pageBreakBefore w:val="0"/>
              <w:kinsoku/>
              <w:wordWrap w:val="0"/>
              <w:overflowPunct/>
              <w:topLinePunct w:val="0"/>
              <w:bidi w:val="0"/>
              <w:spacing w:line="259" w:lineRule="auto"/>
              <w:jc w:val="both"/>
              <w:rPr>
                <w:rFonts w:hint="eastAsia" w:asciiTheme="minorEastAsia" w:hAnsiTheme="minorEastAsia" w:eastAsiaTheme="minorEastAsia" w:cstheme="minorEastAsia"/>
              </w:rPr>
            </w:pPr>
          </w:p>
          <w:p w14:paraId="10AB3193">
            <w:pPr>
              <w:pStyle w:val="20"/>
              <w:keepNext w:val="0"/>
              <w:keepLines w:val="0"/>
              <w:pageBreakBefore w:val="0"/>
              <w:kinsoku/>
              <w:wordWrap w:val="0"/>
              <w:overflowPunct/>
              <w:topLinePunct w:val="0"/>
              <w:bidi w:val="0"/>
              <w:spacing w:before="49" w:line="199" w:lineRule="auto"/>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2-1</w:t>
            </w:r>
          </w:p>
        </w:tc>
        <w:tc>
          <w:tcPr>
            <w:tcW w:w="1298" w:type="dxa"/>
            <w:vAlign w:val="top"/>
          </w:tcPr>
          <w:p w14:paraId="12D187B9">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5CA19D4">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5B1690A4">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9636B7E">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49A2E55">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676E8B18">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61CF12E">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7C85C15">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0A599104">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1CF5AC69">
            <w:pPr>
              <w:keepNext w:val="0"/>
              <w:keepLines w:val="0"/>
              <w:pageBreakBefore w:val="0"/>
              <w:kinsoku/>
              <w:wordWrap w:val="0"/>
              <w:overflowPunct/>
              <w:topLinePunct w:val="0"/>
              <w:bidi w:val="0"/>
              <w:spacing w:before="78" w:line="229" w:lineRule="auto"/>
              <w:ind w:left="112" w:right="105" w:firstLine="23"/>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796" w:type="dxa"/>
            <w:vAlign w:val="top"/>
          </w:tcPr>
          <w:p w14:paraId="3F6B14CA">
            <w:pPr>
              <w:keepNext w:val="0"/>
              <w:keepLines w:val="0"/>
              <w:pageBreakBefore w:val="0"/>
              <w:kinsoku/>
              <w:wordWrap w:val="0"/>
              <w:overflowPunct/>
              <w:topLinePunct w:val="0"/>
              <w:bidi w:val="0"/>
              <w:spacing w:before="36" w:line="215" w:lineRule="auto"/>
              <w:ind w:left="115" w:right="102" w:firstLine="1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w:t>
            </w:r>
            <w:r>
              <w:rPr>
                <w:rFonts w:hint="eastAsia" w:asciiTheme="minorEastAsia" w:hAnsiTheme="minorEastAsia" w:eastAsiaTheme="minorEastAsia" w:cstheme="minorEastAsia"/>
                <w:spacing w:val="1"/>
                <w:sz w:val="24"/>
                <w:szCs w:val="24"/>
                <w:lang w:val="en-US" w:eastAsia="zh-CN"/>
              </w:rPr>
              <w:t>须在</w:t>
            </w:r>
            <w:r>
              <w:rPr>
                <w:rFonts w:hint="eastAsia" w:asciiTheme="minorEastAsia" w:hAnsiTheme="minorEastAsia" w:eastAsiaTheme="minorEastAsia" w:cstheme="minorEastAsia"/>
                <w:spacing w:val="1"/>
                <w:sz w:val="24"/>
                <w:szCs w:val="24"/>
              </w:rPr>
              <w:t>《资格证明文件》中</w:t>
            </w:r>
            <w:r>
              <w:rPr>
                <w:rFonts w:hint="eastAsia" w:asciiTheme="minorEastAsia" w:hAnsiTheme="minorEastAsia" w:eastAsiaTheme="minorEastAsia" w:cstheme="minorEastAsia"/>
                <w:spacing w:val="15"/>
                <w:sz w:val="24"/>
                <w:szCs w:val="24"/>
                <w:lang w:val="en-US" w:eastAsia="zh-CN"/>
              </w:rPr>
              <w:t>提</w:t>
            </w:r>
            <w:r>
              <w:rPr>
                <w:rFonts w:hint="eastAsia" w:asciiTheme="minorEastAsia" w:hAnsiTheme="minorEastAsia" w:eastAsiaTheme="minorEastAsia" w:cstheme="minorEastAsia"/>
                <w:spacing w:val="-5"/>
                <w:sz w:val="24"/>
                <w:szCs w:val="24"/>
              </w:rPr>
              <w:t>供。</w:t>
            </w:r>
          </w:p>
          <w:p w14:paraId="0E160177">
            <w:pPr>
              <w:pStyle w:val="20"/>
              <w:keepNext w:val="0"/>
              <w:keepLines w:val="0"/>
              <w:pageBreakBefore w:val="0"/>
              <w:kinsoku/>
              <w:wordWrap w:val="0"/>
              <w:overflowPunct/>
              <w:topLinePunct w:val="0"/>
              <w:bidi w:val="0"/>
              <w:spacing w:before="4" w:line="220" w:lineRule="auto"/>
              <w:ind w:left="116" w:right="102" w:firstLine="1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1、</w:t>
            </w:r>
            <w:r>
              <w:rPr>
                <w:rFonts w:hint="eastAsia" w:asciiTheme="minorEastAsia" w:hAnsiTheme="minorEastAsia" w:eastAsiaTheme="minorEastAsia" w:cstheme="minorEastAsia"/>
                <w:spacing w:val="-2"/>
                <w:sz w:val="24"/>
                <w:szCs w:val="24"/>
                <w:lang w:val="en-US" w:eastAsia="zh-CN"/>
              </w:rPr>
              <w:t>供应商</w:t>
            </w:r>
            <w:r>
              <w:rPr>
                <w:rFonts w:hint="eastAsia" w:asciiTheme="minorEastAsia" w:hAnsiTheme="minorEastAsia" w:eastAsiaTheme="minorEastAsia" w:cstheme="minorEastAsia"/>
                <w:spacing w:val="-5"/>
                <w:sz w:val="24"/>
                <w:szCs w:val="24"/>
              </w:rPr>
              <w:t>单独</w:t>
            </w:r>
            <w:r>
              <w:rPr>
                <w:rFonts w:hint="eastAsia" w:asciiTheme="minorEastAsia" w:hAnsiTheme="minorEastAsia" w:eastAsiaTheme="minorEastAsia" w:cstheme="minorEastAsia"/>
                <w:spacing w:val="-5"/>
                <w:sz w:val="24"/>
                <w:szCs w:val="24"/>
                <w:lang w:val="en-US" w:eastAsia="zh-CN"/>
              </w:rPr>
              <w:t>参与</w:t>
            </w:r>
            <w:r>
              <w:rPr>
                <w:rFonts w:hint="eastAsia" w:asciiTheme="minorEastAsia" w:hAnsiTheme="minorEastAsia" w:eastAsiaTheme="minorEastAsia" w:cstheme="minorEastAsia"/>
                <w:spacing w:val="-5"/>
                <w:sz w:val="24"/>
                <w:szCs w:val="24"/>
              </w:rPr>
              <w:t>的，应</w:t>
            </w:r>
            <w:r>
              <w:rPr>
                <w:rFonts w:hint="eastAsia" w:asciiTheme="minorEastAsia" w:hAnsiTheme="minorEastAsia" w:eastAsiaTheme="minorEastAsia" w:cstheme="minorEastAsia"/>
                <w:spacing w:val="-5"/>
                <w:sz w:val="24"/>
                <w:szCs w:val="24"/>
                <w:lang w:val="en-US" w:eastAsia="zh-CN"/>
              </w:rPr>
              <w:t>提</w:t>
            </w:r>
            <w:r>
              <w:rPr>
                <w:rFonts w:hint="eastAsia" w:asciiTheme="minorEastAsia" w:hAnsiTheme="minorEastAsia" w:eastAsiaTheme="minorEastAsia" w:cstheme="minorEastAsia"/>
                <w:spacing w:val="-5"/>
                <w:sz w:val="24"/>
                <w:szCs w:val="24"/>
              </w:rPr>
              <w:t>供《中小企业声</w:t>
            </w:r>
            <w:r>
              <w:rPr>
                <w:rFonts w:hint="eastAsia" w:asciiTheme="minorEastAsia" w:hAnsiTheme="minorEastAsia" w:eastAsiaTheme="minorEastAsia" w:cstheme="minorEastAsia"/>
                <w:spacing w:val="1"/>
                <w:sz w:val="24"/>
                <w:szCs w:val="24"/>
              </w:rPr>
              <w:t>明函》或《残疾人福利性单位声明函》或由省级以上监狱管理局、戒毒管理局（含新疆生产建设兵团）出具的属于监狱企业的证明</w:t>
            </w:r>
            <w:r>
              <w:rPr>
                <w:rFonts w:hint="eastAsia" w:asciiTheme="minorEastAsia" w:hAnsiTheme="minorEastAsia" w:eastAsiaTheme="minorEastAsia" w:cstheme="minorEastAsia"/>
                <w:spacing w:val="-11"/>
                <w:sz w:val="24"/>
                <w:szCs w:val="24"/>
              </w:rPr>
              <w:t>文件。</w:t>
            </w:r>
          </w:p>
          <w:p w14:paraId="16C9F002">
            <w:pPr>
              <w:pStyle w:val="20"/>
              <w:keepNext w:val="0"/>
              <w:keepLines w:val="0"/>
              <w:pageBreakBefore w:val="0"/>
              <w:kinsoku/>
              <w:wordWrap w:val="0"/>
              <w:overflowPunct/>
              <w:topLinePunct w:val="0"/>
              <w:bidi w:val="0"/>
              <w:spacing w:before="20" w:line="236" w:lineRule="auto"/>
              <w:ind w:left="113" w:right="102" w:firstLine="9"/>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2、如</w:t>
            </w:r>
            <w:r>
              <w:rPr>
                <w:rFonts w:hint="eastAsia" w:asciiTheme="minorEastAsia" w:hAnsiTheme="minorEastAsia" w:eastAsiaTheme="minorEastAsia" w:cstheme="minorEastAsia"/>
                <w:spacing w:val="-6"/>
                <w:sz w:val="24"/>
                <w:szCs w:val="24"/>
                <w:lang w:eastAsia="zh-CN"/>
              </w:rPr>
              <w:t>采购</w:t>
            </w:r>
            <w:r>
              <w:rPr>
                <w:rFonts w:hint="eastAsia" w:asciiTheme="minorEastAsia" w:hAnsiTheme="minorEastAsia" w:eastAsiaTheme="minorEastAsia" w:cstheme="minorEastAsia"/>
                <w:spacing w:val="-6"/>
                <w:sz w:val="24"/>
                <w:szCs w:val="24"/>
              </w:rPr>
              <w:t>文件要求以联合体形式参加</w:t>
            </w:r>
            <w:r>
              <w:rPr>
                <w:rFonts w:hint="eastAsia" w:asciiTheme="minorEastAsia" w:hAnsiTheme="minorEastAsia" w:eastAsiaTheme="minorEastAsia" w:cstheme="minorEastAsia"/>
                <w:spacing w:val="1"/>
                <w:sz w:val="24"/>
                <w:szCs w:val="24"/>
              </w:rPr>
              <w:t>，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w:t>
            </w:r>
            <w:r>
              <w:rPr>
                <w:rFonts w:hint="eastAsia" w:asciiTheme="minorEastAsia" w:hAnsiTheme="minorEastAsia" w:eastAsiaTheme="minorEastAsia" w:cstheme="minorEastAsia"/>
                <w:snapToGrid w:val="0"/>
                <w:color w:val="000000"/>
                <w:spacing w:val="-2"/>
                <w:kern w:val="0"/>
                <w:sz w:val="24"/>
                <w:szCs w:val="24"/>
                <w:lang w:val="en-US" w:eastAsia="zh-CN" w:bidi="ar-SA"/>
              </w:rPr>
              <w:t>竞争性谈判</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4"/>
                <w:sz w:val="24"/>
                <w:szCs w:val="24"/>
              </w:rPr>
              <w:t>关于预留份额的要求。</w:t>
            </w:r>
          </w:p>
        </w:tc>
        <w:tc>
          <w:tcPr>
            <w:tcW w:w="2684" w:type="dxa"/>
            <w:vAlign w:val="top"/>
          </w:tcPr>
          <w:p w14:paraId="4826348A">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84C87A9">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75E73460">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0D969D04">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4ABCDAD2">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22C9E990">
            <w:pPr>
              <w:pStyle w:val="20"/>
              <w:keepNext w:val="0"/>
              <w:keepLines w:val="0"/>
              <w:pageBreakBefore w:val="0"/>
              <w:kinsoku/>
              <w:wordWrap w:val="0"/>
              <w:overflowPunct/>
              <w:topLinePunct w:val="0"/>
              <w:bidi w:val="0"/>
              <w:spacing w:line="253" w:lineRule="auto"/>
              <w:jc w:val="both"/>
              <w:rPr>
                <w:rFonts w:hint="eastAsia" w:asciiTheme="minorEastAsia" w:hAnsiTheme="minorEastAsia" w:eastAsiaTheme="minorEastAsia" w:cstheme="minorEastAsia"/>
              </w:rPr>
            </w:pPr>
          </w:p>
          <w:p w14:paraId="1DEEEEF4">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EBE629A">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59A1ADFC">
            <w:pPr>
              <w:pStyle w:val="20"/>
              <w:keepNext w:val="0"/>
              <w:keepLines w:val="0"/>
              <w:pageBreakBefore w:val="0"/>
              <w:kinsoku/>
              <w:wordWrap w:val="0"/>
              <w:overflowPunct/>
              <w:topLinePunct w:val="0"/>
              <w:bidi w:val="0"/>
              <w:spacing w:line="254" w:lineRule="auto"/>
              <w:jc w:val="both"/>
              <w:rPr>
                <w:rFonts w:hint="eastAsia" w:asciiTheme="minorEastAsia" w:hAnsiTheme="minorEastAsia" w:eastAsiaTheme="minorEastAsia" w:cstheme="minorEastAsia"/>
              </w:rPr>
            </w:pPr>
          </w:p>
          <w:p w14:paraId="3E521956">
            <w:pPr>
              <w:keepNext w:val="0"/>
              <w:keepLines w:val="0"/>
              <w:pageBreakBefore w:val="0"/>
              <w:kinsoku/>
              <w:wordWrap w:val="0"/>
              <w:overflowPunct/>
              <w:topLinePunct w:val="0"/>
              <w:bidi w:val="0"/>
              <w:spacing w:before="78" w:line="229" w:lineRule="auto"/>
              <w:ind w:left="118" w:right="116" w:hanging="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w:t>
            </w:r>
            <w:r>
              <w:rPr>
                <w:rFonts w:hint="eastAsia" w:asciiTheme="minorEastAsia" w:hAnsiTheme="minorEastAsia" w:eastAsiaTheme="minorEastAsia" w:cstheme="minorEastAsia"/>
                <w:spacing w:val="-6"/>
                <w:sz w:val="24"/>
                <w:szCs w:val="24"/>
                <w:lang w:val="en-US" w:eastAsia="zh-CN"/>
              </w:rPr>
              <w:t>响应</w:t>
            </w:r>
            <w:r>
              <w:rPr>
                <w:rFonts w:hint="eastAsia" w:asciiTheme="minorEastAsia" w:hAnsiTheme="minorEastAsia" w:eastAsiaTheme="minorEastAsia" w:cstheme="minorEastAsia"/>
                <w:spacing w:val="-4"/>
                <w:sz w:val="24"/>
                <w:szCs w:val="24"/>
              </w:rPr>
              <w:t>文件格式》</w:t>
            </w:r>
          </w:p>
        </w:tc>
      </w:tr>
      <w:tr w14:paraId="3F783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492" w:type="dxa"/>
            <w:vAlign w:val="top"/>
          </w:tcPr>
          <w:p w14:paraId="66485F04">
            <w:pPr>
              <w:pStyle w:val="20"/>
              <w:keepNext w:val="0"/>
              <w:keepLines w:val="0"/>
              <w:pageBreakBefore w:val="0"/>
              <w:kinsoku/>
              <w:wordWrap w:val="0"/>
              <w:overflowPunct/>
              <w:topLinePunct w:val="0"/>
              <w:bidi w:val="0"/>
              <w:spacing w:before="213" w:line="201" w:lineRule="auto"/>
              <w:ind w:left="36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298" w:type="dxa"/>
            <w:vAlign w:val="top"/>
          </w:tcPr>
          <w:p w14:paraId="234DEC8B">
            <w:pPr>
              <w:keepNext w:val="0"/>
              <w:keepLines w:val="0"/>
              <w:pageBreakBefore w:val="0"/>
              <w:kinsoku/>
              <w:wordWrap w:val="0"/>
              <w:overflowPunct/>
              <w:topLinePunct w:val="0"/>
              <w:bidi w:val="0"/>
              <w:spacing w:before="35" w:line="224" w:lineRule="auto"/>
              <w:ind w:left="113" w:right="10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w:t>
            </w:r>
            <w:r>
              <w:rPr>
                <w:rFonts w:hint="eastAsia" w:asciiTheme="minorEastAsia" w:hAnsiTheme="minorEastAsia" w:eastAsiaTheme="minorEastAsia" w:cstheme="minorEastAsia"/>
                <w:spacing w:val="10"/>
                <w:sz w:val="24"/>
                <w:szCs w:val="24"/>
                <w:lang w:val="en-US" w:eastAsia="zh-CN"/>
              </w:rPr>
              <w:t>其他</w:t>
            </w:r>
            <w:r>
              <w:rPr>
                <w:rFonts w:hint="eastAsia" w:asciiTheme="minorEastAsia" w:hAnsiTheme="minorEastAsia" w:eastAsiaTheme="minorEastAsia" w:cstheme="minorEastAsia"/>
                <w:spacing w:val="10"/>
                <w:sz w:val="24"/>
                <w:szCs w:val="24"/>
              </w:rPr>
              <w:t>资</w:t>
            </w:r>
            <w:r>
              <w:rPr>
                <w:rFonts w:hint="eastAsia" w:asciiTheme="minorEastAsia" w:hAnsiTheme="minorEastAsia" w:eastAsiaTheme="minorEastAsia" w:cstheme="minorEastAsia"/>
                <w:spacing w:val="-3"/>
                <w:sz w:val="24"/>
                <w:szCs w:val="24"/>
              </w:rPr>
              <w:t>格要求</w:t>
            </w:r>
          </w:p>
        </w:tc>
        <w:tc>
          <w:tcPr>
            <w:tcW w:w="3796" w:type="dxa"/>
            <w:vAlign w:val="top"/>
          </w:tcPr>
          <w:p w14:paraId="36C1B7BB">
            <w:pPr>
              <w:keepNext w:val="0"/>
              <w:keepLines w:val="0"/>
              <w:pageBreakBefore w:val="0"/>
              <w:kinsoku/>
              <w:wordWrap w:val="0"/>
              <w:overflowPunct/>
              <w:topLinePunct w:val="0"/>
              <w:bidi w:val="0"/>
              <w:spacing w:before="192" w:line="219" w:lineRule="auto"/>
              <w:ind w:left="118"/>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如有，见第一章《</w:t>
            </w:r>
            <w:r>
              <w:rPr>
                <w:rFonts w:hint="eastAsia" w:asciiTheme="minorEastAsia" w:hAnsiTheme="minorEastAsia" w:eastAsiaTheme="minorEastAsia" w:cstheme="minorEastAsia"/>
                <w:spacing w:val="-2"/>
                <w:sz w:val="24"/>
                <w:szCs w:val="24"/>
                <w:lang w:val="en-US" w:eastAsia="zh-CN"/>
              </w:rPr>
              <w:t>竞争性谈判公告</w:t>
            </w:r>
            <w:r>
              <w:rPr>
                <w:rFonts w:hint="eastAsia" w:asciiTheme="minorEastAsia" w:hAnsiTheme="minorEastAsia" w:eastAsiaTheme="minorEastAsia" w:cstheme="minorEastAsia"/>
                <w:spacing w:val="-2"/>
                <w:sz w:val="24"/>
                <w:szCs w:val="24"/>
              </w:rPr>
              <w:t>》</w:t>
            </w:r>
          </w:p>
        </w:tc>
        <w:tc>
          <w:tcPr>
            <w:tcW w:w="2684" w:type="dxa"/>
            <w:vAlign w:val="top"/>
          </w:tcPr>
          <w:p w14:paraId="1AE9C951">
            <w:pPr>
              <w:pStyle w:val="20"/>
              <w:keepNext w:val="0"/>
              <w:keepLines w:val="0"/>
              <w:pageBreakBefore w:val="0"/>
              <w:kinsoku/>
              <w:wordWrap w:val="0"/>
              <w:overflowPunct/>
              <w:topLinePunct w:val="0"/>
              <w:bidi w:val="0"/>
              <w:jc w:val="both"/>
              <w:rPr>
                <w:rFonts w:hint="eastAsia" w:asciiTheme="minorEastAsia" w:hAnsiTheme="minorEastAsia" w:eastAsiaTheme="minorEastAsia" w:cstheme="minorEastAsia"/>
              </w:rPr>
            </w:pPr>
          </w:p>
        </w:tc>
      </w:tr>
    </w:tbl>
    <w:p w14:paraId="51F17779">
      <w:pPr>
        <w:keepNext w:val="0"/>
        <w:keepLines w:val="0"/>
        <w:pageBreakBefore w:val="0"/>
        <w:widowControl w:val="0"/>
        <w:kinsoku/>
        <w:wordWrap w:val="0"/>
        <w:overflowPunct/>
        <w:topLinePunct w:val="0"/>
        <w:autoSpaceDE w:val="0"/>
        <w:autoSpaceDN w:val="0"/>
        <w:bidi w:val="0"/>
        <w:adjustRightInd w:val="0"/>
        <w:snapToGrid/>
        <w:spacing w:line="360" w:lineRule="auto"/>
        <w:ind w:firstLine="482" w:firstLineChars="20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说明：按照南阳市财政局《关于在政府采购活动中施行供应商资格信用承诺制的通知》宛财购〔2023〕4号的要求，对于市本级政府采购项目，全部实施供应商资格信用承诺，供应商在响应时，按照规定提供“南阳市政府采购供应商信用承诺函”（详见附件）的，无需再提交序号1中1-5项证明材料”。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3F01361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4" w:firstLineChars="200"/>
        <w:jc w:val="both"/>
        <w:textAlignment w:val="baseline"/>
        <w:rPr>
          <w:rFonts w:hint="eastAsia" w:asciiTheme="minorEastAsia" w:hAnsiTheme="minorEastAsia" w:eastAsiaTheme="minorEastAsia" w:cstheme="minorEastAsia"/>
          <w:snapToGrid w:val="0"/>
          <w:color w:val="000000"/>
          <w:spacing w:val="1"/>
          <w:kern w:val="0"/>
          <w:sz w:val="24"/>
          <w:szCs w:val="24"/>
          <w:lang w:val="en-US" w:eastAsia="zh-CN" w:bidi="ar-SA"/>
        </w:rPr>
      </w:pPr>
      <w:r>
        <w:rPr>
          <w:rFonts w:hint="eastAsia" w:asciiTheme="minorEastAsia" w:hAnsiTheme="minorEastAsia" w:eastAsiaTheme="minorEastAsia" w:cstheme="minorEastAsia"/>
          <w:snapToGrid w:val="0"/>
          <w:color w:val="000000"/>
          <w:spacing w:val="1"/>
          <w:kern w:val="0"/>
          <w:sz w:val="24"/>
          <w:szCs w:val="24"/>
          <w:lang w:val="en-US" w:eastAsia="zh-CN" w:bidi="ar-SA"/>
        </w:rPr>
        <w:t>2.</w:t>
      </w:r>
      <w:r>
        <w:rPr>
          <w:rFonts w:hint="eastAsia" w:asciiTheme="minorEastAsia" w:hAnsiTheme="minorEastAsia" w:eastAsiaTheme="minorEastAsia" w:cstheme="minorEastAsia"/>
          <w:snapToGrid w:val="0"/>
          <w:color w:val="000000"/>
          <w:spacing w:val="1"/>
          <w:kern w:val="0"/>
          <w:sz w:val="24"/>
          <w:szCs w:val="24"/>
          <w:lang w:val="en-US" w:eastAsia="en-US" w:bidi="ar-SA"/>
        </w:rPr>
        <w:t>符合性审查</w:t>
      </w:r>
    </w:p>
    <w:p w14:paraId="683E5B45">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小组依据竞争性</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文件的规定检查供应商</w:t>
      </w:r>
      <w:r>
        <w:rPr>
          <w:rFonts w:hint="eastAsia" w:asciiTheme="minorEastAsia" w:hAnsiTheme="minorEastAsia" w:eastAsiaTheme="minorEastAsia" w:cstheme="minorEastAsia"/>
          <w:snapToGrid w:val="0"/>
          <w:color w:val="000000"/>
          <w:spacing w:val="3"/>
          <w:kern w:val="0"/>
          <w:sz w:val="24"/>
          <w:szCs w:val="24"/>
          <w:lang w:val="en-US" w:eastAsia="zh-CN" w:bidi="ar-SA"/>
        </w:rPr>
        <w:t>响应文件</w:t>
      </w:r>
      <w:r>
        <w:rPr>
          <w:rFonts w:hint="eastAsia" w:asciiTheme="minorEastAsia" w:hAnsiTheme="minorEastAsia" w:eastAsiaTheme="minorEastAsia" w:cstheme="minorEastAsia"/>
          <w:snapToGrid w:val="0"/>
          <w:color w:val="000000"/>
          <w:spacing w:val="3"/>
          <w:kern w:val="0"/>
          <w:sz w:val="24"/>
          <w:szCs w:val="24"/>
          <w:lang w:val="en-US" w:eastAsia="en-US" w:bidi="ar-SA"/>
        </w:rPr>
        <w:t>制作内容</w:t>
      </w:r>
      <w:r>
        <w:rPr>
          <w:rFonts w:hint="eastAsia" w:asciiTheme="minorEastAsia" w:hAnsiTheme="minorEastAsia" w:eastAsiaTheme="minorEastAsia" w:cstheme="minorEastAsia"/>
          <w:snapToGrid w:val="0"/>
          <w:color w:val="000000"/>
          <w:spacing w:val="3"/>
          <w:kern w:val="0"/>
          <w:sz w:val="24"/>
          <w:szCs w:val="24"/>
          <w:lang w:val="en-US" w:eastAsia="zh-CN" w:bidi="ar-SA"/>
        </w:rPr>
        <w:t>的完整度和符合性</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是否符合竞争性</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文件的各项要求。</w:t>
      </w:r>
    </w:p>
    <w:p w14:paraId="7645E744">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只有通过以上审查的供应商的响应文件，方可进入商务和技术评估，综合比较与评价。</w:t>
      </w:r>
    </w:p>
    <w:p w14:paraId="14C8A931">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3.</w:t>
      </w:r>
      <w:r>
        <w:rPr>
          <w:rFonts w:hint="eastAsia" w:asciiTheme="minorEastAsia" w:hAnsiTheme="minorEastAsia" w:eastAsiaTheme="minorEastAsia" w:cstheme="minorEastAsia"/>
          <w:snapToGrid w:val="0"/>
          <w:color w:val="000000"/>
          <w:spacing w:val="3"/>
          <w:kern w:val="0"/>
          <w:sz w:val="24"/>
          <w:szCs w:val="24"/>
          <w:lang w:val="en-US" w:eastAsia="en-US" w:bidi="ar-SA"/>
        </w:rPr>
        <w:t>技术（服务）审查。</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小组依据竞争性</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文件的规定审查各供应商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所响应设备的技术指标、技术性能、产品技术说明或项目方案、人员配备等</w:t>
      </w:r>
      <w:r>
        <w:rPr>
          <w:rFonts w:hint="eastAsia" w:asciiTheme="minorEastAsia" w:hAnsiTheme="minorEastAsia" w:eastAsiaTheme="minorEastAsia" w:cstheme="minorEastAsia"/>
          <w:snapToGrid w:val="0"/>
          <w:color w:val="000000"/>
          <w:spacing w:val="3"/>
          <w:kern w:val="0"/>
          <w:sz w:val="24"/>
          <w:szCs w:val="24"/>
          <w:lang w:val="en-US" w:eastAsia="en-US" w:bidi="ar-SA"/>
        </w:rPr>
        <w:t>是否符合最低要求。</w:t>
      </w:r>
    </w:p>
    <w:p w14:paraId="46D57C9D">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4.</w:t>
      </w:r>
      <w:r>
        <w:rPr>
          <w:rFonts w:hint="eastAsia" w:asciiTheme="minorEastAsia" w:hAnsiTheme="minorEastAsia" w:eastAsiaTheme="minorEastAsia" w:cstheme="minorEastAsia"/>
          <w:snapToGrid w:val="0"/>
          <w:color w:val="000000"/>
          <w:spacing w:val="3"/>
          <w:kern w:val="0"/>
          <w:sz w:val="24"/>
          <w:szCs w:val="24"/>
          <w:lang w:val="en-US" w:eastAsia="en-US" w:bidi="ar-SA"/>
        </w:rPr>
        <w:t>综合比较与评价。对各供应商</w:t>
      </w:r>
      <w:r>
        <w:rPr>
          <w:rFonts w:hint="eastAsia" w:asciiTheme="minorEastAsia" w:hAnsiTheme="minorEastAsia" w:eastAsiaTheme="minorEastAsia" w:cstheme="minorEastAsia"/>
          <w:snapToGrid w:val="0"/>
          <w:color w:val="000000"/>
          <w:spacing w:val="3"/>
          <w:kern w:val="0"/>
          <w:sz w:val="24"/>
          <w:szCs w:val="24"/>
          <w:lang w:val="en-US" w:eastAsia="zh-CN" w:bidi="ar-SA"/>
        </w:rPr>
        <w:t>对谈判文件的符合性和技术响应程度、项目方案或技术响应程度、综合实力、售后服务以及报价等因素，</w:t>
      </w:r>
      <w:r>
        <w:rPr>
          <w:rFonts w:hint="eastAsia" w:asciiTheme="minorEastAsia" w:hAnsiTheme="minorEastAsia" w:eastAsiaTheme="minorEastAsia" w:cstheme="minorEastAsia"/>
          <w:snapToGrid w:val="0"/>
          <w:color w:val="000000"/>
          <w:spacing w:val="3"/>
          <w:kern w:val="0"/>
          <w:sz w:val="24"/>
          <w:szCs w:val="24"/>
          <w:lang w:val="en-US" w:eastAsia="en-US" w:bidi="ar-SA"/>
        </w:rPr>
        <w:t>进行综合评比。</w:t>
      </w:r>
    </w:p>
    <w:p w14:paraId="12B1816C">
      <w:pPr>
        <w:keepNext w:val="0"/>
        <w:keepLines w:val="0"/>
        <w:pageBreakBefore w:val="0"/>
        <w:kinsoku/>
        <w:wordWrap w:val="0"/>
        <w:overflowPunct/>
        <w:topLinePunct w:val="0"/>
        <w:bidi w:val="0"/>
        <w:spacing w:after="0" w:line="360" w:lineRule="auto"/>
        <w:ind w:firstLine="492"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zh-CN" w:bidi="ar-SA"/>
        </w:rPr>
        <w:t>5.</w:t>
      </w:r>
      <w:r>
        <w:rPr>
          <w:rFonts w:hint="eastAsia" w:asciiTheme="minorEastAsia" w:hAnsiTheme="minorEastAsia" w:eastAsiaTheme="minorEastAsia" w:cstheme="minorEastAsia"/>
          <w:snapToGrid w:val="0"/>
          <w:color w:val="000000"/>
          <w:spacing w:val="3"/>
          <w:kern w:val="0"/>
          <w:sz w:val="24"/>
          <w:szCs w:val="24"/>
          <w:lang w:val="en-US" w:eastAsia="en-US" w:bidi="ar-SA"/>
        </w:rPr>
        <w:t>未实质性响应</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文件的响应文件按无效响应处理，</w:t>
      </w:r>
      <w:r>
        <w:rPr>
          <w:rFonts w:hint="eastAsia" w:asciiTheme="minorEastAsia" w:hAnsiTheme="minorEastAsia" w:eastAsiaTheme="minorEastAsia" w:cstheme="minorEastAsia"/>
          <w:snapToGrid w:val="0"/>
          <w:color w:val="000000"/>
          <w:spacing w:val="3"/>
          <w:kern w:val="0"/>
          <w:sz w:val="24"/>
          <w:szCs w:val="24"/>
          <w:lang w:val="en-US" w:eastAsia="zh-CN" w:bidi="ar-SA"/>
        </w:rPr>
        <w:t>谈判</w:t>
      </w:r>
      <w:r>
        <w:rPr>
          <w:rFonts w:hint="eastAsia" w:asciiTheme="minorEastAsia" w:hAnsiTheme="minorEastAsia" w:eastAsiaTheme="minorEastAsia" w:cstheme="minorEastAsia"/>
          <w:snapToGrid w:val="0"/>
          <w:color w:val="000000"/>
          <w:spacing w:val="3"/>
          <w:kern w:val="0"/>
          <w:sz w:val="24"/>
          <w:szCs w:val="24"/>
          <w:lang w:val="en-US" w:eastAsia="en-US" w:bidi="ar-SA"/>
        </w:rPr>
        <w:t>小组应当告知提交响应文件的供应商。</w:t>
      </w:r>
    </w:p>
    <w:p w14:paraId="24B001D2">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响应文件无效的情形：</w:t>
      </w:r>
    </w:p>
    <w:p w14:paraId="39EC39BE">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在资格性和符合性审查时，如发现下列情形之一的，响应文件将被视为无效：</w:t>
      </w:r>
    </w:p>
    <w:p w14:paraId="0CE8DF2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5.1.1 </w:t>
      </w:r>
      <w:r>
        <w:rPr>
          <w:rFonts w:hint="eastAsia" w:asciiTheme="minorEastAsia" w:hAnsiTheme="minorEastAsia" w:eastAsiaTheme="minorEastAsia" w:cstheme="minorEastAsia"/>
          <w:b/>
          <w:bCs/>
          <w:snapToGrid w:val="0"/>
          <w:color w:val="000000"/>
          <w:spacing w:val="3"/>
          <w:kern w:val="0"/>
          <w:sz w:val="24"/>
          <w:szCs w:val="24"/>
          <w:lang w:val="en-US" w:eastAsia="en-US" w:bidi="ar-SA"/>
        </w:rPr>
        <w:t>资格证明文件不全的，或者不符合竞争性</w:t>
      </w:r>
      <w:r>
        <w:rPr>
          <w:rFonts w:hint="eastAsia" w:asciiTheme="minorEastAsia" w:hAnsiTheme="minorEastAsia" w:eastAsiaTheme="minorEastAsia" w:cstheme="minorEastAsia"/>
          <w:b/>
          <w:bCs/>
          <w:snapToGrid w:val="0"/>
          <w:color w:val="000000"/>
          <w:spacing w:val="3"/>
          <w:kern w:val="0"/>
          <w:sz w:val="24"/>
          <w:szCs w:val="24"/>
          <w:lang w:val="en-US" w:eastAsia="zh-CN" w:bidi="ar-SA"/>
        </w:rPr>
        <w:t>谈判</w:t>
      </w:r>
      <w:r>
        <w:rPr>
          <w:rFonts w:hint="eastAsia" w:asciiTheme="minorEastAsia" w:hAnsiTheme="minorEastAsia" w:eastAsiaTheme="minorEastAsia" w:cstheme="minorEastAsia"/>
          <w:b/>
          <w:bCs/>
          <w:snapToGrid w:val="0"/>
          <w:color w:val="000000"/>
          <w:spacing w:val="3"/>
          <w:kern w:val="0"/>
          <w:sz w:val="24"/>
          <w:szCs w:val="24"/>
          <w:lang w:val="en-US" w:eastAsia="en-US" w:bidi="ar-SA"/>
        </w:rPr>
        <w:t>文件标明的资格要求的；</w:t>
      </w:r>
    </w:p>
    <w:p w14:paraId="1A7BBEB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响应文件无法定代表人或负责人签字,或未提供法定代表人或负责人授权委托书、</w:t>
      </w:r>
      <w:r>
        <w:rPr>
          <w:rFonts w:hint="eastAsia" w:asciiTheme="minorEastAsia" w:hAnsiTheme="minorEastAsia" w:eastAsiaTheme="minorEastAsia" w:cstheme="minorEastAsia"/>
          <w:b/>
          <w:bCs/>
          <w:snapToGrid w:val="0"/>
          <w:color w:val="000000"/>
          <w:spacing w:val="3"/>
          <w:kern w:val="0"/>
          <w:sz w:val="24"/>
          <w:szCs w:val="24"/>
          <w:lang w:val="en-US" w:eastAsia="zh-CN" w:bidi="ar-SA"/>
        </w:rPr>
        <w:t>承诺</w:t>
      </w:r>
      <w:r>
        <w:rPr>
          <w:rFonts w:hint="eastAsia" w:asciiTheme="minorEastAsia" w:hAnsiTheme="minorEastAsia" w:eastAsiaTheme="minorEastAsia" w:cstheme="minorEastAsia"/>
          <w:b/>
          <w:bCs/>
          <w:snapToGrid w:val="0"/>
          <w:color w:val="000000"/>
          <w:spacing w:val="3"/>
          <w:kern w:val="0"/>
          <w:sz w:val="24"/>
          <w:szCs w:val="24"/>
          <w:lang w:val="en-US" w:eastAsia="en-US" w:bidi="ar-SA"/>
        </w:rPr>
        <w:t>书或者填写项目不齐全的；</w:t>
      </w:r>
    </w:p>
    <w:p w14:paraId="61A1B585">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授权代表人未能出具身份证明或与法定代表人或负责人授权委托人身份不符的；</w:t>
      </w:r>
    </w:p>
    <w:p w14:paraId="789B8B5A">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5.1.4 </w:t>
      </w:r>
      <w:r>
        <w:rPr>
          <w:rFonts w:hint="eastAsia" w:asciiTheme="minorEastAsia" w:hAnsiTheme="minorEastAsia" w:eastAsiaTheme="minorEastAsia" w:cstheme="minorEastAsia"/>
          <w:b/>
          <w:bCs/>
          <w:snapToGrid w:val="0"/>
          <w:color w:val="000000"/>
          <w:spacing w:val="3"/>
          <w:kern w:val="0"/>
          <w:sz w:val="24"/>
          <w:szCs w:val="24"/>
          <w:lang w:val="en-US" w:eastAsia="en-US" w:bidi="ar-SA"/>
        </w:rPr>
        <w:t>电子响应文件未使用</w:t>
      </w:r>
      <w:r>
        <w:rPr>
          <w:rFonts w:hint="eastAsia" w:asciiTheme="minorEastAsia" w:hAnsiTheme="minorEastAsia" w:eastAsiaTheme="minorEastAsia" w:cstheme="minorEastAsia"/>
          <w:b/>
          <w:bCs/>
          <w:snapToGrid w:val="0"/>
          <w:color w:val="000000"/>
          <w:spacing w:val="3"/>
          <w:kern w:val="0"/>
          <w:sz w:val="24"/>
          <w:szCs w:val="24"/>
          <w:lang w:val="en-US" w:eastAsia="zh-CN" w:bidi="ar-SA"/>
        </w:rPr>
        <w:t>CA</w:t>
      </w:r>
      <w:r>
        <w:rPr>
          <w:rFonts w:hint="eastAsia" w:asciiTheme="minorEastAsia" w:hAnsiTheme="minorEastAsia" w:eastAsiaTheme="minorEastAsia" w:cstheme="minorEastAsia"/>
          <w:b/>
          <w:bCs/>
          <w:snapToGrid w:val="0"/>
          <w:color w:val="000000"/>
          <w:spacing w:val="3"/>
          <w:kern w:val="0"/>
          <w:sz w:val="24"/>
          <w:szCs w:val="24"/>
          <w:lang w:val="en-US" w:eastAsia="en-US" w:bidi="ar-SA"/>
        </w:rPr>
        <w:t>认证并加密的；</w:t>
      </w:r>
    </w:p>
    <w:p w14:paraId="6205CD20">
      <w:pPr>
        <w:keepNext w:val="0"/>
        <w:keepLines w:val="0"/>
        <w:pageBreakBefore w:val="0"/>
        <w:kinsoku/>
        <w:wordWrap w:val="0"/>
        <w:overflowPunct/>
        <w:topLinePunct w:val="0"/>
        <w:bidi w:val="0"/>
        <w:spacing w:after="0" w:line="360" w:lineRule="auto"/>
        <w:ind w:firstLine="494" w:firstLineChars="200"/>
        <w:jc w:val="both"/>
        <w:rPr>
          <w:rFonts w:hint="default"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5.1.5 其他不符合谈判文件实质性要求的。</w:t>
      </w:r>
    </w:p>
    <w:p w14:paraId="2CFCE310">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 </w:t>
      </w:r>
      <w:r>
        <w:rPr>
          <w:rFonts w:hint="eastAsia" w:asciiTheme="minorEastAsia" w:hAnsiTheme="minorEastAsia" w:eastAsiaTheme="minorEastAsia" w:cstheme="minorEastAsia"/>
          <w:b/>
          <w:bCs/>
          <w:snapToGrid w:val="0"/>
          <w:color w:val="000000"/>
          <w:spacing w:val="3"/>
          <w:kern w:val="0"/>
          <w:sz w:val="24"/>
          <w:szCs w:val="24"/>
          <w:lang w:val="en-US" w:eastAsia="en-US" w:bidi="ar-SA"/>
        </w:rPr>
        <w:t>在报价评审时，如发现下列情形之一的，响应文件将被视为无效：</w:t>
      </w:r>
    </w:p>
    <w:p w14:paraId="28F468BD">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5.2.1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未采用人民币报价的；</w:t>
      </w:r>
    </w:p>
    <w:p w14:paraId="165CF318">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5.2.2 </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报价具有选择性；</w:t>
      </w:r>
    </w:p>
    <w:p w14:paraId="4A3B23A7">
      <w:pPr>
        <w:keepNext w:val="0"/>
        <w:keepLines w:val="0"/>
        <w:pageBreakBefore w:val="0"/>
        <w:kinsoku/>
        <w:wordWrap w:val="0"/>
        <w:overflowPunct/>
        <w:topLinePunct w:val="0"/>
        <w:bidi w:val="0"/>
        <w:spacing w:after="0" w:line="360" w:lineRule="auto"/>
        <w:ind w:firstLine="494" w:firstLineChars="200"/>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 xml:space="preserve">5.2.3 </w:t>
      </w:r>
      <w:r>
        <w:rPr>
          <w:rFonts w:hint="eastAsia" w:asciiTheme="minorEastAsia" w:hAnsiTheme="minorEastAsia" w:eastAsiaTheme="minorEastAsia" w:cstheme="minorEastAsia"/>
          <w:b/>
          <w:bCs/>
          <w:snapToGrid w:val="0"/>
          <w:color w:val="000000"/>
          <w:spacing w:val="3"/>
          <w:kern w:val="0"/>
          <w:sz w:val="24"/>
          <w:szCs w:val="24"/>
          <w:lang w:val="en-US" w:eastAsia="en-US" w:bidi="ar-SA"/>
        </w:rPr>
        <w:t>未进行最后报价或最后报价高于采购人预算的</w:t>
      </w:r>
      <w:r>
        <w:rPr>
          <w:rFonts w:hint="eastAsia" w:asciiTheme="minorEastAsia" w:hAnsiTheme="minorEastAsia" w:eastAsiaTheme="minorEastAsia" w:cstheme="minorEastAsia"/>
          <w:b/>
          <w:bCs/>
          <w:snapToGrid w:val="0"/>
          <w:color w:val="000000"/>
          <w:spacing w:val="3"/>
          <w:kern w:val="0"/>
          <w:sz w:val="24"/>
          <w:szCs w:val="24"/>
          <w:lang w:val="en-US" w:eastAsia="zh-CN" w:bidi="ar-SA"/>
        </w:rPr>
        <w:t>。</w:t>
      </w:r>
    </w:p>
    <w:p w14:paraId="5127809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rFonts w:hint="eastAsia"/>
          <w:sz w:val="24"/>
          <w:szCs w:val="24"/>
          <w:lang w:eastAsia="zh-CN"/>
        </w:rPr>
        <w:t>谈判</w:t>
      </w:r>
      <w:r>
        <w:rPr>
          <w:sz w:val="24"/>
          <w:szCs w:val="24"/>
        </w:rPr>
        <w:t>、响应文件有关事项的澄清、说明或者更正和最后报价</w:t>
      </w:r>
    </w:p>
    <w:p w14:paraId="3245658C">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.1</w:t>
      </w:r>
      <w:r>
        <w:rPr>
          <w:rFonts w:hint="eastAsia"/>
          <w:sz w:val="24"/>
          <w:szCs w:val="24"/>
          <w:lang w:val="en-US" w:eastAsia="zh-CN"/>
        </w:rPr>
        <w:t xml:space="preserve"> </w:t>
      </w:r>
      <w:r>
        <w:rPr>
          <w:rFonts w:hint="eastAsia"/>
          <w:sz w:val="24"/>
          <w:szCs w:val="24"/>
          <w:lang w:eastAsia="zh-CN"/>
        </w:rPr>
        <w:t>谈判</w:t>
      </w:r>
      <w:r>
        <w:rPr>
          <w:sz w:val="24"/>
          <w:szCs w:val="24"/>
        </w:rPr>
        <w:t>小组所有成员将集中与单一供应商分别进行</w:t>
      </w:r>
      <w:r>
        <w:rPr>
          <w:rFonts w:hint="eastAsia"/>
          <w:sz w:val="24"/>
          <w:szCs w:val="24"/>
          <w:lang w:eastAsia="zh-CN"/>
        </w:rPr>
        <w:t>谈判</w:t>
      </w:r>
      <w:r>
        <w:rPr>
          <w:sz w:val="24"/>
          <w:szCs w:val="24"/>
        </w:rPr>
        <w:t>，并给予所有参加</w:t>
      </w:r>
      <w:r>
        <w:rPr>
          <w:rFonts w:hint="eastAsia"/>
          <w:sz w:val="24"/>
          <w:szCs w:val="24"/>
          <w:lang w:eastAsia="zh-CN"/>
        </w:rPr>
        <w:t>谈判</w:t>
      </w:r>
      <w:r>
        <w:rPr>
          <w:sz w:val="24"/>
          <w:szCs w:val="24"/>
        </w:rPr>
        <w:t>的供应商平等的</w:t>
      </w:r>
      <w:r>
        <w:rPr>
          <w:rFonts w:hint="eastAsia"/>
          <w:sz w:val="24"/>
          <w:szCs w:val="24"/>
          <w:lang w:eastAsia="zh-CN"/>
        </w:rPr>
        <w:t>谈判</w:t>
      </w:r>
      <w:r>
        <w:rPr>
          <w:sz w:val="24"/>
          <w:szCs w:val="24"/>
        </w:rPr>
        <w:t>机会。在谈判中，谈判的任何一方不得透露与谈判有关的其他供应商的技术资料、价格和其他信息。</w:t>
      </w:r>
    </w:p>
    <w:p w14:paraId="4A9A1E0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.2</w:t>
      </w:r>
      <w:r>
        <w:rPr>
          <w:rFonts w:hint="eastAsia"/>
          <w:sz w:val="24"/>
          <w:szCs w:val="24"/>
          <w:lang w:val="en-US" w:eastAsia="zh-CN"/>
        </w:rPr>
        <w:t xml:space="preserve"> </w:t>
      </w:r>
      <w:r>
        <w:rPr>
          <w:sz w:val="24"/>
          <w:szCs w:val="24"/>
        </w:rPr>
        <w:t>在</w:t>
      </w:r>
      <w:r>
        <w:rPr>
          <w:rFonts w:hint="eastAsia"/>
          <w:sz w:val="24"/>
          <w:szCs w:val="24"/>
          <w:lang w:eastAsia="zh-CN"/>
        </w:rPr>
        <w:t>谈判</w:t>
      </w:r>
      <w:r>
        <w:rPr>
          <w:sz w:val="24"/>
          <w:szCs w:val="24"/>
        </w:rPr>
        <w:t>过程中，</w:t>
      </w:r>
      <w:r>
        <w:rPr>
          <w:rFonts w:hint="eastAsia"/>
          <w:sz w:val="24"/>
          <w:szCs w:val="24"/>
          <w:lang w:eastAsia="zh-CN"/>
        </w:rPr>
        <w:t>谈判</w:t>
      </w:r>
      <w:r>
        <w:rPr>
          <w:sz w:val="24"/>
          <w:szCs w:val="24"/>
        </w:rPr>
        <w:t>小组可以根据</w:t>
      </w:r>
      <w:r>
        <w:rPr>
          <w:rFonts w:hint="eastAsia"/>
          <w:sz w:val="24"/>
          <w:szCs w:val="24"/>
          <w:lang w:eastAsia="zh-CN"/>
        </w:rPr>
        <w:t>谈判</w:t>
      </w:r>
      <w:r>
        <w:rPr>
          <w:sz w:val="24"/>
          <w:szCs w:val="24"/>
        </w:rPr>
        <w:t>文件和</w:t>
      </w:r>
      <w:r>
        <w:rPr>
          <w:rFonts w:hint="eastAsia"/>
          <w:sz w:val="24"/>
          <w:szCs w:val="24"/>
          <w:lang w:eastAsia="zh-CN"/>
        </w:rPr>
        <w:t>谈判</w:t>
      </w:r>
      <w:r>
        <w:rPr>
          <w:sz w:val="24"/>
          <w:szCs w:val="24"/>
        </w:rPr>
        <w:t>情况实质性变动采购需求中的技术、服务要求以及合同草案条款，但不得变动</w:t>
      </w:r>
      <w:r>
        <w:rPr>
          <w:rFonts w:hint="eastAsia"/>
          <w:sz w:val="24"/>
          <w:szCs w:val="24"/>
          <w:lang w:eastAsia="zh-CN"/>
        </w:rPr>
        <w:t>谈判</w:t>
      </w:r>
      <w:r>
        <w:rPr>
          <w:sz w:val="24"/>
          <w:szCs w:val="24"/>
        </w:rPr>
        <w:t>文件中的其他内容。实质性变动的内容，须经采购人代表确认。</w:t>
      </w:r>
    </w:p>
    <w:p w14:paraId="2869632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sz w:val="24"/>
          <w:szCs w:val="24"/>
        </w:rPr>
      </w:pPr>
      <w:r>
        <w:rPr>
          <w:rFonts w:hint="eastAsia"/>
          <w:sz w:val="24"/>
          <w:szCs w:val="24"/>
          <w:lang w:val="en-US" w:eastAsia="zh-CN"/>
        </w:rPr>
        <w:t>6</w:t>
      </w:r>
      <w:r>
        <w:rPr>
          <w:sz w:val="24"/>
          <w:szCs w:val="24"/>
        </w:rPr>
        <w:t>.3</w:t>
      </w:r>
      <w:r>
        <w:rPr>
          <w:rFonts w:hint="eastAsia"/>
          <w:sz w:val="24"/>
          <w:szCs w:val="24"/>
          <w:lang w:val="en-US" w:eastAsia="zh-CN"/>
        </w:rPr>
        <w:t xml:space="preserve"> </w:t>
      </w:r>
      <w:r>
        <w:rPr>
          <w:sz w:val="24"/>
          <w:szCs w:val="24"/>
        </w:rPr>
        <w:t>对</w:t>
      </w:r>
      <w:r>
        <w:rPr>
          <w:rFonts w:hint="eastAsia"/>
          <w:sz w:val="24"/>
          <w:szCs w:val="24"/>
          <w:lang w:eastAsia="zh-CN"/>
        </w:rPr>
        <w:t>谈判</w:t>
      </w:r>
      <w:r>
        <w:rPr>
          <w:sz w:val="24"/>
          <w:szCs w:val="24"/>
        </w:rPr>
        <w:t>文件作出的实质性变动是</w:t>
      </w:r>
      <w:r>
        <w:rPr>
          <w:rFonts w:hint="eastAsia"/>
          <w:sz w:val="24"/>
          <w:szCs w:val="24"/>
          <w:lang w:eastAsia="zh-CN"/>
        </w:rPr>
        <w:t>谈判</w:t>
      </w:r>
      <w:r>
        <w:rPr>
          <w:sz w:val="24"/>
          <w:szCs w:val="24"/>
        </w:rPr>
        <w:t>文件的有效组成部分，</w:t>
      </w:r>
      <w:r>
        <w:rPr>
          <w:rFonts w:hint="eastAsia"/>
          <w:sz w:val="24"/>
          <w:szCs w:val="24"/>
          <w:lang w:eastAsia="zh-CN"/>
        </w:rPr>
        <w:t>谈判</w:t>
      </w:r>
      <w:r>
        <w:rPr>
          <w:sz w:val="24"/>
          <w:szCs w:val="24"/>
        </w:rPr>
        <w:t>小组应当及时</w:t>
      </w:r>
      <w:r>
        <w:rPr>
          <w:rFonts w:hint="eastAsia"/>
          <w:sz w:val="24"/>
          <w:szCs w:val="24"/>
          <w:lang w:val="en-US" w:eastAsia="zh-CN"/>
        </w:rPr>
        <w:t>通过</w:t>
      </w:r>
      <w:r>
        <w:rPr>
          <w:rFonts w:hint="eastAsia"/>
          <w:sz w:val="24"/>
          <w:szCs w:val="24"/>
        </w:rPr>
        <w:t>评标系统通知</w:t>
      </w:r>
      <w:r>
        <w:rPr>
          <w:sz w:val="24"/>
          <w:szCs w:val="24"/>
        </w:rPr>
        <w:t>所有参加</w:t>
      </w:r>
      <w:r>
        <w:rPr>
          <w:rFonts w:hint="eastAsia"/>
          <w:sz w:val="24"/>
          <w:szCs w:val="24"/>
          <w:lang w:eastAsia="zh-CN"/>
        </w:rPr>
        <w:t>谈判</w:t>
      </w:r>
      <w:r>
        <w:rPr>
          <w:sz w:val="24"/>
          <w:szCs w:val="24"/>
        </w:rPr>
        <w:t>的供应商。</w:t>
      </w:r>
      <w:r>
        <w:rPr>
          <w:rFonts w:hint="eastAsia"/>
          <w:sz w:val="24"/>
          <w:szCs w:val="24"/>
        </w:rPr>
        <w:t>具体</w:t>
      </w:r>
      <w:r>
        <w:rPr>
          <w:rFonts w:hint="eastAsia"/>
          <w:sz w:val="24"/>
          <w:szCs w:val="24"/>
          <w:lang w:eastAsia="zh-CN"/>
        </w:rPr>
        <w:t>谈判</w:t>
      </w:r>
      <w:r>
        <w:rPr>
          <w:rFonts w:hint="eastAsia"/>
          <w:sz w:val="24"/>
          <w:szCs w:val="24"/>
        </w:rPr>
        <w:t>内容由</w:t>
      </w:r>
      <w:r>
        <w:rPr>
          <w:rFonts w:hint="eastAsia"/>
          <w:sz w:val="24"/>
          <w:szCs w:val="24"/>
          <w:lang w:eastAsia="zh-CN"/>
        </w:rPr>
        <w:t>谈判</w:t>
      </w:r>
      <w:r>
        <w:rPr>
          <w:rFonts w:hint="eastAsia"/>
          <w:sz w:val="24"/>
          <w:szCs w:val="24"/>
        </w:rPr>
        <w:t>小组根据</w:t>
      </w:r>
      <w:r>
        <w:rPr>
          <w:rFonts w:hint="eastAsia"/>
          <w:sz w:val="24"/>
          <w:szCs w:val="24"/>
          <w:lang w:eastAsia="zh-CN"/>
        </w:rPr>
        <w:t>谈判</w:t>
      </w:r>
      <w:r>
        <w:rPr>
          <w:rFonts w:hint="eastAsia"/>
          <w:sz w:val="24"/>
          <w:szCs w:val="24"/>
        </w:rPr>
        <w:t>实际情况确定。</w:t>
      </w:r>
    </w:p>
    <w:p w14:paraId="06261783">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.4</w:t>
      </w:r>
      <w:r>
        <w:rPr>
          <w:rFonts w:hint="eastAsia" w:ascii="宋体" w:hAnsi="宋体" w:eastAsia="宋体" w:cs="宋体"/>
          <w:snapToGrid w:val="0"/>
          <w:color w:val="000000"/>
          <w:kern w:val="0"/>
          <w:sz w:val="24"/>
          <w:szCs w:val="24"/>
          <w:lang w:val="en-US" w:eastAsia="zh-CN" w:bidi="ar-SA"/>
        </w:rPr>
        <w:t xml:space="preserve"> </w:t>
      </w:r>
      <w:r>
        <w:rPr>
          <w:rFonts w:hint="eastAsia" w:ascii="宋体" w:hAnsi="宋体" w:eastAsia="宋体" w:cs="宋体"/>
          <w:snapToGrid w:val="0"/>
          <w:color w:val="000000"/>
          <w:kern w:val="0"/>
          <w:sz w:val="24"/>
          <w:szCs w:val="24"/>
          <w:lang w:val="en-US" w:eastAsia="en-US" w:bidi="ar-SA"/>
        </w:rPr>
        <w:t>供应商应当按照竞争性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文件的变动情况和</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小组的要求，通过</w:t>
      </w:r>
      <w:r>
        <w:rPr>
          <w:rFonts w:hint="eastAsia" w:ascii="宋体" w:hAnsi="宋体" w:eastAsia="宋体" w:cs="宋体"/>
          <w:snapToGrid w:val="0"/>
          <w:color w:val="000000"/>
          <w:kern w:val="0"/>
          <w:sz w:val="24"/>
          <w:szCs w:val="24"/>
          <w:lang w:val="en-US" w:eastAsia="zh-CN" w:bidi="ar-SA"/>
        </w:rPr>
        <w:t>评标</w:t>
      </w:r>
      <w:r>
        <w:rPr>
          <w:rFonts w:hint="eastAsia" w:ascii="宋体" w:hAnsi="宋体" w:eastAsia="宋体" w:cs="宋体"/>
          <w:snapToGrid w:val="0"/>
          <w:color w:val="000000"/>
          <w:kern w:val="0"/>
          <w:sz w:val="24"/>
          <w:szCs w:val="24"/>
          <w:lang w:val="en-US" w:eastAsia="en-US" w:bidi="ar-SA"/>
        </w:rPr>
        <w:t>系统以在线形式提交承诺，并用</w:t>
      </w:r>
      <w:r>
        <w:rPr>
          <w:rFonts w:hint="eastAsia" w:ascii="宋体" w:hAnsi="宋体" w:eastAsia="宋体" w:cs="宋体"/>
          <w:snapToGrid w:val="0"/>
          <w:color w:val="000000"/>
          <w:kern w:val="0"/>
          <w:sz w:val="24"/>
          <w:szCs w:val="24"/>
          <w:lang w:val="en-US" w:eastAsia="zh-CN" w:bidi="ar-SA"/>
        </w:rPr>
        <w:t>CA</w:t>
      </w:r>
      <w:r>
        <w:rPr>
          <w:rFonts w:hint="eastAsia" w:ascii="宋体" w:hAnsi="宋体" w:eastAsia="宋体" w:cs="宋体"/>
          <w:snapToGrid w:val="0"/>
          <w:color w:val="000000"/>
          <w:kern w:val="0"/>
          <w:sz w:val="24"/>
          <w:szCs w:val="24"/>
          <w:lang w:val="en-US" w:eastAsia="en-US" w:bidi="ar-SA"/>
        </w:rPr>
        <w:t>签章。</w:t>
      </w:r>
    </w:p>
    <w:p w14:paraId="763B8EA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 </w:t>
      </w:r>
      <w:r>
        <w:rPr>
          <w:rFonts w:ascii="宋体" w:hAnsi="宋体" w:eastAsia="宋体" w:cs="宋体"/>
          <w:snapToGrid w:val="0"/>
          <w:color w:val="000000"/>
          <w:kern w:val="0"/>
          <w:sz w:val="24"/>
          <w:szCs w:val="24"/>
          <w:lang w:val="en-US" w:eastAsia="en-US" w:bidi="ar-SA"/>
        </w:rPr>
        <w:t>响应文件的澄清、说明或者更正：</w:t>
      </w:r>
    </w:p>
    <w:p w14:paraId="5BD15A0F">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.5.1</w:t>
      </w:r>
      <w:r>
        <w:rPr>
          <w:rFonts w:hint="eastAsia" w:cs="宋体"/>
          <w:snapToGrid w:val="0"/>
          <w:color w:val="000000"/>
          <w:kern w:val="0"/>
          <w:sz w:val="24"/>
          <w:szCs w:val="24"/>
          <w:lang w:val="en-US" w:eastAsia="zh-CN" w:bidi="ar-SA"/>
        </w:rPr>
        <w:t xml:space="preserve"> 谈判</w:t>
      </w:r>
      <w:r>
        <w:rPr>
          <w:rFonts w:hint="eastAsia" w:ascii="宋体" w:hAnsi="宋体" w:eastAsia="宋体" w:cs="宋体"/>
          <w:snapToGrid w:val="0"/>
          <w:color w:val="000000"/>
          <w:kern w:val="0"/>
          <w:sz w:val="24"/>
          <w:szCs w:val="24"/>
          <w:lang w:val="en-US" w:eastAsia="en-US" w:bidi="ar-SA"/>
        </w:rPr>
        <w:t>小组在对响应文件的有效性、完整性和响应程度进行审查时，可以要求供应商对响应文件中含义不明确、同类问题表述不一致或者有明显文字和计算错误的内容等作出必要的澄清、说明或者更正。</w:t>
      </w:r>
    </w:p>
    <w:p w14:paraId="055599B3">
      <w:pPr>
        <w:pStyle w:val="5"/>
        <w:keepNext w:val="0"/>
        <w:keepLines w:val="0"/>
        <w:pageBreakBefore w:val="0"/>
        <w:widowControl/>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.5.</w:t>
      </w:r>
      <w:r>
        <w:rPr>
          <w:rFonts w:hint="eastAsia" w:cs="宋体"/>
          <w:snapToGrid w:val="0"/>
          <w:color w:val="000000"/>
          <w:kern w:val="0"/>
          <w:sz w:val="24"/>
          <w:szCs w:val="24"/>
          <w:lang w:val="en-US" w:eastAsia="zh-CN" w:bidi="ar-SA"/>
        </w:rPr>
        <w:t xml:space="preserve">2 </w:t>
      </w:r>
      <w:r>
        <w:rPr>
          <w:rFonts w:hint="eastAsia" w:ascii="宋体" w:hAnsi="宋体" w:eastAsia="宋体" w:cs="宋体"/>
          <w:snapToGrid w:val="0"/>
          <w:color w:val="000000"/>
          <w:kern w:val="0"/>
          <w:sz w:val="24"/>
          <w:szCs w:val="24"/>
          <w:lang w:val="en-US" w:eastAsia="en-US" w:bidi="ar-SA"/>
        </w:rPr>
        <w:t>供应商的澄清、说明或者更正不得超出响应文件的范围或者改变响应文件的实质性内容。供应商的澄清、说明或者更正应当由法定代表人（若供应商为事业单位或其他组织或分支机构，可为单位负责人）或其授权代表签字</w:t>
      </w:r>
      <w:r>
        <w:rPr>
          <w:rFonts w:hint="eastAsia" w:cs="宋体"/>
          <w:snapToGrid w:val="0"/>
          <w:color w:val="000000"/>
          <w:kern w:val="0"/>
          <w:sz w:val="24"/>
          <w:szCs w:val="24"/>
          <w:lang w:val="en-US" w:eastAsia="zh-CN" w:bidi="ar-SA"/>
        </w:rPr>
        <w:t>、</w:t>
      </w:r>
      <w:r>
        <w:rPr>
          <w:rFonts w:hint="eastAsia" w:ascii="宋体" w:hAnsi="宋体" w:eastAsia="宋体" w:cs="宋体"/>
          <w:snapToGrid w:val="0"/>
          <w:color w:val="000000"/>
          <w:kern w:val="0"/>
          <w:sz w:val="24"/>
          <w:szCs w:val="24"/>
          <w:lang w:val="en-US" w:eastAsia="en-US" w:bidi="ar-SA"/>
        </w:rPr>
        <w:t>加盖公章。供应商为自然人的，应当由本人签字并附身份证明。澄清、说明或者更正文件将作为响应文件内容的一部分。</w:t>
      </w:r>
    </w:p>
    <w:p w14:paraId="133435A0">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.6</w:t>
      </w:r>
      <w:r>
        <w:rPr>
          <w:rFonts w:hint="eastAsia" w:ascii="宋体" w:hAnsi="宋体" w:eastAsia="宋体" w:cs="宋体"/>
          <w:snapToGrid w:val="0"/>
          <w:color w:val="000000"/>
          <w:kern w:val="0"/>
          <w:sz w:val="24"/>
          <w:szCs w:val="24"/>
          <w:lang w:val="en-US" w:eastAsia="zh-CN" w:bidi="ar-SA"/>
        </w:rPr>
        <w:t xml:space="preserve"> 谈判</w:t>
      </w:r>
      <w:r>
        <w:rPr>
          <w:rFonts w:hint="eastAsia" w:ascii="宋体" w:hAnsi="宋体" w:eastAsia="宋体" w:cs="宋体"/>
          <w:snapToGrid w:val="0"/>
          <w:color w:val="000000"/>
          <w:kern w:val="0"/>
          <w:sz w:val="24"/>
          <w:szCs w:val="24"/>
          <w:lang w:val="en-US" w:eastAsia="en-US" w:bidi="ar-SA"/>
        </w:rPr>
        <w:t>结束后，</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小组通过电子评标系统向所有实质性响应的供应商发出最后报价要求，各供应商在会员系统中收到有关信息后，必须在规定时间内给出答复，并在签章后提交。提交最后报价的供应商不</w:t>
      </w:r>
      <w:r>
        <w:rPr>
          <w:rFonts w:hint="eastAsia" w:ascii="宋体" w:hAnsi="宋体" w:eastAsia="宋体" w:cs="宋体"/>
          <w:snapToGrid w:val="0"/>
          <w:color w:val="000000"/>
          <w:kern w:val="0"/>
          <w:sz w:val="24"/>
          <w:szCs w:val="24"/>
          <w:lang w:val="en-US" w:eastAsia="zh-CN" w:bidi="ar-SA"/>
        </w:rPr>
        <w:t>得</w:t>
      </w:r>
      <w:r>
        <w:rPr>
          <w:rFonts w:hint="eastAsia" w:ascii="宋体" w:hAnsi="宋体" w:eastAsia="宋体" w:cs="宋体"/>
          <w:snapToGrid w:val="0"/>
          <w:color w:val="000000"/>
          <w:kern w:val="0"/>
          <w:sz w:val="24"/>
          <w:szCs w:val="24"/>
          <w:lang w:val="en-US" w:eastAsia="en-US" w:bidi="ar-SA"/>
        </w:rPr>
        <w:t>少于</w:t>
      </w: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家。《政府采购非招标采购方式管理办法》第二十七条第二款规定的情形除外。最后报价是响应文件的有效组成部分。</w:t>
      </w:r>
    </w:p>
    <w:p w14:paraId="3A837091">
      <w:pPr>
        <w:keepNext w:val="0"/>
        <w:keepLines w:val="0"/>
        <w:pageBreakBefore w:val="0"/>
        <w:kinsoku/>
        <w:wordWrap w:val="0"/>
        <w:overflowPunct/>
        <w:topLinePunct w:val="0"/>
        <w:bidi w:val="0"/>
        <w:spacing w:after="0" w:line="360" w:lineRule="auto"/>
        <w:ind w:firstLine="480" w:firstLineChars="200"/>
        <w:jc w:val="both"/>
        <w:rPr>
          <w:sz w:val="24"/>
          <w:szCs w:val="24"/>
        </w:rPr>
      </w:pPr>
      <w:r>
        <w:rPr>
          <w:rFonts w:hint="eastAsia" w:ascii="宋体" w:hAnsi="宋体" w:eastAsia="宋体" w:cs="宋体"/>
          <w:snapToGrid w:val="0"/>
          <w:color w:val="000000"/>
          <w:kern w:val="0"/>
          <w:sz w:val="24"/>
          <w:szCs w:val="24"/>
          <w:lang w:val="en-US" w:eastAsia="zh-CN" w:bidi="ar-SA"/>
        </w:rPr>
        <w:t>6</w:t>
      </w:r>
      <w:r>
        <w:rPr>
          <w:rFonts w:hint="eastAsia" w:ascii="宋体" w:hAnsi="宋体" w:eastAsia="宋体" w:cs="宋体"/>
          <w:snapToGrid w:val="0"/>
          <w:color w:val="000000"/>
          <w:kern w:val="0"/>
          <w:sz w:val="24"/>
          <w:szCs w:val="24"/>
          <w:lang w:val="en-US" w:eastAsia="en-US" w:bidi="ar-SA"/>
        </w:rPr>
        <w:t>.7</w:t>
      </w:r>
      <w:r>
        <w:rPr>
          <w:rFonts w:hint="eastAsia" w:ascii="宋体" w:hAnsi="宋体" w:eastAsia="宋体" w:cs="宋体"/>
          <w:snapToGrid w:val="0"/>
          <w:color w:val="000000"/>
          <w:kern w:val="0"/>
          <w:sz w:val="24"/>
          <w:szCs w:val="24"/>
          <w:lang w:val="en-US" w:eastAsia="zh-CN" w:bidi="ar-SA"/>
        </w:rPr>
        <w:t xml:space="preserve"> 谈判</w:t>
      </w:r>
      <w:r>
        <w:rPr>
          <w:rFonts w:hint="eastAsia" w:ascii="宋体" w:hAnsi="宋体" w:eastAsia="宋体" w:cs="宋体"/>
          <w:snapToGrid w:val="0"/>
          <w:color w:val="000000"/>
          <w:kern w:val="0"/>
          <w:sz w:val="24"/>
          <w:szCs w:val="24"/>
          <w:lang w:val="en-US" w:eastAsia="en-US" w:bidi="ar-SA"/>
        </w:rPr>
        <w:t>文件不能详细列明采购标的的技术、服务要求，需经</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由供应商</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供最终设计方案或解决方案的，</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结束后，</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小组应当按照少数服从多数的原则投票推荐3家以上供应商的设计方案或者解决方案，并要求其在规定时间内</w:t>
      </w:r>
      <w:r>
        <w:rPr>
          <w:rFonts w:hint="eastAsia" w:ascii="宋体" w:hAnsi="宋体" w:eastAsia="宋体" w:cs="宋体"/>
          <w:snapToGrid w:val="0"/>
          <w:color w:val="000000"/>
          <w:kern w:val="0"/>
          <w:sz w:val="24"/>
          <w:szCs w:val="24"/>
          <w:lang w:val="en-US" w:eastAsia="zh-CN" w:bidi="ar-SA"/>
        </w:rPr>
        <w:t>提</w:t>
      </w:r>
      <w:r>
        <w:rPr>
          <w:rFonts w:hint="eastAsia" w:ascii="宋体" w:hAnsi="宋体" w:eastAsia="宋体" w:cs="宋体"/>
          <w:snapToGrid w:val="0"/>
          <w:color w:val="000000"/>
          <w:kern w:val="0"/>
          <w:sz w:val="24"/>
          <w:szCs w:val="24"/>
          <w:lang w:val="en-US" w:eastAsia="en-US" w:bidi="ar-SA"/>
        </w:rPr>
        <w:t>交最后报价。《政府采购非招标采购方式管理办法》第二十七条第二款规定的情形除外。</w:t>
      </w:r>
    </w:p>
    <w:p w14:paraId="0021DFA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6</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 xml:space="preserve">8 </w:t>
      </w:r>
      <w:r>
        <w:rPr>
          <w:rFonts w:hint="eastAsia" w:cs="宋体"/>
          <w:snapToGrid w:val="0"/>
          <w:color w:val="000000"/>
          <w:kern w:val="0"/>
          <w:sz w:val="24"/>
          <w:szCs w:val="24"/>
          <w:lang w:val="en-US" w:eastAsia="en-US" w:bidi="ar-SA"/>
        </w:rPr>
        <w:t>已</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交响应文件的供应商，在</w:t>
      </w:r>
      <w:r>
        <w:rPr>
          <w:rFonts w:hint="eastAsia" w:cs="宋体"/>
          <w:snapToGrid w:val="0"/>
          <w:color w:val="000000"/>
          <w:kern w:val="0"/>
          <w:sz w:val="24"/>
          <w:szCs w:val="24"/>
          <w:lang w:val="en-US" w:eastAsia="zh-CN" w:bidi="ar-SA"/>
        </w:rPr>
        <w:t>提</w:t>
      </w:r>
      <w:r>
        <w:rPr>
          <w:rFonts w:hint="eastAsia" w:cs="宋体"/>
          <w:snapToGrid w:val="0"/>
          <w:color w:val="000000"/>
          <w:kern w:val="0"/>
          <w:sz w:val="24"/>
          <w:szCs w:val="24"/>
          <w:lang w:val="en-US" w:eastAsia="en-US" w:bidi="ar-SA"/>
        </w:rPr>
        <w:t>交最后报价之前，可以根据</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情况退出</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w:t>
      </w:r>
    </w:p>
    <w:p w14:paraId="2B0BAD4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7.</w:t>
      </w:r>
      <w:r>
        <w:rPr>
          <w:rFonts w:hint="eastAsia" w:cs="宋体"/>
          <w:snapToGrid w:val="0"/>
          <w:color w:val="000000"/>
          <w:kern w:val="0"/>
          <w:sz w:val="24"/>
          <w:szCs w:val="24"/>
          <w:lang w:val="en-US" w:eastAsia="en-US" w:bidi="ar-SA"/>
        </w:rPr>
        <w:t>最后报价的算术修正及政策调整</w:t>
      </w:r>
    </w:p>
    <w:p w14:paraId="00C5107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eastAsia="宋体" w:cs="宋体"/>
          <w:snapToGrid w:val="0"/>
          <w:color w:val="000000"/>
          <w:kern w:val="0"/>
          <w:sz w:val="24"/>
          <w:szCs w:val="24"/>
          <w:lang w:val="en-US" w:eastAsia="zh-CN" w:bidi="ar-SA"/>
        </w:rPr>
      </w:pPr>
      <w:r>
        <w:rPr>
          <w:rFonts w:hint="eastAsia" w:cs="宋体"/>
          <w:snapToGrid w:val="0"/>
          <w:color w:val="000000"/>
          <w:kern w:val="0"/>
          <w:sz w:val="24"/>
          <w:szCs w:val="24"/>
          <w:lang w:val="en-US" w:eastAsia="en-US" w:bidi="ar-SA"/>
        </w:rPr>
        <w:t>最后报价须包含竞争性</w:t>
      </w:r>
      <w:r>
        <w:rPr>
          <w:rFonts w:hint="eastAsia" w:cs="宋体"/>
          <w:snapToGrid w:val="0"/>
          <w:color w:val="000000"/>
          <w:kern w:val="0"/>
          <w:sz w:val="24"/>
          <w:szCs w:val="24"/>
          <w:lang w:val="en-US" w:eastAsia="zh-CN" w:bidi="ar-SA"/>
        </w:rPr>
        <w:t>谈判</w:t>
      </w:r>
      <w:r>
        <w:rPr>
          <w:rFonts w:hint="eastAsia" w:cs="宋体"/>
          <w:snapToGrid w:val="0"/>
          <w:color w:val="000000"/>
          <w:kern w:val="0"/>
          <w:sz w:val="24"/>
          <w:szCs w:val="24"/>
          <w:lang w:val="en-US" w:eastAsia="en-US" w:bidi="ar-SA"/>
        </w:rPr>
        <w:t>文件全部内容，最后报价出现大写金额和小写金额不一致的，以大写金额为准</w:t>
      </w:r>
      <w:r>
        <w:rPr>
          <w:rFonts w:hint="eastAsia" w:cs="宋体"/>
          <w:snapToGrid w:val="0"/>
          <w:color w:val="000000"/>
          <w:kern w:val="0"/>
          <w:sz w:val="24"/>
          <w:szCs w:val="24"/>
          <w:lang w:val="en-US" w:eastAsia="zh-CN" w:bidi="ar-SA"/>
        </w:rPr>
        <w:t>。</w:t>
      </w:r>
    </w:p>
    <w:p w14:paraId="5A11A421">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sz w:val="24"/>
          <w:szCs w:val="24"/>
        </w:rPr>
        <w:t>评定成交的标准与确定成交候选人名单</w:t>
      </w:r>
    </w:p>
    <w:p w14:paraId="52E9613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.1</w:t>
      </w:r>
      <w:r>
        <w:rPr>
          <w:rFonts w:hint="eastAsia" w:cs="宋体"/>
          <w:snapToGrid w:val="0"/>
          <w:color w:val="000000"/>
          <w:kern w:val="0"/>
          <w:sz w:val="24"/>
          <w:szCs w:val="24"/>
          <w:lang w:val="en-US" w:eastAsia="zh-CN" w:bidi="ar-SA"/>
        </w:rPr>
        <w:t xml:space="preserve"> </w:t>
      </w:r>
      <w:r>
        <w:rPr>
          <w:rFonts w:hint="eastAsia" w:cs="宋体"/>
          <w:snapToGrid w:val="0"/>
          <w:color w:val="000000"/>
          <w:kern w:val="0"/>
          <w:sz w:val="24"/>
          <w:szCs w:val="24"/>
          <w:lang w:val="en-US" w:eastAsia="en-US" w:bidi="ar-SA"/>
        </w:rPr>
        <w:t>谈判小组应当从质量和服务均能满足采购文件实质性响应要求的供应商中，按照报价由低到高的顺序提出3名以上成交候选人，并编写评审报告。</w:t>
      </w:r>
    </w:p>
    <w:p w14:paraId="0A591F9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hint="eastAsia" w:cs="宋体"/>
          <w:b/>
          <w:bCs/>
          <w:snapToGrid w:val="0"/>
          <w:color w:val="000000"/>
          <w:kern w:val="0"/>
          <w:sz w:val="24"/>
          <w:szCs w:val="24"/>
          <w:lang w:val="en-US" w:eastAsia="en-US" w:bidi="ar-SA"/>
        </w:rPr>
      </w:pPr>
      <w:r>
        <w:rPr>
          <w:rFonts w:hint="eastAsia" w:cs="宋体"/>
          <w:b/>
          <w:bCs/>
          <w:snapToGrid w:val="0"/>
          <w:color w:val="000000"/>
          <w:kern w:val="0"/>
          <w:sz w:val="24"/>
          <w:szCs w:val="24"/>
          <w:lang w:val="en-US" w:eastAsia="zh-CN" w:bidi="ar-SA"/>
        </w:rPr>
        <w:t>8</w:t>
      </w:r>
      <w:r>
        <w:rPr>
          <w:rFonts w:hint="eastAsia" w:cs="宋体"/>
          <w:b/>
          <w:bCs/>
          <w:snapToGrid w:val="0"/>
          <w:color w:val="000000"/>
          <w:kern w:val="0"/>
          <w:sz w:val="24"/>
          <w:szCs w:val="24"/>
          <w:lang w:val="en-US" w:eastAsia="en-US" w:bidi="ar-SA"/>
        </w:rPr>
        <w:t>.</w:t>
      </w:r>
      <w:r>
        <w:rPr>
          <w:rFonts w:hint="eastAsia" w:cs="宋体"/>
          <w:b/>
          <w:bCs/>
          <w:snapToGrid w:val="0"/>
          <w:color w:val="000000"/>
          <w:kern w:val="0"/>
          <w:sz w:val="24"/>
          <w:szCs w:val="24"/>
          <w:lang w:val="en-US" w:eastAsia="zh-CN" w:bidi="ar-SA"/>
        </w:rPr>
        <w:t>2 谈判</w:t>
      </w:r>
      <w:r>
        <w:rPr>
          <w:rFonts w:hint="eastAsia" w:cs="宋体"/>
          <w:b/>
          <w:bCs/>
          <w:snapToGrid w:val="0"/>
          <w:color w:val="000000"/>
          <w:kern w:val="0"/>
          <w:sz w:val="24"/>
          <w:szCs w:val="24"/>
          <w:lang w:val="en-US" w:eastAsia="en-US" w:bidi="ar-SA"/>
        </w:rPr>
        <w:t>小组要对</w:t>
      </w:r>
      <w:r>
        <w:rPr>
          <w:rFonts w:hint="eastAsia" w:cs="宋体"/>
          <w:b/>
          <w:bCs/>
          <w:snapToGrid w:val="0"/>
          <w:color w:val="000000"/>
          <w:kern w:val="0"/>
          <w:sz w:val="24"/>
          <w:szCs w:val="24"/>
          <w:lang w:val="en-US" w:eastAsia="zh-CN" w:bidi="ar-SA"/>
        </w:rPr>
        <w:t>评审结果</w:t>
      </w:r>
      <w:r>
        <w:rPr>
          <w:rFonts w:hint="eastAsia" w:cs="宋体"/>
          <w:b/>
          <w:bCs/>
          <w:snapToGrid w:val="0"/>
          <w:color w:val="000000"/>
          <w:kern w:val="0"/>
          <w:sz w:val="24"/>
          <w:szCs w:val="24"/>
          <w:lang w:val="en-US" w:eastAsia="en-US" w:bidi="ar-SA"/>
        </w:rPr>
        <w:t>进行复核，特别是对排名第一的、报价最低的、响应文件被认定为无效的情形进行重点复核。</w:t>
      </w:r>
    </w:p>
    <w:p w14:paraId="743348F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default" w:cs="宋体"/>
          <w:snapToGrid w:val="0"/>
          <w:color w:val="000000"/>
          <w:kern w:val="0"/>
          <w:sz w:val="24"/>
          <w:szCs w:val="24"/>
          <w:lang w:val="en-US" w:eastAsia="zh-CN" w:bidi="ar-SA"/>
        </w:rPr>
      </w:pPr>
      <w:r>
        <w:rPr>
          <w:rFonts w:hint="eastAsia" w:cs="宋体"/>
          <w:snapToGrid w:val="0"/>
          <w:color w:val="000000"/>
          <w:kern w:val="0"/>
          <w:sz w:val="24"/>
          <w:szCs w:val="24"/>
          <w:lang w:val="en-US" w:eastAsia="zh-CN" w:bidi="ar-SA"/>
        </w:rPr>
        <w:t>8</w:t>
      </w:r>
      <w:r>
        <w:rPr>
          <w:rFonts w:hint="eastAsia" w:cs="宋体"/>
          <w:snapToGrid w:val="0"/>
          <w:color w:val="000000"/>
          <w:kern w:val="0"/>
          <w:sz w:val="24"/>
          <w:szCs w:val="24"/>
          <w:lang w:val="en-US" w:eastAsia="en-US" w:bidi="ar-SA"/>
        </w:rPr>
        <w:t>.</w:t>
      </w:r>
      <w:r>
        <w:rPr>
          <w:rFonts w:hint="eastAsia" w:cs="宋体"/>
          <w:snapToGrid w:val="0"/>
          <w:color w:val="000000"/>
          <w:kern w:val="0"/>
          <w:sz w:val="24"/>
          <w:szCs w:val="24"/>
          <w:lang w:val="en-US" w:eastAsia="zh-CN" w:bidi="ar-SA"/>
        </w:rPr>
        <w:t>3 ☑谈判</w:t>
      </w:r>
      <w:r>
        <w:rPr>
          <w:rFonts w:hint="eastAsia" w:cs="宋体"/>
          <w:snapToGrid w:val="0"/>
          <w:color w:val="000000"/>
          <w:kern w:val="0"/>
          <w:sz w:val="24"/>
          <w:szCs w:val="24"/>
          <w:lang w:val="en-US" w:eastAsia="en-US" w:bidi="ar-SA"/>
        </w:rPr>
        <w:t>小组根据上述供应商排序，依次推荐排序前</w:t>
      </w:r>
      <w:r>
        <w:rPr>
          <w:rFonts w:hint="eastAsia" w:cs="宋体"/>
          <w:snapToGrid w:val="0"/>
          <w:color w:val="000000"/>
          <w:kern w:val="0"/>
          <w:sz w:val="24"/>
          <w:szCs w:val="24"/>
          <w:lang w:val="en-US" w:eastAsia="zh-CN" w:bidi="ar-SA"/>
        </w:rPr>
        <w:t>3</w:t>
      </w:r>
      <w:r>
        <w:rPr>
          <w:rFonts w:hint="eastAsia" w:cs="宋体"/>
          <w:snapToGrid w:val="0"/>
          <w:color w:val="000000"/>
          <w:kern w:val="0"/>
          <w:sz w:val="24"/>
          <w:szCs w:val="24"/>
          <w:lang w:val="en-US" w:eastAsia="en-US" w:bidi="ar-SA"/>
        </w:rPr>
        <w:t>名的供应商为成交候选供应商。采购人应当自收到评审报告之日起5个工作日内在评审报告推荐的成交候选人中按顺序确定成交供应商。</w:t>
      </w:r>
    </w:p>
    <w:p w14:paraId="2FA7CF24">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0" w:firstLineChars="200"/>
        <w:jc w:val="both"/>
        <w:textAlignment w:val="baseline"/>
        <w:rPr>
          <w:rFonts w:hint="eastAsia" w:cs="宋体"/>
          <w:snapToGrid w:val="0"/>
          <w:color w:val="000000"/>
          <w:kern w:val="0"/>
          <w:sz w:val="24"/>
          <w:szCs w:val="24"/>
          <w:lang w:val="en-US" w:eastAsia="en-US" w:bidi="ar-SA"/>
        </w:rPr>
      </w:pPr>
      <w:r>
        <w:rPr>
          <w:rFonts w:hint="eastAsia" w:cs="宋体"/>
          <w:snapToGrid w:val="0"/>
          <w:color w:val="000000"/>
          <w:kern w:val="0"/>
          <w:sz w:val="24"/>
          <w:szCs w:val="24"/>
          <w:lang w:val="en-US" w:eastAsia="zh-CN" w:bidi="ar-SA"/>
        </w:rPr>
        <w:t>9.</w:t>
      </w:r>
      <w:r>
        <w:rPr>
          <w:rFonts w:hint="eastAsia" w:cs="宋体"/>
          <w:snapToGrid w:val="0"/>
          <w:color w:val="000000"/>
          <w:kern w:val="0"/>
          <w:sz w:val="24"/>
          <w:szCs w:val="24"/>
          <w:lang w:val="en-US" w:eastAsia="en-US" w:bidi="ar-SA"/>
        </w:rPr>
        <w:t>报告违法行为</w:t>
      </w:r>
    </w:p>
    <w:p w14:paraId="0718679F">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firstLine="482" w:firstLineChars="200"/>
        <w:jc w:val="both"/>
        <w:textAlignment w:val="baseline"/>
        <w:rPr>
          <w:rFonts w:ascii="Arial"/>
          <w:b/>
          <w:bCs/>
          <w:sz w:val="21"/>
        </w:rPr>
      </w:pPr>
      <w:r>
        <w:rPr>
          <w:rFonts w:hint="eastAsia" w:cs="宋体"/>
          <w:b/>
          <w:bCs/>
          <w:snapToGrid w:val="0"/>
          <w:color w:val="000000"/>
          <w:kern w:val="0"/>
          <w:sz w:val="24"/>
          <w:szCs w:val="24"/>
          <w:lang w:val="en-US" w:eastAsia="zh-CN" w:bidi="ar-SA"/>
        </w:rPr>
        <w:t>谈判</w:t>
      </w:r>
      <w:r>
        <w:rPr>
          <w:rFonts w:hint="eastAsia" w:cs="宋体"/>
          <w:b/>
          <w:bCs/>
          <w:snapToGrid w:val="0"/>
          <w:color w:val="000000"/>
          <w:kern w:val="0"/>
          <w:sz w:val="24"/>
          <w:szCs w:val="24"/>
          <w:lang w:val="en-US" w:eastAsia="en-US" w:bidi="ar-SA"/>
        </w:rPr>
        <w:t>小组在评审过程中发现供应商有行贿、</w:t>
      </w:r>
      <w:r>
        <w:rPr>
          <w:rFonts w:hint="eastAsia" w:cs="宋体"/>
          <w:b/>
          <w:bCs/>
          <w:snapToGrid w:val="0"/>
          <w:color w:val="000000"/>
          <w:kern w:val="0"/>
          <w:sz w:val="24"/>
          <w:szCs w:val="24"/>
          <w:lang w:val="en-US" w:eastAsia="zh-CN" w:bidi="ar-SA"/>
        </w:rPr>
        <w:t>提</w:t>
      </w:r>
      <w:r>
        <w:rPr>
          <w:rFonts w:hint="eastAsia" w:cs="宋体"/>
          <w:b/>
          <w:bCs/>
          <w:snapToGrid w:val="0"/>
          <w:color w:val="000000"/>
          <w:kern w:val="0"/>
          <w:sz w:val="24"/>
          <w:szCs w:val="24"/>
          <w:lang w:val="en-US" w:eastAsia="en-US" w:bidi="ar-SA"/>
        </w:rPr>
        <w:t>供虚假材料或者串通等违法行为时，有向采购人、采购代理机构或者有关部门报告的职责。</w:t>
      </w:r>
    </w:p>
    <w:p w14:paraId="15CFA89E">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10.</w:t>
      </w:r>
      <w:r>
        <w:rPr>
          <w:rFonts w:hint="eastAsia" w:ascii="宋体" w:hAnsi="宋体" w:eastAsia="宋体" w:cs="宋体"/>
          <w:snapToGrid w:val="0"/>
          <w:color w:val="000000"/>
          <w:kern w:val="0"/>
          <w:sz w:val="24"/>
          <w:szCs w:val="24"/>
          <w:lang w:val="en-US" w:eastAsia="en-US" w:bidi="ar-SA"/>
        </w:rPr>
        <w:t>有下列情况之一的，采购人或采购代理</w:t>
      </w:r>
      <w:r>
        <w:rPr>
          <w:rFonts w:hint="eastAsia" w:ascii="宋体" w:hAnsi="宋体" w:eastAsia="宋体" w:cs="宋体"/>
          <w:snapToGrid w:val="0"/>
          <w:color w:val="000000"/>
          <w:kern w:val="0"/>
          <w:sz w:val="24"/>
          <w:szCs w:val="24"/>
          <w:lang w:val="en-US" w:eastAsia="zh-CN" w:bidi="ar-SA"/>
        </w:rPr>
        <w:t>机构</w:t>
      </w:r>
      <w:r>
        <w:rPr>
          <w:rFonts w:hint="eastAsia" w:ascii="宋体" w:hAnsi="宋体" w:eastAsia="宋体" w:cs="宋体"/>
          <w:snapToGrid w:val="0"/>
          <w:color w:val="000000"/>
          <w:kern w:val="0"/>
          <w:sz w:val="24"/>
          <w:szCs w:val="24"/>
          <w:lang w:val="en-US" w:eastAsia="en-US" w:bidi="ar-SA"/>
        </w:rPr>
        <w:t>宣布本项目终止：</w:t>
      </w:r>
    </w:p>
    <w:p w14:paraId="21785550">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10.1 </w:t>
      </w:r>
      <w:r>
        <w:rPr>
          <w:rFonts w:hint="eastAsia" w:ascii="宋体" w:hAnsi="宋体" w:eastAsia="宋体" w:cs="宋体"/>
          <w:snapToGrid w:val="0"/>
          <w:color w:val="000000"/>
          <w:kern w:val="0"/>
          <w:sz w:val="24"/>
          <w:szCs w:val="24"/>
          <w:lang w:val="en-US" w:eastAsia="en-US" w:bidi="ar-SA"/>
        </w:rPr>
        <w:t>因情况变化，不再符合规定的竞争性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采购方式适用情形的；</w:t>
      </w:r>
    </w:p>
    <w:p w14:paraId="4B581C47">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 xml:space="preserve">10.2 </w:t>
      </w:r>
      <w:r>
        <w:rPr>
          <w:rFonts w:hint="eastAsia" w:ascii="宋体" w:hAnsi="宋体" w:eastAsia="宋体" w:cs="宋体"/>
          <w:snapToGrid w:val="0"/>
          <w:color w:val="000000"/>
          <w:kern w:val="0"/>
          <w:sz w:val="24"/>
          <w:szCs w:val="24"/>
          <w:lang w:val="en-US" w:eastAsia="en-US" w:bidi="ar-SA"/>
        </w:rPr>
        <w:t>出现影响采购公正的违法、违规行为的；</w:t>
      </w:r>
    </w:p>
    <w:p w14:paraId="412A146A">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10.3 </w:t>
      </w:r>
      <w:r>
        <w:rPr>
          <w:rFonts w:hint="eastAsia" w:ascii="宋体" w:hAnsi="宋体" w:eastAsia="宋体" w:cs="宋体"/>
          <w:snapToGrid w:val="0"/>
          <w:color w:val="000000"/>
          <w:kern w:val="0"/>
          <w:sz w:val="24"/>
          <w:szCs w:val="24"/>
          <w:lang w:val="en-US" w:eastAsia="en-US" w:bidi="ar-SA"/>
        </w:rPr>
        <w:t>法律法规规定的其他情况。</w:t>
      </w:r>
    </w:p>
    <w:p w14:paraId="0E566EF5">
      <w:pPr>
        <w:keepNext w:val="0"/>
        <w:keepLines w:val="0"/>
        <w:pageBreakBefore w:val="0"/>
        <w:kinsoku/>
        <w:wordWrap w:val="0"/>
        <w:overflowPunct/>
        <w:topLinePunct w:val="0"/>
        <w:bidi w:val="0"/>
        <w:spacing w:after="0" w:line="360" w:lineRule="auto"/>
        <w:jc w:val="both"/>
        <w:rPr>
          <w:rFonts w:hint="eastAsia" w:ascii="仿宋_GB2312" w:hAnsi="仿宋_GB2312" w:eastAsia="仿宋_GB2312" w:cs="仿宋_GB2312"/>
          <w:b/>
          <w:sz w:val="28"/>
          <w:szCs w:val="28"/>
          <w:lang w:val="en-US" w:eastAsia="zh-CN"/>
        </w:rPr>
      </w:pPr>
    </w:p>
    <w:p w14:paraId="6A609EA2">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六、</w:t>
      </w:r>
      <w:r>
        <w:rPr>
          <w:rFonts w:hint="eastAsia" w:ascii="宋体" w:hAnsi="宋体" w:eastAsia="宋体" w:cs="宋体"/>
          <w:b/>
          <w:bCs/>
          <w:snapToGrid w:val="0"/>
          <w:color w:val="000000"/>
          <w:kern w:val="0"/>
          <w:sz w:val="24"/>
          <w:szCs w:val="24"/>
          <w:lang w:val="en-US" w:eastAsia="en-US" w:bidi="ar-SA"/>
        </w:rPr>
        <w:t>成交</w:t>
      </w:r>
      <w:r>
        <w:rPr>
          <w:rFonts w:hint="eastAsia" w:ascii="宋体" w:hAnsi="宋体" w:eastAsia="宋体" w:cs="宋体"/>
          <w:b/>
          <w:bCs/>
          <w:snapToGrid w:val="0"/>
          <w:color w:val="000000"/>
          <w:kern w:val="0"/>
          <w:sz w:val="24"/>
          <w:szCs w:val="24"/>
          <w:lang w:val="en-US" w:eastAsia="zh-CN" w:bidi="ar-SA"/>
        </w:rPr>
        <w:t>通知及</w:t>
      </w:r>
      <w:r>
        <w:rPr>
          <w:rFonts w:hint="eastAsia" w:ascii="宋体" w:hAnsi="宋体" w:eastAsia="宋体" w:cs="宋体"/>
          <w:b/>
          <w:bCs/>
          <w:snapToGrid w:val="0"/>
          <w:color w:val="000000"/>
          <w:kern w:val="0"/>
          <w:sz w:val="24"/>
          <w:szCs w:val="24"/>
          <w:lang w:val="en-US" w:eastAsia="en-US" w:bidi="ar-SA"/>
        </w:rPr>
        <w:t>签订合同</w:t>
      </w:r>
    </w:p>
    <w:p w14:paraId="68BCED6E">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成交结果公布</w:t>
      </w:r>
    </w:p>
    <w:p w14:paraId="261887DA">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1.1 </w:t>
      </w:r>
      <w:r>
        <w:rPr>
          <w:rFonts w:hint="eastAsia" w:ascii="宋体" w:hAnsi="宋体" w:eastAsia="宋体" w:cs="宋体"/>
          <w:snapToGrid w:val="0"/>
          <w:color w:val="000000"/>
          <w:kern w:val="0"/>
          <w:sz w:val="24"/>
          <w:szCs w:val="24"/>
          <w:lang w:val="en-US" w:eastAsia="en-US" w:bidi="ar-SA"/>
        </w:rPr>
        <w:t>成交供应商确定后，采购人或采购代理</w:t>
      </w:r>
      <w:r>
        <w:rPr>
          <w:rFonts w:hint="eastAsia" w:ascii="宋体" w:hAnsi="宋体" w:eastAsia="宋体" w:cs="宋体"/>
          <w:snapToGrid w:val="0"/>
          <w:color w:val="000000"/>
          <w:kern w:val="0"/>
          <w:sz w:val="24"/>
          <w:szCs w:val="24"/>
          <w:lang w:val="en-US" w:eastAsia="zh-CN" w:bidi="ar-SA"/>
        </w:rPr>
        <w:t>机构</w:t>
      </w:r>
      <w:r>
        <w:rPr>
          <w:rFonts w:hint="eastAsia" w:ascii="宋体" w:hAnsi="宋体" w:eastAsia="宋体" w:cs="宋体"/>
          <w:snapToGrid w:val="0"/>
          <w:color w:val="000000"/>
          <w:kern w:val="0"/>
          <w:sz w:val="24"/>
          <w:szCs w:val="24"/>
          <w:lang w:val="en-US" w:eastAsia="en-US" w:bidi="ar-SA"/>
        </w:rPr>
        <w:t>将在“河南省政府采购网”和“南阳市公共资源交易中心网”上发布成交公告。</w:t>
      </w:r>
    </w:p>
    <w:p w14:paraId="796EF6F1">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1.2 </w:t>
      </w:r>
      <w:r>
        <w:rPr>
          <w:rFonts w:hint="eastAsia" w:ascii="宋体" w:hAnsi="宋体" w:eastAsia="宋体" w:cs="宋体"/>
          <w:snapToGrid w:val="0"/>
          <w:color w:val="000000"/>
          <w:kern w:val="0"/>
          <w:sz w:val="24"/>
          <w:szCs w:val="24"/>
          <w:lang w:val="en-US" w:eastAsia="en-US" w:bidi="ar-SA"/>
        </w:rPr>
        <w:t>如项目终止，成交结果公告以“河南省政府采购网”发布的为准。</w:t>
      </w:r>
    </w:p>
    <w:p w14:paraId="62137476">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发出成交通知书</w:t>
      </w:r>
    </w:p>
    <w:p w14:paraId="76A6A22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2.1 </w:t>
      </w:r>
      <w:r>
        <w:rPr>
          <w:rFonts w:hint="eastAsia" w:ascii="宋体" w:hAnsi="宋体" w:eastAsia="宋体" w:cs="宋体"/>
          <w:snapToGrid w:val="0"/>
          <w:color w:val="000000"/>
          <w:kern w:val="0"/>
          <w:sz w:val="24"/>
          <w:szCs w:val="24"/>
          <w:lang w:val="en-US" w:eastAsia="en-US" w:bidi="ar-SA"/>
        </w:rPr>
        <w:t>根据成交结果，</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通过“南阳市公共资源交易中心</w:t>
      </w:r>
      <w:r>
        <w:rPr>
          <w:rFonts w:hint="eastAsia" w:ascii="宋体" w:hAnsi="宋体" w:eastAsia="宋体" w:cs="宋体"/>
          <w:snapToGrid w:val="0"/>
          <w:color w:val="000000"/>
          <w:kern w:val="0"/>
          <w:sz w:val="24"/>
          <w:szCs w:val="24"/>
          <w:lang w:val="en-US" w:eastAsia="zh-CN" w:bidi="ar-SA"/>
        </w:rPr>
        <w:t>公共服务平台</w:t>
      </w:r>
      <w:r>
        <w:rPr>
          <w:rFonts w:hint="eastAsia" w:ascii="宋体" w:hAnsi="宋体" w:eastAsia="宋体" w:cs="宋体"/>
          <w:snapToGrid w:val="0"/>
          <w:color w:val="000000"/>
          <w:kern w:val="0"/>
          <w:sz w:val="24"/>
          <w:szCs w:val="24"/>
          <w:lang w:val="en-US" w:eastAsia="en-US" w:bidi="ar-SA"/>
        </w:rPr>
        <w:t>”向成交供应商发出电子成交通知书，成交供应商可登陆</w:t>
      </w:r>
      <w:r>
        <w:rPr>
          <w:rFonts w:hint="eastAsia" w:ascii="宋体" w:hAnsi="宋体" w:eastAsia="宋体" w:cs="宋体"/>
          <w:snapToGrid w:val="0"/>
          <w:color w:val="000000"/>
          <w:kern w:val="0"/>
          <w:sz w:val="24"/>
          <w:szCs w:val="24"/>
          <w:lang w:val="en-US" w:eastAsia="zh-CN" w:bidi="ar-SA"/>
        </w:rPr>
        <w:t>南阳市公共资源交易平台会员系统</w:t>
      </w:r>
      <w:r>
        <w:rPr>
          <w:rFonts w:hint="eastAsia" w:ascii="宋体" w:hAnsi="宋体" w:eastAsia="宋体" w:cs="宋体"/>
          <w:snapToGrid w:val="0"/>
          <w:color w:val="000000"/>
          <w:kern w:val="0"/>
          <w:sz w:val="24"/>
          <w:szCs w:val="24"/>
          <w:lang w:val="en-US" w:eastAsia="en-US" w:bidi="ar-SA"/>
        </w:rPr>
        <w:t>，自行打印加盖电子签章的成交通知书。</w:t>
      </w:r>
    </w:p>
    <w:p w14:paraId="2D4F064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2.2 </w:t>
      </w:r>
      <w:r>
        <w:rPr>
          <w:rFonts w:hint="eastAsia" w:ascii="宋体" w:hAnsi="宋体" w:eastAsia="宋体" w:cs="宋体"/>
          <w:snapToGrid w:val="0"/>
          <w:color w:val="000000"/>
          <w:kern w:val="0"/>
          <w:sz w:val="24"/>
          <w:szCs w:val="24"/>
          <w:lang w:val="en-US" w:eastAsia="en-US" w:bidi="ar-SA"/>
        </w:rPr>
        <w:t>《成交通知书》是签订政府采购合同的重要依据，对采购人与成交供应商具有法律效力。</w:t>
      </w:r>
    </w:p>
    <w:p w14:paraId="0E18206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签订合同</w:t>
      </w:r>
    </w:p>
    <w:p w14:paraId="651880AF">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3.1 </w:t>
      </w:r>
      <w:r>
        <w:rPr>
          <w:rFonts w:hint="eastAsia" w:ascii="宋体" w:hAnsi="宋体" w:eastAsia="宋体" w:cs="宋体"/>
          <w:snapToGrid w:val="0"/>
          <w:color w:val="000000"/>
          <w:kern w:val="0"/>
          <w:sz w:val="24"/>
          <w:szCs w:val="24"/>
          <w:lang w:val="en-US" w:eastAsia="en-US" w:bidi="ar-SA"/>
        </w:rPr>
        <w:t>成交供应商和采购人应在《成交通知书》发出</w:t>
      </w:r>
      <w:r>
        <w:rPr>
          <w:rFonts w:hint="eastAsia" w:ascii="宋体" w:hAnsi="宋体" w:eastAsia="宋体" w:cs="宋体"/>
          <w:snapToGrid w:val="0"/>
          <w:color w:val="000000"/>
          <w:kern w:val="0"/>
          <w:sz w:val="24"/>
          <w:szCs w:val="24"/>
          <w:lang w:val="en-US" w:eastAsia="zh-CN" w:bidi="ar-SA"/>
        </w:rPr>
        <w:t>后及时</w:t>
      </w:r>
      <w:r>
        <w:rPr>
          <w:rFonts w:hint="eastAsia" w:ascii="宋体" w:hAnsi="宋体" w:eastAsia="宋体" w:cs="宋体"/>
          <w:snapToGrid w:val="0"/>
          <w:color w:val="000000"/>
          <w:kern w:val="0"/>
          <w:sz w:val="24"/>
          <w:szCs w:val="24"/>
          <w:lang w:val="en-US" w:eastAsia="en-US" w:bidi="ar-SA"/>
        </w:rPr>
        <w:t>签订政府采购合同，逾期无故不签订的，按《政府采购非招标采购方式管理办法》及有关规定处理。</w:t>
      </w:r>
    </w:p>
    <w:p w14:paraId="0247E572">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3.2 </w:t>
      </w:r>
      <w:r>
        <w:rPr>
          <w:rFonts w:hint="eastAsia" w:ascii="宋体" w:hAnsi="宋体" w:eastAsia="宋体" w:cs="宋体"/>
          <w:snapToGrid w:val="0"/>
          <w:color w:val="000000"/>
          <w:kern w:val="0"/>
          <w:sz w:val="24"/>
          <w:szCs w:val="24"/>
          <w:lang w:val="en-US" w:eastAsia="en-US" w:bidi="ar-SA"/>
        </w:rPr>
        <w:t>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文件、响应文件、供应商在</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过程中的承诺以及确认材料，均为合同的有效组成部分。</w:t>
      </w:r>
    </w:p>
    <w:p w14:paraId="7D91AF9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 xml:space="preserve">3.3 </w:t>
      </w:r>
      <w:r>
        <w:rPr>
          <w:rFonts w:hint="eastAsia" w:ascii="宋体" w:hAnsi="宋体" w:eastAsia="宋体" w:cs="宋体"/>
          <w:snapToGrid w:val="0"/>
          <w:color w:val="000000"/>
          <w:kern w:val="0"/>
          <w:sz w:val="24"/>
          <w:szCs w:val="24"/>
          <w:lang w:val="en-US" w:eastAsia="en-US" w:bidi="ar-SA"/>
        </w:rPr>
        <w:t>如果成交供应商不按其响应文件承诺和竞争性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文件要求签订政府采购合同，将取消其成交资格。</w:t>
      </w:r>
    </w:p>
    <w:p w14:paraId="3889341B">
      <w:pPr>
        <w:keepNext w:val="0"/>
        <w:keepLines w:val="0"/>
        <w:pageBreakBefore w:val="0"/>
        <w:widowControl/>
        <w:kinsoku/>
        <w:wordWrap w:val="0"/>
        <w:overflowPunct/>
        <w:topLinePunct w:val="0"/>
        <w:autoSpaceDE w:val="0"/>
        <w:autoSpaceDN w:val="0"/>
        <w:bidi w:val="0"/>
        <w:adjustRightInd w:val="0"/>
        <w:snapToGrid w:val="0"/>
        <w:spacing w:after="0" w:line="360" w:lineRule="auto"/>
        <w:ind w:firstLine="480" w:firstLineChars="200"/>
        <w:jc w:val="both"/>
        <w:textAlignment w:val="baseline"/>
        <w:rPr>
          <w:rFonts w:hint="eastAsia" w:ascii="宋体" w:hAnsi="宋体" w:eastAsia="宋体" w:cs="宋体"/>
          <w:snapToGrid w:val="0"/>
          <w:color w:val="000000"/>
          <w:kern w:val="0"/>
          <w:sz w:val="24"/>
          <w:szCs w:val="24"/>
          <w:lang w:val="en-US" w:eastAsia="zh-CN" w:bidi="ar-SA"/>
        </w:rPr>
      </w:pPr>
    </w:p>
    <w:p w14:paraId="597357FC">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七、</w:t>
      </w:r>
      <w:r>
        <w:rPr>
          <w:rFonts w:hint="eastAsia" w:ascii="宋体" w:hAnsi="宋体" w:eastAsia="宋体" w:cs="宋体"/>
          <w:b/>
          <w:bCs/>
          <w:snapToGrid w:val="0"/>
          <w:color w:val="000000"/>
          <w:kern w:val="0"/>
          <w:sz w:val="24"/>
          <w:szCs w:val="24"/>
          <w:lang w:val="en-US" w:eastAsia="en-US" w:bidi="ar-SA"/>
        </w:rPr>
        <w:t>质疑与答复</w:t>
      </w:r>
    </w:p>
    <w:p w14:paraId="0EF47301">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1.</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根据《政府采购质疑和投诉办法》（中华人民共和国财政部第94号令）的有关规定，供应商认为采购文件、采购过程、中标或者成交结果使自己的权益受到损害的，可以在知道或者应知其权益受到损害之日起7个工作日内，以书面形式向采购人、采购代理机构提出质疑。供应商须在法定质疑期内一次性提出针对同一采购程序环节的质疑。</w:t>
      </w:r>
    </w:p>
    <w:p w14:paraId="60CFDA63">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2.</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质疑函须按照财政</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部门</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发布的质疑函范本格式编制，质疑事项应具体、明确，并有必要的事实依据和法律依据。</w:t>
      </w:r>
    </w:p>
    <w:p w14:paraId="6268882D">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3.</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接收质疑的方式：</w:t>
      </w:r>
    </w:p>
    <w:p w14:paraId="40106643">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3.1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在线接收，请质疑人上传质疑函原件扫描件到南阳市公共资源交易系统并电话通知到项目负责人。</w:t>
      </w:r>
    </w:p>
    <w:p w14:paraId="43EE9A87">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 xml:space="preserve">3.2 </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书面提交，请质疑人将质疑函原件送达或邮寄至采购单位联系人和</w:t>
      </w: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采购代理机构</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项目负责人，联系方式及地址详见采购公告。</w:t>
      </w:r>
    </w:p>
    <w:p w14:paraId="19FEC8FD">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4.</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超出法定质疑期的、重复提出的、分次提出的或内容、形式不符合《政府采购质疑和投诉办法》的，采购人和采购代理机构可以拒收，质疑供应商将依法承担不利后果。</w:t>
      </w:r>
    </w:p>
    <w:p w14:paraId="575FBD6B">
      <w:pPr>
        <w:pStyle w:val="4"/>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default"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5.</w:t>
      </w:r>
      <w:r>
        <w:rPr>
          <w:rFonts w:hint="default" w:asciiTheme="minorEastAsia" w:hAnsiTheme="minorEastAsia" w:eastAsiaTheme="minorEastAsia" w:cstheme="minorEastAsia"/>
          <w:snapToGrid w:val="0"/>
          <w:color w:val="000000"/>
          <w:spacing w:val="2"/>
          <w:kern w:val="0"/>
          <w:position w:val="17"/>
          <w:sz w:val="24"/>
          <w:szCs w:val="24"/>
          <w:lang w:val="en-US" w:eastAsia="zh-CN" w:bidi="ar-SA"/>
        </w:rPr>
        <w:t>采购人和采购代理机构在收到质疑函后7个工作日内作出答复，并以书面形式通知质疑供应商和其他有关供应商。</w:t>
      </w:r>
    </w:p>
    <w:p w14:paraId="3511FF8C">
      <w:pPr>
        <w:keepNext w:val="0"/>
        <w:keepLines w:val="0"/>
        <w:pageBreakBefore w:val="0"/>
        <w:kinsoku/>
        <w:wordWrap w:val="0"/>
        <w:overflowPunct/>
        <w:topLinePunct w:val="0"/>
        <w:bidi w:val="0"/>
        <w:spacing w:after="0" w:line="360" w:lineRule="auto"/>
        <w:jc w:val="both"/>
        <w:rPr>
          <w:rFonts w:hint="eastAsia" w:ascii="宋体" w:hAnsi="宋体" w:eastAsia="宋体" w:cs="宋体"/>
          <w:snapToGrid w:val="0"/>
          <w:color w:val="000000"/>
          <w:kern w:val="0"/>
          <w:sz w:val="24"/>
          <w:szCs w:val="24"/>
          <w:lang w:val="en-US" w:eastAsia="en-US" w:bidi="ar-SA"/>
        </w:rPr>
      </w:pPr>
    </w:p>
    <w:p w14:paraId="4B085F60">
      <w:pPr>
        <w:keepNext w:val="0"/>
        <w:keepLines w:val="0"/>
        <w:pageBreakBefore w:val="0"/>
        <w:widowControl/>
        <w:kinsoku/>
        <w:wordWrap w:val="0"/>
        <w:overflowPunct/>
        <w:topLinePunct w:val="0"/>
        <w:autoSpaceDE w:val="0"/>
        <w:autoSpaceDN w:val="0"/>
        <w:bidi w:val="0"/>
        <w:adjustRightInd w:val="0"/>
        <w:snapToGrid w:val="0"/>
        <w:spacing w:after="0" w:line="360" w:lineRule="auto"/>
        <w:jc w:val="both"/>
        <w:textAlignment w:val="baseline"/>
        <w:rPr>
          <w:rFonts w:hint="eastAsia" w:ascii="宋体" w:hAnsi="宋体" w:eastAsia="宋体" w:cs="宋体"/>
          <w:b/>
          <w:bCs/>
          <w:snapToGrid w:val="0"/>
          <w:color w:val="000000"/>
          <w:kern w:val="0"/>
          <w:sz w:val="24"/>
          <w:szCs w:val="24"/>
          <w:lang w:val="en-US" w:eastAsia="en-US" w:bidi="ar-SA"/>
        </w:rPr>
      </w:pPr>
      <w:r>
        <w:rPr>
          <w:rFonts w:hint="eastAsia" w:ascii="宋体" w:hAnsi="宋体" w:eastAsia="宋体" w:cs="宋体"/>
          <w:b/>
          <w:bCs/>
          <w:snapToGrid w:val="0"/>
          <w:color w:val="000000"/>
          <w:kern w:val="0"/>
          <w:sz w:val="24"/>
          <w:szCs w:val="24"/>
          <w:lang w:val="en-US" w:eastAsia="zh-CN" w:bidi="ar-SA"/>
        </w:rPr>
        <w:t>八、</w:t>
      </w:r>
      <w:r>
        <w:rPr>
          <w:rFonts w:hint="eastAsia" w:ascii="宋体" w:hAnsi="宋体" w:eastAsia="宋体" w:cs="宋体"/>
          <w:b/>
          <w:bCs/>
          <w:snapToGrid w:val="0"/>
          <w:color w:val="000000"/>
          <w:kern w:val="0"/>
          <w:sz w:val="24"/>
          <w:szCs w:val="24"/>
          <w:lang w:val="en-US" w:eastAsia="en-US" w:bidi="ar-SA"/>
        </w:rPr>
        <w:t>注意事项</w:t>
      </w:r>
    </w:p>
    <w:p w14:paraId="174F48E0">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1.</w:t>
      </w:r>
      <w:r>
        <w:rPr>
          <w:rFonts w:hint="eastAsia" w:ascii="宋体" w:hAnsi="宋体" w:eastAsia="宋体" w:cs="宋体"/>
          <w:snapToGrid w:val="0"/>
          <w:color w:val="000000"/>
          <w:kern w:val="0"/>
          <w:sz w:val="24"/>
          <w:szCs w:val="24"/>
          <w:lang w:val="en-US" w:eastAsia="en-US" w:bidi="ar-SA"/>
        </w:rPr>
        <w:t>如对竞争性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文件有疑问，应于响应文件递交截止时间前1工作日向</w:t>
      </w:r>
      <w:r>
        <w:rPr>
          <w:rFonts w:hint="eastAsia" w:ascii="宋体" w:hAnsi="宋体" w:eastAsia="宋体" w:cs="宋体"/>
          <w:snapToGrid w:val="0"/>
          <w:color w:val="000000"/>
          <w:kern w:val="0"/>
          <w:sz w:val="24"/>
          <w:szCs w:val="24"/>
          <w:lang w:val="en-US" w:eastAsia="zh-CN" w:bidi="ar-SA"/>
        </w:rPr>
        <w:t>采购人或采购代理机构</w:t>
      </w:r>
      <w:r>
        <w:rPr>
          <w:rFonts w:hint="eastAsia" w:ascii="宋体" w:hAnsi="宋体" w:eastAsia="宋体" w:cs="宋体"/>
          <w:snapToGrid w:val="0"/>
          <w:color w:val="000000"/>
          <w:kern w:val="0"/>
          <w:sz w:val="24"/>
          <w:szCs w:val="24"/>
          <w:lang w:val="en-US" w:eastAsia="en-US" w:bidi="ar-SA"/>
        </w:rPr>
        <w:t>提出。</w:t>
      </w:r>
    </w:p>
    <w:p w14:paraId="6B46B32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w:t>
      </w:r>
      <w:r>
        <w:rPr>
          <w:rFonts w:hint="eastAsia" w:ascii="宋体" w:hAnsi="宋体" w:eastAsia="宋体" w:cs="宋体"/>
          <w:snapToGrid w:val="0"/>
          <w:color w:val="000000"/>
          <w:kern w:val="0"/>
          <w:sz w:val="24"/>
          <w:szCs w:val="24"/>
          <w:lang w:val="en-US" w:eastAsia="en-US" w:bidi="ar-SA"/>
        </w:rPr>
        <w:t>供应商必须由法定代表人或授权代表参加</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，随时接受</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小组的询问、质疑，并按照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小组的要求答复。</w:t>
      </w:r>
    </w:p>
    <w:p w14:paraId="76A264E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3.</w:t>
      </w:r>
      <w:r>
        <w:rPr>
          <w:rFonts w:hint="eastAsia" w:ascii="宋体" w:hAnsi="宋体" w:eastAsia="宋体" w:cs="宋体"/>
          <w:snapToGrid w:val="0"/>
          <w:color w:val="000000"/>
          <w:kern w:val="0"/>
          <w:sz w:val="24"/>
          <w:szCs w:val="24"/>
          <w:lang w:val="en-US" w:eastAsia="en-US" w:bidi="ar-SA"/>
        </w:rPr>
        <w:t>供应商自行承担参加竞争性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的全部费用。</w:t>
      </w:r>
    </w:p>
    <w:p w14:paraId="45AFACE1">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本竞争性</w:t>
      </w:r>
      <w:r>
        <w:rPr>
          <w:rFonts w:hint="eastAsia" w:ascii="宋体" w:hAnsi="宋体" w:eastAsia="宋体" w:cs="宋体"/>
          <w:snapToGrid w:val="0"/>
          <w:color w:val="000000"/>
          <w:kern w:val="0"/>
          <w:sz w:val="24"/>
          <w:szCs w:val="24"/>
          <w:lang w:val="en-US" w:eastAsia="zh-CN" w:bidi="ar-SA"/>
        </w:rPr>
        <w:t>谈判</w:t>
      </w:r>
      <w:r>
        <w:rPr>
          <w:rFonts w:hint="eastAsia" w:ascii="宋体" w:hAnsi="宋体" w:eastAsia="宋体" w:cs="宋体"/>
          <w:snapToGrid w:val="0"/>
          <w:color w:val="000000"/>
          <w:kern w:val="0"/>
          <w:sz w:val="24"/>
          <w:szCs w:val="24"/>
          <w:lang w:val="en-US" w:eastAsia="en-US" w:bidi="ar-SA"/>
        </w:rPr>
        <w:t>文件最终解释权归采购人或采购代理</w:t>
      </w:r>
      <w:r>
        <w:rPr>
          <w:rFonts w:hint="eastAsia" w:ascii="宋体" w:hAnsi="宋体" w:eastAsia="宋体" w:cs="宋体"/>
          <w:snapToGrid w:val="0"/>
          <w:color w:val="000000"/>
          <w:kern w:val="0"/>
          <w:sz w:val="24"/>
          <w:szCs w:val="24"/>
          <w:lang w:val="en-US" w:eastAsia="zh-CN" w:bidi="ar-SA"/>
        </w:rPr>
        <w:t>机构</w:t>
      </w:r>
      <w:r>
        <w:rPr>
          <w:rFonts w:hint="eastAsia" w:ascii="宋体" w:hAnsi="宋体" w:eastAsia="宋体" w:cs="宋体"/>
          <w:snapToGrid w:val="0"/>
          <w:color w:val="000000"/>
          <w:kern w:val="0"/>
          <w:sz w:val="24"/>
          <w:szCs w:val="24"/>
          <w:lang w:val="en-US" w:eastAsia="en-US" w:bidi="ar-SA"/>
        </w:rPr>
        <w:t>。</w:t>
      </w:r>
    </w:p>
    <w:p w14:paraId="2B8DA31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08256B7">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A798DFA">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5A9929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DFEA172">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73C20AE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1FDDE47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E97E7E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221DE39C">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678D940">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p>
    <w:p w14:paraId="607A6E2E">
      <w:pPr>
        <w:keepNext w:val="0"/>
        <w:keepLines w:val="0"/>
        <w:pageBreakBefore w:val="0"/>
        <w:kinsoku/>
        <w:wordWrap w:val="0"/>
        <w:overflowPunct/>
        <w:topLinePunct w:val="0"/>
        <w:bidi w:val="0"/>
        <w:spacing w:line="360" w:lineRule="auto"/>
        <w:jc w:val="cente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pPr>
      <w:r>
        <w:rPr>
          <w:rFonts w:hint="eastAsia" w:asciiTheme="minorEastAsia" w:hAnsiTheme="minorEastAsia" w:eastAsiaTheme="minorEastAsia" w:cstheme="minorEastAsia"/>
          <w:b/>
          <w:bCs/>
          <w:snapToGrid w:val="0"/>
          <w:color w:val="000000"/>
          <w:spacing w:val="2"/>
          <w:kern w:val="0"/>
          <w:position w:val="17"/>
          <w:sz w:val="32"/>
          <w:szCs w:val="32"/>
          <w:lang w:val="en-US" w:eastAsia="zh-CN" w:bidi="ar-SA"/>
        </w:rPr>
        <w:t>河南省政府采购合同融资政策告知函</w:t>
      </w:r>
    </w:p>
    <w:p w14:paraId="2F90039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p>
    <w:p w14:paraId="3EFF278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各供应商：</w:t>
      </w:r>
    </w:p>
    <w:p w14:paraId="15FB1BBA">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欢迎贵公司参与河南省政府采购活动!</w:t>
      </w:r>
    </w:p>
    <w:p w14:paraId="68232CB2">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14:paraId="22BB1496">
      <w:pPr>
        <w:keepNext w:val="0"/>
        <w:keepLines w:val="0"/>
        <w:pageBreakBefore w:val="0"/>
        <w:widowControl/>
        <w:kinsoku/>
        <w:wordWrap w:val="0"/>
        <w:overflowPunct/>
        <w:topLinePunct w:val="0"/>
        <w:autoSpaceDE w:val="0"/>
        <w:autoSpaceDN w:val="0"/>
        <w:bidi w:val="0"/>
        <w:adjustRightInd w:val="0"/>
        <w:snapToGrid w:val="0"/>
        <w:spacing w:line="360" w:lineRule="auto"/>
        <w:ind w:firstLine="488" w:firstLineChars="200"/>
        <w:jc w:val="both"/>
        <w:textAlignment w:val="baseline"/>
        <w:rPr>
          <w:rFonts w:hint="eastAsia" w:asciiTheme="minorEastAsia" w:hAnsiTheme="minorEastAsia" w:eastAsiaTheme="minorEastAsia" w:cstheme="minorEastAsia"/>
          <w:snapToGrid w:val="0"/>
          <w:color w:val="000000"/>
          <w:spacing w:val="2"/>
          <w:kern w:val="0"/>
          <w:position w:val="17"/>
          <w:sz w:val="24"/>
          <w:szCs w:val="24"/>
          <w:lang w:val="en-US" w:eastAsia="zh-CN" w:bidi="ar-SA"/>
        </w:rPr>
      </w:pPr>
      <w:r>
        <w:rPr>
          <w:rFonts w:hint="eastAsia" w:asciiTheme="minorEastAsia" w:hAnsiTheme="minorEastAsia" w:eastAsiaTheme="minorEastAsia" w:cstheme="minorEastAsia"/>
          <w:snapToGrid w:val="0"/>
          <w:color w:val="000000"/>
          <w:spacing w:val="2"/>
          <w:kern w:val="0"/>
          <w:position w:val="17"/>
          <w:sz w:val="24"/>
          <w:szCs w:val="24"/>
          <w:lang w:val="en-US" w:eastAsia="zh-CN" w:bidi="ar-SA"/>
        </w:rPr>
        <w:t>贷款渠道和提供贷款的金融机构，可在河南省政府采购网“河南省政府采购合同融资平台”查询联系。</w:t>
      </w:r>
    </w:p>
    <w:p w14:paraId="315F81A5">
      <w:pPr>
        <w:keepNext w:val="0"/>
        <w:keepLines w:val="0"/>
        <w:pageBreakBefore w:val="0"/>
        <w:kinsoku/>
        <w:wordWrap w:val="0"/>
        <w:overflowPunct/>
        <w:topLinePunct w:val="0"/>
        <w:bidi w:val="0"/>
        <w:spacing w:after="0" w:line="360" w:lineRule="auto"/>
        <w:ind w:firstLine="430" w:firstLineChars="200"/>
        <w:jc w:val="both"/>
        <w:rPr>
          <w:rFonts w:hint="eastAsia" w:ascii="宋体" w:hAnsi="宋体" w:eastAsia="宋体" w:cs="宋体"/>
          <w:snapToGrid w:val="0"/>
          <w:color w:val="000000"/>
          <w:kern w:val="0"/>
          <w:sz w:val="24"/>
          <w:szCs w:val="24"/>
          <w:lang w:val="en-US" w:eastAsia="en-US" w:bidi="ar-SA"/>
        </w:rPr>
      </w:pPr>
      <w:r>
        <w:rPr>
          <w:rFonts w:hint="eastAsia" w:asciiTheme="minorEastAsia" w:hAnsiTheme="minorEastAsia" w:eastAsiaTheme="minorEastAsia" w:cstheme="minorEastAsia"/>
          <w:b/>
          <w:bCs/>
          <w:spacing w:val="-13"/>
          <w:sz w:val="24"/>
          <w:szCs w:val="24"/>
        </w:rPr>
        <w:t>为更大力度激发市场活力和社会创造力，增强发展动力</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进一步加强政府采购合同线上融资一站式服务（简称</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政采贷</w:t>
      </w:r>
      <w:r>
        <w:rPr>
          <w:rFonts w:hint="eastAsia" w:asciiTheme="minorEastAsia" w:hAnsiTheme="minorEastAsia" w:eastAsiaTheme="minorEastAsia" w:cstheme="minorEastAsia"/>
          <w:b/>
          <w:bCs/>
          <w:spacing w:val="-13"/>
          <w:sz w:val="24"/>
          <w:szCs w:val="24"/>
          <w:lang w:eastAsia="zh-CN"/>
        </w:rPr>
        <w:t>”</w:t>
      </w:r>
      <w:r>
        <w:rPr>
          <w:rFonts w:hint="eastAsia" w:asciiTheme="minorEastAsia" w:hAnsiTheme="minorEastAsia" w:eastAsiaTheme="minorEastAsia" w:cstheme="minorEastAsia"/>
          <w:b/>
          <w:bCs/>
          <w:spacing w:val="-13"/>
          <w:sz w:val="24"/>
          <w:szCs w:val="24"/>
        </w:rPr>
        <w:t>），有需求的供应商，可按上述通知要求办理政采贷。</w:t>
      </w:r>
    </w:p>
    <w:p w14:paraId="5C34B11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3836A59D">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66BC830B">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1DF17DB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60CF7C5C">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44638CD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1669353C">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31210C38">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54CE85C5">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086370D4">
      <w:pPr>
        <w:keepNext w:val="0"/>
        <w:keepLines w:val="0"/>
        <w:pageBreakBefore w:val="0"/>
        <w:kinsoku/>
        <w:wordWrap w:val="0"/>
        <w:overflowPunct/>
        <w:topLinePunct w:val="0"/>
        <w:bidi w:val="0"/>
        <w:spacing w:after="0" w:line="360" w:lineRule="auto"/>
        <w:ind w:firstLine="480" w:firstLineChars="200"/>
        <w:jc w:val="both"/>
        <w:rPr>
          <w:rFonts w:hint="eastAsia" w:ascii="宋体" w:hAnsi="宋体" w:eastAsia="宋体" w:cs="宋体"/>
          <w:snapToGrid w:val="0"/>
          <w:color w:val="000000"/>
          <w:kern w:val="0"/>
          <w:sz w:val="24"/>
          <w:szCs w:val="24"/>
          <w:lang w:val="en-US" w:eastAsia="en-US" w:bidi="ar-SA"/>
        </w:rPr>
      </w:pPr>
    </w:p>
    <w:p w14:paraId="593BDA35">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6EB0AB60">
      <w:pPr>
        <w:keepNext w:val="0"/>
        <w:keepLines w:val="0"/>
        <w:pageBreakBefore w:val="0"/>
        <w:kinsoku/>
        <w:wordWrap w:val="0"/>
        <w:overflowPunct/>
        <w:topLinePunct w:val="0"/>
        <w:bidi w:val="0"/>
        <w:spacing w:after="0" w:line="360" w:lineRule="auto"/>
        <w:jc w:val="both"/>
        <w:rPr>
          <w:rFonts w:hint="eastAsia" w:ascii="宋体" w:hAnsi="宋体" w:eastAsia="宋体" w:cs="宋体"/>
          <w:spacing w:val="-1"/>
          <w:sz w:val="36"/>
          <w:szCs w:val="36"/>
          <w14:textOutline w14:w="2306" w14:cap="flat" w14:cmpd="sng">
            <w14:solidFill>
              <w14:srgbClr w14:val="000000"/>
            </w14:solidFill>
            <w14:prstDash w14:val="solid"/>
            <w14:miter w14:val="0"/>
          </w14:textOutline>
        </w:rPr>
      </w:pPr>
    </w:p>
    <w:p w14:paraId="38442982">
      <w:pPr>
        <w:keepNext w:val="0"/>
        <w:keepLines w:val="0"/>
        <w:pageBreakBefore w:val="0"/>
        <w:kinsoku/>
        <w:wordWrap w:val="0"/>
        <w:overflowPunct/>
        <w:topLinePunct w:val="0"/>
        <w:bidi w:val="0"/>
        <w:spacing w:after="0" w:line="360" w:lineRule="auto"/>
        <w:jc w:val="center"/>
        <w:rPr>
          <w:rFonts w:hint="eastAsia"/>
          <w:b/>
          <w:bCs/>
          <w:sz w:val="72"/>
          <w:szCs w:val="72"/>
          <w:lang w:val="en-US" w:eastAsia="zh-CN"/>
        </w:rPr>
      </w:pP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第五章</w:t>
      </w:r>
      <w:r>
        <w:rPr>
          <w:rFonts w:hint="eastAsia" w:ascii="宋体" w:hAnsi="宋体" w:eastAsia="宋体" w:cs="宋体"/>
          <w:spacing w:val="-1"/>
          <w:sz w:val="36"/>
          <w:szCs w:val="36"/>
          <w:lang w:val="en-US" w:eastAsia="zh-CN"/>
          <w14:textOutline w14:w="2306" w14:cap="flat" w14:cmpd="sng">
            <w14:solidFill>
              <w14:srgbClr w14:val="000000"/>
            </w14:solidFill>
            <w14:prstDash w14:val="solid"/>
            <w14:miter w14:val="0"/>
          </w14:textOutline>
        </w:rPr>
        <w:t xml:space="preserve"> </w:t>
      </w:r>
      <w:r>
        <w:rPr>
          <w:rFonts w:hint="eastAsia" w:ascii="宋体" w:hAnsi="宋体" w:eastAsia="宋体" w:cs="宋体"/>
          <w:spacing w:val="-1"/>
          <w:sz w:val="36"/>
          <w:szCs w:val="36"/>
          <w14:textOutline w14:w="2306" w14:cap="flat" w14:cmpd="sng">
            <w14:solidFill>
              <w14:srgbClr w14:val="000000"/>
            </w14:solidFill>
            <w14:prstDash w14:val="solid"/>
            <w14:miter w14:val="0"/>
          </w14:textOutline>
        </w:rPr>
        <w:t>合同草案条款</w:t>
      </w:r>
    </w:p>
    <w:p w14:paraId="43AC1803">
      <w:pPr>
        <w:pStyle w:val="17"/>
        <w:ind w:firstLine="2168" w:firstLineChars="300"/>
        <w:rPr>
          <w:rFonts w:hint="eastAsia"/>
          <w:b/>
          <w:bCs/>
          <w:sz w:val="72"/>
          <w:szCs w:val="72"/>
          <w:lang w:val="en-US" w:eastAsia="zh-CN"/>
        </w:rPr>
      </w:pPr>
      <w:r>
        <w:rPr>
          <w:rFonts w:hint="eastAsia"/>
          <w:b/>
          <w:bCs/>
          <w:sz w:val="72"/>
          <w:szCs w:val="72"/>
          <w:lang w:val="en-US" w:eastAsia="zh-CN"/>
        </w:rPr>
        <w:t>政府采购合同</w:t>
      </w:r>
    </w:p>
    <w:p w14:paraId="5B827AED">
      <w:pPr>
        <w:pStyle w:val="17"/>
        <w:rPr>
          <w:rFonts w:hint="eastAsia"/>
          <w:lang w:val="en-US" w:eastAsia="zh-CN"/>
        </w:rPr>
      </w:pPr>
    </w:p>
    <w:p w14:paraId="1965CBFD">
      <w:pPr>
        <w:pStyle w:val="17"/>
        <w:rPr>
          <w:rFonts w:hint="eastAsia"/>
          <w:lang w:val="en-US" w:eastAsia="zh-CN"/>
        </w:rPr>
      </w:pPr>
    </w:p>
    <w:p w14:paraId="43230683">
      <w:pPr>
        <w:pStyle w:val="17"/>
        <w:spacing w:line="480" w:lineRule="auto"/>
        <w:rPr>
          <w:rFonts w:hint="eastAsia"/>
          <w:sz w:val="30"/>
          <w:szCs w:val="30"/>
          <w:lang w:val="en-US" w:eastAsia="zh-CN"/>
        </w:rPr>
      </w:pPr>
    </w:p>
    <w:p w14:paraId="4CF2E684">
      <w:pPr>
        <w:pStyle w:val="3"/>
        <w:rPr>
          <w:rFonts w:hint="eastAsia"/>
          <w:lang w:val="en-US" w:eastAsia="zh-CN"/>
        </w:rPr>
      </w:pPr>
    </w:p>
    <w:p w14:paraId="70B19694">
      <w:pPr>
        <w:pStyle w:val="8"/>
        <w:ind w:left="0" w:leftChars="0" w:firstLine="0" w:firstLineChars="0"/>
        <w:rPr>
          <w:rFonts w:hint="eastAsia"/>
          <w:lang w:val="en-US" w:eastAsia="zh-CN"/>
        </w:rPr>
      </w:pPr>
    </w:p>
    <w:p w14:paraId="7FF3A6D3">
      <w:pPr>
        <w:pStyle w:val="17"/>
        <w:spacing w:line="600" w:lineRule="auto"/>
        <w:rPr>
          <w:rFonts w:hint="eastAsia"/>
          <w:sz w:val="30"/>
          <w:szCs w:val="30"/>
          <w:lang w:val="en-US" w:eastAsia="zh-CN"/>
        </w:rPr>
      </w:pPr>
      <w:r>
        <w:rPr>
          <w:rFonts w:hint="eastAsia"/>
          <w:sz w:val="30"/>
          <w:szCs w:val="30"/>
          <w:lang w:val="en-US" w:eastAsia="zh-CN"/>
        </w:rPr>
        <w:t>项目名称：</w:t>
      </w:r>
      <w:r>
        <w:rPr>
          <w:rFonts w:hint="eastAsia"/>
          <w:sz w:val="30"/>
          <w:szCs w:val="30"/>
          <w:u w:val="single"/>
          <w:lang w:val="en-US" w:eastAsia="zh-CN"/>
        </w:rPr>
        <w:t xml:space="preserve">                                    </w:t>
      </w:r>
      <w:r>
        <w:rPr>
          <w:rFonts w:hint="eastAsia"/>
          <w:sz w:val="30"/>
          <w:szCs w:val="30"/>
          <w:lang w:val="en-US" w:eastAsia="zh-CN"/>
        </w:rPr>
        <w:t xml:space="preserve">                                   </w:t>
      </w:r>
    </w:p>
    <w:p w14:paraId="07BB6AC7">
      <w:pPr>
        <w:pStyle w:val="17"/>
        <w:spacing w:line="600" w:lineRule="auto"/>
        <w:rPr>
          <w:rFonts w:hint="eastAsia"/>
          <w:sz w:val="30"/>
          <w:szCs w:val="30"/>
          <w:lang w:val="en-US" w:eastAsia="zh-CN"/>
        </w:rPr>
      </w:pPr>
      <w:r>
        <w:rPr>
          <w:rFonts w:hint="eastAsia"/>
          <w:sz w:val="30"/>
          <w:szCs w:val="30"/>
          <w:lang w:val="en-US" w:eastAsia="zh-CN"/>
        </w:rPr>
        <w:t>政府采购管理部门备案编号：</w:t>
      </w:r>
      <w:r>
        <w:rPr>
          <w:rFonts w:hint="eastAsia"/>
          <w:sz w:val="30"/>
          <w:szCs w:val="30"/>
          <w:u w:val="single"/>
          <w:lang w:val="en-US" w:eastAsia="zh-CN"/>
        </w:rPr>
        <w:t xml:space="preserve">                    </w:t>
      </w:r>
      <w:r>
        <w:rPr>
          <w:rFonts w:hint="eastAsia"/>
          <w:sz w:val="30"/>
          <w:szCs w:val="30"/>
          <w:lang w:val="en-US" w:eastAsia="zh-CN"/>
        </w:rPr>
        <w:t xml:space="preserve">                   </w:t>
      </w:r>
    </w:p>
    <w:p w14:paraId="088058B8">
      <w:pPr>
        <w:pStyle w:val="17"/>
        <w:spacing w:line="600" w:lineRule="auto"/>
        <w:rPr>
          <w:rFonts w:hint="eastAsia"/>
          <w:sz w:val="30"/>
          <w:szCs w:val="30"/>
          <w:lang w:val="en-US" w:eastAsia="zh-CN"/>
        </w:rPr>
      </w:pPr>
      <w:r>
        <w:rPr>
          <w:rFonts w:hint="eastAsia"/>
          <w:sz w:val="30"/>
          <w:szCs w:val="30"/>
          <w:lang w:val="en-US" w:eastAsia="zh-CN"/>
        </w:rPr>
        <w:t xml:space="preserve">招标采购文件编号： </w:t>
      </w:r>
      <w:r>
        <w:rPr>
          <w:rFonts w:hint="eastAsia"/>
          <w:sz w:val="30"/>
          <w:szCs w:val="30"/>
          <w:u w:val="single"/>
          <w:lang w:val="en-US" w:eastAsia="zh-CN"/>
        </w:rPr>
        <w:t xml:space="preserve">                           </w:t>
      </w:r>
      <w:r>
        <w:rPr>
          <w:rFonts w:hint="eastAsia"/>
          <w:sz w:val="30"/>
          <w:szCs w:val="30"/>
          <w:lang w:val="en-US" w:eastAsia="zh-CN"/>
        </w:rPr>
        <w:t xml:space="preserve">                          </w:t>
      </w:r>
    </w:p>
    <w:p w14:paraId="27B267AF">
      <w:pPr>
        <w:pStyle w:val="17"/>
        <w:spacing w:line="600" w:lineRule="auto"/>
        <w:rPr>
          <w:rFonts w:hint="eastAsia"/>
          <w:sz w:val="30"/>
          <w:szCs w:val="30"/>
          <w:lang w:val="en-US" w:eastAsia="zh-CN"/>
        </w:rPr>
      </w:pPr>
      <w:r>
        <w:rPr>
          <w:rFonts w:hint="eastAsia"/>
          <w:sz w:val="30"/>
          <w:szCs w:val="30"/>
          <w:lang w:val="en-US" w:eastAsia="zh-CN"/>
        </w:rPr>
        <w:t>甲方合同编号：</w:t>
      </w:r>
      <w:r>
        <w:rPr>
          <w:rFonts w:hint="eastAsia"/>
          <w:sz w:val="30"/>
          <w:szCs w:val="30"/>
          <w:u w:val="single"/>
          <w:lang w:val="en-US" w:eastAsia="zh-CN"/>
        </w:rPr>
        <w:t xml:space="preserve">                                </w:t>
      </w:r>
      <w:r>
        <w:rPr>
          <w:rFonts w:hint="eastAsia"/>
          <w:sz w:val="30"/>
          <w:szCs w:val="30"/>
          <w:lang w:val="en-US" w:eastAsia="zh-CN"/>
        </w:rPr>
        <w:t xml:space="preserve">                               </w:t>
      </w:r>
    </w:p>
    <w:p w14:paraId="7276ECD2">
      <w:pPr>
        <w:pStyle w:val="17"/>
        <w:spacing w:line="600" w:lineRule="auto"/>
        <w:rPr>
          <w:rFonts w:hint="eastAsia"/>
          <w:sz w:val="30"/>
          <w:szCs w:val="30"/>
          <w:lang w:val="en-US" w:eastAsia="zh-CN"/>
        </w:rPr>
      </w:pPr>
      <w:r>
        <w:rPr>
          <w:rFonts w:hint="eastAsia"/>
          <w:sz w:val="30"/>
          <w:szCs w:val="30"/>
          <w:lang w:val="en-US" w:eastAsia="zh-CN"/>
        </w:rPr>
        <w:t>甲方：</w:t>
      </w:r>
      <w:r>
        <w:rPr>
          <w:rFonts w:hint="eastAsia"/>
          <w:sz w:val="30"/>
          <w:szCs w:val="30"/>
          <w:u w:val="single"/>
          <w:lang w:val="en-US" w:eastAsia="zh-CN"/>
        </w:rPr>
        <w:t xml:space="preserve">                                        </w:t>
      </w:r>
      <w:r>
        <w:rPr>
          <w:rFonts w:hint="eastAsia"/>
          <w:sz w:val="30"/>
          <w:szCs w:val="30"/>
          <w:lang w:val="en-US" w:eastAsia="zh-CN"/>
        </w:rPr>
        <w:t xml:space="preserve">                                       </w:t>
      </w:r>
    </w:p>
    <w:p w14:paraId="1E1E6BD4">
      <w:pPr>
        <w:pStyle w:val="17"/>
        <w:spacing w:line="600" w:lineRule="auto"/>
        <w:rPr>
          <w:rFonts w:hint="eastAsia"/>
          <w:sz w:val="30"/>
          <w:szCs w:val="30"/>
          <w:lang w:val="en-US" w:eastAsia="zh-CN"/>
        </w:rPr>
      </w:pPr>
      <w:r>
        <w:rPr>
          <w:rFonts w:hint="eastAsia"/>
          <w:sz w:val="30"/>
          <w:szCs w:val="30"/>
          <w:lang w:val="en-US" w:eastAsia="zh-CN"/>
        </w:rPr>
        <w:t>乙方：</w:t>
      </w:r>
      <w:r>
        <w:rPr>
          <w:rFonts w:hint="eastAsia"/>
          <w:sz w:val="30"/>
          <w:szCs w:val="30"/>
          <w:u w:val="single"/>
          <w:lang w:val="en-US" w:eastAsia="zh-CN"/>
        </w:rPr>
        <w:t xml:space="preserve">                                        </w:t>
      </w:r>
      <w:r>
        <w:rPr>
          <w:rFonts w:hint="eastAsia"/>
          <w:sz w:val="30"/>
          <w:szCs w:val="30"/>
          <w:lang w:val="en-US" w:eastAsia="zh-CN"/>
        </w:rPr>
        <w:t xml:space="preserve">                                       </w:t>
      </w:r>
    </w:p>
    <w:p w14:paraId="4992A6FB">
      <w:pPr>
        <w:pStyle w:val="17"/>
        <w:spacing w:line="600" w:lineRule="auto"/>
        <w:rPr>
          <w:rFonts w:hint="eastAsia"/>
          <w:sz w:val="30"/>
          <w:szCs w:val="30"/>
          <w:lang w:val="en-US" w:eastAsia="zh-CN"/>
        </w:rPr>
      </w:pPr>
      <w:r>
        <w:rPr>
          <w:rFonts w:hint="eastAsia"/>
          <w:sz w:val="30"/>
          <w:szCs w:val="30"/>
          <w:lang w:val="en-US" w:eastAsia="zh-CN"/>
        </w:rPr>
        <w:t>签订地：</w:t>
      </w:r>
      <w:r>
        <w:rPr>
          <w:rFonts w:hint="eastAsia"/>
          <w:sz w:val="30"/>
          <w:szCs w:val="30"/>
          <w:u w:val="single"/>
          <w:lang w:val="en-US" w:eastAsia="zh-CN"/>
        </w:rPr>
        <w:t xml:space="preserve">                                      </w:t>
      </w:r>
      <w:r>
        <w:rPr>
          <w:rFonts w:hint="eastAsia"/>
          <w:sz w:val="30"/>
          <w:szCs w:val="30"/>
          <w:lang w:val="en-US" w:eastAsia="zh-CN"/>
        </w:rPr>
        <w:t xml:space="preserve">                       </w:t>
      </w:r>
    </w:p>
    <w:p w14:paraId="385DEC6A">
      <w:pPr>
        <w:pStyle w:val="17"/>
        <w:rPr>
          <w:rFonts w:hint="eastAsia"/>
          <w:sz w:val="30"/>
          <w:szCs w:val="30"/>
          <w:lang w:val="en-US" w:eastAsia="zh-CN"/>
        </w:rPr>
      </w:pPr>
    </w:p>
    <w:p w14:paraId="102A71F8">
      <w:pPr>
        <w:pStyle w:val="17"/>
        <w:ind w:firstLine="1500" w:firstLineChars="500"/>
        <w:rPr>
          <w:rFonts w:hint="eastAsia"/>
          <w:sz w:val="30"/>
          <w:szCs w:val="30"/>
          <w:lang w:val="en-US" w:eastAsia="zh-CN"/>
        </w:rPr>
      </w:pPr>
      <w:r>
        <w:rPr>
          <w:rFonts w:hint="eastAsia"/>
          <w:sz w:val="30"/>
          <w:szCs w:val="30"/>
          <w:lang w:val="en-US" w:eastAsia="zh-CN"/>
        </w:rPr>
        <w:t>签订时间：      年    月    日</w:t>
      </w:r>
    </w:p>
    <w:p w14:paraId="50330081">
      <w:pPr>
        <w:pStyle w:val="17"/>
        <w:rPr>
          <w:rFonts w:hint="eastAsia"/>
          <w:lang w:val="en-US" w:eastAsia="zh-CN"/>
        </w:rPr>
      </w:pPr>
    </w:p>
    <w:p w14:paraId="6A814203">
      <w:pPr>
        <w:pStyle w:val="17"/>
        <w:rPr>
          <w:rFonts w:hint="eastAsia"/>
          <w:lang w:val="en-US" w:eastAsia="zh-CN"/>
        </w:rPr>
      </w:pPr>
    </w:p>
    <w:p w14:paraId="1EBFD777">
      <w:pPr>
        <w:pStyle w:val="17"/>
        <w:ind w:firstLine="280" w:firstLineChars="100"/>
        <w:rPr>
          <w:rFonts w:hint="eastAsia" w:ascii="宋体" w:hAnsi="宋体" w:eastAsia="宋体" w:cs="宋体"/>
          <w:sz w:val="28"/>
          <w:szCs w:val="28"/>
          <w:lang w:val="en-US" w:eastAsia="zh-CN"/>
        </w:rPr>
      </w:pPr>
    </w:p>
    <w:p w14:paraId="3F237B8A">
      <w:pPr>
        <w:pStyle w:val="17"/>
        <w:ind w:firstLine="280" w:firstLineChars="100"/>
        <w:rPr>
          <w:rFonts w:hint="eastAsia" w:ascii="宋体" w:hAnsi="宋体" w:eastAsia="宋体" w:cs="宋体"/>
          <w:sz w:val="28"/>
          <w:szCs w:val="28"/>
          <w:lang w:val="en-US" w:eastAsia="zh-CN"/>
        </w:rPr>
      </w:pPr>
    </w:p>
    <w:p w14:paraId="3611A4CC">
      <w:pPr>
        <w:pStyle w:val="17"/>
        <w:keepNext w:val="0"/>
        <w:keepLines w:val="0"/>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（甲方）（××项目）委托（代理机构名称）进行了政府采购。按照评委会评审推荐、甲方确定乙方为中标单位。现甲乙双方协商同意签订本合同。</w:t>
      </w:r>
    </w:p>
    <w:p w14:paraId="2113DD22">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第一条  合同文件</w:t>
      </w:r>
    </w:p>
    <w:p w14:paraId="394B6A8A">
      <w:pPr>
        <w:pStyle w:val="17"/>
        <w:keepNext w:val="0"/>
        <w:keepLines w:val="0"/>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下列与本次采购活动有关的文件及附件是本合同不可分割的组成部分，与本合同具有同等法律效力，这些文件包括但不限于：</w:t>
      </w:r>
    </w:p>
    <w:p w14:paraId="33FF9CB7">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1.（××号）招标采购文件</w:t>
      </w:r>
    </w:p>
    <w:p w14:paraId="050FEBDB">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2.投标文件</w:t>
      </w:r>
    </w:p>
    <w:p w14:paraId="4C686B80">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3.乙方在投标时的书面承诺</w:t>
      </w:r>
    </w:p>
    <w:p w14:paraId="25E4FA29">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4.（××号）中标通知书</w:t>
      </w:r>
    </w:p>
    <w:p w14:paraId="5D425658">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5.合同补充条款或说明</w:t>
      </w:r>
    </w:p>
    <w:p w14:paraId="064FDF3D">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6.保密协议或条款</w:t>
      </w:r>
    </w:p>
    <w:p w14:paraId="2FB63D52">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第二条  合同标的</w:t>
      </w:r>
    </w:p>
    <w:p w14:paraId="3F734F9D">
      <w:pPr>
        <w:pStyle w:val="17"/>
        <w:keepNext w:val="0"/>
        <w:keepLines w:val="0"/>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乙方根据甲方需求提供下列货物，货物名称、规格及数量，备件、易损件和专用工具等（详见《供货一览表》）。</w:t>
      </w:r>
    </w:p>
    <w:p w14:paraId="5B90F34C">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第三条  合同总金额</w:t>
      </w:r>
    </w:p>
    <w:p w14:paraId="2B4B2965">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大写：</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元。</w:t>
      </w:r>
    </w:p>
    <w:p w14:paraId="10C4C742">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本合同项下货物总金额：￥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元。</w:t>
      </w:r>
    </w:p>
    <w:p w14:paraId="6AC280A8">
      <w:pPr>
        <w:pStyle w:val="17"/>
        <w:keepNext w:val="0"/>
        <w:keepLines w:val="0"/>
        <w:pageBreakBefore w:val="0"/>
        <w:widowControl w:val="0"/>
        <w:kinsoku/>
        <w:wordWrap/>
        <w:overflowPunct/>
        <w:topLinePunct w:val="0"/>
        <w:bidi w:val="0"/>
        <w:snapToGrid/>
        <w:spacing w:line="440" w:lineRule="exact"/>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分项价款在《供货一览表》中有明确规定。</w:t>
      </w:r>
    </w:p>
    <w:p w14:paraId="3099F44E">
      <w:pPr>
        <w:pStyle w:val="17"/>
        <w:keepNext w:val="0"/>
        <w:keepLines w:val="0"/>
        <w:pageBreakBefore w:val="0"/>
        <w:widowControl w:val="0"/>
        <w:kinsoku/>
        <w:wordWrap/>
        <w:overflowPunct/>
        <w:topLinePunct w:val="0"/>
        <w:bidi w:val="0"/>
        <w:snapToGrid/>
        <w:spacing w:line="440" w:lineRule="exact"/>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本合同总价款包括货物（设备包含该设备的主机、附件和安装所需的配件）、软件、标准附件、备品备件、专用工具、图纸资料、技术服务，包装、运输、装卸、</w:t>
      </w:r>
      <w:bookmarkStart w:id="1" w:name="OLE_LINK24"/>
      <w:r>
        <w:rPr>
          <w:rFonts w:hint="eastAsia" w:ascii="宋体" w:hAnsi="宋体" w:eastAsia="宋体" w:cs="宋体"/>
          <w:sz w:val="24"/>
          <w:szCs w:val="24"/>
          <w:lang w:val="en-US" w:eastAsia="zh-CN"/>
        </w:rPr>
        <w:t>保险，货到</w:t>
      </w:r>
      <w:bookmarkEnd w:id="1"/>
      <w:r>
        <w:rPr>
          <w:rFonts w:hint="eastAsia" w:ascii="宋体" w:hAnsi="宋体" w:eastAsia="宋体" w:cs="宋体"/>
          <w:sz w:val="24"/>
          <w:szCs w:val="24"/>
          <w:lang w:val="en-US" w:eastAsia="zh-CN"/>
        </w:rPr>
        <w:t>就位以及安装、调试、培训、保修等验收合格之前和质保期内的售后服务、税金等一切费用。</w:t>
      </w:r>
    </w:p>
    <w:p w14:paraId="1006D870">
      <w:pPr>
        <w:pStyle w:val="17"/>
        <w:keepNext w:val="0"/>
        <w:keepLines w:val="0"/>
        <w:pageBreakBefore w:val="0"/>
        <w:widowControl w:val="0"/>
        <w:kinsoku/>
        <w:wordWrap/>
        <w:overflowPunct/>
        <w:topLinePunct w:val="0"/>
        <w:bidi w:val="0"/>
        <w:snapToGrid/>
        <w:spacing w:line="440" w:lineRule="exact"/>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本合同执行期间合同总价款不变。</w:t>
      </w:r>
    </w:p>
    <w:p w14:paraId="36330723">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第四条  权利和质量保证</w:t>
      </w:r>
    </w:p>
    <w:p w14:paraId="5F01BB74">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1.对于出卖的标的物，乙方应当拥有完整物权，并且乙方负有保证第三人不得向甲方主张任何权利（包括知识产权）的义务。一旦出现侵权，索赔或诉讼，乙方应承担全部责任。</w:t>
      </w:r>
    </w:p>
    <w:p w14:paraId="3991CA51">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2.乙方保证货物是全新的、未使用过的，完全符合国家规范及甲乙双方确认的投标文件、本合同关于货物数量、质量的要求。货物符合实行国家“三包”规定的，应执行“三包”规定。</w:t>
      </w:r>
    </w:p>
    <w:p w14:paraId="47D855BE">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本项目质保期</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年，保修期</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年。</w:t>
      </w:r>
    </w:p>
    <w:p w14:paraId="158B93BB">
      <w:pPr>
        <w:pStyle w:val="4"/>
        <w:ind w:firstLine="240" w:firstLineChars="100"/>
        <w:rPr>
          <w:rFonts w:hint="eastAsia"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在乙方承诺的质量保证期限内，乙方应对由于设计、工艺等缺陷及伴随服务而造成的任何不足或故障负责。</w:t>
      </w:r>
    </w:p>
    <w:p w14:paraId="20C180A9">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3.乙方提交的货物应符合投标文件中所记载的详细配置、技术参数、参数及性能，并应附有此类货物完整、详细的技术资料和说明文件。</w:t>
      </w:r>
    </w:p>
    <w:p w14:paraId="5C973A19">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乙方提交的货物必须按照招标采购文件的要求和中标人投标文件的承诺，以约定标准进行制造、安装；经政府采购管理部门批准采购的进口产品应执行原产地国家有关部门最新颁布的相应正式标准并提供国家商检、海关报关等手续。</w:t>
      </w:r>
    </w:p>
    <w:p w14:paraId="7F38D972">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5.乙方应保证将货物按照国家或专业标准包装、确保货物安全无损运抵合同规定的交货地点，并进行安装、试运行。</w:t>
      </w:r>
    </w:p>
    <w:p w14:paraId="062DD6CA">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6、乙方保证货物不存在危及人身及财产安全的产品缺陷，否则应承担全部法律责任。</w:t>
      </w:r>
    </w:p>
    <w:p w14:paraId="522D8BED">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第五条  付款方式</w:t>
      </w:r>
    </w:p>
    <w:p w14:paraId="62E9C700">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1.本合同项下所有款项均以人民币支付。</w:t>
      </w:r>
    </w:p>
    <w:p w14:paraId="6454DB87">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2.乙方向甲方提交下列文件材料，经甲方审核无误后方可支付采购资金：</w:t>
      </w:r>
    </w:p>
    <w:p w14:paraId="3CAF1BA3">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（1）经甲方确认的发票；</w:t>
      </w:r>
    </w:p>
    <w:p w14:paraId="3563861C">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（2）经甲乙双方确认签署的《验收报告》；</w:t>
      </w:r>
    </w:p>
    <w:p w14:paraId="3F197E4C">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（3）其他材料。</w:t>
      </w:r>
    </w:p>
    <w:p w14:paraId="25AD083A">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bCs/>
          <w:color w:val="000000"/>
          <w:kern w:val="0"/>
          <w:sz w:val="24"/>
          <w:szCs w:val="24"/>
          <w:lang w:val="en-US" w:eastAsia="zh-CN" w:bidi="ar-SA"/>
        </w:rPr>
        <w:t>款项支付进度：</w:t>
      </w:r>
      <w:bookmarkStart w:id="2" w:name="OLE_LINK42"/>
      <w:bookmarkStart w:id="3" w:name="OLE_LINK41"/>
      <w:r>
        <w:rPr>
          <w:rFonts w:hint="eastAsia" w:ascii="宋体" w:hAnsi="宋体" w:eastAsia="宋体" w:cs="宋体"/>
          <w:bCs/>
          <w:color w:val="000000"/>
          <w:kern w:val="0"/>
          <w:sz w:val="24"/>
          <w:szCs w:val="24"/>
          <w:lang w:val="en-US" w:eastAsia="zh-CN" w:bidi="ar-SA"/>
        </w:rPr>
        <w:t>乙方货物或者服务经甲方验收合格后，由乙方出具正规发票，甲方收到发票，</w:t>
      </w:r>
      <w:bookmarkStart w:id="4" w:name="OLE_LINK30"/>
      <w:bookmarkStart w:id="5" w:name="OLE_LINK32"/>
      <w:bookmarkStart w:id="6" w:name="OLE_LINK29"/>
      <w:bookmarkStart w:id="7" w:name="OLE_LINK28"/>
      <w:r>
        <w:rPr>
          <w:rFonts w:hint="eastAsia" w:ascii="宋体" w:hAnsi="宋体" w:eastAsia="宋体" w:cs="宋体"/>
          <w:bCs/>
          <w:color w:val="000000"/>
          <w:kern w:val="0"/>
          <w:sz w:val="24"/>
          <w:szCs w:val="24"/>
          <w:lang w:val="en-US" w:eastAsia="zh-CN" w:bidi="ar-SA"/>
        </w:rPr>
        <w:t>待学校财务拨款程序完毕后7</w:t>
      </w:r>
      <w:bookmarkEnd w:id="2"/>
      <w:bookmarkEnd w:id="3"/>
      <w:bookmarkEnd w:id="4"/>
      <w:bookmarkEnd w:id="5"/>
      <w:r>
        <w:rPr>
          <w:rFonts w:hint="eastAsia" w:ascii="宋体" w:hAnsi="宋体" w:eastAsia="宋体" w:cs="宋体"/>
          <w:bCs/>
          <w:color w:val="000000"/>
          <w:kern w:val="0"/>
          <w:sz w:val="24"/>
          <w:szCs w:val="24"/>
          <w:lang w:val="en-US" w:eastAsia="zh-CN" w:bidi="ar-SA"/>
        </w:rPr>
        <w:t>个工作日内向乙方付清款项</w:t>
      </w:r>
      <w:bookmarkEnd w:id="6"/>
      <w:bookmarkEnd w:id="7"/>
      <w:r>
        <w:rPr>
          <w:rFonts w:hint="eastAsia" w:ascii="宋体" w:hAnsi="宋体" w:eastAsia="宋体" w:cs="宋体"/>
          <w:bCs/>
          <w:color w:val="000000"/>
          <w:kern w:val="0"/>
          <w:sz w:val="24"/>
          <w:szCs w:val="24"/>
          <w:lang w:val="en-US" w:eastAsia="zh-CN" w:bidi="ar-SA"/>
        </w:rPr>
        <w:t>。</w:t>
      </w:r>
    </w:p>
    <w:p w14:paraId="2A3B26AC">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第六条  履约保证金</w:t>
      </w:r>
      <w:r>
        <w:rPr>
          <w:rFonts w:hint="eastAsia" w:hAnsi="宋体" w:cs="宋体"/>
          <w:b/>
          <w:bCs/>
          <w:sz w:val="24"/>
          <w:szCs w:val="24"/>
          <w:lang w:val="en-US" w:eastAsia="zh-CN"/>
        </w:rPr>
        <w:t>（如需要）</w:t>
      </w:r>
    </w:p>
    <w:p w14:paraId="50BCA67E">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1.乙方在签订本合同之日，向甲方提交合同履约保证金</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元</w:t>
      </w:r>
    </w:p>
    <w:p w14:paraId="0CF35577">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（履约保证金的数额不得超过政府采购合同金额的</w:t>
      </w:r>
      <w:r>
        <w:rPr>
          <w:rFonts w:hint="eastAsia" w:hAnsi="宋体" w:cs="宋体"/>
          <w:sz w:val="24"/>
          <w:szCs w:val="24"/>
          <w:lang w:val="en-US" w:eastAsia="zh-CN"/>
        </w:rPr>
        <w:t>3</w:t>
      </w:r>
      <w:r>
        <w:rPr>
          <w:rFonts w:hint="eastAsia" w:ascii="宋体" w:hAnsi="宋体" w:eastAsia="宋体" w:cs="宋体"/>
          <w:sz w:val="24"/>
          <w:szCs w:val="24"/>
          <w:lang w:val="en-US" w:eastAsia="zh-CN"/>
        </w:rPr>
        <w:t>%）。</w:t>
      </w:r>
    </w:p>
    <w:p w14:paraId="1CF4DCBD">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2.履约保证金有效期为甲乙双方最终验收后1个月内。到期后，甲方向乙方无息退还。</w:t>
      </w:r>
    </w:p>
    <w:p w14:paraId="30935EFC">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3.如乙方未能履行、或未能完全履行合同规定的义务，甲方有权从履约保证金中取得补偿。履约保证金扣除甲方应得的补偿后的余额在合同期满后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天内无息退还乙方。</w:t>
      </w:r>
    </w:p>
    <w:p w14:paraId="3FDCD54E">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第七条  交货和验收</w:t>
      </w:r>
    </w:p>
    <w:p w14:paraId="1CF5760B">
      <w:pPr>
        <w:keepNext w:val="0"/>
        <w:keepLines w:val="0"/>
        <w:pageBreakBefore w:val="0"/>
        <w:widowControl w:val="0"/>
        <w:numPr>
          <w:ilvl w:val="0"/>
          <w:numId w:val="1"/>
        </w:numPr>
        <w:kinsoku/>
        <w:wordWrap/>
        <w:overflowPunct/>
        <w:topLinePunct w:val="0"/>
        <w:autoSpaceDE/>
        <w:autoSpaceDN/>
        <w:bidi w:val="0"/>
        <w:adjustRightInd/>
        <w:snapToGrid/>
        <w:spacing w:line="600" w:lineRule="exact"/>
        <w:textAlignment w:val="auto"/>
        <w:rPr>
          <w:rFonts w:hint="eastAsia" w:ascii="宋体" w:hAnsi="宋体" w:eastAsia="宋体" w:cs="宋体"/>
          <w:b/>
          <w:bCs/>
          <w:sz w:val="24"/>
          <w:szCs w:val="24"/>
          <w:u w:val="none"/>
          <w:lang w:val="en-US" w:eastAsia="zh-CN"/>
        </w:rPr>
      </w:pPr>
      <w:r>
        <w:rPr>
          <w:rFonts w:hint="eastAsia" w:ascii="宋体" w:hAnsi="宋体" w:eastAsia="宋体" w:cs="宋体"/>
          <w:b/>
          <w:bCs/>
          <w:sz w:val="24"/>
          <w:szCs w:val="24"/>
          <w:u w:val="none"/>
          <w:lang w:val="en-US" w:eastAsia="zh-CN"/>
        </w:rPr>
        <w:t>履约验收主体</w:t>
      </w:r>
    </w:p>
    <w:p w14:paraId="0F660B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41" w:firstLineChars="100"/>
        <w:textAlignment w:val="auto"/>
        <w:rPr>
          <w:rFonts w:hint="default" w:ascii="宋体" w:hAnsi="宋体" w:eastAsia="宋体" w:cs="宋体"/>
          <w:b/>
          <w:bCs/>
          <w:sz w:val="24"/>
          <w:szCs w:val="24"/>
          <w:u w:val="none"/>
          <w:lang w:val="en-US" w:eastAsia="zh-CN"/>
        </w:rPr>
      </w:pPr>
      <w:r>
        <w:rPr>
          <w:rFonts w:hint="default" w:ascii="宋体" w:hAnsi="宋体" w:eastAsia="宋体" w:cs="宋体"/>
          <w:b/>
          <w:bCs/>
          <w:sz w:val="24"/>
          <w:szCs w:val="24"/>
          <w:lang w:val="en-US" w:eastAsia="zh-CN"/>
        </w:rPr>
        <w:sym w:font="Wingdings" w:char="00FE"/>
      </w:r>
      <w:r>
        <w:rPr>
          <w:rFonts w:hint="eastAsia" w:ascii="宋体" w:hAnsi="宋体" w:eastAsia="宋体" w:cs="宋体"/>
          <w:b/>
          <w:bCs/>
          <w:sz w:val="24"/>
          <w:szCs w:val="24"/>
          <w:u w:val="none"/>
          <w:lang w:val="en-US" w:eastAsia="zh-CN"/>
        </w:rPr>
        <w:t>采购人：南阳医学高等专科学校</w:t>
      </w:r>
    </w:p>
    <w:p w14:paraId="01E1F87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41" w:firstLineChars="100"/>
        <w:textAlignment w:val="auto"/>
        <w:rPr>
          <w:rFonts w:hint="eastAsia" w:ascii="宋体" w:hAnsi="宋体" w:eastAsia="宋体" w:cs="宋体"/>
          <w:b/>
          <w:bCs/>
          <w:sz w:val="24"/>
          <w:szCs w:val="24"/>
          <w:u w:val="none"/>
          <w:lang w:val="en-US" w:eastAsia="zh-CN"/>
        </w:rPr>
      </w:pPr>
      <w:r>
        <w:rPr>
          <w:rFonts w:hint="default" w:ascii="宋体" w:hAnsi="宋体" w:eastAsia="宋体" w:cs="宋体"/>
          <w:b/>
          <w:bCs/>
          <w:sz w:val="24"/>
          <w:szCs w:val="24"/>
          <w:lang w:val="en-US" w:eastAsia="zh-CN"/>
        </w:rPr>
        <w:sym w:font="Wingdings" w:char="00A8"/>
      </w:r>
      <w:r>
        <w:rPr>
          <w:rFonts w:hint="eastAsia" w:ascii="宋体" w:hAnsi="宋体" w:eastAsia="宋体" w:cs="宋体"/>
          <w:b/>
          <w:bCs/>
          <w:sz w:val="24"/>
          <w:szCs w:val="24"/>
          <w:u w:val="none"/>
          <w:lang w:val="en-US" w:eastAsia="zh-CN"/>
        </w:rPr>
        <w:t>采购代理机构：</w:t>
      </w:r>
    </w:p>
    <w:p w14:paraId="5B99AF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41" w:firstLineChars="100"/>
        <w:textAlignment w:val="auto"/>
        <w:rPr>
          <w:rFonts w:hint="eastAsia" w:ascii="宋体" w:hAnsi="宋体" w:eastAsia="宋体" w:cs="宋体"/>
          <w:b/>
          <w:bCs/>
          <w:sz w:val="24"/>
          <w:szCs w:val="24"/>
          <w:u w:val="none"/>
          <w:lang w:val="en-US" w:eastAsia="zh-CN"/>
        </w:rPr>
      </w:pPr>
      <w:r>
        <w:rPr>
          <w:rFonts w:hint="default" w:ascii="宋体" w:hAnsi="宋体" w:eastAsia="宋体" w:cs="宋体"/>
          <w:b/>
          <w:bCs/>
          <w:sz w:val="24"/>
          <w:szCs w:val="24"/>
          <w:lang w:val="en-US" w:eastAsia="zh-CN"/>
        </w:rPr>
        <w:sym w:font="Wingdings" w:char="00A8"/>
      </w:r>
      <w:r>
        <w:rPr>
          <w:rFonts w:hint="eastAsia" w:ascii="宋体" w:hAnsi="宋体" w:eastAsia="宋体" w:cs="宋体"/>
          <w:b/>
          <w:bCs/>
          <w:sz w:val="24"/>
          <w:szCs w:val="24"/>
          <w:u w:val="none"/>
          <w:lang w:val="en-US" w:eastAsia="zh-CN"/>
        </w:rPr>
        <w:t>本项目的其他供应商：</w:t>
      </w:r>
    </w:p>
    <w:p w14:paraId="7911B16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41" w:firstLineChars="100"/>
        <w:textAlignment w:val="auto"/>
        <w:rPr>
          <w:rFonts w:hint="eastAsia" w:ascii="宋体" w:hAnsi="宋体" w:eastAsia="宋体" w:cs="宋体"/>
          <w:b/>
          <w:bCs/>
          <w:sz w:val="24"/>
          <w:szCs w:val="24"/>
          <w:u w:val="none"/>
          <w:lang w:val="en-US" w:eastAsia="zh-CN"/>
        </w:rPr>
      </w:pPr>
      <w:r>
        <w:rPr>
          <w:rFonts w:hint="default" w:ascii="宋体" w:hAnsi="宋体" w:eastAsia="宋体" w:cs="宋体"/>
          <w:b/>
          <w:bCs/>
          <w:sz w:val="24"/>
          <w:szCs w:val="24"/>
          <w:lang w:val="en-US" w:eastAsia="zh-CN"/>
        </w:rPr>
        <w:sym w:font="Wingdings" w:char="00A8"/>
      </w:r>
      <w:r>
        <w:rPr>
          <w:rFonts w:hint="eastAsia" w:ascii="宋体" w:hAnsi="宋体" w:eastAsia="宋体" w:cs="宋体"/>
          <w:b/>
          <w:bCs/>
          <w:sz w:val="24"/>
          <w:szCs w:val="24"/>
          <w:u w:val="none"/>
          <w:lang w:val="en-US" w:eastAsia="zh-CN"/>
        </w:rPr>
        <w:t>第三方专业机构：</w:t>
      </w:r>
    </w:p>
    <w:p w14:paraId="4AE8558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41" w:firstLineChars="100"/>
        <w:textAlignment w:val="auto"/>
        <w:rPr>
          <w:rFonts w:hint="eastAsia" w:ascii="宋体" w:hAnsi="宋体" w:eastAsia="宋体" w:cs="宋体"/>
          <w:b/>
          <w:bCs/>
          <w:sz w:val="24"/>
          <w:szCs w:val="24"/>
          <w:u w:val="none"/>
          <w:lang w:val="en-US" w:eastAsia="zh-CN"/>
        </w:rPr>
      </w:pPr>
      <w:r>
        <w:rPr>
          <w:rFonts w:hint="default" w:ascii="宋体" w:hAnsi="宋体" w:eastAsia="宋体" w:cs="宋体"/>
          <w:b/>
          <w:bCs/>
          <w:sz w:val="24"/>
          <w:szCs w:val="24"/>
          <w:lang w:val="en-US" w:eastAsia="zh-CN"/>
        </w:rPr>
        <w:sym w:font="Wingdings" w:char="00A8"/>
      </w:r>
      <w:r>
        <w:rPr>
          <w:rFonts w:hint="eastAsia" w:ascii="宋体" w:hAnsi="宋体" w:eastAsia="宋体" w:cs="宋体"/>
          <w:b/>
          <w:bCs/>
          <w:sz w:val="24"/>
          <w:szCs w:val="24"/>
          <w:u w:val="none"/>
          <w:lang w:val="en-US" w:eastAsia="zh-CN"/>
        </w:rPr>
        <w:t>专家：</w:t>
      </w:r>
    </w:p>
    <w:p w14:paraId="1BC7CA0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41" w:firstLineChars="100"/>
        <w:textAlignment w:val="auto"/>
        <w:rPr>
          <w:rFonts w:hint="eastAsia" w:ascii="宋体" w:hAnsi="宋体" w:eastAsia="宋体" w:cs="宋体"/>
          <w:b/>
          <w:bCs/>
          <w:sz w:val="24"/>
          <w:szCs w:val="24"/>
          <w:u w:val="none"/>
          <w:lang w:val="en-US" w:eastAsia="zh-CN"/>
        </w:rPr>
      </w:pPr>
      <w:r>
        <w:rPr>
          <w:rFonts w:hint="default" w:ascii="宋体" w:hAnsi="宋体" w:eastAsia="宋体" w:cs="宋体"/>
          <w:b/>
          <w:bCs/>
          <w:sz w:val="24"/>
          <w:szCs w:val="24"/>
          <w:lang w:val="en-US" w:eastAsia="zh-CN"/>
        </w:rPr>
        <w:sym w:font="Wingdings" w:char="00A8"/>
      </w:r>
      <w:r>
        <w:rPr>
          <w:rFonts w:hint="eastAsia" w:ascii="宋体" w:hAnsi="宋体" w:eastAsia="宋体" w:cs="宋体"/>
          <w:b/>
          <w:bCs/>
          <w:sz w:val="24"/>
          <w:szCs w:val="24"/>
          <w:u w:val="none"/>
          <w:lang w:val="en-US" w:eastAsia="zh-CN"/>
        </w:rPr>
        <w:t>服务对象：</w:t>
      </w:r>
    </w:p>
    <w:p w14:paraId="5A3CB44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241" w:firstLineChars="100"/>
        <w:textAlignment w:val="auto"/>
        <w:rPr>
          <w:rFonts w:hint="eastAsia" w:ascii="宋体" w:hAnsi="宋体" w:eastAsia="宋体" w:cs="宋体"/>
          <w:b/>
          <w:bCs/>
          <w:sz w:val="24"/>
          <w:szCs w:val="24"/>
          <w:u w:val="none"/>
          <w:lang w:val="en-US" w:eastAsia="zh-CN"/>
        </w:rPr>
      </w:pPr>
      <w:r>
        <w:rPr>
          <w:rFonts w:hint="default" w:ascii="宋体" w:hAnsi="宋体" w:eastAsia="宋体" w:cs="宋体"/>
          <w:b/>
          <w:bCs/>
          <w:sz w:val="24"/>
          <w:szCs w:val="24"/>
          <w:lang w:val="en-US" w:eastAsia="zh-CN"/>
        </w:rPr>
        <w:sym w:font="Wingdings" w:char="00A8"/>
      </w:r>
      <w:r>
        <w:rPr>
          <w:rFonts w:hint="eastAsia" w:ascii="宋体" w:hAnsi="宋体" w:eastAsia="宋体" w:cs="宋体"/>
          <w:b/>
          <w:bCs/>
          <w:sz w:val="24"/>
          <w:szCs w:val="24"/>
          <w:u w:val="none"/>
          <w:lang w:val="en-US" w:eastAsia="zh-CN"/>
        </w:rPr>
        <w:t>其他：</w:t>
      </w:r>
    </w:p>
    <w:p w14:paraId="0E3B0B6E">
      <w:pPr>
        <w:keepNext w:val="0"/>
        <w:keepLines w:val="0"/>
        <w:pageBreakBefore w:val="0"/>
        <w:widowControl w:val="0"/>
        <w:numPr>
          <w:ilvl w:val="0"/>
          <w:numId w:val="1"/>
        </w:numPr>
        <w:kinsoku/>
        <w:wordWrap/>
        <w:overflowPunct/>
        <w:topLinePunct w:val="0"/>
        <w:bidi w:val="0"/>
        <w:snapToGrid/>
        <w:spacing w:line="500" w:lineRule="exact"/>
        <w:ind w:left="0" w:leftChars="0" w:firstLine="0" w:firstLineChars="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履约验收时间:</w:t>
      </w:r>
    </w:p>
    <w:p w14:paraId="25C23F38">
      <w:pPr>
        <w:keepNext w:val="0"/>
        <w:keepLines w:val="0"/>
        <w:pageBreakBefore w:val="0"/>
        <w:widowControl w:val="0"/>
        <w:numPr>
          <w:ilvl w:val="0"/>
          <w:numId w:val="0"/>
        </w:numPr>
        <w:kinsoku/>
        <w:wordWrap/>
        <w:overflowPunct/>
        <w:topLinePunct w:val="0"/>
        <w:bidi w:val="0"/>
        <w:snapToGrid/>
        <w:spacing w:line="500" w:lineRule="exact"/>
        <w:ind w:leftChars="0"/>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（3）履约验收方式：采购人组织验收 </w:t>
      </w:r>
    </w:p>
    <w:p w14:paraId="0CF1E3F3">
      <w:pPr>
        <w:keepNext w:val="0"/>
        <w:keepLines w:val="0"/>
        <w:pageBreakBefore w:val="0"/>
        <w:widowControl w:val="0"/>
        <w:numPr>
          <w:ilvl w:val="0"/>
          <w:numId w:val="0"/>
        </w:numPr>
        <w:kinsoku/>
        <w:wordWrap/>
        <w:overflowPunct/>
        <w:topLinePunct w:val="0"/>
        <w:bidi w:val="0"/>
        <w:snapToGrid/>
        <w:spacing w:line="500" w:lineRule="exact"/>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xml:space="preserve">（4）履约验收程序：货物交付使用后，成交供应商应向采购人提出验收申请，采购人在收到供应商的验收申请后10个工作日内，成立验收小组，依据政府采购合同以及相关的法律法规进行验收并出具验收报告。                                                     </w:t>
      </w:r>
    </w:p>
    <w:p w14:paraId="7E8BB9CC">
      <w:pPr>
        <w:keepNext w:val="0"/>
        <w:keepLines w:val="0"/>
        <w:pageBreakBefore w:val="0"/>
        <w:widowControl w:val="0"/>
        <w:numPr>
          <w:ilvl w:val="0"/>
          <w:numId w:val="0"/>
        </w:numPr>
        <w:kinsoku/>
        <w:wordWrap/>
        <w:overflowPunct/>
        <w:topLinePunct w:val="0"/>
        <w:bidi w:val="0"/>
        <w:snapToGrid/>
        <w:spacing w:line="500" w:lineRule="exact"/>
        <w:textAlignment w:val="auto"/>
        <w:rPr>
          <w:rFonts w:hint="default" w:ascii="宋体" w:hAnsi="宋体" w:eastAsia="宋体" w:cs="宋体"/>
          <w:sz w:val="24"/>
          <w:szCs w:val="24"/>
          <w:u w:val="none"/>
          <w:lang w:val="en-US" w:eastAsia="zh-CN"/>
        </w:rPr>
      </w:pPr>
      <w:r>
        <w:rPr>
          <w:rFonts w:hint="eastAsia" w:ascii="宋体" w:hAnsi="宋体" w:eastAsia="宋体" w:cs="宋体"/>
          <w:sz w:val="24"/>
          <w:szCs w:val="24"/>
          <w:lang w:val="en-US" w:eastAsia="zh-CN"/>
        </w:rPr>
        <w:t>（5）</w:t>
      </w:r>
      <w:r>
        <w:rPr>
          <w:rFonts w:hint="eastAsia" w:ascii="宋体" w:hAnsi="宋体" w:eastAsia="宋体" w:cs="宋体"/>
          <w:sz w:val="24"/>
          <w:szCs w:val="24"/>
          <w:u w:val="none"/>
          <w:lang w:val="en-US" w:eastAsia="zh-CN"/>
        </w:rPr>
        <w:t>履约验收内容：磋商文件、采购清单内容(验收明细一览表附后)</w:t>
      </w:r>
    </w:p>
    <w:p w14:paraId="6C058660">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1.交货时间：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57272F58">
      <w:pPr>
        <w:pStyle w:val="17"/>
        <w:keepNext w:val="0"/>
        <w:keepLines w:val="0"/>
        <w:pageBreakBefore w:val="0"/>
        <w:widowControl w:val="0"/>
        <w:kinsoku/>
        <w:wordWrap/>
        <w:overflowPunct/>
        <w:topLinePunct w:val="0"/>
        <w:bidi w:val="0"/>
        <w:snapToGrid/>
        <w:spacing w:line="500" w:lineRule="exact"/>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交货地点：</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1AD92495">
      <w:pPr>
        <w:pStyle w:val="17"/>
        <w:keepNext w:val="0"/>
        <w:keepLines w:val="0"/>
        <w:pageBreakBefore w:val="0"/>
        <w:widowControl w:val="0"/>
        <w:kinsoku/>
        <w:wordWrap/>
        <w:overflowPunct/>
        <w:topLinePunct w:val="0"/>
        <w:bidi w:val="0"/>
        <w:snapToGrid/>
        <w:spacing w:line="500" w:lineRule="exact"/>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安装调试时间：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36E71B29">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乙方应对提供的货物作出全面自查和整理，并列出清单，作为甲方验收和使用的技术条件依据，清单应随提供的验收资料交给甲方。</w:t>
      </w:r>
    </w:p>
    <w:p w14:paraId="0F93FA98">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3.乙方提供的货物应包括本合同“第一条 合同文件”规定的全部货物及其附（辅）件、资料。</w:t>
      </w:r>
    </w:p>
    <w:p w14:paraId="55051C07">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4.甲方应当在到货后的</w:t>
      </w:r>
      <w:r>
        <w:rPr>
          <w:rFonts w:hint="eastAsia" w:ascii="宋体" w:hAnsi="宋体" w:eastAsia="宋体" w:cs="宋体"/>
          <w:sz w:val="24"/>
          <w:szCs w:val="24"/>
          <w:u w:val="single"/>
          <w:lang w:val="en-US" w:eastAsia="zh-CN"/>
        </w:rPr>
        <w:t xml:space="preserve"> </w:t>
      </w:r>
      <w:r>
        <w:rPr>
          <w:rFonts w:hint="eastAsia" w:hAnsi="宋体" w:cs="宋体"/>
          <w:sz w:val="24"/>
          <w:szCs w:val="24"/>
          <w:u w:val="single"/>
          <w:lang w:val="en-US" w:eastAsia="zh-CN"/>
        </w:rPr>
        <w:t>10</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个工作日内对货物进行验收。货物验收时，甲乙双方必须同时在场，双方共同确认货物与本合同规定的生产厂家产地、品牌、规格型号、数量、质量、技术参数和性能等是否一致。乙方所交付的货物不符合合同规定的，甲方有权拒收。乙方应及时按本合同规定和甲方要求免费对拒收货物采取更换或其他必要的补救措施，直至验收合格，方视为乙方按本合同规定完成交货。验收合格的，由双方共同签署《验收报告》。</w:t>
      </w:r>
    </w:p>
    <w:p w14:paraId="537A18A1">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5.需要乙方对货物（包括软件）或系统进行安装调试的，甲乙双方应在货物安装调试完毕后的</w:t>
      </w:r>
      <w:r>
        <w:rPr>
          <w:rFonts w:hint="eastAsia" w:ascii="宋体" w:hAnsi="宋体" w:eastAsia="宋体" w:cs="宋体"/>
          <w:sz w:val="24"/>
          <w:szCs w:val="24"/>
          <w:u w:val="single"/>
          <w:lang w:val="en-US" w:eastAsia="zh-CN"/>
        </w:rPr>
        <w:t xml:space="preserve">  </w:t>
      </w:r>
      <w:r>
        <w:rPr>
          <w:rFonts w:hint="eastAsia" w:hAnsi="宋体" w:cs="宋体"/>
          <w:sz w:val="24"/>
          <w:szCs w:val="24"/>
          <w:u w:val="single"/>
          <w:lang w:val="en-US" w:eastAsia="zh-CN"/>
        </w:rPr>
        <w:t>10</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个工作日内进行运行效果验收。在验收之前，乙方需提前提交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一处理方式：</w:t>
      </w:r>
    </w:p>
    <w:p w14:paraId="2F10181F">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a.重新调试直至合格为止；</w:t>
      </w:r>
    </w:p>
    <w:p w14:paraId="09C64EFB">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b.要求乙方对货物进行免费更换，然后重新调试直至合格为止。</w:t>
      </w:r>
    </w:p>
    <w:p w14:paraId="0E53CD9C">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甲方因乙方原因所产生的所有费用均由乙方负担。</w:t>
      </w:r>
    </w:p>
    <w:p w14:paraId="72E911B4">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6.验收合格的，由双方共同签署《验收报告》。</w:t>
      </w:r>
    </w:p>
    <w:p w14:paraId="5E97FC4A">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7.甲方可以视项目规模或复杂情况聘请专业人员参与验收，大型或复杂项目，以及特种货物应当邀请国家认可的第三方质量检测机构参与验收。</w:t>
      </w:r>
    </w:p>
    <w:p w14:paraId="7DF58083">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货物验收包括：货物包装是否完好，产地生产厂家名称、品牌、型号、规格、数量、外观质量、配置、内在质量，以及调试运行是否达到“第一条合同文件”规定的效果。乙方应将所提供货物的装箱清单、产品合格证、甲方手册、原厂保修卡、随机资料及备品备件、易损件、专用工具等交付给甲方；乙方不能完整交付货物、附（辅）件和资料的，视为未按合同约定交货，乙方负责补齐，因此导致逾期交付的，由乙方承担相关的违约责任。</w:t>
      </w:r>
    </w:p>
    <w:p w14:paraId="1A072CC1">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9.货物达不到本合同“第一条合同文件”规定的数量、质量要求和运行效果，甲方有权拒收，并可以解除合同；由此引起甲方损失及赔偿责任由乙方承担。</w:t>
      </w:r>
    </w:p>
    <w:p w14:paraId="29DE8FF9">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10.如果合同双方对《验收报告》有分歧，双方须于出现分歧后</w:t>
      </w:r>
      <w:r>
        <w:rPr>
          <w:rFonts w:hint="eastAsia" w:hAnsi="宋体" w:cs="宋体"/>
          <w:sz w:val="24"/>
          <w:szCs w:val="24"/>
          <w:lang w:val="en-US" w:eastAsia="zh-CN"/>
        </w:rPr>
        <w:t>1</w:t>
      </w:r>
      <w:r>
        <w:rPr>
          <w:rFonts w:hint="eastAsia" w:ascii="宋体" w:hAnsi="宋体" w:eastAsia="宋体" w:cs="宋体"/>
          <w:sz w:val="24"/>
          <w:szCs w:val="24"/>
          <w:lang w:val="en-US" w:eastAsia="zh-CN"/>
        </w:rPr>
        <w:t>天内给对方书面声明，以陈述己方的理由及要求，并附有关证据。分歧应通过协商解决。</w:t>
      </w:r>
    </w:p>
    <w:p w14:paraId="5F5CE06C">
      <w:pPr>
        <w:pStyle w:val="17"/>
        <w:keepNext w:val="0"/>
        <w:keepLines w:val="0"/>
        <w:pageBreakBefore w:val="0"/>
        <w:widowControl w:val="0"/>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（6）履约验收标准：本项目</w:t>
      </w:r>
      <w:r>
        <w:rPr>
          <w:rFonts w:hint="eastAsia" w:hAnsi="宋体" w:cs="宋体"/>
          <w:sz w:val="24"/>
          <w:szCs w:val="24"/>
          <w:lang w:val="en-US" w:eastAsia="zh-CN"/>
        </w:rPr>
        <w:t>根据</w:t>
      </w:r>
      <w:r>
        <w:rPr>
          <w:rFonts w:hint="eastAsia" w:ascii="宋体" w:hAnsi="宋体" w:eastAsia="宋体" w:cs="宋体"/>
          <w:sz w:val="24"/>
          <w:szCs w:val="24"/>
          <w:lang w:val="en-US" w:eastAsia="zh-CN"/>
        </w:rPr>
        <w:t>国家、行业、地方现行标准、规范，质量合格，包括但不限于与本项目内容相关的规范、标准，当有最新版本时执行最新版。</w:t>
      </w:r>
    </w:p>
    <w:p w14:paraId="1A458A66">
      <w:pPr>
        <w:keepNext w:val="0"/>
        <w:keepLines w:val="0"/>
        <w:pageBreakBefore w:val="0"/>
        <w:widowControl w:val="0"/>
        <w:numPr>
          <w:ilvl w:val="0"/>
          <w:numId w:val="0"/>
        </w:numPr>
        <w:kinsoku/>
        <w:wordWrap/>
        <w:overflowPunct/>
        <w:topLinePunct w:val="0"/>
        <w:bidi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（7）履约验收其他事项：无</w:t>
      </w:r>
    </w:p>
    <w:p w14:paraId="7343617D">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第八条  项目管理服务</w:t>
      </w:r>
    </w:p>
    <w:p w14:paraId="01D22EF5">
      <w:pPr>
        <w:pStyle w:val="17"/>
        <w:keepNext w:val="0"/>
        <w:keepLines w:val="0"/>
        <w:pageBreakBefore w:val="0"/>
        <w:widowControl w:val="0"/>
        <w:kinsoku/>
        <w:wordWrap/>
        <w:overflowPunct/>
        <w:topLinePunct w:val="0"/>
        <w:bidi w:val="0"/>
        <w:snapToGrid/>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乙方应指定不少于一人全权全程负责本项目的商务服务，以及货物安装、调试、咨询、培训和售后等技术服务工作。</w:t>
      </w:r>
    </w:p>
    <w:p w14:paraId="7D768EAC">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项目负责人姓名：</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联系电话：</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14:paraId="762D4AAA">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第九条  售后服务</w:t>
      </w:r>
    </w:p>
    <w:p w14:paraId="4D7AD62F">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1.质量保证期为自货物通过最终验收之日起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个月。若国家有明确规定的质量保证期高于此质量保证期的，执行国家规定。</w:t>
      </w:r>
    </w:p>
    <w:p w14:paraId="2E1CFC99">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2.在货物质保期内，乙方应对由于设计、工艺、质量（含环保节能要求）、材料和的缺陷而发生的任何不足或故障负责，并解决存在的问题。</w:t>
      </w:r>
    </w:p>
    <w:p w14:paraId="5C30E3CA">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3.对不符合本合同第四条规定要求的货物应立即进行调换，调换本身并不影响甲方就其损失向乙方索赔的权利。</w:t>
      </w:r>
    </w:p>
    <w:p w14:paraId="52EEF332">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4.货物安装调试完成后，乙方应继续向甲方提供良好的技术支持。应当由专门队伍从事此项工作，并提供全天候的热线技术支持服务，应当对甲方所反映的任何问题在</w:t>
      </w:r>
      <w:r>
        <w:rPr>
          <w:rFonts w:hint="eastAsia" w:ascii="宋体" w:hAnsi="宋体" w:eastAsia="宋体" w:cs="宋体"/>
          <w:sz w:val="24"/>
          <w:szCs w:val="24"/>
          <w:u w:val="single"/>
          <w:lang w:val="en-US" w:eastAsia="zh-CN"/>
        </w:rPr>
        <w:t xml:space="preserve">  24 </w:t>
      </w:r>
      <w:r>
        <w:rPr>
          <w:rFonts w:hint="eastAsia" w:ascii="宋体" w:hAnsi="宋体" w:eastAsia="宋体" w:cs="宋体"/>
          <w:sz w:val="24"/>
          <w:szCs w:val="24"/>
          <w:lang w:val="en-US" w:eastAsia="zh-CN"/>
        </w:rPr>
        <w:t>小时之内做出及时响应，在</w:t>
      </w:r>
      <w:r>
        <w:rPr>
          <w:rFonts w:hint="eastAsia" w:ascii="宋体" w:hAnsi="宋体" w:eastAsia="宋体" w:cs="宋体"/>
          <w:sz w:val="24"/>
          <w:szCs w:val="24"/>
          <w:u w:val="single"/>
          <w:lang w:val="en-US" w:eastAsia="zh-CN"/>
        </w:rPr>
        <w:t xml:space="preserve">12 </w:t>
      </w:r>
      <w:r>
        <w:rPr>
          <w:rFonts w:hint="eastAsia" w:ascii="宋体" w:hAnsi="宋体" w:eastAsia="宋体" w:cs="宋体"/>
          <w:sz w:val="24"/>
          <w:szCs w:val="24"/>
          <w:lang w:val="en-US" w:eastAsia="zh-CN"/>
        </w:rPr>
        <w:t>小时 之内赶到现场实地解决问题。若问题、故障在检修</w:t>
      </w:r>
      <w:r>
        <w:rPr>
          <w:rFonts w:hint="eastAsia" w:ascii="宋体" w:hAnsi="宋体" w:eastAsia="宋体" w:cs="宋体"/>
          <w:sz w:val="24"/>
          <w:szCs w:val="24"/>
          <w:u w:val="single"/>
          <w:lang w:val="en-US" w:eastAsia="zh-CN"/>
        </w:rPr>
        <w:t>1个</w:t>
      </w:r>
      <w:r>
        <w:rPr>
          <w:rFonts w:hint="eastAsia" w:ascii="宋体" w:hAnsi="宋体" w:eastAsia="宋体" w:cs="宋体"/>
          <w:sz w:val="24"/>
          <w:szCs w:val="24"/>
          <w:lang w:val="en-US" w:eastAsia="zh-CN"/>
        </w:rPr>
        <w:t>工作日（小时）后仍无法解决，乙方应在3日（小时）内免费提供不低于故障货物规格型号档次的备用货物供甲方使用，直至故障货物修复。</w:t>
      </w:r>
    </w:p>
    <w:p w14:paraId="62A0D850">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5.乙方应当建立健全售后服务体系，确保货物正常运行。乙方应当遵守甲方的有关管理制度、操作规程。对于乙方违规操作造成甲方损失的，由乙方按照本合同第十二条的约定承担赔偿责任。</w:t>
      </w:r>
    </w:p>
    <w:p w14:paraId="5FE0FB82">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6.乙方应负责货物及主要部件、配件维修更换。质保期内，乙方对货物（人为故意损坏除外）提供全免费保修或免费更换；质保期后，收取维修成本费（备品备件乙方应以投标文件承诺的优惠价格提供）。</w:t>
      </w:r>
    </w:p>
    <w:p w14:paraId="6F57F8DC">
      <w:pPr>
        <w:pStyle w:val="4"/>
        <w:rPr>
          <w:rFonts w:hint="eastAsia" w:ascii="宋体" w:hAnsi="宋体" w:eastAsia="宋体" w:cs="宋体"/>
          <w:color w:val="000000"/>
          <w:sz w:val="24"/>
          <w:szCs w:val="24"/>
          <w:lang w:val="en-US" w:eastAsia="zh-CN" w:bidi="ar-SA"/>
        </w:rPr>
      </w:pPr>
      <w:r>
        <w:rPr>
          <w:rFonts w:hint="eastAsia" w:ascii="宋体" w:hAnsi="宋体" w:eastAsia="宋体" w:cs="宋体"/>
          <w:color w:val="000000"/>
          <w:sz w:val="24"/>
          <w:szCs w:val="24"/>
          <w:lang w:val="en-US" w:eastAsia="zh-CN" w:bidi="ar-SA"/>
        </w:rPr>
        <w:t>7.若设备需要接入学校信息系统，所需接口费用一律由乙方承担。</w:t>
      </w:r>
    </w:p>
    <w:p w14:paraId="46982D94">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第十条  分包</w:t>
      </w:r>
    </w:p>
    <w:p w14:paraId="4D4A6444">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除招标采购文件事先说明、且经甲方事先书面同意外，乙方不得分包其应履行的合同义务。</w:t>
      </w:r>
    </w:p>
    <w:p w14:paraId="41F5A85D">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第十一条  合同的生效</w:t>
      </w:r>
    </w:p>
    <w:p w14:paraId="5D7D9AC0">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1.本合同经甲乙双方授权代表签订并加盖公章或合同专用章后生效。</w:t>
      </w:r>
    </w:p>
    <w:p w14:paraId="6AAEFD6F">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2.生效后，除《政府采购法》第49条、第50条第二款规定的情形外，甲乙双方不得擅自变更、中止或终止合同。</w:t>
      </w:r>
    </w:p>
    <w:p w14:paraId="04210A76">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第十二条  违约责任</w:t>
      </w:r>
    </w:p>
    <w:p w14:paraId="4E84AA95">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1.乙方所交付的货物不符合本合同规定的，甲方有权拒收，乙方在得到甲方通知之日起</w:t>
      </w:r>
      <w:r>
        <w:rPr>
          <w:rFonts w:hint="eastAsia" w:ascii="宋体" w:hAnsi="宋体" w:eastAsia="宋体" w:cs="宋体"/>
          <w:sz w:val="24"/>
          <w:szCs w:val="24"/>
          <w:u w:val="single"/>
          <w:lang w:val="en-US" w:eastAsia="zh-CN"/>
        </w:rPr>
        <w:t xml:space="preserve">  1   </w:t>
      </w:r>
      <w:r>
        <w:rPr>
          <w:rFonts w:hint="eastAsia" w:ascii="宋体" w:hAnsi="宋体" w:eastAsia="宋体" w:cs="宋体"/>
          <w:sz w:val="24"/>
          <w:szCs w:val="24"/>
          <w:lang w:val="en-US" w:eastAsia="zh-CN"/>
        </w:rPr>
        <w:t>个工作日内采取补救措施，逾期仍未采取有效措施的，甲方有权要求乙方赔偿因此造成的损失或扣留履约保证金；同时乙方应向甲方支付合同总价1％的违约金。</w:t>
      </w:r>
    </w:p>
    <w:p w14:paraId="21D3E4F4">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2.甲方无正当理由拒收货物、拒付货款的，甲方应向乙方偿付拒付货款1％的违约金。</w:t>
      </w:r>
    </w:p>
    <w:p w14:paraId="687A0EBE">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乙方无正当理由逾期交付货物的，每逾期1天，乙方向甲方偿付逾期交货部分货款总额的1‰的违约金。如乙方逾期交货达3天，甲方有权解除合同，甲方解除合同的通知自到达乙方时生效。在此情况下，乙方给甲方造成的实际损失高于违约金的，对高出违约金的部分乙方应予以赔偿。</w:t>
      </w:r>
    </w:p>
    <w:p w14:paraId="47EE3157">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4.甲方未按合同规定的期限向乙方支付货款的，每逾期1天甲方向乙方偿付欠款总额的1‰违约金，但累计违约金总额不超过欠款总额的20％。</w:t>
      </w:r>
    </w:p>
    <w:p w14:paraId="441FBFE3">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在乙方承诺的或国家规定的质量保证期内（取两者中最长的期限），如经乙方两次维修，货物仍不能达到合同约定的质量标准、运行效果的，甲方有权要求乙方更换为全新合格货物并按本条第1款处理，同时，乙方还须赔偿甲方因此遭受的损失。</w:t>
      </w:r>
    </w:p>
    <w:p w14:paraId="332484D0">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6.其它未尽事宜，以《民法典.合同编》和《政府采购法》等有关法律法规规定为准，无相关规定的，双方协商解决。</w:t>
      </w:r>
    </w:p>
    <w:p w14:paraId="3F1F1D9E">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第十三条  不可抗力</w:t>
      </w:r>
    </w:p>
    <w:p w14:paraId="0077C901">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甲、乙方中任何一方，因不可抗力不能按时或完全履行合同的，应及时通知对方，并在3个工作日内提供相应证明。未履行完合同部分是否继续履行、如何履行等问题，可由双方初步协商，并向主管部门和政府采购管理部门报告。确定为不可抗力原因造成的损失，免予承担责任。</w:t>
      </w:r>
    </w:p>
    <w:p w14:paraId="5E0033D6">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第十四条  争议的解决方式</w:t>
      </w:r>
    </w:p>
    <w:p w14:paraId="3DE034FC">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1.因货物的质量问题发生争议的，应当邀请国家认可的质量检测机构对货物质量进行鉴定。货物符合标准的，鉴定费由甲方承担；货物不符合质量标准的，鉴定费由乙方承担。</w:t>
      </w:r>
    </w:p>
    <w:p w14:paraId="57D25024">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2.在解释或者执行本合同的过程中发生争议时，双方应通过协商方式解决。</w:t>
      </w:r>
    </w:p>
    <w:p w14:paraId="3A861F14">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3.经协商不能解决的争议，双方可选择以下第</w:t>
      </w:r>
      <w:r>
        <w:rPr>
          <w:rFonts w:hint="eastAsia" w:ascii="宋体" w:hAnsi="宋体" w:eastAsia="宋体" w:cs="宋体"/>
          <w:sz w:val="24"/>
          <w:szCs w:val="24"/>
          <w:u w:val="single"/>
          <w:lang w:val="en-US" w:eastAsia="zh-CN"/>
        </w:rPr>
        <w:t xml:space="preserve"> 1  </w:t>
      </w:r>
      <w:r>
        <w:rPr>
          <w:rFonts w:hint="eastAsia" w:ascii="宋体" w:hAnsi="宋体" w:eastAsia="宋体" w:cs="宋体"/>
          <w:sz w:val="24"/>
          <w:szCs w:val="24"/>
          <w:lang w:val="en-US" w:eastAsia="zh-CN"/>
        </w:rPr>
        <w:t>种方式解决：</w:t>
      </w:r>
    </w:p>
    <w:p w14:paraId="6C02B085">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①合同签订地或合同履行地人民法院提起诉讼；</w:t>
      </w:r>
    </w:p>
    <w:p w14:paraId="00AE942E">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②向南阳仲裁委员会提出仲裁。</w:t>
      </w:r>
    </w:p>
    <w:p w14:paraId="547C9083">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4.在法院审理和仲裁期间，除有争议部分外，本合同其他部分可以履行的仍应按合同条款继续履行。</w:t>
      </w:r>
    </w:p>
    <w:p w14:paraId="16325C04">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第十五条  其他</w:t>
      </w:r>
    </w:p>
    <w:p w14:paraId="43B6CC82">
      <w:pPr>
        <w:pStyle w:val="17"/>
        <w:keepNext w:val="0"/>
        <w:keepLines w:val="0"/>
        <w:pageBreakBefore w:val="0"/>
        <w:widowControl w:val="0"/>
        <w:kinsoku/>
        <w:wordWrap/>
        <w:overflowPunct/>
        <w:topLinePunct w:val="0"/>
        <w:bidi w:val="0"/>
        <w:snapToGrid/>
        <w:spacing w:line="440" w:lineRule="exact"/>
        <w:ind w:firstLine="240" w:firstLineChars="1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符合《政府采购法》第49条规定的，经双方协商，办理政府采购手续后，可签订补充合同，所签订的补充合同与本合同具有同等法律效力。</w:t>
      </w:r>
    </w:p>
    <w:p w14:paraId="7AEE531E">
      <w:pPr>
        <w:pStyle w:val="17"/>
        <w:keepNext w:val="0"/>
        <w:keepLines w:val="0"/>
        <w:pageBreakBefore w:val="0"/>
        <w:widowControl w:val="0"/>
        <w:kinsoku/>
        <w:wordWrap/>
        <w:overflowPunct/>
        <w:topLinePunct w:val="0"/>
        <w:bidi w:val="0"/>
        <w:snapToGrid/>
        <w:spacing w:line="44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本合同一式</w:t>
      </w:r>
      <w:r>
        <w:rPr>
          <w:rFonts w:hint="eastAsia" w:ascii="宋体" w:hAnsi="宋体" w:eastAsia="宋体" w:cs="宋体"/>
          <w:sz w:val="24"/>
          <w:szCs w:val="24"/>
          <w:u w:val="single"/>
          <w:lang w:val="en-US" w:eastAsia="zh-CN"/>
        </w:rPr>
        <w:t xml:space="preserve">  六  </w:t>
      </w:r>
      <w:r>
        <w:rPr>
          <w:rFonts w:hint="eastAsia" w:ascii="宋体" w:hAnsi="宋体" w:eastAsia="宋体" w:cs="宋体"/>
          <w:sz w:val="24"/>
          <w:szCs w:val="24"/>
          <w:lang w:val="en-US" w:eastAsia="zh-CN"/>
        </w:rPr>
        <w:t>份，甲、乙双方各执</w:t>
      </w:r>
      <w:r>
        <w:rPr>
          <w:rFonts w:hint="eastAsia" w:ascii="宋体" w:hAnsi="宋体" w:eastAsia="宋体" w:cs="宋体"/>
          <w:sz w:val="24"/>
          <w:szCs w:val="24"/>
          <w:u w:val="single"/>
          <w:lang w:val="en-US" w:eastAsia="zh-CN"/>
        </w:rPr>
        <w:t xml:space="preserve">  三  </w:t>
      </w:r>
      <w:r>
        <w:rPr>
          <w:rFonts w:hint="eastAsia" w:ascii="宋体" w:hAnsi="宋体" w:eastAsia="宋体" w:cs="宋体"/>
          <w:sz w:val="24"/>
          <w:szCs w:val="24"/>
          <w:lang w:val="en-US" w:eastAsia="zh-CN"/>
        </w:rPr>
        <w:t>份。</w:t>
      </w:r>
    </w:p>
    <w:p w14:paraId="0391302B">
      <w:pPr>
        <w:pStyle w:val="17"/>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甲   方：                        乙   方：</w:t>
      </w:r>
    </w:p>
    <w:p w14:paraId="5213C0AE">
      <w:pPr>
        <w:pStyle w:val="17"/>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名称：（盖章）                    名称：（盖章）</w:t>
      </w:r>
    </w:p>
    <w:p w14:paraId="2E666975">
      <w:pPr>
        <w:pStyle w:val="17"/>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                           地址：</w:t>
      </w:r>
    </w:p>
    <w:p w14:paraId="623F6D01">
      <w:pPr>
        <w:pStyle w:val="17"/>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法定代表人（签字）：              法定代表人（签字）：</w:t>
      </w:r>
    </w:p>
    <w:p w14:paraId="48FE5BBE">
      <w:pPr>
        <w:pStyle w:val="17"/>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授权代表（签字）：                授权代表（签字）：</w:t>
      </w:r>
    </w:p>
    <w:p w14:paraId="0386017B">
      <w:pPr>
        <w:pStyle w:val="17"/>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开户银行：                       开户银行：</w:t>
      </w:r>
    </w:p>
    <w:p w14:paraId="5439E4EA">
      <w:pPr>
        <w:pStyle w:val="17"/>
        <w:keepNext w:val="0"/>
        <w:keepLines w:val="0"/>
        <w:pageBreakBefore w:val="0"/>
        <w:widowControl w:val="0"/>
        <w:kinsoku/>
        <w:wordWrap/>
        <w:overflowPunct/>
        <w:topLinePunct w:val="0"/>
        <w:autoSpaceDE w:val="0"/>
        <w:autoSpaceDN w:val="0"/>
        <w:bidi w:val="0"/>
        <w:adjustRightInd w:val="0"/>
        <w:snapToGrid/>
        <w:spacing w:line="5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银行帐号：                       银行帐号：</w:t>
      </w:r>
    </w:p>
    <w:p w14:paraId="77C09C6A">
      <w:pPr>
        <w:pStyle w:val="5"/>
        <w:keepNext w:val="0"/>
        <w:keepLines w:val="0"/>
        <w:pageBreakBefore w:val="0"/>
        <w:kinsoku/>
        <w:wordWrap w:val="0"/>
        <w:overflowPunct/>
        <w:topLinePunct w:val="0"/>
        <w:bidi w:val="0"/>
        <w:spacing w:before="353" w:line="360" w:lineRule="auto"/>
        <w:jc w:val="center"/>
        <w:rPr>
          <w:spacing w:val="-5"/>
          <w:sz w:val="36"/>
          <w:szCs w:val="36"/>
          <w14:textOutline w14:w="2306" w14:cap="flat" w14:cmpd="sng">
            <w14:solidFill>
              <w14:srgbClr w14:val="000000"/>
            </w14:solidFill>
            <w14:prstDash w14:val="solid"/>
            <w14:miter w14:val="0"/>
          </w14:textOutline>
        </w:rPr>
      </w:pPr>
    </w:p>
    <w:p w14:paraId="5B505800">
      <w:pPr>
        <w:pStyle w:val="5"/>
        <w:keepNext w:val="0"/>
        <w:keepLines w:val="0"/>
        <w:pageBreakBefore w:val="0"/>
        <w:kinsoku/>
        <w:wordWrap w:val="0"/>
        <w:overflowPunct/>
        <w:topLinePunct w:val="0"/>
        <w:bidi w:val="0"/>
        <w:spacing w:before="353" w:line="360" w:lineRule="auto"/>
        <w:jc w:val="center"/>
        <w:rPr>
          <w:spacing w:val="-5"/>
          <w:sz w:val="36"/>
          <w:szCs w:val="36"/>
          <w14:textOutline w14:w="2306" w14:cap="flat" w14:cmpd="sng">
            <w14:solidFill>
              <w14:srgbClr w14:val="000000"/>
            </w14:solidFill>
            <w14:prstDash w14:val="solid"/>
            <w14:miter w14:val="0"/>
          </w14:textOutline>
        </w:rPr>
      </w:pPr>
    </w:p>
    <w:p w14:paraId="415BAA97">
      <w:pPr>
        <w:pStyle w:val="5"/>
        <w:keepNext w:val="0"/>
        <w:keepLines w:val="0"/>
        <w:pageBreakBefore w:val="0"/>
        <w:kinsoku/>
        <w:wordWrap w:val="0"/>
        <w:overflowPunct/>
        <w:topLinePunct w:val="0"/>
        <w:bidi w:val="0"/>
        <w:spacing w:before="353" w:line="360" w:lineRule="auto"/>
        <w:jc w:val="center"/>
        <w:rPr>
          <w:spacing w:val="-5"/>
          <w:sz w:val="36"/>
          <w:szCs w:val="36"/>
          <w14:textOutline w14:w="2306" w14:cap="flat" w14:cmpd="sng">
            <w14:solidFill>
              <w14:srgbClr w14:val="000000"/>
            </w14:solidFill>
            <w14:prstDash w14:val="solid"/>
            <w14:miter w14:val="0"/>
          </w14:textOutline>
        </w:rPr>
      </w:pPr>
    </w:p>
    <w:p w14:paraId="4F0A4797">
      <w:pPr>
        <w:pStyle w:val="5"/>
        <w:keepNext w:val="0"/>
        <w:keepLines w:val="0"/>
        <w:pageBreakBefore w:val="0"/>
        <w:kinsoku/>
        <w:wordWrap w:val="0"/>
        <w:overflowPunct/>
        <w:topLinePunct w:val="0"/>
        <w:bidi w:val="0"/>
        <w:spacing w:before="353" w:line="360" w:lineRule="auto"/>
        <w:jc w:val="center"/>
        <w:rPr>
          <w:spacing w:val="-5"/>
          <w:sz w:val="36"/>
          <w:szCs w:val="36"/>
          <w14:textOutline w14:w="2306" w14:cap="flat" w14:cmpd="sng">
            <w14:solidFill>
              <w14:srgbClr w14:val="000000"/>
            </w14:solidFill>
            <w14:prstDash w14:val="solid"/>
            <w14:miter w14:val="0"/>
          </w14:textOutline>
        </w:rPr>
      </w:pPr>
    </w:p>
    <w:p w14:paraId="0AECBA65">
      <w:pPr>
        <w:pStyle w:val="5"/>
        <w:keepNext w:val="0"/>
        <w:keepLines w:val="0"/>
        <w:pageBreakBefore w:val="0"/>
        <w:kinsoku/>
        <w:wordWrap w:val="0"/>
        <w:overflowPunct/>
        <w:topLinePunct w:val="0"/>
        <w:bidi w:val="0"/>
        <w:spacing w:before="353" w:line="360" w:lineRule="auto"/>
        <w:jc w:val="center"/>
        <w:rPr>
          <w:spacing w:val="-5"/>
          <w:sz w:val="36"/>
          <w:szCs w:val="36"/>
          <w14:textOutline w14:w="2306" w14:cap="flat" w14:cmpd="sng">
            <w14:solidFill>
              <w14:srgbClr w14:val="000000"/>
            </w14:solidFill>
            <w14:prstDash w14:val="solid"/>
            <w14:miter w14:val="0"/>
          </w14:textOutline>
        </w:rPr>
      </w:pPr>
    </w:p>
    <w:p w14:paraId="6D94879D">
      <w:pPr>
        <w:rPr>
          <w:spacing w:val="-5"/>
          <w:sz w:val="36"/>
          <w:szCs w:val="36"/>
          <w14:textOutline w14:w="2306" w14:cap="flat" w14:cmpd="sng">
            <w14:solidFill>
              <w14:srgbClr w14:val="000000"/>
            </w14:solidFill>
            <w14:prstDash w14:val="solid"/>
            <w14:miter w14:val="0"/>
          </w14:textOutline>
        </w:rPr>
      </w:pPr>
    </w:p>
    <w:p w14:paraId="55B047BE">
      <w:pPr>
        <w:rPr>
          <w:spacing w:val="-5"/>
          <w:sz w:val="36"/>
          <w:szCs w:val="36"/>
          <w14:textOutline w14:w="2306" w14:cap="flat" w14:cmpd="sng">
            <w14:solidFill>
              <w14:srgbClr w14:val="000000"/>
            </w14:solidFill>
            <w14:prstDash w14:val="solid"/>
            <w14:miter w14:val="0"/>
          </w14:textOutline>
        </w:rPr>
      </w:pPr>
    </w:p>
    <w:p w14:paraId="76C3617E">
      <w:pPr>
        <w:rPr>
          <w:spacing w:val="-5"/>
          <w:sz w:val="36"/>
          <w:szCs w:val="36"/>
          <w14:textOutline w14:w="2306" w14:cap="flat" w14:cmpd="sng">
            <w14:solidFill>
              <w14:srgbClr w14:val="000000"/>
            </w14:solidFill>
            <w14:prstDash w14:val="solid"/>
            <w14:miter w14:val="0"/>
          </w14:textOutline>
        </w:rPr>
      </w:pPr>
    </w:p>
    <w:p w14:paraId="4BD34F10">
      <w:pPr>
        <w:rPr>
          <w:spacing w:val="-5"/>
          <w:sz w:val="36"/>
          <w:szCs w:val="36"/>
          <w14:textOutline w14:w="2306" w14:cap="flat" w14:cmpd="sng">
            <w14:solidFill>
              <w14:srgbClr w14:val="000000"/>
            </w14:solidFill>
            <w14:prstDash w14:val="solid"/>
            <w14:miter w14:val="0"/>
          </w14:textOutline>
        </w:rPr>
      </w:pPr>
    </w:p>
    <w:p w14:paraId="00070946">
      <w:pPr>
        <w:rPr>
          <w:spacing w:val="-5"/>
          <w:sz w:val="36"/>
          <w:szCs w:val="36"/>
          <w14:textOutline w14:w="2306" w14:cap="flat" w14:cmpd="sng">
            <w14:solidFill>
              <w14:srgbClr w14:val="000000"/>
            </w14:solidFill>
            <w14:prstDash w14:val="solid"/>
            <w14:miter w14:val="0"/>
          </w14:textOutline>
        </w:rPr>
      </w:pPr>
    </w:p>
    <w:p w14:paraId="369A7AE8">
      <w:pPr>
        <w:pStyle w:val="5"/>
        <w:keepNext w:val="0"/>
        <w:keepLines w:val="0"/>
        <w:pageBreakBefore w:val="0"/>
        <w:kinsoku/>
        <w:wordWrap w:val="0"/>
        <w:overflowPunct/>
        <w:topLinePunct w:val="0"/>
        <w:bidi w:val="0"/>
        <w:spacing w:before="353" w:line="360" w:lineRule="auto"/>
        <w:jc w:val="center"/>
        <w:rPr>
          <w:rFonts w:ascii="Arial"/>
          <w:sz w:val="21"/>
        </w:rPr>
      </w:pPr>
      <w:r>
        <w:rPr>
          <w:spacing w:val="-5"/>
          <w:sz w:val="36"/>
          <w:szCs w:val="36"/>
          <w14:textOutline w14:w="2306" w14:cap="flat" w14:cmpd="sng">
            <w14:solidFill>
              <w14:srgbClr w14:val="000000"/>
            </w14:solidFill>
            <w14:prstDash w14:val="solid"/>
            <w14:miter w14:val="0"/>
          </w14:textOutline>
        </w:rPr>
        <w:t>第六章</w:t>
      </w:r>
      <w:r>
        <w:rPr>
          <w:rFonts w:hint="eastAsia"/>
          <w:spacing w:val="-5"/>
          <w:sz w:val="36"/>
          <w:szCs w:val="36"/>
          <w:lang w:val="en-US" w:eastAsia="zh-CN"/>
          <w14:textOutline w14:w="2306" w14:cap="flat" w14:cmpd="sng">
            <w14:solidFill>
              <w14:srgbClr w14:val="000000"/>
            </w14:solidFill>
            <w14:prstDash w14:val="solid"/>
            <w14:miter w14:val="0"/>
          </w14:textOutline>
        </w:rPr>
        <w:t xml:space="preserve"> </w:t>
      </w:r>
      <w:r>
        <w:rPr>
          <w:spacing w:val="-5"/>
          <w:sz w:val="36"/>
          <w:szCs w:val="36"/>
          <w14:textOutline w14:w="2306" w14:cap="flat" w14:cmpd="sng">
            <w14:solidFill>
              <w14:srgbClr w14:val="000000"/>
            </w14:solidFill>
            <w14:prstDash w14:val="solid"/>
            <w14:miter w14:val="0"/>
          </w14:textOutline>
        </w:rPr>
        <w:t>响应文件格式</w:t>
      </w:r>
    </w:p>
    <w:p w14:paraId="51EA539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spacing w:val="-1"/>
          <w:sz w:val="24"/>
          <w:szCs w:val="24"/>
          <w14:textOutline w14:w="1537" w14:cap="flat" w14:cmpd="sng">
            <w14:solidFill>
              <w14:srgbClr w14:val="000000"/>
            </w14:solidFill>
            <w14:prstDash w14:val="solid"/>
            <w14:miter w14:val="0"/>
          </w14:textOutline>
        </w:rPr>
        <w:t>供应商编制文件须知</w:t>
      </w:r>
    </w:p>
    <w:p w14:paraId="48F77327">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lang w:val="en-US" w:eastAsia="zh-CN"/>
        </w:rPr>
        <w:t>1.供应商</w:t>
      </w:r>
      <w:r>
        <w:rPr>
          <w:rFonts w:hint="eastAsia" w:asciiTheme="minorEastAsia" w:hAnsiTheme="minorEastAsia" w:eastAsiaTheme="minorEastAsia" w:cstheme="minorEastAsia"/>
          <w:spacing w:val="-3"/>
          <w:sz w:val="24"/>
          <w:szCs w:val="24"/>
        </w:rPr>
        <w:t>按照本部分的顺序编制</w:t>
      </w:r>
      <w:r>
        <w:rPr>
          <w:rFonts w:hint="eastAsia" w:asciiTheme="minorEastAsia" w:hAnsiTheme="minorEastAsia" w:eastAsiaTheme="minorEastAsia" w:cstheme="minorEastAsia"/>
          <w:spacing w:val="-3"/>
          <w:sz w:val="24"/>
          <w:szCs w:val="24"/>
          <w:lang w:val="en-US" w:eastAsia="zh-CN"/>
        </w:rPr>
        <w:t>响应文件</w:t>
      </w:r>
      <w:r>
        <w:rPr>
          <w:rFonts w:hint="eastAsia" w:asciiTheme="minorEastAsia" w:hAnsiTheme="minorEastAsia" w:eastAsiaTheme="minorEastAsia" w:cstheme="minorEastAsia"/>
          <w:spacing w:val="-29"/>
          <w:sz w:val="24"/>
          <w:szCs w:val="24"/>
        </w:rPr>
        <w:t>，</w:t>
      </w:r>
      <w:r>
        <w:rPr>
          <w:rFonts w:hint="eastAsia" w:asciiTheme="minorEastAsia" w:hAnsiTheme="minorEastAsia" w:eastAsiaTheme="minorEastAsia" w:cstheme="minorEastAsia"/>
          <w:spacing w:val="-8"/>
          <w:sz w:val="24"/>
          <w:szCs w:val="24"/>
        </w:rPr>
        <w:t>编制中涉及格式资料的，应按照本部分</w:t>
      </w:r>
      <w:r>
        <w:rPr>
          <w:rFonts w:hint="eastAsia" w:asciiTheme="minorEastAsia" w:hAnsiTheme="minorEastAsia" w:eastAsiaTheme="minorEastAsia" w:cstheme="minorEastAsia"/>
          <w:spacing w:val="-8"/>
          <w:sz w:val="24"/>
          <w:szCs w:val="24"/>
          <w:lang w:val="en-US" w:eastAsia="zh-CN"/>
        </w:rPr>
        <w:t>提</w:t>
      </w:r>
      <w:r>
        <w:rPr>
          <w:rFonts w:hint="eastAsia" w:asciiTheme="minorEastAsia" w:hAnsiTheme="minorEastAsia" w:eastAsiaTheme="minorEastAsia" w:cstheme="minorEastAsia"/>
          <w:spacing w:val="-8"/>
          <w:sz w:val="24"/>
          <w:szCs w:val="24"/>
        </w:rPr>
        <w:t>供的内容和格式（所有表格的格式可扩</w:t>
      </w:r>
      <w:r>
        <w:rPr>
          <w:rFonts w:hint="eastAsia" w:asciiTheme="minorEastAsia" w:hAnsiTheme="minorEastAsia" w:eastAsiaTheme="minorEastAsia" w:cstheme="minorEastAsia"/>
          <w:spacing w:val="-3"/>
          <w:sz w:val="24"/>
          <w:szCs w:val="24"/>
        </w:rPr>
        <w:t>展）填写</w:t>
      </w:r>
      <w:r>
        <w:rPr>
          <w:rFonts w:hint="eastAsia" w:asciiTheme="minorEastAsia" w:hAnsiTheme="minorEastAsia" w:eastAsiaTheme="minorEastAsia" w:cstheme="minorEastAsia"/>
          <w:spacing w:val="-3"/>
          <w:sz w:val="24"/>
          <w:szCs w:val="24"/>
          <w:lang w:val="en-US" w:eastAsia="zh-CN"/>
        </w:rPr>
        <w:t>提</w:t>
      </w:r>
      <w:r>
        <w:rPr>
          <w:rFonts w:hint="eastAsia" w:asciiTheme="minorEastAsia" w:hAnsiTheme="minorEastAsia" w:eastAsiaTheme="minorEastAsia" w:cstheme="minorEastAsia"/>
          <w:spacing w:val="-3"/>
          <w:sz w:val="24"/>
          <w:szCs w:val="24"/>
        </w:rPr>
        <w:t>交。</w:t>
      </w:r>
    </w:p>
    <w:p w14:paraId="0500E5AE">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0"/>
        <w:jc w:val="both"/>
        <w:textAlignment w:val="baseline"/>
        <w:rPr>
          <w:sz w:val="24"/>
          <w:szCs w:val="24"/>
        </w:rPr>
      </w:pPr>
      <w:r>
        <w:rPr>
          <w:rFonts w:hint="eastAsia" w:ascii="Arial" w:hAnsi="Arial" w:eastAsia="宋体" w:cs="Arial"/>
          <w:spacing w:val="-1"/>
          <w:sz w:val="24"/>
          <w:szCs w:val="24"/>
          <w:lang w:val="en-US" w:eastAsia="zh-CN"/>
        </w:rPr>
        <w:t>2.</w:t>
      </w:r>
      <w:r>
        <w:rPr>
          <w:spacing w:val="-1"/>
          <w:sz w:val="24"/>
          <w:szCs w:val="24"/>
        </w:rPr>
        <w:t>全部声明和问题的回答及所附材料必须是真实的、准确的和完整</w:t>
      </w:r>
      <w:r>
        <w:rPr>
          <w:spacing w:val="-2"/>
          <w:sz w:val="24"/>
          <w:szCs w:val="24"/>
        </w:rPr>
        <w:t>的。</w:t>
      </w:r>
    </w:p>
    <w:p w14:paraId="10A45398">
      <w:pPr>
        <w:keepNext w:val="0"/>
        <w:keepLines w:val="0"/>
        <w:pageBreakBefore w:val="0"/>
        <w:kinsoku/>
        <w:wordWrap w:val="0"/>
        <w:overflowPunct/>
        <w:topLinePunct w:val="0"/>
        <w:bidi w:val="0"/>
        <w:spacing w:line="219" w:lineRule="auto"/>
        <w:jc w:val="both"/>
        <w:rPr>
          <w:sz w:val="24"/>
          <w:szCs w:val="24"/>
        </w:rPr>
        <w:sectPr>
          <w:headerReference r:id="rId8" w:type="default"/>
          <w:footerReference r:id="rId9" w:type="default"/>
          <w:pgSz w:w="11907" w:h="16840"/>
          <w:pgMar w:top="1440" w:right="1800" w:bottom="1440" w:left="1800" w:header="878" w:footer="886" w:gutter="0"/>
          <w:pgNumType w:fmt="decimal"/>
          <w:cols w:space="720" w:num="1"/>
        </w:sectPr>
      </w:pPr>
    </w:p>
    <w:p w14:paraId="3886B897">
      <w:pPr>
        <w:keepNext w:val="0"/>
        <w:keepLines w:val="0"/>
        <w:pageBreakBefore w:val="0"/>
        <w:numPr>
          <w:ilvl w:val="0"/>
          <w:numId w:val="0"/>
        </w:numPr>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一、</w:t>
      </w:r>
      <w:r>
        <w:rPr>
          <w:rFonts w:hint="eastAsia" w:asciiTheme="minorEastAsia" w:hAnsiTheme="minorEastAsia" w:eastAsiaTheme="minorEastAsia" w:cstheme="minorEastAsia"/>
          <w:b/>
          <w:bCs/>
          <w:snapToGrid w:val="0"/>
          <w:color w:val="000000"/>
          <w:spacing w:val="-3"/>
          <w:kern w:val="0"/>
          <w:sz w:val="24"/>
          <w:szCs w:val="24"/>
          <w:lang w:val="en-US" w:eastAsia="en-US" w:bidi="ar-SA"/>
        </w:rPr>
        <w:t>响应函格式</w:t>
      </w:r>
    </w:p>
    <w:p w14:paraId="5C70127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4B82574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t>响应函</w:t>
      </w:r>
    </w:p>
    <w:p w14:paraId="44EED777">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45142726">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377DDF3D">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根据贵方项目编号为____________的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要求，签字代表_________（全名、职务）经正式授权并代表_________（供应商名称、地址）提交包含响应文件组成第</w:t>
      </w:r>
      <w:r>
        <w:rPr>
          <w:rFonts w:hint="eastAsia" w:asciiTheme="minorEastAsia" w:hAnsiTheme="minorEastAsia" w:eastAsiaTheme="minorEastAsia" w:cstheme="minorEastAsia"/>
          <w:snapToGrid w:val="0"/>
          <w:color w:val="000000"/>
          <w:spacing w:val="-3"/>
          <w:kern w:val="0"/>
          <w:sz w:val="24"/>
          <w:szCs w:val="24"/>
          <w:lang w:val="en-US" w:eastAsia="zh-CN" w:bidi="ar-SA"/>
        </w:rPr>
        <w:t>1</w:t>
      </w:r>
      <w:r>
        <w:rPr>
          <w:rFonts w:hint="eastAsia" w:asciiTheme="minorEastAsia" w:hAnsiTheme="minorEastAsia" w:eastAsiaTheme="minorEastAsia" w:cstheme="minorEastAsia"/>
          <w:snapToGrid w:val="0"/>
          <w:color w:val="000000"/>
          <w:spacing w:val="-3"/>
          <w:kern w:val="0"/>
          <w:sz w:val="24"/>
          <w:szCs w:val="24"/>
          <w:lang w:val="en-US" w:eastAsia="en-US" w:bidi="ar-SA"/>
        </w:rPr>
        <w:t>项至第</w:t>
      </w:r>
      <w:r>
        <w:rPr>
          <w:rFonts w:hint="eastAsia" w:asciiTheme="minorEastAsia" w:hAnsiTheme="minorEastAsia" w:eastAsiaTheme="minorEastAsia" w:cstheme="minorEastAsia"/>
          <w:snapToGrid w:val="0"/>
          <w:color w:val="000000"/>
          <w:spacing w:val="-3"/>
          <w:kern w:val="0"/>
          <w:sz w:val="24"/>
          <w:szCs w:val="24"/>
          <w:u w:val="single"/>
          <w:lang w:val="en-US" w:eastAsia="zh-CN" w:bidi="ar-SA"/>
        </w:rPr>
        <w:t xml:space="preserve">  </w:t>
      </w:r>
      <w:r>
        <w:rPr>
          <w:rFonts w:hint="eastAsia" w:asciiTheme="minorEastAsia" w:hAnsiTheme="minorEastAsia" w:eastAsiaTheme="minorEastAsia" w:cstheme="minorEastAsia"/>
          <w:snapToGrid w:val="0"/>
          <w:color w:val="000000"/>
          <w:spacing w:val="-3"/>
          <w:kern w:val="0"/>
          <w:sz w:val="24"/>
          <w:szCs w:val="24"/>
          <w:lang w:val="en-US" w:eastAsia="en-US" w:bidi="ar-SA"/>
        </w:rPr>
        <w:t>项的响应文件电子版本一份。据此函，签字代表宣布同意并郑重承诺如下：</w:t>
      </w:r>
    </w:p>
    <w:p w14:paraId="2A5BA28D">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1、我方递交的响应文件中所有的资料均为真实的、准确的，无任何虚假内容。若存在有虚假内容，我方愿意承担法律责任。</w:t>
      </w:r>
    </w:p>
    <w:p w14:paraId="50E69E3D">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2、我方已详细审查全部</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，包括修改文件（如有的话）以及全部参考资料和有关附件。我们完全理解并同意放弃对这方面有不明白及误解的权利。</w:t>
      </w:r>
    </w:p>
    <w:p w14:paraId="7F630398">
      <w:pPr>
        <w:pStyle w:val="5"/>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3、若成交，我方将按照</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的具体规定与采购人签订供货安装调试</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合同，并且严格按合同履行义务，按时交付使用，保证设备</w:t>
      </w:r>
      <w:r>
        <w:rPr>
          <w:rFonts w:hint="eastAsia" w:asciiTheme="minorEastAsia" w:hAnsiTheme="minorEastAsia" w:eastAsiaTheme="minorEastAsia" w:cstheme="minorEastAsia"/>
          <w:snapToGrid w:val="0"/>
          <w:color w:val="000000"/>
          <w:spacing w:val="-3"/>
          <w:kern w:val="0"/>
          <w:sz w:val="24"/>
          <w:szCs w:val="24"/>
          <w:lang w:val="en-US" w:eastAsia="zh-CN" w:bidi="ar-SA"/>
        </w:rPr>
        <w:t>或服务</w:t>
      </w:r>
      <w:r>
        <w:rPr>
          <w:rFonts w:hint="eastAsia" w:asciiTheme="minorEastAsia" w:hAnsiTheme="minorEastAsia" w:eastAsiaTheme="minorEastAsia" w:cstheme="minorEastAsia"/>
          <w:snapToGrid w:val="0"/>
          <w:color w:val="000000"/>
          <w:spacing w:val="-3"/>
          <w:kern w:val="0"/>
          <w:sz w:val="24"/>
          <w:szCs w:val="24"/>
          <w:lang w:val="en-US" w:eastAsia="en-US" w:bidi="ar-SA"/>
        </w:rPr>
        <w:t>质量符合</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竞争性谈判文件</w:t>
      </w:r>
      <w:r>
        <w:rPr>
          <w:rFonts w:hint="eastAsia" w:asciiTheme="minorEastAsia" w:hAnsiTheme="minorEastAsia" w:eastAsiaTheme="minorEastAsia" w:cstheme="minorEastAsia"/>
          <w:snapToGrid w:val="0"/>
          <w:color w:val="000000"/>
          <w:spacing w:val="-3"/>
          <w:kern w:val="0"/>
          <w:sz w:val="24"/>
          <w:szCs w:val="24"/>
          <w:lang w:val="en-US" w:eastAsia="en-US" w:bidi="ar-SA"/>
        </w:rPr>
        <w:t>要求，并提供优质服务。如果在合同执行过程中，发现问题，我方一定尽快对其进行调整，并承担相应的经济责任。</w:t>
      </w:r>
    </w:p>
    <w:p w14:paraId="63000988">
      <w:pPr>
        <w:pStyle w:val="5"/>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4、我方保证，严格遵守</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w:t>
      </w:r>
      <w:r>
        <w:rPr>
          <w:rFonts w:hint="eastAsia" w:asciiTheme="minorEastAsia" w:hAnsiTheme="minorEastAsia" w:eastAsiaTheme="minorEastAsia" w:cstheme="minorEastAsia"/>
          <w:sz w:val="24"/>
          <w:szCs w:val="24"/>
          <w:lang w:val="en-US" w:eastAsia="zh-CN"/>
        </w:rPr>
        <w:t>中华人民共和国</w:t>
      </w:r>
      <w:r>
        <w:rPr>
          <w:rFonts w:hint="eastAsia" w:asciiTheme="minorEastAsia" w:hAnsiTheme="minorEastAsia" w:eastAsiaTheme="minorEastAsia" w:cstheme="minorEastAsia"/>
          <w:sz w:val="24"/>
          <w:szCs w:val="24"/>
          <w:lang w:eastAsia="zh-CN"/>
        </w:rPr>
        <w:t>政府采购法实施条例》</w:t>
      </w:r>
      <w:r>
        <w:rPr>
          <w:rFonts w:hint="eastAsia" w:asciiTheme="minorEastAsia" w:hAnsiTheme="minorEastAsia" w:eastAsiaTheme="minorEastAsia" w:cstheme="minorEastAsia"/>
          <w:snapToGrid w:val="0"/>
          <w:color w:val="000000"/>
          <w:spacing w:val="-2"/>
          <w:kern w:val="0"/>
          <w:sz w:val="24"/>
          <w:szCs w:val="24"/>
          <w:lang w:val="en-US" w:eastAsia="zh-CN" w:bidi="ar-SA"/>
        </w:rPr>
        <w:t>《政府采购非招标采购方式管理办法》</w:t>
      </w:r>
      <w:r>
        <w:rPr>
          <w:rFonts w:hint="eastAsia" w:asciiTheme="minorEastAsia" w:hAnsiTheme="minorEastAsia" w:eastAsiaTheme="minorEastAsia" w:cstheme="minorEastAsia"/>
          <w:snapToGrid w:val="0"/>
          <w:color w:val="000000"/>
          <w:spacing w:val="-3"/>
          <w:kern w:val="0"/>
          <w:sz w:val="24"/>
          <w:szCs w:val="24"/>
          <w:lang w:val="en-US" w:eastAsia="en-US" w:bidi="ar-SA"/>
        </w:rPr>
        <w:t>及其他相关法律法规的规定，若有违反上述法律法规的行为，愿意接受处罚并承担相应的法律责任。</w:t>
      </w:r>
    </w:p>
    <w:p w14:paraId="481D3CB2">
      <w:pPr>
        <w:pStyle w:val="5"/>
        <w:keepNext w:val="0"/>
        <w:keepLines w:val="0"/>
        <w:pageBreakBefore w:val="0"/>
        <w:kinsoku/>
        <w:wordWrap w:val="0"/>
        <w:overflowPunct/>
        <w:topLinePunct w:val="0"/>
        <w:bidi w:val="0"/>
        <w:spacing w:after="0"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5、本承诺将成为合同不可分割的一部分，与合同具有同等的法律效力。</w:t>
      </w:r>
    </w:p>
    <w:p w14:paraId="17F70B72">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供应商名称（公章）：</w:t>
      </w:r>
    </w:p>
    <w:p w14:paraId="4806D966">
      <w:pPr>
        <w:keepNext w:val="0"/>
        <w:keepLines w:val="0"/>
        <w:pageBreakBefore w:val="0"/>
        <w:kinsoku/>
        <w:wordWrap w:val="0"/>
        <w:overflowPunct/>
        <w:topLinePunct w:val="0"/>
        <w:bidi w:val="0"/>
        <w:spacing w:after="0" w:line="360" w:lineRule="auto"/>
        <w:ind w:firstLine="567"/>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法定代表人或负责人或被授权人签名（或盖章）：</w:t>
      </w:r>
    </w:p>
    <w:p w14:paraId="1B771D01">
      <w:pPr>
        <w:keepNext w:val="0"/>
        <w:keepLines w:val="0"/>
        <w:pageBreakBefore w:val="0"/>
        <w:kinsoku/>
        <w:wordWrap w:val="0"/>
        <w:overflowPunct/>
        <w:topLinePunct w:val="0"/>
        <w:bidi w:val="0"/>
        <w:spacing w:after="0" w:line="360" w:lineRule="auto"/>
        <w:ind w:firstLine="5073" w:firstLineChars="2168"/>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33B9CE6">
      <w:pPr>
        <w:keepNext w:val="0"/>
        <w:keepLines w:val="0"/>
        <w:pageBreakBefore w:val="0"/>
        <w:widowControl w:val="0"/>
        <w:kinsoku/>
        <w:wordWrap w:val="0"/>
        <w:overflowPunct/>
        <w:topLinePunct w:val="0"/>
        <w:autoSpaceDE w:val="0"/>
        <w:autoSpaceDN w:val="0"/>
        <w:bidi w:val="0"/>
        <w:adjustRightInd w:val="0"/>
        <w:spacing w:line="360" w:lineRule="auto"/>
        <w:ind w:firstLine="3604" w:firstLineChars="1502"/>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4C95B5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pPr>
    </w:p>
    <w:p w14:paraId="6FC829DB">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447163C7">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en-US" w:bidi="ar-SA"/>
        </w:rPr>
        <w:t>二、法定代表人或负责人授权委托书格式：</w:t>
      </w:r>
    </w:p>
    <w:p w14:paraId="6711F0FF">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120A53EC">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en-US"/>
          <w14:textOutline w14:w="2306" w14:cap="flat" w14:cmpd="sng">
            <w14:solidFill>
              <w14:srgbClr w14:val="000000"/>
            </w14:solidFill>
            <w14:prstDash w14:val="solid"/>
            <w14:miter w14:val="0"/>
          </w14:textOutline>
        </w:rPr>
        <w:t>法定代表人或负责人授权委托书</w:t>
      </w:r>
    </w:p>
    <w:p w14:paraId="0497F762">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630C821A">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致</w:t>
      </w:r>
      <w:r>
        <w:rPr>
          <w:rFonts w:hint="eastAsia" w:ascii="宋体" w:hAnsi="宋体" w:eastAsia="宋体" w:cs="宋体"/>
          <w:snapToGrid w:val="0"/>
          <w:color w:val="000000"/>
          <w:kern w:val="0"/>
          <w:sz w:val="24"/>
          <w:szCs w:val="24"/>
          <w:lang w:val="en-US" w:eastAsia="zh-CN" w:bidi="ar-SA"/>
        </w:rPr>
        <w:t>采购人或采购代理机构</w:t>
      </w:r>
      <w:r>
        <w:rPr>
          <w:rFonts w:hint="eastAsia" w:asciiTheme="minorEastAsia" w:hAnsiTheme="minorEastAsia" w:eastAsiaTheme="minorEastAsia" w:cstheme="minorEastAsia"/>
          <w:snapToGrid w:val="0"/>
          <w:color w:val="000000"/>
          <w:spacing w:val="-3"/>
          <w:kern w:val="0"/>
          <w:sz w:val="24"/>
          <w:szCs w:val="24"/>
          <w:lang w:val="en-US" w:eastAsia="en-US" w:bidi="ar-SA"/>
        </w:rPr>
        <w:t>：</w:t>
      </w:r>
    </w:p>
    <w:p w14:paraId="6218AF19">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我_________（姓名）系_________（供应商名称）的法定代表人或负责人，现授权委托本单位在职职工（姓名）以我方的名义参加项目的</w:t>
      </w:r>
      <w:r>
        <w:rPr>
          <w:rFonts w:hint="eastAsia" w:asciiTheme="minorEastAsia" w:hAnsiTheme="minorEastAsia" w:eastAsiaTheme="minorEastAsia" w:cstheme="minorEastAsia"/>
          <w:snapToGrid w:val="0"/>
          <w:color w:val="000000"/>
          <w:spacing w:val="-3"/>
          <w:kern w:val="0"/>
          <w:sz w:val="24"/>
          <w:szCs w:val="24"/>
          <w:lang w:val="en-US" w:eastAsia="zh-CN" w:bidi="ar-SA"/>
        </w:rPr>
        <w:t>竞争性谈判</w:t>
      </w:r>
      <w:r>
        <w:rPr>
          <w:rFonts w:hint="eastAsia" w:asciiTheme="minorEastAsia" w:hAnsiTheme="minorEastAsia" w:eastAsiaTheme="minorEastAsia" w:cstheme="minorEastAsia"/>
          <w:snapToGrid w:val="0"/>
          <w:color w:val="000000"/>
          <w:spacing w:val="-3"/>
          <w:kern w:val="0"/>
          <w:sz w:val="24"/>
          <w:szCs w:val="24"/>
          <w:lang w:val="en-US" w:eastAsia="en-US" w:bidi="ar-SA"/>
        </w:rPr>
        <w:t>活动，并代表我方全权办理针对上述项目的具体事务和签署相关文件。我方对被授权人的签名事项负全部责任。</w:t>
      </w:r>
    </w:p>
    <w:p w14:paraId="5B80C640">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在撤销授权的书面通知以前，本授权书一直有效。被授权人在授权书有效期内签署的所有文件不因授权的撤销而失效。</w:t>
      </w:r>
    </w:p>
    <w:p w14:paraId="182BC108">
      <w:pPr>
        <w:keepNext w:val="0"/>
        <w:keepLines w:val="0"/>
        <w:pageBreakBefore w:val="0"/>
        <w:kinsoku/>
        <w:wordWrap w:val="0"/>
        <w:overflowPunct/>
        <w:topLinePunct w:val="0"/>
        <w:bidi w:val="0"/>
        <w:spacing w:after="0" w:line="360" w:lineRule="auto"/>
        <w:ind w:firstLine="48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被授权人无转委托权，特此委托。</w:t>
      </w:r>
    </w:p>
    <w:p w14:paraId="18502D08">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63B894BB">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法定代表人或负责人签名（或盖章）：</w:t>
      </w:r>
    </w:p>
    <w:p w14:paraId="1D6C229B">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被授权人签名（或盖章）：</w:t>
      </w:r>
    </w:p>
    <w:p w14:paraId="1A2999EB">
      <w:pPr>
        <w:keepNext w:val="0"/>
        <w:keepLines w:val="0"/>
        <w:pageBreakBefore w:val="0"/>
        <w:kinsoku/>
        <w:wordWrap w:val="0"/>
        <w:overflowPunct/>
        <w:topLinePunct w:val="0"/>
        <w:bidi w:val="0"/>
        <w:spacing w:after="0" w:line="360" w:lineRule="auto"/>
        <w:ind w:firstLine="2574" w:firstLineChars="11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职务：</w:t>
      </w:r>
    </w:p>
    <w:p w14:paraId="6DDDAD8A">
      <w:pPr>
        <w:keepNext w:val="0"/>
        <w:keepLines w:val="0"/>
        <w:pageBreakBefore w:val="0"/>
        <w:kinsoku/>
        <w:wordWrap w:val="0"/>
        <w:overflowPunct/>
        <w:topLinePunct w:val="0"/>
        <w:bidi w:val="0"/>
        <w:spacing w:after="0" w:line="360" w:lineRule="auto"/>
        <w:ind w:firstLine="2634" w:firstLineChars="1126"/>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联系电话：</w:t>
      </w:r>
    </w:p>
    <w:p w14:paraId="491C50E5">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2198E2E1">
      <w:pPr>
        <w:keepNext w:val="0"/>
        <w:keepLines w:val="0"/>
        <w:pageBreakBefore w:val="0"/>
        <w:kinsoku/>
        <w:wordWrap w:val="0"/>
        <w:overflowPunct/>
        <w:topLinePunct w:val="0"/>
        <w:bidi w:val="0"/>
        <w:spacing w:after="0" w:line="360" w:lineRule="auto"/>
        <w:ind w:firstLine="702" w:firstLineChars="3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法定代表人或负责人、被授权人身份证复印件</w:t>
      </w:r>
    </w:p>
    <w:p w14:paraId="6C8F9552">
      <w:pPr>
        <w:keepNext w:val="0"/>
        <w:keepLines w:val="0"/>
        <w:pageBreakBefore w:val="0"/>
        <w:kinsoku/>
        <w:wordWrap w:val="0"/>
        <w:overflowPunct/>
        <w:topLinePunct w:val="0"/>
        <w:bidi w:val="0"/>
        <w:spacing w:after="0" w:line="360" w:lineRule="auto"/>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41942D33">
      <w:pPr>
        <w:keepNext w:val="0"/>
        <w:keepLines w:val="0"/>
        <w:pageBreakBefore w:val="0"/>
        <w:kinsoku/>
        <w:wordWrap w:val="0"/>
        <w:overflowPunct/>
        <w:topLinePunct w:val="0"/>
        <w:bidi w:val="0"/>
        <w:spacing w:after="0" w:line="360" w:lineRule="auto"/>
        <w:ind w:firstLine="6786" w:firstLineChars="29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p>
    <w:p w14:paraId="3EC74C05">
      <w:pPr>
        <w:keepNext w:val="0"/>
        <w:keepLines w:val="0"/>
        <w:pageBreakBefore w:val="0"/>
        <w:kinsoku/>
        <w:wordWrap w:val="0"/>
        <w:overflowPunct/>
        <w:topLinePunct w:val="0"/>
        <w:bidi w:val="0"/>
        <w:spacing w:after="0" w:line="360" w:lineRule="auto"/>
        <w:ind w:firstLine="5148" w:firstLineChars="2200"/>
        <w:jc w:val="both"/>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snapToGrid w:val="0"/>
          <w:color w:val="000000"/>
          <w:spacing w:val="-3"/>
          <w:kern w:val="0"/>
          <w:sz w:val="24"/>
          <w:szCs w:val="24"/>
          <w:lang w:val="en-US" w:eastAsia="en-US" w:bidi="ar-SA"/>
        </w:rPr>
        <w:t>供应商公章：</w:t>
      </w:r>
    </w:p>
    <w:p w14:paraId="6884C277">
      <w:pPr>
        <w:keepNext w:val="0"/>
        <w:keepLines w:val="0"/>
        <w:pageBreakBefore w:val="0"/>
        <w:widowControl w:val="0"/>
        <w:kinsoku/>
        <w:wordWrap w:val="0"/>
        <w:overflowPunct/>
        <w:topLinePunct w:val="0"/>
        <w:autoSpaceDE w:val="0"/>
        <w:autoSpaceDN w:val="0"/>
        <w:bidi w:val="0"/>
        <w:adjustRightInd w:val="0"/>
        <w:spacing w:line="360" w:lineRule="auto"/>
        <w:ind w:firstLine="5044" w:firstLineChars="2102"/>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72B275F">
      <w:pPr>
        <w:keepNext w:val="0"/>
        <w:keepLines w:val="0"/>
        <w:pageBreakBefore w:val="0"/>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24539B2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424BFCC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078C672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1FCBFD2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35B3ABB8">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p>
    <w:p w14:paraId="0CEE6DA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en-US"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三、</w:t>
      </w:r>
      <w:r>
        <w:rPr>
          <w:rFonts w:hint="eastAsia" w:asciiTheme="minorEastAsia" w:hAnsiTheme="minorEastAsia" w:eastAsiaTheme="minorEastAsia" w:cstheme="minorEastAsia"/>
          <w:b/>
          <w:bCs/>
          <w:snapToGrid w:val="0"/>
          <w:color w:val="000000"/>
          <w:spacing w:val="-3"/>
          <w:kern w:val="0"/>
          <w:sz w:val="24"/>
          <w:szCs w:val="24"/>
          <w:lang w:val="en-US" w:eastAsia="en-US" w:bidi="ar-SA"/>
        </w:rPr>
        <w:t>报价一览表格式：</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490"/>
      </w:tblGrid>
      <w:tr w14:paraId="3F9C9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287AA2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项目名称</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11B4F8C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14:paraId="4279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0F11635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项目编号</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394B98F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14:paraId="68E3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104DCB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29F079A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14:paraId="70F0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23B7825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谈判报价</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1670F95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大写：（￥：）</w:t>
            </w:r>
          </w:p>
        </w:tc>
      </w:tr>
      <w:tr w14:paraId="01AB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98DB4F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交货安装时间</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3726511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r w14:paraId="0880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14D9B95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免费质保期</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24034DC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p>
        </w:tc>
      </w:tr>
      <w:tr w14:paraId="26C24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0"/>
            <w:vAlign w:val="center"/>
          </w:tcPr>
          <w:p w14:paraId="3597ED2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备注</w:t>
            </w:r>
          </w:p>
        </w:tc>
        <w:tc>
          <w:tcPr>
            <w:tcW w:w="7490" w:type="dxa"/>
            <w:tcBorders>
              <w:top w:val="single" w:color="auto" w:sz="4" w:space="0"/>
              <w:left w:val="single" w:color="auto" w:sz="4" w:space="0"/>
              <w:bottom w:val="single" w:color="auto" w:sz="4" w:space="0"/>
              <w:right w:val="single" w:color="auto" w:sz="4" w:space="0"/>
            </w:tcBorders>
            <w:noWrap w:val="0"/>
            <w:vAlign w:val="center"/>
          </w:tcPr>
          <w:p w14:paraId="0EC334C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p w14:paraId="2507182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p>
        </w:tc>
      </w:tr>
    </w:tbl>
    <w:p w14:paraId="31E4AF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en-US"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供应商（公章）：    法定代表人（负责人）或授权代表（签字）：</w:t>
      </w:r>
    </w:p>
    <w:p w14:paraId="50340C7E">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spacing w:val="-8"/>
          <w:kern w:val="0"/>
          <w:sz w:val="24"/>
          <w:szCs w:val="24"/>
          <w:lang w:val="zh-CN" w:eastAsia="zh-CN" w:bidi="ar-SA"/>
        </w:rPr>
      </w:pPr>
      <w:r>
        <w:rPr>
          <w:rFonts w:hint="eastAsia" w:asciiTheme="minorEastAsia" w:hAnsiTheme="minorEastAsia" w:eastAsiaTheme="minorEastAsia" w:cstheme="minorEastAsia"/>
          <w:b/>
          <w:bCs/>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6124EAA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00F0C0E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61DD5D4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06262E6E">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600B967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D140C43">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41CDE6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FA5D7D0">
      <w:pPr>
        <w:keepNext w:val="0"/>
        <w:keepLines w:val="0"/>
        <w:pageBreakBefore w:val="0"/>
        <w:numPr>
          <w:ilvl w:val="0"/>
          <w:numId w:val="0"/>
        </w:numPr>
        <w:kinsoku/>
        <w:wordWrap w:val="0"/>
        <w:overflowPunct/>
        <w:topLinePunct w:val="0"/>
        <w:bidi w:val="0"/>
        <w:snapToGrid w:val="0"/>
        <w:spacing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23C96682">
      <w:pPr>
        <w:keepNext w:val="0"/>
        <w:keepLines w:val="0"/>
        <w:pageBreakBefore w:val="0"/>
        <w:numPr>
          <w:ilvl w:val="0"/>
          <w:numId w:val="0"/>
        </w:numPr>
        <w:kinsoku/>
        <w:wordWrap w:val="0"/>
        <w:overflowPunct/>
        <w:topLinePunct w:val="0"/>
        <w:bidi w:val="0"/>
        <w:snapToGrid w:val="0"/>
        <w:spacing w:line="360" w:lineRule="auto"/>
        <w:ind w:firstLine="468" w:firstLineChars="200"/>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1847B3D1">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A8D9A17">
      <w:pPr>
        <w:keepNext w:val="0"/>
        <w:keepLines w:val="0"/>
        <w:pageBreakBefore w:val="0"/>
        <w:widowControl/>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四、营业执照副本、依法缴纳税收和社会保障资金的缴费凭证、审计或财务报告、</w:t>
      </w:r>
      <w:r>
        <w:rPr>
          <w:rFonts w:hint="eastAsia" w:asciiTheme="minorEastAsia" w:hAnsiTheme="minorEastAsia" w:eastAsiaTheme="minorEastAsia" w:cstheme="minorEastAsia"/>
          <w:b/>
          <w:bCs/>
          <w:sz w:val="24"/>
          <w:szCs w:val="24"/>
          <w:lang w:eastAsia="zh-CN"/>
        </w:rPr>
        <w:t>具有履行合同所必需的设备和专业技术能力的承诺、</w:t>
      </w:r>
      <w:r>
        <w:rPr>
          <w:rFonts w:hint="eastAsia" w:asciiTheme="minorEastAsia" w:hAnsiTheme="minorEastAsia" w:eastAsiaTheme="minorEastAsia" w:cstheme="minorEastAsia"/>
          <w:b/>
          <w:bCs/>
          <w:snapToGrid w:val="0"/>
          <w:color w:val="000000"/>
          <w:spacing w:val="-3"/>
          <w:kern w:val="0"/>
          <w:sz w:val="24"/>
          <w:szCs w:val="24"/>
          <w:lang w:val="en-US" w:eastAsia="zh-CN" w:bidi="ar-SA"/>
        </w:rPr>
        <w:t>近三年内在经营活动中没有重大违法记录的声明等；</w:t>
      </w:r>
    </w:p>
    <w:p w14:paraId="76EFBF9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审计或财务报告</w:t>
      </w:r>
      <w:r>
        <w:rPr>
          <w:rFonts w:hint="eastAsia" w:asciiTheme="minorEastAsia" w:hAnsiTheme="minorEastAsia" w:eastAsiaTheme="minorEastAsia" w:cstheme="minorEastAsia"/>
          <w:b w:val="0"/>
          <w:bCs w:val="0"/>
          <w:sz w:val="24"/>
          <w:szCs w:val="24"/>
          <w:lang w:eastAsia="zh-CN"/>
        </w:rPr>
        <w:t>说明：</w:t>
      </w:r>
    </w:p>
    <w:p w14:paraId="1305DD7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1、</w:t>
      </w:r>
      <w:r>
        <w:rPr>
          <w:rFonts w:hint="eastAsia" w:asciiTheme="minorEastAsia" w:hAnsiTheme="minorEastAsia" w:eastAsiaTheme="minorEastAsia" w:cstheme="minorEastAsia"/>
          <w:b w:val="0"/>
          <w:bCs w:val="0"/>
          <w:sz w:val="24"/>
          <w:szCs w:val="24"/>
          <w:lang w:eastAsia="zh-CN"/>
        </w:rPr>
        <w:t>提供本单位上年度经会计师事务所出具的审计报告或本公司出具的财务报表或提供银行出具的证明文件。银行出具的证明文件应能说明该</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与银行之间业务往来正常，企业信誉良好等。</w:t>
      </w:r>
    </w:p>
    <w:p w14:paraId="7D15947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w:t>
      </w:r>
      <w:r>
        <w:rPr>
          <w:rFonts w:hint="eastAsia" w:asciiTheme="minorEastAsia" w:hAnsiTheme="minorEastAsia" w:eastAsiaTheme="minorEastAsia" w:cstheme="minorEastAsia"/>
          <w:spacing w:val="2"/>
          <w:sz w:val="24"/>
          <w:szCs w:val="24"/>
        </w:rPr>
        <w:t>供应商</w:t>
      </w:r>
      <w:r>
        <w:rPr>
          <w:rFonts w:hint="eastAsia" w:asciiTheme="minorEastAsia" w:hAnsiTheme="minorEastAsia" w:eastAsiaTheme="minorEastAsia" w:cstheme="minorEastAsia"/>
          <w:b w:val="0"/>
          <w:bCs w:val="0"/>
          <w:sz w:val="24"/>
          <w:szCs w:val="24"/>
          <w:lang w:eastAsia="zh-CN"/>
        </w:rPr>
        <w:t>提供企业有关财务会计制度。</w:t>
      </w:r>
    </w:p>
    <w:p w14:paraId="549852A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p>
    <w:p w14:paraId="019A57F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近三年内在经营活动中没有重大违法记录的声明（格式）</w:t>
      </w:r>
    </w:p>
    <w:p w14:paraId="0716010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3E5A467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t>声明函</w:t>
      </w:r>
    </w:p>
    <w:p w14:paraId="10D9566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7BA6368A">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（法定代表人或其授权代表）代表</w:t>
      </w:r>
      <w:r>
        <w:rPr>
          <w:rFonts w:hint="eastAsia" w:asciiTheme="minorEastAsia" w:hAnsiTheme="minorEastAsia" w:eastAsiaTheme="minorEastAsia" w:cstheme="minorEastAsia"/>
          <w:b w:val="0"/>
          <w:bCs w:val="0"/>
          <w:sz w:val="24"/>
          <w:szCs w:val="24"/>
          <w:u w:val="single"/>
          <w:lang w:eastAsia="zh-CN"/>
        </w:rPr>
        <w:t>（</w:t>
      </w:r>
      <w:r>
        <w:rPr>
          <w:rFonts w:hint="eastAsia" w:asciiTheme="minorEastAsia" w:hAnsiTheme="minorEastAsia" w:eastAsiaTheme="minorEastAsia" w:cstheme="minorEastAsia"/>
          <w:b w:val="0"/>
          <w:bCs w:val="0"/>
          <w:sz w:val="24"/>
          <w:szCs w:val="24"/>
          <w:lang w:eastAsia="zh-CN"/>
        </w:rPr>
        <w:t>公司全称）向本项目的采购人和采购代理</w:t>
      </w:r>
      <w:r>
        <w:rPr>
          <w:rFonts w:hint="eastAsia" w:asciiTheme="minorEastAsia" w:hAnsiTheme="minorEastAsia" w:eastAsiaTheme="minorEastAsia" w:cstheme="minorEastAsia"/>
          <w:b w:val="0"/>
          <w:bCs w:val="0"/>
          <w:sz w:val="24"/>
          <w:szCs w:val="24"/>
          <w:lang w:val="en-US" w:eastAsia="zh-CN"/>
        </w:rPr>
        <w:t>机构</w:t>
      </w:r>
      <w:r>
        <w:rPr>
          <w:rFonts w:hint="eastAsia" w:asciiTheme="minorEastAsia" w:hAnsiTheme="minorEastAsia" w:eastAsiaTheme="minorEastAsia" w:cstheme="minorEastAsia"/>
          <w:b w:val="0"/>
          <w:bCs w:val="0"/>
          <w:sz w:val="24"/>
          <w:szCs w:val="24"/>
          <w:lang w:eastAsia="zh-CN"/>
        </w:rPr>
        <w:t>郑重声明如下：</w:t>
      </w:r>
    </w:p>
    <w:p w14:paraId="268C5471">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我公司近三年来的经营活动中，未因违法经营受到刑事处罚或者责令停产停业、吊销许可证或者执照、较大数额罚款等行政处罚。</w:t>
      </w:r>
    </w:p>
    <w:p w14:paraId="354E118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特此声明。</w:t>
      </w:r>
    </w:p>
    <w:p w14:paraId="49C964D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1761817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0384B90B">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供应商（盖章）：</w:t>
      </w:r>
    </w:p>
    <w:p w14:paraId="2B3043E2">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eastAsia="zh-CN"/>
        </w:rPr>
        <w:t>法定代表人或其授权代表（签字）：</w:t>
      </w:r>
    </w:p>
    <w:p w14:paraId="3E5E2B6D">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BE2F44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41435AE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66BD382D">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0934A77B">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FC0F5D6">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FFB7C3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五、分项报价一览表、技术偏差表、商务偏差表、服务方案、售后服务计划等；</w:t>
      </w:r>
    </w:p>
    <w:p w14:paraId="0BF18DD1">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rPr>
        <w:sectPr>
          <w:headerReference r:id="rId10" w:type="default"/>
          <w:footerReference r:id="rId11" w:type="default"/>
          <w:pgSz w:w="11907" w:h="16840"/>
          <w:pgMar w:top="1440" w:right="1800" w:bottom="1440" w:left="1800" w:header="851" w:footer="992" w:gutter="0"/>
          <w:pgNumType w:fmt="decimal"/>
          <w:cols w:space="720" w:num="1"/>
          <w:docGrid w:linePitch="332" w:charSpace="0"/>
        </w:sectPr>
      </w:pPr>
    </w:p>
    <w:p w14:paraId="16679479">
      <w:pPr>
        <w:keepNext w:val="0"/>
        <w:keepLines w:val="0"/>
        <w:pageBreakBefore w:val="0"/>
        <w:kinsoku/>
        <w:wordWrap w:val="0"/>
        <w:overflowPunct/>
        <w:topLinePunct w:val="0"/>
        <w:bidi w:val="0"/>
        <w:jc w:val="center"/>
        <w:rPr>
          <w:rFonts w:hint="eastAsia" w:asciiTheme="minorEastAsia" w:hAnsiTheme="minorEastAsia" w:eastAsiaTheme="minorEastAsia" w:cstheme="minorEastAsia"/>
          <w:b/>
          <w:sz w:val="28"/>
          <w:szCs w:val="28"/>
          <w:lang w:eastAsia="zh-CN"/>
        </w:rPr>
      </w:pPr>
      <w:r>
        <w:rPr>
          <w:rFonts w:hint="eastAsia" w:asciiTheme="minorEastAsia" w:hAnsiTheme="minorEastAsia" w:eastAsiaTheme="minorEastAsia" w:cstheme="minorEastAsia"/>
          <w:b/>
          <w:sz w:val="24"/>
          <w:szCs w:val="24"/>
          <w:lang w:eastAsia="zh-CN"/>
        </w:rPr>
        <w:t>分项</w:t>
      </w:r>
      <w:r>
        <w:rPr>
          <w:rFonts w:hint="eastAsia" w:asciiTheme="minorEastAsia" w:hAnsiTheme="minorEastAsia" w:eastAsiaTheme="minorEastAsia" w:cstheme="minorEastAsia"/>
          <w:b/>
          <w:sz w:val="24"/>
          <w:szCs w:val="24"/>
        </w:rPr>
        <w:t>报价一览表</w:t>
      </w:r>
    </w:p>
    <w:tbl>
      <w:tblPr>
        <w:tblStyle w:val="13"/>
        <w:tblpPr w:leftFromText="180" w:rightFromText="180" w:vertAnchor="text" w:horzAnchor="page" w:tblpX="1670" w:tblpY="348"/>
        <w:tblOverlap w:val="never"/>
        <w:tblW w:w="0" w:type="auto"/>
        <w:tblInd w:w="0" w:type="dxa"/>
        <w:tblLayout w:type="fixed"/>
        <w:tblCellMar>
          <w:top w:w="0" w:type="dxa"/>
          <w:left w:w="108" w:type="dxa"/>
          <w:bottom w:w="0" w:type="dxa"/>
          <w:right w:w="108" w:type="dxa"/>
        </w:tblCellMar>
      </w:tblPr>
      <w:tblGrid>
        <w:gridCol w:w="710"/>
        <w:gridCol w:w="1241"/>
        <w:gridCol w:w="1276"/>
        <w:gridCol w:w="2977"/>
        <w:gridCol w:w="1559"/>
        <w:gridCol w:w="850"/>
        <w:gridCol w:w="993"/>
        <w:gridCol w:w="1275"/>
        <w:gridCol w:w="1418"/>
        <w:gridCol w:w="1843"/>
      </w:tblGrid>
      <w:tr w14:paraId="32194233">
        <w:tblPrEx>
          <w:tblCellMar>
            <w:top w:w="0" w:type="dxa"/>
            <w:left w:w="108" w:type="dxa"/>
            <w:bottom w:w="0" w:type="dxa"/>
            <w:right w:w="108" w:type="dxa"/>
          </w:tblCellMar>
        </w:tblPrEx>
        <w:trPr>
          <w:trHeight w:val="522" w:hRule="exact"/>
        </w:trPr>
        <w:tc>
          <w:tcPr>
            <w:tcW w:w="3227" w:type="dxa"/>
            <w:gridSpan w:val="3"/>
            <w:tcBorders>
              <w:top w:val="nil"/>
              <w:left w:val="nil"/>
              <w:bottom w:val="single" w:color="auto" w:sz="4" w:space="0"/>
              <w:right w:val="nil"/>
            </w:tcBorders>
            <w:noWrap w:val="0"/>
            <w:vAlign w:val="center"/>
          </w:tcPr>
          <w:p w14:paraId="11DED95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供应商</w:t>
            </w:r>
            <w:r>
              <w:rPr>
                <w:rFonts w:hint="eastAsia" w:asciiTheme="minorEastAsia" w:hAnsiTheme="minorEastAsia" w:eastAsiaTheme="minorEastAsia" w:cstheme="minorEastAsia"/>
                <w:sz w:val="24"/>
                <w:szCs w:val="24"/>
                <w:lang w:eastAsia="zh-CN"/>
              </w:rPr>
              <w:t>名称（公章）：</w:t>
            </w:r>
          </w:p>
        </w:tc>
        <w:tc>
          <w:tcPr>
            <w:tcW w:w="4536" w:type="dxa"/>
            <w:gridSpan w:val="2"/>
            <w:tcBorders>
              <w:top w:val="nil"/>
              <w:left w:val="nil"/>
              <w:bottom w:val="single" w:color="auto" w:sz="4" w:space="0"/>
              <w:right w:val="nil"/>
            </w:tcBorders>
            <w:noWrap w:val="0"/>
            <w:vAlign w:val="center"/>
          </w:tcPr>
          <w:p w14:paraId="06AA314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850" w:type="dxa"/>
            <w:tcBorders>
              <w:top w:val="nil"/>
              <w:left w:val="nil"/>
              <w:bottom w:val="single" w:color="auto" w:sz="4" w:space="0"/>
              <w:right w:val="nil"/>
            </w:tcBorders>
            <w:noWrap w:val="0"/>
            <w:vAlign w:val="center"/>
          </w:tcPr>
          <w:p w14:paraId="7A1C49F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993" w:type="dxa"/>
            <w:tcBorders>
              <w:top w:val="nil"/>
              <w:left w:val="nil"/>
              <w:bottom w:val="single" w:color="auto" w:sz="4" w:space="0"/>
              <w:right w:val="nil"/>
            </w:tcBorders>
            <w:noWrap w:val="0"/>
            <w:vAlign w:val="center"/>
          </w:tcPr>
          <w:p w14:paraId="3BE39C7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4"/>
                <w:szCs w:val="24"/>
                <w:lang w:eastAsia="zh-CN"/>
              </w:rPr>
            </w:pPr>
          </w:p>
        </w:tc>
        <w:tc>
          <w:tcPr>
            <w:tcW w:w="2693" w:type="dxa"/>
            <w:gridSpan w:val="2"/>
            <w:tcBorders>
              <w:top w:val="nil"/>
              <w:left w:val="nil"/>
              <w:bottom w:val="single" w:color="auto" w:sz="4" w:space="0"/>
              <w:right w:val="nil"/>
            </w:tcBorders>
            <w:noWrap w:val="0"/>
            <w:vAlign w:val="center"/>
          </w:tcPr>
          <w:p w14:paraId="25A5771C">
            <w:pPr>
              <w:keepNext w:val="0"/>
              <w:keepLines w:val="0"/>
              <w:pageBreakBefore w:val="0"/>
              <w:kinsoku/>
              <w:wordWrap w:val="0"/>
              <w:overflowPunct/>
              <w:topLinePunct w:val="0"/>
              <w:bidi w:val="0"/>
              <w:spacing w:line="360" w:lineRule="auto"/>
              <w:ind w:firstLine="360" w:firstLineChars="15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项目编号：</w:t>
            </w:r>
          </w:p>
        </w:tc>
        <w:tc>
          <w:tcPr>
            <w:tcW w:w="1843" w:type="dxa"/>
            <w:tcBorders>
              <w:top w:val="nil"/>
              <w:left w:val="nil"/>
              <w:bottom w:val="single" w:color="auto" w:sz="4" w:space="0"/>
              <w:right w:val="nil"/>
            </w:tcBorders>
            <w:noWrap w:val="0"/>
            <w:vAlign w:val="center"/>
          </w:tcPr>
          <w:p w14:paraId="398BE41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tc>
      </w:tr>
      <w:tr w14:paraId="689D91BD">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520251F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序号</w:t>
            </w:r>
          </w:p>
        </w:tc>
        <w:tc>
          <w:tcPr>
            <w:tcW w:w="1241" w:type="dxa"/>
            <w:tcBorders>
              <w:top w:val="single" w:color="auto" w:sz="4" w:space="0"/>
              <w:left w:val="single" w:color="auto" w:sz="4" w:space="0"/>
              <w:bottom w:val="single" w:color="auto" w:sz="4" w:space="0"/>
              <w:right w:val="single" w:color="auto" w:sz="4" w:space="0"/>
            </w:tcBorders>
            <w:noWrap w:val="0"/>
            <w:vAlign w:val="center"/>
          </w:tcPr>
          <w:p w14:paraId="2EB67A6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设备名称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AFC432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品牌型号</w:t>
            </w:r>
          </w:p>
        </w:tc>
        <w:tc>
          <w:tcPr>
            <w:tcW w:w="2977" w:type="dxa"/>
            <w:tcBorders>
              <w:top w:val="single" w:color="auto" w:sz="4" w:space="0"/>
              <w:left w:val="single" w:color="auto" w:sz="4" w:space="0"/>
              <w:bottom w:val="single" w:color="auto" w:sz="4" w:space="0"/>
              <w:right w:val="single" w:color="auto" w:sz="4" w:space="0"/>
            </w:tcBorders>
            <w:noWrap w:val="0"/>
            <w:vAlign w:val="center"/>
          </w:tcPr>
          <w:p w14:paraId="1160EDE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规格、技术指标</w:t>
            </w:r>
          </w:p>
        </w:tc>
        <w:tc>
          <w:tcPr>
            <w:tcW w:w="1559" w:type="dxa"/>
            <w:tcBorders>
              <w:top w:val="single" w:color="auto" w:sz="4" w:space="0"/>
              <w:left w:val="single" w:color="auto" w:sz="4" w:space="0"/>
              <w:bottom w:val="single" w:color="auto" w:sz="4" w:space="0"/>
              <w:right w:val="single" w:color="auto" w:sz="4" w:space="0"/>
            </w:tcBorders>
            <w:noWrap w:val="0"/>
            <w:vAlign w:val="center"/>
          </w:tcPr>
          <w:p w14:paraId="3ED57B5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生产厂家</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183316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单位</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7C304FB5">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数量</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4A3A2A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单价</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B5F101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小计（元）</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3F0C8B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交货安装时间</w:t>
            </w:r>
          </w:p>
        </w:tc>
      </w:tr>
      <w:tr w14:paraId="46669A28">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4558B5F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1</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B22FA3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6D48FDA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52C7707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071A212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01ECF6A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FFDC97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521844D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B1E677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399F4239">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3270307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3A877AB9">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1401FEDC">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2</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0DC0830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3CCFBBA6">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5644510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6941485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4A75072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19AD4C5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13ED70E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691AD8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7AD4742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27B64B9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1B02556A">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78465FB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3</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44E5A2B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0FAA3F84">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4C12CD9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3256C73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37BEDDD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637179C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29ADCA6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73A88FC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50E1501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835DBD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682784EE">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06AE072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4</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474049A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53E979C1">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66EE1AA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4739FF1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3745E52F">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0C5DC20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3AEC51AA">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4E6A485C">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0467465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65EC864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F6F9335">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4CD1D59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173EA81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4E2B218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41D37AF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339B0C1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2D8A518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5944BA80">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615981D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61585C0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173D86EB">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777FE5A4">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2F21BB8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3C42E47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3577BE1E">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11711E33">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096A4F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17BCD68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2CBDC157">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0B4777CD">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52D8D3C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56C6512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p w14:paraId="5EAB6406">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45A7E477">
        <w:tblPrEx>
          <w:tblCellMar>
            <w:top w:w="0" w:type="dxa"/>
            <w:left w:w="108" w:type="dxa"/>
            <w:bottom w:w="0" w:type="dxa"/>
            <w:right w:w="108" w:type="dxa"/>
          </w:tblCellMar>
        </w:tblPrEx>
        <w:trPr>
          <w:trHeight w:val="567" w:hRule="exact"/>
        </w:trPr>
        <w:tc>
          <w:tcPr>
            <w:tcW w:w="710" w:type="dxa"/>
            <w:tcBorders>
              <w:top w:val="single" w:color="auto" w:sz="4" w:space="0"/>
              <w:left w:val="single" w:color="auto" w:sz="4" w:space="0"/>
              <w:bottom w:val="single" w:color="auto" w:sz="4" w:space="0"/>
              <w:right w:val="single" w:color="auto" w:sz="4" w:space="0"/>
            </w:tcBorders>
            <w:noWrap w:val="0"/>
            <w:vAlign w:val="center"/>
          </w:tcPr>
          <w:p w14:paraId="1764B3E0">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w:t>
            </w:r>
          </w:p>
        </w:tc>
        <w:tc>
          <w:tcPr>
            <w:tcW w:w="1241" w:type="dxa"/>
            <w:tcBorders>
              <w:top w:val="single" w:color="auto" w:sz="4" w:space="0"/>
              <w:left w:val="single" w:color="auto" w:sz="4" w:space="0"/>
              <w:bottom w:val="single" w:color="auto" w:sz="4" w:space="0"/>
              <w:right w:val="single" w:color="auto" w:sz="4" w:space="0"/>
            </w:tcBorders>
            <w:noWrap w:val="0"/>
            <w:vAlign w:val="bottom"/>
          </w:tcPr>
          <w:p w14:paraId="666EF90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bottom"/>
          </w:tcPr>
          <w:p w14:paraId="79D5C28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8"/>
                <w:szCs w:val="28"/>
                <w:lang w:eastAsia="zh-CN"/>
              </w:rPr>
            </w:pPr>
          </w:p>
        </w:tc>
        <w:tc>
          <w:tcPr>
            <w:tcW w:w="2977" w:type="dxa"/>
            <w:tcBorders>
              <w:top w:val="single" w:color="auto" w:sz="4" w:space="0"/>
              <w:left w:val="single" w:color="auto" w:sz="4" w:space="0"/>
              <w:bottom w:val="single" w:color="auto" w:sz="4" w:space="0"/>
              <w:right w:val="single" w:color="auto" w:sz="4" w:space="0"/>
            </w:tcBorders>
            <w:noWrap w:val="0"/>
            <w:vAlign w:val="bottom"/>
          </w:tcPr>
          <w:p w14:paraId="67970148">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559" w:type="dxa"/>
            <w:tcBorders>
              <w:top w:val="single" w:color="auto" w:sz="4" w:space="0"/>
              <w:left w:val="single" w:color="auto" w:sz="4" w:space="0"/>
              <w:bottom w:val="single" w:color="auto" w:sz="4" w:space="0"/>
              <w:right w:val="single" w:color="auto" w:sz="4" w:space="0"/>
            </w:tcBorders>
            <w:noWrap w:val="0"/>
            <w:vAlign w:val="bottom"/>
          </w:tcPr>
          <w:p w14:paraId="2847C801">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850" w:type="dxa"/>
            <w:tcBorders>
              <w:top w:val="single" w:color="auto" w:sz="4" w:space="0"/>
              <w:left w:val="single" w:color="auto" w:sz="4" w:space="0"/>
              <w:bottom w:val="single" w:color="auto" w:sz="4" w:space="0"/>
              <w:right w:val="single" w:color="auto" w:sz="4" w:space="0"/>
            </w:tcBorders>
            <w:noWrap w:val="0"/>
            <w:vAlign w:val="bottom"/>
          </w:tcPr>
          <w:p w14:paraId="0450A0F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993" w:type="dxa"/>
            <w:tcBorders>
              <w:top w:val="single" w:color="auto" w:sz="4" w:space="0"/>
              <w:left w:val="single" w:color="auto" w:sz="4" w:space="0"/>
              <w:bottom w:val="single" w:color="auto" w:sz="4" w:space="0"/>
              <w:right w:val="single" w:color="auto" w:sz="4" w:space="0"/>
            </w:tcBorders>
            <w:noWrap w:val="0"/>
            <w:vAlign w:val="bottom"/>
          </w:tcPr>
          <w:p w14:paraId="0CFB3B02">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275" w:type="dxa"/>
            <w:tcBorders>
              <w:top w:val="single" w:color="auto" w:sz="4" w:space="0"/>
              <w:left w:val="single" w:color="auto" w:sz="4" w:space="0"/>
              <w:bottom w:val="single" w:color="auto" w:sz="4" w:space="0"/>
              <w:right w:val="single" w:color="auto" w:sz="4" w:space="0"/>
            </w:tcBorders>
            <w:noWrap w:val="0"/>
            <w:vAlign w:val="bottom"/>
          </w:tcPr>
          <w:p w14:paraId="65923425">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bottom"/>
          </w:tcPr>
          <w:p w14:paraId="34A13ED4">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c>
          <w:tcPr>
            <w:tcW w:w="1843" w:type="dxa"/>
            <w:tcBorders>
              <w:top w:val="single" w:color="auto" w:sz="4" w:space="0"/>
              <w:left w:val="single" w:color="auto" w:sz="4" w:space="0"/>
              <w:bottom w:val="single" w:color="auto" w:sz="4" w:space="0"/>
              <w:right w:val="single" w:color="auto" w:sz="4" w:space="0"/>
            </w:tcBorders>
            <w:noWrap w:val="0"/>
            <w:vAlign w:val="bottom"/>
          </w:tcPr>
          <w:p w14:paraId="356A45BE">
            <w:pPr>
              <w:keepNext w:val="0"/>
              <w:keepLines w:val="0"/>
              <w:pageBreakBefore w:val="0"/>
              <w:kinsoku/>
              <w:wordWrap w:val="0"/>
              <w:overflowPunct/>
              <w:topLinePunct w:val="0"/>
              <w:bidi w:val="0"/>
              <w:spacing w:line="360" w:lineRule="auto"/>
              <w:ind w:firstLine="567"/>
              <w:jc w:val="both"/>
              <w:rPr>
                <w:rFonts w:hint="eastAsia" w:asciiTheme="minorEastAsia" w:hAnsiTheme="minorEastAsia" w:eastAsiaTheme="minorEastAsia" w:cstheme="minorEastAsia"/>
                <w:sz w:val="28"/>
                <w:szCs w:val="28"/>
                <w:lang w:eastAsia="zh-CN"/>
              </w:rPr>
            </w:pPr>
          </w:p>
        </w:tc>
      </w:tr>
      <w:tr w14:paraId="2A749CFF">
        <w:tblPrEx>
          <w:tblCellMar>
            <w:top w:w="0" w:type="dxa"/>
            <w:left w:w="108" w:type="dxa"/>
            <w:bottom w:w="0" w:type="dxa"/>
            <w:right w:w="108" w:type="dxa"/>
          </w:tblCellMar>
        </w:tblPrEx>
        <w:trPr>
          <w:trHeight w:val="567" w:hRule="atLeast"/>
        </w:trPr>
        <w:tc>
          <w:tcPr>
            <w:tcW w:w="14142" w:type="dxa"/>
            <w:gridSpan w:val="10"/>
            <w:tcBorders>
              <w:top w:val="single" w:color="auto" w:sz="4" w:space="0"/>
              <w:left w:val="single" w:color="auto" w:sz="4" w:space="0"/>
              <w:bottom w:val="single" w:color="auto" w:sz="4" w:space="0"/>
              <w:right w:val="single" w:color="auto" w:sz="4" w:space="0"/>
            </w:tcBorders>
            <w:noWrap w:val="0"/>
            <w:vAlign w:val="center"/>
          </w:tcPr>
          <w:p w14:paraId="52E2A68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报价金额合计（大写）：</w:t>
            </w:r>
          </w:p>
        </w:tc>
      </w:tr>
    </w:tbl>
    <w:p w14:paraId="1ACC9EE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1916010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法定代表人（负责人）或授权代表（签字）：</w:t>
      </w:r>
      <w:r>
        <w:rPr>
          <w:rFonts w:hint="eastAsia" w:asciiTheme="minorEastAsia" w:hAnsiTheme="minorEastAsia" w:eastAsiaTheme="minorEastAsia" w:cstheme="minorEastAsia"/>
          <w:sz w:val="24"/>
          <w:szCs w:val="24"/>
          <w:lang w:val="en-US" w:eastAsia="zh-CN"/>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032C99FD">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z w:val="24"/>
          <w:szCs w:val="24"/>
          <w:lang w:eastAsia="zh-CN"/>
        </w:rPr>
      </w:pPr>
    </w:p>
    <w:p w14:paraId="438D9F1E">
      <w:pPr>
        <w:keepNext w:val="0"/>
        <w:keepLines w:val="0"/>
        <w:pageBreakBefore w:val="0"/>
        <w:kinsoku/>
        <w:wordWrap w:val="0"/>
        <w:overflowPunct/>
        <w:topLinePunct w:val="0"/>
        <w:bidi w:val="0"/>
        <w:spacing w:line="360" w:lineRule="auto"/>
        <w:ind w:firstLine="240" w:firstLineChars="100"/>
        <w:jc w:val="both"/>
        <w:rPr>
          <w:rFonts w:hint="eastAsia" w:asciiTheme="minorEastAsia" w:hAnsiTheme="minorEastAsia" w:eastAsiaTheme="minorEastAsia" w:cstheme="minorEastAsia"/>
          <w:sz w:val="24"/>
          <w:szCs w:val="24"/>
          <w:lang w:eastAsia="zh-CN"/>
        </w:rPr>
        <w:sectPr>
          <w:pgSz w:w="16840" w:h="11907" w:orient="landscape"/>
          <w:pgMar w:top="1440" w:right="1800" w:bottom="1440" w:left="1800" w:header="851" w:footer="992" w:gutter="0"/>
          <w:pgNumType w:fmt="decimal"/>
          <w:cols w:space="720" w:num="1"/>
          <w:docGrid w:linePitch="332" w:charSpace="0"/>
        </w:sectPr>
      </w:pPr>
    </w:p>
    <w:p w14:paraId="19768901">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b/>
          <w:bCs/>
          <w:sz w:val="24"/>
          <w:szCs w:val="24"/>
          <w:lang w:eastAsia="zh-CN"/>
        </w:rPr>
      </w:pPr>
    </w:p>
    <w:p w14:paraId="6E241E5A">
      <w:pPr>
        <w:keepNext w:val="0"/>
        <w:keepLines w:val="0"/>
        <w:pageBreakBefore w:val="0"/>
        <w:kinsoku/>
        <w:wordWrap w:val="0"/>
        <w:overflowPunct/>
        <w:topLinePunct w:val="0"/>
        <w:bidi w:val="0"/>
        <w:spacing w:line="240" w:lineRule="atLeast"/>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b/>
          <w:bCs/>
          <w:sz w:val="24"/>
          <w:szCs w:val="24"/>
          <w:lang w:eastAsia="zh-CN"/>
        </w:rPr>
        <w:t>技术规格偏离表</w:t>
      </w:r>
    </w:p>
    <w:p w14:paraId="53DB405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p w14:paraId="58C02330">
      <w:pPr>
        <w:keepNext w:val="0"/>
        <w:keepLines w:val="0"/>
        <w:pageBreakBefore w:val="0"/>
        <w:kinsoku/>
        <w:wordWrap w:val="0"/>
        <w:overflowPunct/>
        <w:topLinePunct w:val="0"/>
        <w:bidi w:val="0"/>
        <w:spacing w:line="240" w:lineRule="atLeast"/>
        <w:ind w:firstLine="480" w:firstLineChars="200"/>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81"/>
        <w:gridCol w:w="1418"/>
        <w:gridCol w:w="1337"/>
        <w:gridCol w:w="1276"/>
        <w:gridCol w:w="1214"/>
      </w:tblGrid>
      <w:tr w14:paraId="110A4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10DCB9E2">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381" w:type="dxa"/>
            <w:tcBorders>
              <w:top w:val="single" w:color="auto" w:sz="4" w:space="0"/>
              <w:left w:val="single" w:color="auto" w:sz="4" w:space="0"/>
              <w:bottom w:val="single" w:color="auto" w:sz="4" w:space="0"/>
              <w:right w:val="single" w:color="auto" w:sz="4" w:space="0"/>
            </w:tcBorders>
            <w:noWrap w:val="0"/>
            <w:vAlign w:val="center"/>
          </w:tcPr>
          <w:p w14:paraId="082806F6">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货物名称</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387531EC">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规格</w:t>
            </w:r>
          </w:p>
        </w:tc>
        <w:tc>
          <w:tcPr>
            <w:tcW w:w="1337" w:type="dxa"/>
            <w:tcBorders>
              <w:top w:val="single" w:color="auto" w:sz="4" w:space="0"/>
              <w:left w:val="single" w:color="auto" w:sz="4" w:space="0"/>
              <w:bottom w:val="single" w:color="auto" w:sz="4" w:space="0"/>
              <w:right w:val="single" w:color="auto" w:sz="4" w:space="0"/>
            </w:tcBorders>
            <w:noWrap w:val="0"/>
            <w:vAlign w:val="center"/>
          </w:tcPr>
          <w:p w14:paraId="5869C27B">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规格</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ED2D5C8">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偏离</w:t>
            </w:r>
          </w:p>
        </w:tc>
        <w:tc>
          <w:tcPr>
            <w:tcW w:w="1214" w:type="dxa"/>
            <w:tcBorders>
              <w:top w:val="single" w:color="auto" w:sz="4" w:space="0"/>
              <w:left w:val="single" w:color="auto" w:sz="4" w:space="0"/>
              <w:bottom w:val="single" w:color="auto" w:sz="4" w:space="0"/>
              <w:right w:val="single" w:color="auto" w:sz="4" w:space="0"/>
            </w:tcBorders>
            <w:noWrap w:val="0"/>
            <w:vAlign w:val="center"/>
          </w:tcPr>
          <w:p w14:paraId="587B33DA">
            <w:pPr>
              <w:keepNext w:val="0"/>
              <w:keepLines w:val="0"/>
              <w:pageBreakBefore w:val="0"/>
              <w:kinsoku/>
              <w:wordWrap w:val="0"/>
              <w:overflowPunct/>
              <w:topLinePunct w:val="0"/>
              <w:bidi w:val="0"/>
              <w:spacing w:line="240" w:lineRule="atLeast"/>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说明</w:t>
            </w:r>
          </w:p>
        </w:tc>
      </w:tr>
      <w:tr w14:paraId="23CE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2E30D4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0746DC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7A394C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41A191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76B596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A3FBB3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F65C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B7DB3A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7177BBC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65B327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B6547E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0DD500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298487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DCC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153D2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978825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04408B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003775F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6399E7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779160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24F79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D8AB1D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4057ED8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D17059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51CC2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134103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D838A6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313E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D752E7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F150B2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4982B22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292198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CBC68C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0ADB4D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EA0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680E4C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F1B9E2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97CAC0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6E9EE0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2841F4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77F49D1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1DF8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B22C6F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E3081D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25059E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3990E33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F2507A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30CFA40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28DC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C994D1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0A5FD1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56C0A9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610ED0FB">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E1397B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DDE749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469F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D39B29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2E916CA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D08C3F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78B45FA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8871D3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75852D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0E55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67387F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02570E7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29AEC23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6B3EAB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2CEC4EA">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0D8DD3F4">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827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FF63C4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1FF36C1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692DD4A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282724F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4474E8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2FEC870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3259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B69066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624A9CB3">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340F4FF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6B325AFF">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B93B8A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58D9163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323C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CBFBEE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527B089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12012C4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1CB62818">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B7D46C0">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0CEDE9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6F98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47F3FE6">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380A7CF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E2974C5">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5A668C7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433B8CC">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1C80FC2D">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r w14:paraId="501C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454CA5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81" w:type="dxa"/>
            <w:tcBorders>
              <w:top w:val="single" w:color="auto" w:sz="4" w:space="0"/>
              <w:left w:val="single" w:color="auto" w:sz="4" w:space="0"/>
              <w:bottom w:val="single" w:color="auto" w:sz="4" w:space="0"/>
              <w:right w:val="single" w:color="auto" w:sz="4" w:space="0"/>
            </w:tcBorders>
            <w:noWrap w:val="0"/>
            <w:vAlign w:val="top"/>
          </w:tcPr>
          <w:p w14:paraId="0BA19431">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418" w:type="dxa"/>
            <w:tcBorders>
              <w:top w:val="single" w:color="auto" w:sz="4" w:space="0"/>
              <w:left w:val="single" w:color="auto" w:sz="4" w:space="0"/>
              <w:bottom w:val="single" w:color="auto" w:sz="4" w:space="0"/>
              <w:right w:val="single" w:color="auto" w:sz="4" w:space="0"/>
            </w:tcBorders>
            <w:noWrap w:val="0"/>
            <w:vAlign w:val="top"/>
          </w:tcPr>
          <w:p w14:paraId="5B9C04A9">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337" w:type="dxa"/>
            <w:tcBorders>
              <w:top w:val="single" w:color="auto" w:sz="4" w:space="0"/>
              <w:left w:val="single" w:color="auto" w:sz="4" w:space="0"/>
              <w:bottom w:val="single" w:color="auto" w:sz="4" w:space="0"/>
              <w:right w:val="single" w:color="auto" w:sz="4" w:space="0"/>
            </w:tcBorders>
            <w:noWrap w:val="0"/>
            <w:vAlign w:val="top"/>
          </w:tcPr>
          <w:p w14:paraId="4DF3C72E">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9554D97">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c>
          <w:tcPr>
            <w:tcW w:w="1214" w:type="dxa"/>
            <w:tcBorders>
              <w:top w:val="single" w:color="auto" w:sz="4" w:space="0"/>
              <w:left w:val="single" w:color="auto" w:sz="4" w:space="0"/>
              <w:bottom w:val="single" w:color="auto" w:sz="4" w:space="0"/>
              <w:right w:val="single" w:color="auto" w:sz="4" w:space="0"/>
            </w:tcBorders>
            <w:noWrap w:val="0"/>
            <w:vAlign w:val="top"/>
          </w:tcPr>
          <w:p w14:paraId="67AFCDA2">
            <w:pPr>
              <w:keepNext w:val="0"/>
              <w:keepLines w:val="0"/>
              <w:pageBreakBefore w:val="0"/>
              <w:kinsoku/>
              <w:wordWrap w:val="0"/>
              <w:overflowPunct/>
              <w:topLinePunct w:val="0"/>
              <w:bidi w:val="0"/>
              <w:spacing w:line="240" w:lineRule="atLeast"/>
              <w:ind w:left="1080" w:leftChars="257" w:hanging="540"/>
              <w:jc w:val="both"/>
              <w:rPr>
                <w:rFonts w:hint="eastAsia" w:asciiTheme="minorEastAsia" w:hAnsiTheme="minorEastAsia" w:eastAsiaTheme="minorEastAsia" w:cstheme="minorEastAsia"/>
                <w:sz w:val="24"/>
                <w:szCs w:val="24"/>
                <w:lang w:eastAsia="zh-CN"/>
              </w:rPr>
            </w:pPr>
          </w:p>
        </w:tc>
      </w:tr>
    </w:tbl>
    <w:p w14:paraId="550CAA97">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lang w:val="en-US" w:eastAsia="zh-CN"/>
        </w:rPr>
        <w:t>供应商</w:t>
      </w:r>
      <w:r>
        <w:rPr>
          <w:rFonts w:hint="eastAsia" w:asciiTheme="minorEastAsia" w:hAnsiTheme="minorEastAsia" w:eastAsiaTheme="minorEastAsia" w:cstheme="minorEastAsia"/>
          <w:b/>
          <w:sz w:val="24"/>
          <w:szCs w:val="24"/>
          <w:lang w:eastAsia="zh-CN"/>
        </w:rPr>
        <w:t>（公章）：法定代表人（负责人）或授权代表（签字）：</w:t>
      </w:r>
    </w:p>
    <w:p w14:paraId="4D340A27">
      <w:pPr>
        <w:keepNext w:val="0"/>
        <w:keepLines w:val="0"/>
        <w:pageBreakBefore w:val="0"/>
        <w:kinsoku/>
        <w:wordWrap w:val="0"/>
        <w:overflowPunct/>
        <w:topLinePunct w:val="0"/>
        <w:bidi w:val="0"/>
        <w:spacing w:line="360" w:lineRule="auto"/>
        <w:ind w:firstLine="482" w:firstLineChars="200"/>
        <w:jc w:val="both"/>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lang w:val="en-US" w:eastAsia="zh-CN"/>
        </w:rPr>
        <w:t>日期：</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4516F307">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p>
    <w:p w14:paraId="49F31B3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43DBA073">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val="en-US" w:eastAsia="zh-CN"/>
        </w:rPr>
      </w:pPr>
    </w:p>
    <w:p w14:paraId="74E675EE">
      <w:pPr>
        <w:keepNext w:val="0"/>
        <w:keepLines w:val="0"/>
        <w:pageBreakBefore w:val="0"/>
        <w:kinsoku/>
        <w:wordWrap w:val="0"/>
        <w:overflowPunct/>
        <w:topLinePunct w:val="0"/>
        <w:bidi w:val="0"/>
        <w:ind w:firstLine="482"/>
        <w:jc w:val="both"/>
        <w:rPr>
          <w:rFonts w:hint="eastAsia" w:asciiTheme="minorEastAsia" w:hAnsiTheme="minorEastAsia" w:eastAsiaTheme="minorEastAsia" w:cstheme="minorEastAsia"/>
          <w:b/>
          <w:sz w:val="24"/>
          <w:szCs w:val="24"/>
          <w:lang w:eastAsia="zh-CN"/>
        </w:rPr>
      </w:pPr>
    </w:p>
    <w:p w14:paraId="79010102">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7AFD4B92">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74F7102D">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67386603">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3A2E6D0B">
      <w:pPr>
        <w:keepNext w:val="0"/>
        <w:keepLines w:val="0"/>
        <w:pageBreakBefore w:val="0"/>
        <w:kinsoku/>
        <w:wordWrap w:val="0"/>
        <w:overflowPunct/>
        <w:topLinePunct w:val="0"/>
        <w:bidi w:val="0"/>
        <w:jc w:val="both"/>
        <w:rPr>
          <w:rFonts w:hint="eastAsia" w:asciiTheme="minorEastAsia" w:hAnsiTheme="minorEastAsia" w:eastAsiaTheme="minorEastAsia" w:cstheme="minorEastAsia"/>
          <w:b/>
          <w:sz w:val="24"/>
          <w:szCs w:val="24"/>
          <w:lang w:eastAsia="zh-CN"/>
        </w:rPr>
      </w:pPr>
    </w:p>
    <w:p w14:paraId="60F6AD9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t>商务偏差表</w:t>
      </w:r>
    </w:p>
    <w:p w14:paraId="57E431F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p>
    <w:p w14:paraId="747C5C2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项目名称：</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lang w:eastAsia="zh-CN"/>
        </w:rPr>
        <w:t>项目编号：</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974"/>
        <w:gridCol w:w="1853"/>
        <w:gridCol w:w="1690"/>
        <w:gridCol w:w="1276"/>
      </w:tblGrid>
      <w:tr w14:paraId="26FF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27" w:type="dxa"/>
            <w:tcBorders>
              <w:top w:val="single" w:color="auto" w:sz="4" w:space="0"/>
              <w:left w:val="single" w:color="auto" w:sz="4" w:space="0"/>
              <w:bottom w:val="single" w:color="auto" w:sz="4" w:space="0"/>
              <w:right w:val="single" w:color="auto" w:sz="4" w:space="0"/>
            </w:tcBorders>
            <w:noWrap w:val="0"/>
            <w:vAlign w:val="center"/>
          </w:tcPr>
          <w:p w14:paraId="2F3FBDCA">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1974" w:type="dxa"/>
            <w:tcBorders>
              <w:top w:val="single" w:color="auto" w:sz="4" w:space="0"/>
              <w:left w:val="single" w:color="auto" w:sz="4" w:space="0"/>
              <w:bottom w:val="single" w:color="auto" w:sz="4" w:space="0"/>
              <w:right w:val="single" w:color="auto" w:sz="4" w:space="0"/>
            </w:tcBorders>
            <w:noWrap w:val="0"/>
            <w:vAlign w:val="bottom"/>
          </w:tcPr>
          <w:p w14:paraId="4780EBB8">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采购</w:t>
            </w:r>
            <w:r>
              <w:rPr>
                <w:rFonts w:hint="eastAsia" w:asciiTheme="minorEastAsia" w:hAnsiTheme="minorEastAsia" w:eastAsiaTheme="minorEastAsia" w:cstheme="minorEastAsia"/>
                <w:sz w:val="24"/>
                <w:szCs w:val="24"/>
                <w:lang w:eastAsia="zh-CN"/>
              </w:rPr>
              <w:t>文件</w:t>
            </w:r>
          </w:p>
          <w:p w14:paraId="52B6384D">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商务条款</w:t>
            </w:r>
          </w:p>
        </w:tc>
        <w:tc>
          <w:tcPr>
            <w:tcW w:w="1853" w:type="dxa"/>
            <w:tcBorders>
              <w:top w:val="single" w:color="auto" w:sz="4" w:space="0"/>
              <w:left w:val="single" w:color="auto" w:sz="4" w:space="0"/>
              <w:bottom w:val="single" w:color="auto" w:sz="4" w:space="0"/>
              <w:right w:val="single" w:color="auto" w:sz="4" w:space="0"/>
            </w:tcBorders>
            <w:noWrap w:val="0"/>
            <w:vAlign w:val="bottom"/>
          </w:tcPr>
          <w:p w14:paraId="162D580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响应</w:t>
            </w:r>
            <w:r>
              <w:rPr>
                <w:rFonts w:hint="eastAsia" w:asciiTheme="minorEastAsia" w:hAnsiTheme="minorEastAsia" w:eastAsiaTheme="minorEastAsia" w:cstheme="minorEastAsia"/>
                <w:sz w:val="24"/>
                <w:szCs w:val="24"/>
                <w:lang w:eastAsia="zh-CN"/>
              </w:rPr>
              <w:t>文件商务条款</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760522BF">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偏差描述</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0467019">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结论</w:t>
            </w:r>
          </w:p>
        </w:tc>
      </w:tr>
      <w:tr w14:paraId="0595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6CA7892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31ADB0B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115F2A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36F2E4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C2F6D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4519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ECBB86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B725B8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32EC9A3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EA57A1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7B0D17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0E03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31812756">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2A1920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4CE1D5F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3216E1C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F12FBD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4335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6A0B466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1054E1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6CD7633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C57DFE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BAF589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31E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A0FECF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617008B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F44118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1225952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8AB409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5050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5784B2C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081FE18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69C305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0767DDA9">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3F611C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37C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7EBFEF6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2A09CF8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5CCA0068">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619104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2554E1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24DA9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472C73EF">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5C22CEE0">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0DAD94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26AAB117">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6343BE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5143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0F215EB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7314FEE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7A65CD6A">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770DFF1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D5C527B">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3EC7B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1162D20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E6B2582">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162346A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5DFA1A8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2D418A3">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r w14:paraId="1026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827" w:type="dxa"/>
            <w:tcBorders>
              <w:top w:val="single" w:color="auto" w:sz="4" w:space="0"/>
              <w:left w:val="single" w:color="auto" w:sz="4" w:space="0"/>
              <w:bottom w:val="single" w:color="auto" w:sz="4" w:space="0"/>
              <w:right w:val="single" w:color="auto" w:sz="4" w:space="0"/>
            </w:tcBorders>
            <w:noWrap w:val="0"/>
            <w:vAlign w:val="top"/>
          </w:tcPr>
          <w:p w14:paraId="230019F5">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974" w:type="dxa"/>
            <w:tcBorders>
              <w:top w:val="single" w:color="auto" w:sz="4" w:space="0"/>
              <w:left w:val="single" w:color="auto" w:sz="4" w:space="0"/>
              <w:bottom w:val="single" w:color="auto" w:sz="4" w:space="0"/>
              <w:right w:val="single" w:color="auto" w:sz="4" w:space="0"/>
            </w:tcBorders>
            <w:noWrap w:val="0"/>
            <w:vAlign w:val="top"/>
          </w:tcPr>
          <w:p w14:paraId="12048F54">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853" w:type="dxa"/>
            <w:tcBorders>
              <w:top w:val="single" w:color="auto" w:sz="4" w:space="0"/>
              <w:left w:val="single" w:color="auto" w:sz="4" w:space="0"/>
              <w:bottom w:val="single" w:color="auto" w:sz="4" w:space="0"/>
              <w:right w:val="single" w:color="auto" w:sz="4" w:space="0"/>
            </w:tcBorders>
            <w:noWrap w:val="0"/>
            <w:vAlign w:val="top"/>
          </w:tcPr>
          <w:p w14:paraId="2491F89E">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690" w:type="dxa"/>
            <w:tcBorders>
              <w:top w:val="single" w:color="auto" w:sz="4" w:space="0"/>
              <w:left w:val="single" w:color="auto" w:sz="4" w:space="0"/>
              <w:bottom w:val="single" w:color="auto" w:sz="4" w:space="0"/>
              <w:right w:val="single" w:color="auto" w:sz="4" w:space="0"/>
            </w:tcBorders>
            <w:noWrap w:val="0"/>
            <w:vAlign w:val="top"/>
          </w:tcPr>
          <w:p w14:paraId="692B4EDC">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348622D">
            <w:pPr>
              <w:keepNext w:val="0"/>
              <w:keepLines w:val="0"/>
              <w:pageBreakBefore w:val="0"/>
              <w:kinsoku/>
              <w:wordWrap w:val="0"/>
              <w:overflowPunct/>
              <w:topLinePunct w:val="0"/>
              <w:bidi w:val="0"/>
              <w:jc w:val="both"/>
              <w:rPr>
                <w:rFonts w:hint="eastAsia" w:asciiTheme="minorEastAsia" w:hAnsiTheme="minorEastAsia" w:eastAsiaTheme="minorEastAsia" w:cstheme="minorEastAsia"/>
                <w:sz w:val="24"/>
                <w:szCs w:val="24"/>
              </w:rPr>
            </w:pPr>
          </w:p>
        </w:tc>
      </w:tr>
    </w:tbl>
    <w:p w14:paraId="502DD002">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bCs/>
          <w:spacing w:val="2"/>
          <w:sz w:val="24"/>
          <w:szCs w:val="24"/>
        </w:rPr>
        <w:t>供应商</w:t>
      </w:r>
      <w:r>
        <w:rPr>
          <w:rFonts w:hint="eastAsia" w:asciiTheme="minorEastAsia" w:hAnsiTheme="minorEastAsia" w:eastAsiaTheme="minorEastAsia" w:cstheme="minorEastAsia"/>
          <w:b/>
          <w:sz w:val="24"/>
          <w:szCs w:val="24"/>
          <w:lang w:eastAsia="zh-CN"/>
        </w:rPr>
        <w:t>（公章）：法定代表人（负责人）或授权代表（签字）：</w:t>
      </w:r>
    </w:p>
    <w:p w14:paraId="382FE03F">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r>
        <w:rPr>
          <w:rFonts w:hint="eastAsia" w:asciiTheme="minorEastAsia" w:hAnsiTheme="minorEastAsia" w:eastAsiaTheme="minorEastAsia" w:cstheme="minorEastAsia"/>
          <w:b/>
          <w:bCs/>
          <w:sz w:val="24"/>
          <w:szCs w:val="24"/>
          <w:lang w:val="en-US" w:eastAsia="zh-CN"/>
        </w:rPr>
        <w:t>日期：</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年</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月</w:t>
      </w:r>
      <w:r>
        <w:rPr>
          <w:rFonts w:hint="eastAsia" w:asciiTheme="minorEastAsia" w:hAnsiTheme="minorEastAsia" w:eastAsiaTheme="minorEastAsia" w:cstheme="minorEastAsia"/>
          <w:b/>
          <w:bCs/>
          <w:sz w:val="24"/>
          <w:szCs w:val="24"/>
          <w:u w:val="single"/>
          <w:lang w:val="en-US" w:eastAsia="zh-CN"/>
        </w:rPr>
        <w:t xml:space="preserve">    </w:t>
      </w:r>
      <w:r>
        <w:rPr>
          <w:rFonts w:hint="eastAsia" w:asciiTheme="minorEastAsia" w:hAnsiTheme="minorEastAsia" w:eastAsiaTheme="minorEastAsia" w:cstheme="minorEastAsia"/>
          <w:b/>
          <w:bCs/>
          <w:snapToGrid w:val="0"/>
          <w:color w:val="000000"/>
          <w:spacing w:val="-8"/>
          <w:kern w:val="0"/>
          <w:sz w:val="24"/>
          <w:szCs w:val="24"/>
          <w:lang w:val="en-US" w:eastAsia="zh-CN" w:bidi="ar-SA"/>
        </w:rPr>
        <w:t>日</w:t>
      </w:r>
    </w:p>
    <w:p w14:paraId="6C10A6E1">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2320A60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F09A35A">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C635465">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E4E4E3B">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DFF3648">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B797128">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259EB20">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004A1B9">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p>
    <w:p w14:paraId="1EEBC45B">
      <w:pPr>
        <w:keepNext w:val="0"/>
        <w:keepLines w:val="0"/>
        <w:pageBreakBefore w:val="0"/>
        <w:kinsoku/>
        <w:wordWrap w:val="0"/>
        <w:overflowPunct/>
        <w:topLinePunct w:val="0"/>
        <w:bidi w:val="0"/>
        <w:spacing w:after="120" w:line="360" w:lineRule="auto"/>
        <w:jc w:val="both"/>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六、关于符合本国产品标准的声明函（项目包含货物时适用）</w:t>
      </w:r>
    </w:p>
    <w:p w14:paraId="5D360E87">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val="0"/>
          <w:bCs/>
          <w:sz w:val="32"/>
          <w:szCs w:val="32"/>
          <w:lang w:val="en-US" w:eastAsia="zh-CN"/>
        </w:rPr>
      </w:pPr>
      <w:r>
        <w:rPr>
          <w:rFonts w:hint="eastAsia" w:ascii="黑体" w:hAnsi="黑体" w:eastAsia="黑体" w:cs="黑体"/>
          <w:b w:val="0"/>
          <w:bCs/>
          <w:sz w:val="32"/>
          <w:szCs w:val="32"/>
          <w:lang w:val="en-US" w:eastAsia="zh-CN"/>
        </w:rPr>
        <w:t>关于符合本国产品标准的声明函</w:t>
      </w:r>
    </w:p>
    <w:p w14:paraId="7CC07E83">
      <w:pPr>
        <w:keepNext w:val="0"/>
        <w:keepLines w:val="0"/>
        <w:pageBreakBefore w:val="0"/>
        <w:kinsoku/>
        <w:wordWrap w:val="0"/>
        <w:overflowPunct/>
        <w:topLinePunct w:val="0"/>
        <w:bidi w:val="0"/>
        <w:spacing w:after="120" w:line="360" w:lineRule="auto"/>
        <w:jc w:val="center"/>
        <w:rPr>
          <w:rFonts w:hint="eastAsia" w:asciiTheme="minorEastAsia" w:hAnsiTheme="minorEastAsia" w:eastAsiaTheme="minorEastAsia" w:cstheme="minorEastAsia"/>
          <w:b/>
          <w:sz w:val="32"/>
          <w:szCs w:val="32"/>
          <w:lang w:val="en-US" w:eastAsia="zh-CN"/>
        </w:rPr>
      </w:pPr>
    </w:p>
    <w:p w14:paraId="25CDA74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本公司（单位）郑重声明，根据《国务院办公厅关于在政府采购中实施本国产品标准及相关政策的通知》（国办发〔2025〕34号）的规定，本公司（单位）提供的以下产品属于本国产品。具体情况如下：</w:t>
      </w:r>
    </w:p>
    <w:p w14:paraId="25041B2D">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w:t>
      </w:r>
      <w:r>
        <w:rPr>
          <w:rFonts w:hint="eastAsia" w:asciiTheme="minorEastAsia" w:hAnsiTheme="minorEastAsia" w:eastAsiaTheme="minorEastAsia" w:cstheme="minorEastAsia"/>
          <w:b w:val="0"/>
          <w:bCs/>
          <w:sz w:val="24"/>
          <w:szCs w:val="24"/>
          <w:u w:val="single"/>
          <w:lang w:val="en-US" w:eastAsia="zh-CN"/>
        </w:rPr>
        <w:t>（产品名称1）</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，生产厂为</w:t>
      </w:r>
      <w:r>
        <w:rPr>
          <w:rFonts w:hint="eastAsia" w:asciiTheme="minorEastAsia" w:hAnsiTheme="minorEastAsia" w:eastAsiaTheme="minorEastAsia" w:cstheme="minorEastAsia"/>
          <w:b w:val="0"/>
          <w:bCs/>
          <w:sz w:val="24"/>
          <w:szCs w:val="24"/>
          <w:u w:val="single"/>
          <w:lang w:val="en-US" w:eastAsia="zh-CN"/>
        </w:rPr>
        <w:t>（厂名）</w:t>
      </w: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，厂址为</w:t>
      </w:r>
      <w:r>
        <w:rPr>
          <w:rFonts w:hint="eastAsia" w:asciiTheme="minorEastAsia" w:hAnsiTheme="minorEastAsia" w:eastAsiaTheme="minorEastAsia" w:cstheme="minorEastAsia"/>
          <w:b w:val="0"/>
          <w:bCs/>
          <w:sz w:val="24"/>
          <w:szCs w:val="24"/>
          <w:u w:val="single"/>
          <w:lang w:val="en-US" w:eastAsia="zh-CN"/>
        </w:rPr>
        <w:t>（生产厂址）</w:t>
      </w:r>
      <w:r>
        <w:rPr>
          <w:rFonts w:hint="eastAsia" w:asciiTheme="minorEastAsia" w:hAnsiTheme="minorEastAsia" w:eastAsiaTheme="minorEastAsia" w:cstheme="minorEastAsia"/>
          <w:b w:val="0"/>
          <w:bCs/>
          <w:sz w:val="24"/>
          <w:szCs w:val="24"/>
          <w:lang w:val="en-US" w:eastAsia="zh-CN"/>
        </w:rPr>
        <w:t>。</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的中国境内生产的组件成本占比≥</w:t>
      </w:r>
      <w:r>
        <w:rPr>
          <w:rFonts w:hint="eastAsia" w:asciiTheme="minorEastAsia" w:hAnsiTheme="minorEastAsia" w:eastAsiaTheme="minorEastAsia" w:cstheme="minorEastAsia"/>
          <w:b w:val="0"/>
          <w:bCs/>
          <w:sz w:val="24"/>
          <w:szCs w:val="24"/>
          <w:u w:val="single"/>
          <w:lang w:val="en-US" w:eastAsia="zh-CN"/>
        </w:rPr>
        <w:t>（规定比例）</w:t>
      </w: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。（产品名称1）的</w:t>
      </w:r>
      <w:r>
        <w:rPr>
          <w:rFonts w:hint="eastAsia" w:asciiTheme="minorEastAsia" w:hAnsiTheme="minorEastAsia" w:eastAsiaTheme="minorEastAsia" w:cstheme="minorEastAsia"/>
          <w:b w:val="0"/>
          <w:bCs/>
          <w:sz w:val="24"/>
          <w:szCs w:val="24"/>
          <w:u w:val="single"/>
          <w:lang w:val="en-US" w:eastAsia="zh-CN"/>
        </w:rPr>
        <w:t>（关键组件）</w:t>
      </w: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在中国境内生产。</w:t>
      </w:r>
      <w:r>
        <w:rPr>
          <w:rFonts w:hint="eastAsia" w:asciiTheme="minorEastAsia" w:hAnsiTheme="minorEastAsia" w:eastAsiaTheme="minorEastAsia" w:cstheme="minorEastAsia"/>
          <w:b w:val="0"/>
          <w:bCs/>
          <w:sz w:val="24"/>
          <w:szCs w:val="24"/>
          <w:u w:val="single"/>
          <w:lang w:val="en-US" w:eastAsia="zh-CN"/>
        </w:rPr>
        <w:t>（产品名称1）</w:t>
      </w:r>
      <w:r>
        <w:rPr>
          <w:rFonts w:hint="eastAsia" w:asciiTheme="minorEastAsia" w:hAnsiTheme="minorEastAsia" w:eastAsiaTheme="minorEastAsia" w:cstheme="minorEastAsia"/>
          <w:b w:val="0"/>
          <w:bCs/>
          <w:sz w:val="24"/>
          <w:szCs w:val="24"/>
          <w:lang w:val="en-US" w:eastAsia="zh-CN"/>
        </w:rPr>
        <w:t>的</w:t>
      </w:r>
      <w:r>
        <w:rPr>
          <w:rFonts w:hint="eastAsia" w:asciiTheme="minorEastAsia" w:hAnsiTheme="minorEastAsia" w:eastAsiaTheme="minorEastAsia" w:cstheme="minorEastAsia"/>
          <w:b w:val="0"/>
          <w:bCs/>
          <w:sz w:val="24"/>
          <w:szCs w:val="24"/>
          <w:u w:val="single"/>
          <w:lang w:val="en-US" w:eastAsia="zh-CN"/>
        </w:rPr>
        <w:t>（关键工序）</w:t>
      </w: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在中国境内完成。</w:t>
      </w:r>
    </w:p>
    <w:p w14:paraId="2387080C">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产品名称2），生产厂为（厂名），厂址为（生产厂址）。（产品名称2）的中国境内生产的组件成本占比≥（规定比例）。（产品名称2）的（关键组件）在中国境内生产。（产品名称2）的（关键工序）在中国境内完成。</w:t>
      </w:r>
    </w:p>
    <w:p w14:paraId="3CF5DA25">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w:t>
      </w:r>
    </w:p>
    <w:p w14:paraId="36D70C11">
      <w:pPr>
        <w:keepNext w:val="0"/>
        <w:keepLines w:val="0"/>
        <w:pageBreakBefore w:val="0"/>
        <w:kinsoku/>
        <w:wordWrap w:val="0"/>
        <w:overflowPunct/>
        <w:topLinePunct w:val="0"/>
        <w:bidi w:val="0"/>
        <w:spacing w:after="120" w:line="360" w:lineRule="auto"/>
        <w:ind w:firstLine="480" w:firstLineChars="200"/>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本公司（单位）对上述声明内容的真实性负责。如有虚假，愿承担相应法律责任。</w:t>
      </w:r>
    </w:p>
    <w:p w14:paraId="5A9E3C2D">
      <w:pPr>
        <w:keepNext w:val="0"/>
        <w:keepLines w:val="0"/>
        <w:pageBreakBefore w:val="0"/>
        <w:kinsoku/>
        <w:wordWrap w:val="0"/>
        <w:overflowPunct/>
        <w:topLinePunct w:val="0"/>
        <w:bidi w:val="0"/>
        <w:spacing w:after="120" w:line="360" w:lineRule="auto"/>
        <w:ind w:firstLine="4320" w:firstLineChars="1800"/>
        <w:jc w:val="both"/>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公司（单位）名称（盖章）：　                                        日期：　     年　  月　  日</w:t>
      </w:r>
      <w:r>
        <w:rPr>
          <w:rFonts w:hint="eastAsia" w:asciiTheme="minorEastAsia" w:hAnsiTheme="minorEastAsia" w:eastAsiaTheme="minorEastAsia" w:cstheme="minorEastAsia"/>
          <w:b/>
          <w:sz w:val="24"/>
          <w:szCs w:val="24"/>
          <w:lang w:val="en-US" w:eastAsia="zh-CN"/>
        </w:rPr>
        <w:t>         </w:t>
      </w:r>
    </w:p>
    <w:p w14:paraId="2A21D916">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注：</w:t>
      </w:r>
      <w:r>
        <w:rPr>
          <w:rFonts w:hint="eastAsia" w:ascii="宋体" w:hAnsi="宋体" w:eastAsia="宋体" w:cs="宋体"/>
          <w:b w:val="0"/>
          <w:bCs/>
          <w:sz w:val="24"/>
          <w:szCs w:val="24"/>
          <w:lang w:val="en-US" w:eastAsia="zh-CN"/>
        </w:rPr>
        <w:t>①</w:t>
      </w:r>
      <w:r>
        <w:rPr>
          <w:rFonts w:hint="eastAsia" w:asciiTheme="minorEastAsia" w:hAnsiTheme="minorEastAsia" w:eastAsiaTheme="minorEastAsia" w:cstheme="minorEastAsia"/>
          <w:b w:val="0"/>
          <w:bCs/>
          <w:sz w:val="24"/>
          <w:szCs w:val="24"/>
          <w:lang w:val="en-US" w:eastAsia="zh-CN"/>
        </w:rPr>
        <w:t>产品如有型号，请在“产品名称”栏一并填写。</w:t>
      </w:r>
    </w:p>
    <w:p w14:paraId="54623B0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②</w:t>
      </w:r>
      <w:r>
        <w:rPr>
          <w:rFonts w:hint="eastAsia" w:asciiTheme="minorEastAsia" w:hAnsiTheme="minorEastAsia" w:eastAsiaTheme="minorEastAsia" w:cstheme="minorEastAsia"/>
          <w:b w:val="0"/>
          <w:bCs/>
          <w:sz w:val="24"/>
          <w:szCs w:val="24"/>
          <w:lang w:val="en-US" w:eastAsia="zh-CN"/>
        </w:rPr>
        <w:t>生产厂名与厂址应与生产厂营业执照载明的相关信息保持一致。</w:t>
      </w:r>
    </w:p>
    <w:p w14:paraId="5BC3F44B">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③</w:t>
      </w:r>
      <w:r>
        <w:rPr>
          <w:rFonts w:hint="eastAsia" w:asciiTheme="minorEastAsia" w:hAnsiTheme="minorEastAsia" w:eastAsiaTheme="minorEastAsia" w:cstheme="minorEastAsia"/>
          <w:b w:val="0"/>
          <w:bCs/>
          <w:sz w:val="24"/>
          <w:szCs w:val="24"/>
          <w:lang w:val="en-US" w:eastAsia="zh-CN"/>
        </w:rPr>
        <w:t>该产品的中国境内生产的组件成本占比相关要求实施前，“规定比例”栏可不填，下同。</w:t>
      </w:r>
    </w:p>
    <w:p w14:paraId="24FB3A5E">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val="0"/>
          <w:bCs/>
          <w:sz w:val="24"/>
          <w:szCs w:val="24"/>
          <w:lang w:val="en-US" w:eastAsia="zh-CN"/>
        </w:rPr>
      </w:pPr>
      <w:r>
        <w:rPr>
          <w:rFonts w:hint="eastAsia" w:ascii="宋体" w:hAnsi="宋体" w:eastAsia="宋体" w:cs="宋体"/>
          <w:b w:val="0"/>
          <w:bCs/>
          <w:sz w:val="24"/>
          <w:szCs w:val="24"/>
          <w:lang w:val="en-US" w:eastAsia="zh-CN"/>
        </w:rPr>
        <w:t>④</w:t>
      </w:r>
      <w:r>
        <w:rPr>
          <w:rFonts w:hint="eastAsia" w:asciiTheme="minorEastAsia" w:hAnsiTheme="minorEastAsia" w:eastAsiaTheme="minorEastAsia" w:cstheme="minorEastAsia"/>
          <w:b w:val="0"/>
          <w:bCs/>
          <w:sz w:val="24"/>
          <w:szCs w:val="24"/>
          <w:lang w:val="en-US" w:eastAsia="zh-CN"/>
        </w:rPr>
        <w:t>该产品的关键组件要求实施前，“关键组件”栏可不填，下同。</w:t>
      </w:r>
    </w:p>
    <w:p w14:paraId="2219B36F">
      <w:pPr>
        <w:keepNext w:val="0"/>
        <w:keepLines w:val="0"/>
        <w:pageBreakBefore w:val="0"/>
        <w:kinsoku/>
        <w:wordWrap w:val="0"/>
        <w:overflowPunct/>
        <w:topLinePunct w:val="0"/>
        <w:bidi w:val="0"/>
        <w:spacing w:after="120" w:line="360" w:lineRule="auto"/>
        <w:jc w:val="both"/>
        <w:rPr>
          <w:rFonts w:hint="eastAsia" w:asciiTheme="minorEastAsia" w:hAnsiTheme="minorEastAsia" w:eastAsiaTheme="minorEastAsia" w:cstheme="minorEastAsia"/>
          <w:b/>
          <w:sz w:val="24"/>
          <w:szCs w:val="24"/>
          <w:lang w:val="en-US" w:eastAsia="zh-CN"/>
        </w:rPr>
      </w:pPr>
      <w:r>
        <w:rPr>
          <w:rFonts w:hint="eastAsia" w:ascii="宋体" w:hAnsi="宋体" w:eastAsia="宋体" w:cs="宋体"/>
          <w:b w:val="0"/>
          <w:bCs/>
          <w:sz w:val="24"/>
          <w:szCs w:val="24"/>
          <w:lang w:val="en-US" w:eastAsia="zh-CN"/>
        </w:rPr>
        <w:t>⑤</w:t>
      </w:r>
      <w:r>
        <w:rPr>
          <w:rFonts w:hint="eastAsia" w:asciiTheme="minorEastAsia" w:hAnsiTheme="minorEastAsia" w:eastAsiaTheme="minorEastAsia" w:cstheme="minorEastAsia"/>
          <w:b w:val="0"/>
          <w:bCs/>
          <w:sz w:val="24"/>
          <w:szCs w:val="24"/>
          <w:lang w:val="en-US" w:eastAsia="zh-CN"/>
        </w:rPr>
        <w:t>该产品的关键工序要求实施前，“关键工序”栏可不填，下同。</w:t>
      </w:r>
    </w:p>
    <w:p w14:paraId="3D169429">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EFC6F12">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七、供应商诚信承诺书</w:t>
      </w:r>
    </w:p>
    <w:p w14:paraId="5969C3DB">
      <w:pPr>
        <w:keepNext w:val="0"/>
        <w:keepLines w:val="0"/>
        <w:pageBreakBefore w:val="0"/>
        <w:kinsoku/>
        <w:wordWrap w:val="0"/>
        <w:overflowPunct/>
        <w:topLinePunct w:val="0"/>
        <w:bidi w:val="0"/>
        <w:spacing w:line="360" w:lineRule="auto"/>
        <w:jc w:val="both"/>
        <w:rPr>
          <w:rFonts w:hint="eastAsia" w:asciiTheme="minorEastAsia" w:hAnsiTheme="minorEastAsia" w:eastAsiaTheme="minorEastAsia" w:cstheme="minorEastAsia"/>
          <w:b/>
          <w:bCs/>
          <w:sz w:val="24"/>
          <w:szCs w:val="24"/>
          <w:lang w:eastAsia="zh-CN"/>
        </w:rPr>
      </w:pPr>
    </w:p>
    <w:p w14:paraId="64761875">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eastAsia="zh-CN"/>
          <w14:textOutline w14:w="2306" w14:cap="flat" w14:cmpd="sng">
            <w14:solidFill>
              <w14:srgbClr w14:val="000000"/>
            </w14:solidFill>
            <w14:prstDash w14:val="solid"/>
            <w14:miter w14:val="0"/>
          </w14:textOutline>
        </w:rPr>
        <w:t>诚信承诺书</w:t>
      </w:r>
    </w:p>
    <w:p w14:paraId="73AB60F8">
      <w:pPr>
        <w:keepNext w:val="0"/>
        <w:keepLines w:val="0"/>
        <w:pageBreakBefore w:val="0"/>
        <w:kinsoku/>
        <w:wordWrap w:val="0"/>
        <w:overflowPunct/>
        <w:topLinePunct w:val="0"/>
        <w:bidi w:val="0"/>
        <w:spacing w:line="360" w:lineRule="auto"/>
        <w:ind w:firstLine="607" w:firstLineChars="252"/>
        <w:jc w:val="both"/>
        <w:rPr>
          <w:rFonts w:hint="eastAsia" w:asciiTheme="minorEastAsia" w:hAnsiTheme="minorEastAsia" w:eastAsiaTheme="minorEastAsia" w:cstheme="minorEastAsia"/>
          <w:b/>
          <w:bCs/>
          <w:sz w:val="24"/>
          <w:szCs w:val="24"/>
          <w:lang w:eastAsia="zh-CN"/>
        </w:rPr>
      </w:pPr>
    </w:p>
    <w:p w14:paraId="3F4E2DB5">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为维护市场公平竞争，营造诚实守信的公共资源交易环境，本公司郑重承诺：</w:t>
      </w:r>
    </w:p>
    <w:p w14:paraId="1840948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1、本次</w:t>
      </w:r>
      <w:r>
        <w:rPr>
          <w:rFonts w:hint="eastAsia" w:asciiTheme="minorEastAsia" w:hAnsiTheme="minorEastAsia" w:eastAsiaTheme="minorEastAsia" w:cstheme="minorEastAsia"/>
          <w:b w:val="0"/>
          <w:bCs w:val="0"/>
          <w:sz w:val="24"/>
          <w:szCs w:val="24"/>
          <w:lang w:val="en-US" w:eastAsia="zh-CN"/>
        </w:rPr>
        <w:t>采购</w:t>
      </w:r>
      <w:r>
        <w:rPr>
          <w:rFonts w:hint="eastAsia" w:asciiTheme="minorEastAsia" w:hAnsiTheme="minorEastAsia" w:eastAsiaTheme="minorEastAsia" w:cstheme="minorEastAsia"/>
          <w:b w:val="0"/>
          <w:bCs w:val="0"/>
          <w:sz w:val="24"/>
          <w:szCs w:val="24"/>
          <w:lang w:eastAsia="zh-CN"/>
        </w:rPr>
        <w:t>在电子</w:t>
      </w:r>
      <w:r>
        <w:rPr>
          <w:rFonts w:hint="eastAsia" w:asciiTheme="minorEastAsia" w:hAnsiTheme="minorEastAsia" w:eastAsiaTheme="minorEastAsia" w:cstheme="minorEastAsia"/>
          <w:b w:val="0"/>
          <w:bCs w:val="0"/>
          <w:sz w:val="24"/>
          <w:szCs w:val="24"/>
          <w:lang w:val="en-US" w:eastAsia="zh-CN"/>
        </w:rPr>
        <w:t>响应</w:t>
      </w:r>
      <w:r>
        <w:rPr>
          <w:rFonts w:hint="eastAsia" w:asciiTheme="minorEastAsia" w:hAnsiTheme="minorEastAsia" w:eastAsiaTheme="minorEastAsia" w:cstheme="minorEastAsia"/>
          <w:b w:val="0"/>
          <w:bCs w:val="0"/>
          <w:sz w:val="24"/>
          <w:szCs w:val="24"/>
          <w:lang w:eastAsia="zh-CN"/>
        </w:rPr>
        <w:t>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14:paraId="2F3C5980">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2、本公司在参加本项目过程中严格遵守各项诚信廉洁规定，如有违反，自愿按规定接受处罚。</w:t>
      </w:r>
    </w:p>
    <w:p w14:paraId="2BBD1D58">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p>
    <w:p w14:paraId="2E904EE7">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承诺人法定名称（盖章）：</w:t>
      </w:r>
    </w:p>
    <w:p w14:paraId="151BB47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承诺人法定地址：</w:t>
      </w:r>
    </w:p>
    <w:p w14:paraId="3BCFB0D9">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授权代表（签字或盖章）：</w:t>
      </w:r>
    </w:p>
    <w:p w14:paraId="21CAFA16">
      <w:pPr>
        <w:keepNext w:val="0"/>
        <w:keepLines w:val="0"/>
        <w:pageBreakBefore w:val="0"/>
        <w:kinsoku/>
        <w:wordWrap w:val="0"/>
        <w:overflowPunct/>
        <w:topLinePunct w:val="0"/>
        <w:bidi w:val="0"/>
        <w:spacing w:line="360" w:lineRule="auto"/>
        <w:ind w:firstLine="604" w:firstLineChars="252"/>
        <w:jc w:val="both"/>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ab/>
      </w:r>
      <w:r>
        <w:rPr>
          <w:rFonts w:hint="eastAsia" w:asciiTheme="minorEastAsia" w:hAnsiTheme="minorEastAsia" w:eastAsiaTheme="minorEastAsia" w:cstheme="minorEastAsia"/>
          <w:b w:val="0"/>
          <w:bCs w:val="0"/>
          <w:sz w:val="24"/>
          <w:szCs w:val="24"/>
          <w:lang w:eastAsia="zh-CN"/>
        </w:rPr>
        <w:t>电话：</w:t>
      </w:r>
    </w:p>
    <w:p w14:paraId="141148D5">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45E9392C">
      <w:pPr>
        <w:keepNext w:val="0"/>
        <w:keepLines w:val="0"/>
        <w:pageBreakBefore w:val="0"/>
        <w:numPr>
          <w:ilvl w:val="0"/>
          <w:numId w:val="0"/>
        </w:numPr>
        <w:kinsoku/>
        <w:wordWrap w:val="0"/>
        <w:overflowPunct/>
        <w:topLinePunct w:val="0"/>
        <w:bidi w:val="0"/>
        <w:snapToGrid w:val="0"/>
        <w:spacing w:line="360" w:lineRule="auto"/>
        <w:jc w:val="both"/>
        <w:rPr>
          <w:rFonts w:hint="eastAsia" w:asciiTheme="minorEastAsia" w:hAnsiTheme="minorEastAsia" w:eastAsiaTheme="minorEastAsia" w:cstheme="minorEastAsia"/>
          <w:snapToGrid w:val="0"/>
          <w:color w:val="000000"/>
          <w:spacing w:val="-3"/>
          <w:kern w:val="0"/>
          <w:sz w:val="24"/>
          <w:szCs w:val="24"/>
          <w:lang w:val="en-US" w:eastAsia="zh-CN" w:bidi="ar-SA"/>
        </w:rPr>
      </w:pPr>
    </w:p>
    <w:p w14:paraId="7D4C41D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FB6574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2B5B789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37978924">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5D44B2CA">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E7A4445">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15DC00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786FDAD0">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16F0667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p>
    <w:p w14:paraId="470846E2">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napToGrid w:val="0"/>
          <w:color w:val="000000"/>
          <w:spacing w:val="-3"/>
          <w:kern w:val="0"/>
          <w:sz w:val="24"/>
          <w:szCs w:val="24"/>
          <w:lang w:val="en-US" w:eastAsia="zh-CN" w:bidi="ar-SA"/>
        </w:rPr>
      </w:pPr>
      <w:r>
        <w:rPr>
          <w:rFonts w:hint="eastAsia" w:asciiTheme="minorEastAsia" w:hAnsiTheme="minorEastAsia" w:eastAsiaTheme="minorEastAsia" w:cstheme="minorEastAsia"/>
          <w:b/>
          <w:bCs/>
          <w:snapToGrid w:val="0"/>
          <w:color w:val="000000"/>
          <w:spacing w:val="-3"/>
          <w:kern w:val="0"/>
          <w:sz w:val="24"/>
          <w:szCs w:val="24"/>
          <w:lang w:val="en-US" w:eastAsia="zh-CN" w:bidi="ar-SA"/>
        </w:rPr>
        <w:t>八、供应商认为需要的其他文件资料</w:t>
      </w:r>
    </w:p>
    <w:p w14:paraId="42CE33B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中小企业声明函（货物）格式</w:t>
      </w:r>
    </w:p>
    <w:p w14:paraId="55393C3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755796FE">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本公司（联合体）郑重声明，根据《政府采购促进中小企业发展管理办法》（财</w:t>
      </w:r>
      <w:r>
        <w:rPr>
          <w:rFonts w:hint="eastAsia" w:asciiTheme="minorEastAsia" w:hAnsiTheme="minorEastAsia" w:eastAsiaTheme="minorEastAsia" w:cstheme="minorEastAsia"/>
          <w:spacing w:val="10"/>
          <w:sz w:val="24"/>
          <w:szCs w:val="24"/>
        </w:rPr>
        <w:t>库﹝2020﹞46号）的规定，本公司（联合体）参加（单位名称）的（项目</w:t>
      </w:r>
      <w:r>
        <w:rPr>
          <w:rFonts w:hint="eastAsia" w:asciiTheme="minorEastAsia" w:hAnsiTheme="minorEastAsia" w:eastAsiaTheme="minorEastAsia" w:cstheme="minorEastAsia"/>
          <w:spacing w:val="9"/>
          <w:sz w:val="24"/>
          <w:szCs w:val="24"/>
        </w:rPr>
        <w:t>名称）</w:t>
      </w:r>
      <w:r>
        <w:rPr>
          <w:rFonts w:hint="eastAsia" w:asciiTheme="minorEastAsia" w:hAnsiTheme="minorEastAsia" w:eastAsiaTheme="minorEastAsia" w:cstheme="minorEastAsia"/>
          <w:spacing w:val="14"/>
          <w:sz w:val="24"/>
          <w:szCs w:val="24"/>
        </w:rPr>
        <w:t>采购活动，</w:t>
      </w:r>
      <w:r>
        <w:rPr>
          <w:rFonts w:hint="eastAsia" w:asciiTheme="minorEastAsia" w:hAnsiTheme="minorEastAsia" w:eastAsiaTheme="minorEastAsia" w:cstheme="minorEastAsia"/>
          <w:spacing w:val="-86"/>
          <w:sz w:val="24"/>
          <w:szCs w:val="24"/>
          <w:lang w:val="en-US" w:eastAsia="zh-CN"/>
        </w:rPr>
        <w:t>提</w:t>
      </w:r>
      <w:r>
        <w:rPr>
          <w:rFonts w:hint="eastAsia" w:asciiTheme="minorEastAsia" w:hAnsiTheme="minorEastAsia" w:eastAsiaTheme="minorEastAsia" w:cstheme="minorEastAsia"/>
          <w:spacing w:val="4"/>
          <w:sz w:val="24"/>
          <w:szCs w:val="24"/>
        </w:rPr>
        <w:t>供</w:t>
      </w:r>
      <w:r>
        <w:rPr>
          <w:rFonts w:hint="eastAsia" w:asciiTheme="minorEastAsia" w:hAnsiTheme="minorEastAsia" w:eastAsiaTheme="minorEastAsia" w:cstheme="minorEastAsia"/>
          <w:spacing w:val="14"/>
          <w:sz w:val="24"/>
          <w:szCs w:val="24"/>
        </w:rPr>
        <w:t>的货物全部由符合政策要求的</w:t>
      </w:r>
      <w:r>
        <w:rPr>
          <w:rFonts w:hint="eastAsia" w:asciiTheme="minorEastAsia" w:hAnsiTheme="minorEastAsia" w:eastAsiaTheme="minorEastAsia" w:cstheme="minorEastAsia"/>
          <w:spacing w:val="13"/>
          <w:sz w:val="24"/>
          <w:szCs w:val="24"/>
        </w:rPr>
        <w:t>中小企业制造。相关企业（含联合体</w:t>
      </w:r>
      <w:r>
        <w:rPr>
          <w:rFonts w:hint="eastAsia" w:asciiTheme="minorEastAsia" w:hAnsiTheme="minorEastAsia" w:eastAsiaTheme="minorEastAsia" w:cstheme="minorEastAsia"/>
          <w:spacing w:val="8"/>
          <w:sz w:val="24"/>
          <w:szCs w:val="24"/>
        </w:rPr>
        <w:t>中的中小企业、签订分包意向协议的中小企业）的具体情况如下：</w:t>
      </w:r>
    </w:p>
    <w:p w14:paraId="0E5F761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22"/>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1.</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1"/>
          <w:sz w:val="24"/>
          <w:szCs w:val="24"/>
          <w:u w:val="single" w:color="auto"/>
        </w:rPr>
        <w:t>）</w:t>
      </w:r>
      <w:r>
        <w:rPr>
          <w:rFonts w:hint="eastAsia" w:asciiTheme="minorEastAsia" w:hAnsiTheme="minorEastAsia" w:eastAsiaTheme="minorEastAsia" w:cstheme="minorEastAsia"/>
          <w:spacing w:val="-41"/>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3"/>
          <w:sz w:val="24"/>
          <w:szCs w:val="24"/>
          <w:u w:val="single" w:color="auto"/>
        </w:rPr>
        <w:t>称</w:t>
      </w:r>
      <w:r>
        <w:rPr>
          <w:rFonts w:hint="eastAsia" w:asciiTheme="minorEastAsia" w:hAnsiTheme="minorEastAsia" w:eastAsiaTheme="minorEastAsia" w:cstheme="minorEastAsia"/>
          <w:spacing w:val="-40"/>
          <w:sz w:val="24"/>
          <w:szCs w:val="24"/>
          <w:u w:val="single" w:color="auto"/>
        </w:rPr>
        <w:t>）</w:t>
      </w:r>
      <w:r>
        <w:rPr>
          <w:rFonts w:hint="eastAsia" w:asciiTheme="minorEastAsia" w:hAnsiTheme="minorEastAsia" w:eastAsiaTheme="minorEastAsia" w:cstheme="minorEastAsia"/>
          <w:spacing w:val="-40"/>
          <w:sz w:val="24"/>
          <w:szCs w:val="24"/>
        </w:rPr>
        <w:t>，</w:t>
      </w:r>
      <w:r>
        <w:rPr>
          <w:rFonts w:hint="eastAsia" w:asciiTheme="minorEastAsia" w:hAnsiTheme="minorEastAsia" w:eastAsiaTheme="minorEastAsia" w:cstheme="minorEastAsia"/>
          <w:spacing w:val="3"/>
          <w:sz w:val="24"/>
          <w:szCs w:val="24"/>
        </w:rPr>
        <w:t>从业人员人，营业收入为万元，资产总额为万元</w:t>
      </w:r>
      <w:r>
        <w:rPr>
          <w:rFonts w:hint="eastAsia" w:asciiTheme="minorEastAsia" w:hAnsiTheme="minorEastAsia" w:eastAsiaTheme="minorEastAsia" w:cstheme="minorEastAsia"/>
          <w:spacing w:val="3"/>
          <w:position w:val="6"/>
          <w:sz w:val="16"/>
          <w:szCs w:val="16"/>
        </w:rPr>
        <w:t>1</w:t>
      </w:r>
      <w:r>
        <w:rPr>
          <w:rFonts w:hint="eastAsia" w:asciiTheme="minorEastAsia" w:hAnsiTheme="minorEastAsia" w:eastAsiaTheme="minorEastAsia" w:cstheme="minorEastAsia"/>
          <w:spacing w:val="3"/>
          <w:sz w:val="24"/>
          <w:szCs w:val="24"/>
        </w:rPr>
        <w:t>，属于</w:t>
      </w:r>
    </w:p>
    <w:p w14:paraId="2B3EDE98">
      <w:pPr>
        <w:pStyle w:val="5"/>
        <w:keepNext w:val="0"/>
        <w:keepLines w:val="0"/>
        <w:pageBreakBefore w:val="0"/>
        <w:widowControl/>
        <w:tabs>
          <w:tab w:val="left" w:pos="243"/>
        </w:tabs>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color="auto"/>
        </w:rPr>
        <w:tab/>
      </w:r>
      <w:r>
        <w:rPr>
          <w:rFonts w:hint="eastAsia" w:asciiTheme="minorEastAsia" w:hAnsiTheme="minorEastAsia" w:eastAsiaTheme="minorEastAsia" w:cstheme="minorEastAsia"/>
          <w:spacing w:val="2"/>
          <w:sz w:val="24"/>
          <w:szCs w:val="24"/>
          <w:u w:val="single" w:color="auto"/>
        </w:rPr>
        <w:t>（中型企业、小型企业、微型企业</w:t>
      </w:r>
      <w:r>
        <w:rPr>
          <w:rFonts w:hint="eastAsia" w:asciiTheme="minorEastAsia" w:hAnsiTheme="minorEastAsia" w:eastAsiaTheme="minorEastAsia" w:cstheme="minorEastAsia"/>
          <w:spacing w:val="-51"/>
          <w:sz w:val="24"/>
          <w:szCs w:val="24"/>
          <w:u w:val="single" w:color="auto"/>
        </w:rPr>
        <w:t>）</w:t>
      </w:r>
      <w:r>
        <w:rPr>
          <w:rFonts w:hint="eastAsia" w:asciiTheme="minorEastAsia" w:hAnsiTheme="minorEastAsia" w:eastAsiaTheme="minorEastAsia" w:cstheme="minorEastAsia"/>
          <w:spacing w:val="-51"/>
          <w:sz w:val="24"/>
          <w:szCs w:val="24"/>
        </w:rPr>
        <w:t>；</w:t>
      </w:r>
    </w:p>
    <w:p w14:paraId="01D41904">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3"/>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2.</w:t>
      </w:r>
      <w:r>
        <w:rPr>
          <w:rFonts w:hint="eastAsia" w:asciiTheme="minorEastAsia" w:hAnsiTheme="minorEastAsia" w:eastAsiaTheme="minorEastAsia" w:cstheme="minorEastAsia"/>
          <w:spacing w:val="7"/>
          <w:sz w:val="24"/>
          <w:szCs w:val="24"/>
          <w:u w:val="single" w:color="auto"/>
        </w:rPr>
        <w:t>（标的名称</w:t>
      </w:r>
      <w:r>
        <w:rPr>
          <w:rFonts w:hint="eastAsia" w:asciiTheme="minorEastAsia" w:hAnsiTheme="minorEastAsia" w:eastAsiaTheme="minorEastAsia" w:cstheme="minorEastAsia"/>
          <w:spacing w:val="-43"/>
          <w:sz w:val="24"/>
          <w:szCs w:val="24"/>
          <w:u w:val="single" w:color="auto"/>
        </w:rPr>
        <w:t>）</w:t>
      </w:r>
      <w:r>
        <w:rPr>
          <w:rFonts w:hint="eastAsia" w:asciiTheme="minorEastAsia" w:hAnsiTheme="minorEastAsia" w:eastAsiaTheme="minorEastAsia" w:cstheme="minorEastAsia"/>
          <w:spacing w:val="-43"/>
          <w:sz w:val="24"/>
          <w:szCs w:val="24"/>
        </w:rPr>
        <w:t>，</w:t>
      </w:r>
      <w:r>
        <w:rPr>
          <w:rFonts w:hint="eastAsia" w:asciiTheme="minorEastAsia" w:hAnsiTheme="minorEastAsia" w:eastAsiaTheme="minorEastAsia" w:cstheme="minorEastAsia"/>
          <w:spacing w:val="7"/>
          <w:sz w:val="24"/>
          <w:szCs w:val="24"/>
        </w:rPr>
        <w:t>属于</w:t>
      </w:r>
      <w:r>
        <w:rPr>
          <w:rFonts w:hint="eastAsia" w:asciiTheme="minorEastAsia" w:hAnsiTheme="minorEastAsia" w:eastAsiaTheme="minorEastAsia" w:cstheme="minorEastAsia"/>
          <w:spacing w:val="7"/>
          <w:sz w:val="24"/>
          <w:szCs w:val="24"/>
          <w:u w:val="single" w:color="auto"/>
        </w:rPr>
        <w:t>（采购文件中明确的所属行业）</w:t>
      </w:r>
      <w:r>
        <w:rPr>
          <w:rFonts w:hint="eastAsia" w:asciiTheme="minorEastAsia" w:hAnsiTheme="minorEastAsia" w:eastAsiaTheme="minorEastAsia" w:cstheme="minorEastAsia"/>
          <w:spacing w:val="7"/>
          <w:sz w:val="24"/>
          <w:szCs w:val="24"/>
        </w:rPr>
        <w:t>行业；制造商为</w:t>
      </w:r>
      <w:r>
        <w:rPr>
          <w:rFonts w:hint="eastAsia" w:asciiTheme="minorEastAsia" w:hAnsiTheme="minorEastAsia" w:eastAsiaTheme="minorEastAsia" w:cstheme="minorEastAsia"/>
          <w:spacing w:val="7"/>
          <w:sz w:val="24"/>
          <w:szCs w:val="24"/>
          <w:u w:val="single" w:color="auto"/>
        </w:rPr>
        <w:t>（企业名</w:t>
      </w:r>
      <w:r>
        <w:rPr>
          <w:rFonts w:hint="eastAsia" w:asciiTheme="minorEastAsia" w:hAnsiTheme="minorEastAsia" w:eastAsiaTheme="minorEastAsia" w:cstheme="minorEastAsia"/>
          <w:spacing w:val="-5"/>
          <w:sz w:val="24"/>
          <w:szCs w:val="24"/>
          <w:u w:val="single" w:color="auto"/>
        </w:rPr>
        <w:t>称</w:t>
      </w:r>
      <w:r>
        <w:rPr>
          <w:rFonts w:hint="eastAsia" w:asciiTheme="minorEastAsia" w:hAnsiTheme="minorEastAsia" w:eastAsiaTheme="minorEastAsia" w:cstheme="minorEastAsia"/>
          <w:spacing w:val="-59"/>
          <w:w w:val="94"/>
          <w:sz w:val="24"/>
          <w:szCs w:val="24"/>
          <w:u w:val="single" w:color="auto"/>
        </w:rPr>
        <w:t>）</w:t>
      </w:r>
      <w:r>
        <w:rPr>
          <w:rFonts w:hint="eastAsia" w:asciiTheme="minorEastAsia" w:hAnsiTheme="minorEastAsia" w:eastAsiaTheme="minorEastAsia" w:cstheme="minorEastAsia"/>
          <w:spacing w:val="-59"/>
          <w:w w:val="94"/>
          <w:sz w:val="24"/>
          <w:szCs w:val="24"/>
        </w:rPr>
        <w:t>，</w:t>
      </w:r>
      <w:r>
        <w:rPr>
          <w:rFonts w:hint="eastAsia" w:asciiTheme="minorEastAsia" w:hAnsiTheme="minorEastAsia" w:eastAsiaTheme="minorEastAsia" w:cstheme="minorEastAsia"/>
          <w:spacing w:val="-5"/>
          <w:sz w:val="24"/>
          <w:szCs w:val="24"/>
        </w:rPr>
        <w:t>从业人员人，营业收入为万元，资产总额为万元，属于</w:t>
      </w:r>
      <w:r>
        <w:rPr>
          <w:rFonts w:hint="eastAsia" w:asciiTheme="minorEastAsia" w:hAnsiTheme="minorEastAsia" w:eastAsiaTheme="minorEastAsia" w:cstheme="minorEastAsia"/>
          <w:spacing w:val="-5"/>
          <w:sz w:val="24"/>
          <w:szCs w:val="24"/>
          <w:u w:val="single" w:color="auto"/>
        </w:rPr>
        <w:t>（中</w:t>
      </w:r>
    </w:p>
    <w:p w14:paraId="0C70AFD4">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sz w:val="24"/>
          <w:szCs w:val="24"/>
          <w:u w:val="single" w:color="auto"/>
        </w:rPr>
        <w:t>型企业、小型企业、微型企业</w:t>
      </w:r>
      <w:r>
        <w:rPr>
          <w:rFonts w:hint="eastAsia" w:asciiTheme="minorEastAsia" w:hAnsiTheme="minorEastAsia" w:eastAsiaTheme="minorEastAsia" w:cstheme="minorEastAsia"/>
          <w:spacing w:val="-48"/>
          <w:sz w:val="24"/>
          <w:szCs w:val="24"/>
          <w:u w:val="single" w:color="auto"/>
        </w:rPr>
        <w:t>）</w:t>
      </w:r>
      <w:r>
        <w:rPr>
          <w:rFonts w:hint="eastAsia" w:asciiTheme="minorEastAsia" w:hAnsiTheme="minorEastAsia" w:eastAsiaTheme="minorEastAsia" w:cstheme="minorEastAsia"/>
          <w:spacing w:val="-48"/>
          <w:sz w:val="24"/>
          <w:szCs w:val="24"/>
        </w:rPr>
        <w:t>；</w:t>
      </w:r>
    </w:p>
    <w:p w14:paraId="361F1DB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3899789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position w:val="1"/>
          <w:sz w:val="24"/>
          <w:szCs w:val="24"/>
        </w:rPr>
        <w:t>……</w:t>
      </w:r>
    </w:p>
    <w:p w14:paraId="34DF2A11">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以上企业，不属于大企业的分支机构，不存在控股股东为大企业的情形，也不存在与大企业的负责人为同一人的情形。</w:t>
      </w:r>
    </w:p>
    <w:p w14:paraId="6813BED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r>
        <w:rPr>
          <w:rFonts w:hint="eastAsia" w:asciiTheme="minorEastAsia" w:hAnsiTheme="minorEastAsia" w:eastAsiaTheme="minorEastAsia" w:cstheme="minorEastAsia"/>
          <w:spacing w:val="4"/>
          <w:sz w:val="24"/>
          <w:szCs w:val="24"/>
        </w:rPr>
        <w:t>本企业对上述声明内容的真实性负责。如有虚假，将依法承担相应责任。</w:t>
      </w:r>
    </w:p>
    <w:p w14:paraId="28215FB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6" w:firstLineChars="200"/>
        <w:jc w:val="both"/>
        <w:textAlignment w:val="baseline"/>
        <w:rPr>
          <w:rFonts w:hint="eastAsia" w:asciiTheme="minorEastAsia" w:hAnsiTheme="minorEastAsia" w:eastAsiaTheme="minorEastAsia" w:cstheme="minorEastAsia"/>
          <w:spacing w:val="4"/>
          <w:sz w:val="24"/>
          <w:szCs w:val="24"/>
        </w:rPr>
      </w:pPr>
    </w:p>
    <w:p w14:paraId="51A6504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21"/>
        </w:rPr>
      </w:pPr>
    </w:p>
    <w:p w14:paraId="6A5AE732">
      <w:pPr>
        <w:pStyle w:val="5"/>
        <w:keepNext w:val="0"/>
        <w:keepLines w:val="0"/>
        <w:pageBreakBefore w:val="0"/>
        <w:widowControl/>
        <w:kinsoku/>
        <w:wordWrap w:val="0"/>
        <w:overflowPunct/>
        <w:topLinePunct w:val="0"/>
        <w:autoSpaceDE w:val="0"/>
        <w:autoSpaceDN w:val="0"/>
        <w:bidi w:val="0"/>
        <w:adjustRightInd w:val="0"/>
        <w:snapToGrid w:val="0"/>
        <w:spacing w:line="360" w:lineRule="auto"/>
        <w:ind w:right="0"/>
        <w:jc w:val="center"/>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9"/>
          <w:sz w:val="24"/>
          <w:szCs w:val="24"/>
          <w:lang w:val="en-US" w:eastAsia="zh-CN"/>
        </w:rPr>
        <w:t xml:space="preserve">              </w:t>
      </w:r>
      <w:r>
        <w:rPr>
          <w:rFonts w:hint="eastAsia" w:asciiTheme="minorEastAsia" w:hAnsiTheme="minorEastAsia" w:eastAsiaTheme="minorEastAsia" w:cstheme="minorEastAsia"/>
          <w:spacing w:val="-19"/>
          <w:sz w:val="24"/>
          <w:szCs w:val="24"/>
        </w:rPr>
        <w:t>企业名称（盖章</w:t>
      </w:r>
      <w:r>
        <w:rPr>
          <w:rFonts w:hint="eastAsia" w:asciiTheme="minorEastAsia" w:hAnsiTheme="minorEastAsia" w:eastAsiaTheme="minorEastAsia" w:cstheme="minorEastAsia"/>
          <w:spacing w:val="-2"/>
          <w:sz w:val="24"/>
          <w:szCs w:val="24"/>
        </w:rPr>
        <w:t>）：</w:t>
      </w:r>
    </w:p>
    <w:p w14:paraId="049FFD22">
      <w:pPr>
        <w:keepNext w:val="0"/>
        <w:keepLines w:val="0"/>
        <w:pageBreakBefore w:val="0"/>
        <w:widowControl w:val="0"/>
        <w:kinsoku/>
        <w:wordWrap w:val="0"/>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 xml:space="preserve">                    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3B75B27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03D6A87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BE9849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9"/>
          <w:position w:val="5"/>
          <w:sz w:val="24"/>
          <w:szCs w:val="24"/>
          <w:lang w:val="en-US" w:eastAsia="zh-CN"/>
        </w:rPr>
        <w:t>备注：</w:t>
      </w:r>
      <w:r>
        <w:rPr>
          <w:rFonts w:hint="eastAsia" w:asciiTheme="minorEastAsia" w:hAnsiTheme="minorEastAsia" w:eastAsiaTheme="minorEastAsia" w:cstheme="minorEastAsia"/>
          <w:spacing w:val="9"/>
          <w:sz w:val="24"/>
          <w:szCs w:val="24"/>
        </w:rPr>
        <w:t>从业人员、营业收入、资产总额填报上一年度数据，无上一年度数据的新成立企业可不填报。</w:t>
      </w:r>
    </w:p>
    <w:p w14:paraId="34A7E09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pPr>
    </w:p>
    <w:p w14:paraId="405B1D17">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pacing w:val="-2"/>
          <w:sz w:val="36"/>
          <w:szCs w:val="36"/>
          <w14:textOutline w14:w="2306" w14:cap="flat" w14:cmpd="sng">
            <w14:solidFill>
              <w14:srgbClr w14:val="000000"/>
            </w14:solidFill>
            <w14:prstDash w14:val="solid"/>
            <w14:miter w14:val="0"/>
          </w14:textOutline>
        </w:rPr>
      </w:pPr>
    </w:p>
    <w:p w14:paraId="132E326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36"/>
          <w:szCs w:val="36"/>
          <w14:textOutline w14:w="2306" w14:cap="flat" w14:cmpd="sng">
            <w14:solidFill>
              <w14:srgbClr w14:val="000000"/>
            </w14:solidFill>
            <w14:prstDash w14:val="solid"/>
            <w14:miter w14:val="0"/>
          </w14:textOutline>
        </w:rPr>
      </w:pPr>
    </w:p>
    <w:p w14:paraId="3164D6B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14:textOutline w14:w="2306" w14:cap="flat" w14:cmpd="sng">
            <w14:solidFill>
              <w14:srgbClr w14:val="000000"/>
            </w14:solidFill>
            <w14:prstDash w14:val="solid"/>
            <w14:miter w14:val="0"/>
          </w14:textOutline>
        </w:rPr>
        <w:t>残疾人福利性单位声明函格式</w:t>
      </w:r>
    </w:p>
    <w:p w14:paraId="4717063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4C0BB0A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本单位郑重声明，根据《财政部民政部中国残疾人联合会关于促进残疾人就</w:t>
      </w:r>
    </w:p>
    <w:p w14:paraId="7201627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业政府采购政策的通知》（财库〔2017〕141号）的规定，本单位</w:t>
      </w:r>
      <w:r>
        <w:rPr>
          <w:rFonts w:hint="eastAsia" w:asciiTheme="minorEastAsia" w:hAnsiTheme="minorEastAsia" w:eastAsiaTheme="minorEastAsia" w:cstheme="minorEastAsia"/>
          <w:spacing w:val="3"/>
          <w:sz w:val="24"/>
          <w:szCs w:val="24"/>
          <w14:textOutline w14:w="1537" w14:cap="flat" w14:cmpd="sng">
            <w14:solidFill>
              <w14:srgbClr w14:val="000000"/>
            </w14:solidFill>
            <w14:prstDash w14:val="solid"/>
            <w14:miter w14:val="0"/>
          </w14:textOutline>
        </w:rPr>
        <w:t>（请进行选择</w:t>
      </w:r>
      <w:r>
        <w:rPr>
          <w:rFonts w:hint="eastAsia" w:asciiTheme="minorEastAsia" w:hAnsiTheme="minorEastAsia" w:eastAsiaTheme="minorEastAsia" w:cstheme="minorEastAsia"/>
          <w:spacing w:val="-46"/>
          <w:sz w:val="24"/>
          <w:szCs w:val="24"/>
          <w14:textOutline w14:w="1537" w14:cap="flat" w14:cmpd="sng">
            <w14:solidFill>
              <w14:srgbClr w14:val="000000"/>
            </w14:solidFill>
            <w14:prstDash w14:val="solid"/>
            <w14:miter w14:val="0"/>
          </w14:textOutline>
        </w:rPr>
        <w:t>）</w:t>
      </w:r>
      <w:r>
        <w:rPr>
          <w:rFonts w:hint="eastAsia" w:asciiTheme="minorEastAsia" w:hAnsiTheme="minorEastAsia" w:eastAsiaTheme="minorEastAsia" w:cstheme="minorEastAsia"/>
          <w:spacing w:val="-46"/>
          <w:sz w:val="24"/>
          <w:szCs w:val="24"/>
        </w:rPr>
        <w:t>：</w:t>
      </w:r>
    </w:p>
    <w:p w14:paraId="299E7284">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84" w:firstLineChars="2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8"/>
          <w:sz w:val="24"/>
          <w:szCs w:val="24"/>
          <w14:textOutline w14:w="1537" w14:cap="flat" w14:cmpd="sng">
            <w14:solidFill>
              <w14:srgbClr w14:val="000000"/>
            </w14:solidFill>
            <w14:prstDash w14:val="solid"/>
            <w14:miter w14:val="0"/>
          </w14:textOutline>
        </w:rPr>
        <w:t>不属于符合条件的残疾人福利性单位。</w:t>
      </w:r>
    </w:p>
    <w:p w14:paraId="38F7C3D5">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495"/>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w:t>
      </w:r>
      <w:r>
        <w:rPr>
          <w:rFonts w:hint="eastAsia" w:asciiTheme="minorEastAsia" w:hAnsiTheme="minorEastAsia" w:eastAsiaTheme="minorEastAsia" w:cstheme="minorEastAsia"/>
          <w:spacing w:val="10"/>
          <w:sz w:val="24"/>
          <w:szCs w:val="24"/>
          <w14:textOutline w14:w="1537" w14:cap="flat" w14:cmpd="sng">
            <w14:solidFill>
              <w14:srgbClr w14:val="000000"/>
            </w14:solidFill>
            <w14:prstDash w14:val="solid"/>
            <w14:miter w14:val="0"/>
          </w14:textOutline>
        </w:rPr>
        <w:t>属于符合条件的残疾人福利性单位，</w:t>
      </w:r>
      <w:r>
        <w:rPr>
          <w:rFonts w:hint="eastAsia" w:asciiTheme="minorEastAsia" w:hAnsiTheme="minorEastAsia" w:eastAsiaTheme="minorEastAsia" w:cstheme="minorEastAsia"/>
          <w:spacing w:val="10"/>
          <w:sz w:val="24"/>
          <w:szCs w:val="24"/>
        </w:rPr>
        <w:t>且本单位参加单位的项目</w:t>
      </w:r>
      <w:r>
        <w:rPr>
          <w:rFonts w:hint="eastAsia" w:asciiTheme="minorEastAsia" w:hAnsiTheme="minorEastAsia" w:eastAsiaTheme="minorEastAsia" w:cstheme="minorEastAsia"/>
          <w:spacing w:val="21"/>
          <w:sz w:val="24"/>
          <w:szCs w:val="24"/>
        </w:rPr>
        <w:t>采购活动</w:t>
      </w:r>
      <w:r>
        <w:rPr>
          <w:rFonts w:hint="eastAsia" w:asciiTheme="minorEastAsia" w:hAnsiTheme="minorEastAsia" w:eastAsiaTheme="minorEastAsia" w:cstheme="minorEastAsia"/>
          <w:spacing w:val="21"/>
          <w:sz w:val="24"/>
          <w:szCs w:val="24"/>
          <w:lang w:val="en-US" w:eastAsia="zh-CN"/>
        </w:rPr>
        <w:t>提</w:t>
      </w:r>
      <w:r>
        <w:rPr>
          <w:rFonts w:hint="eastAsia" w:asciiTheme="minorEastAsia" w:hAnsiTheme="minorEastAsia" w:eastAsiaTheme="minorEastAsia" w:cstheme="minorEastAsia"/>
          <w:spacing w:val="21"/>
          <w:sz w:val="24"/>
          <w:szCs w:val="24"/>
        </w:rPr>
        <w:t>供本单位制造的货物（由本单位承担工程/</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供服务</w:t>
      </w:r>
      <w:r>
        <w:rPr>
          <w:rFonts w:hint="eastAsia" w:asciiTheme="minorEastAsia" w:hAnsiTheme="minorEastAsia" w:eastAsiaTheme="minorEastAsia" w:cstheme="minorEastAsia"/>
          <w:spacing w:val="-62"/>
          <w:sz w:val="24"/>
          <w:szCs w:val="24"/>
        </w:rPr>
        <w:t>），</w:t>
      </w:r>
      <w:r>
        <w:rPr>
          <w:rFonts w:hint="eastAsia" w:asciiTheme="minorEastAsia" w:hAnsiTheme="minorEastAsia" w:eastAsiaTheme="minorEastAsia" w:cstheme="minorEastAsia"/>
          <w:spacing w:val="21"/>
          <w:sz w:val="24"/>
          <w:szCs w:val="24"/>
        </w:rPr>
        <w:t>或者</w:t>
      </w:r>
      <w:r>
        <w:rPr>
          <w:rFonts w:hint="eastAsia" w:asciiTheme="minorEastAsia" w:hAnsiTheme="minorEastAsia" w:eastAsiaTheme="minorEastAsia" w:cstheme="minorEastAsia"/>
          <w:spacing w:val="21"/>
          <w:sz w:val="24"/>
          <w:szCs w:val="24"/>
          <w:lang w:eastAsia="zh-CN"/>
        </w:rPr>
        <w:t>提</w:t>
      </w:r>
      <w:r>
        <w:rPr>
          <w:rFonts w:hint="eastAsia" w:asciiTheme="minorEastAsia" w:hAnsiTheme="minorEastAsia" w:eastAsiaTheme="minorEastAsia" w:cstheme="minorEastAsia"/>
          <w:spacing w:val="21"/>
          <w:sz w:val="24"/>
          <w:szCs w:val="24"/>
        </w:rPr>
        <w:t>供其他残</w:t>
      </w:r>
      <w:r>
        <w:rPr>
          <w:rFonts w:hint="eastAsia" w:asciiTheme="minorEastAsia" w:hAnsiTheme="minorEastAsia" w:eastAsiaTheme="minorEastAsia" w:cstheme="minorEastAsia"/>
          <w:spacing w:val="7"/>
          <w:sz w:val="24"/>
          <w:szCs w:val="24"/>
        </w:rPr>
        <w:t>疾人福利性单位制造的货物（不包括使用非残疾人福利性单位注册商标的货物）。</w:t>
      </w:r>
    </w:p>
    <w:p w14:paraId="21EC3B0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2"/>
          <w:sz w:val="24"/>
          <w:szCs w:val="24"/>
          <w14:textOutline w14:w="1537" w14:cap="flat" w14:cmpd="sng">
            <w14:solidFill>
              <w14:srgbClr w14:val="000000"/>
            </w14:solidFill>
            <w14:prstDash w14:val="solid"/>
            <w14:miter w14:val="0"/>
          </w14:textOutline>
        </w:rPr>
        <w:t>本单位对上述声明的真实性负责。如有虚假，将依法</w:t>
      </w:r>
      <w:r>
        <w:rPr>
          <w:rFonts w:hint="eastAsia" w:asciiTheme="minorEastAsia" w:hAnsiTheme="minorEastAsia" w:eastAsiaTheme="minorEastAsia" w:cstheme="minorEastAsia"/>
          <w:spacing w:val="11"/>
          <w:sz w:val="24"/>
          <w:szCs w:val="24"/>
          <w14:textOutline w14:w="1537" w14:cap="flat" w14:cmpd="sng">
            <w14:solidFill>
              <w14:srgbClr w14:val="000000"/>
            </w14:solidFill>
            <w14:prstDash w14:val="solid"/>
            <w14:miter w14:val="0"/>
          </w14:textOutline>
        </w:rPr>
        <w:t>承担相应责任。</w:t>
      </w:r>
    </w:p>
    <w:p w14:paraId="1C48CE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6FDD4AE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1"/>
        </w:rPr>
      </w:pPr>
    </w:p>
    <w:p w14:paraId="3349168B">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120" w:firstLineChars="2000"/>
        <w:jc w:val="both"/>
        <w:textAlignment w:val="baseline"/>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position w:val="26"/>
          <w:sz w:val="24"/>
          <w:szCs w:val="24"/>
        </w:rPr>
        <w:t>单位名称（盖章</w:t>
      </w:r>
      <w:r>
        <w:rPr>
          <w:rFonts w:hint="eastAsia" w:asciiTheme="minorEastAsia" w:hAnsiTheme="minorEastAsia" w:eastAsiaTheme="minorEastAsia" w:cstheme="minorEastAsia"/>
          <w:spacing w:val="-60"/>
          <w:position w:val="26"/>
          <w:sz w:val="24"/>
          <w:szCs w:val="24"/>
        </w:rPr>
        <w:t>）：</w:t>
      </w:r>
    </w:p>
    <w:p w14:paraId="59DDB2B2">
      <w:pPr>
        <w:keepNext w:val="0"/>
        <w:keepLines w:val="0"/>
        <w:pageBreakBefore w:val="0"/>
        <w:widowControl w:val="0"/>
        <w:kinsoku/>
        <w:wordWrap w:val="0"/>
        <w:overflowPunct/>
        <w:topLinePunct w:val="0"/>
        <w:autoSpaceDE w:val="0"/>
        <w:autoSpaceDN w:val="0"/>
        <w:bidi w:val="0"/>
        <w:adjustRightInd w:val="0"/>
        <w:spacing w:line="360" w:lineRule="auto"/>
        <w:ind w:firstLine="5152" w:firstLineChars="23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6A858D53">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960" w:firstLineChars="2900"/>
        <w:jc w:val="both"/>
        <w:textAlignment w:val="baseline"/>
        <w:rPr>
          <w:rFonts w:hint="eastAsia" w:asciiTheme="minorEastAsia" w:hAnsiTheme="minorEastAsia" w:eastAsiaTheme="minorEastAsia" w:cstheme="minorEastAsia"/>
          <w:sz w:val="24"/>
          <w:szCs w:val="24"/>
        </w:rPr>
      </w:pPr>
    </w:p>
    <w:p w14:paraId="6C26D66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51BB282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2CDD927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Theme="minorEastAsia" w:hAnsiTheme="minorEastAsia" w:eastAsiaTheme="minorEastAsia" w:cstheme="minorEastAsia"/>
          <w:sz w:val="24"/>
          <w:szCs w:val="24"/>
        </w:rPr>
      </w:pPr>
    </w:p>
    <w:p w14:paraId="18C5DAD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00B2949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4AD353B7">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255935B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7A5F3C5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5F838C32">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7804FCF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p>
    <w:p w14:paraId="35EE8586">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default"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en-US" w:eastAsia="zh-CN"/>
          <w14:textOutline w14:w="2306" w14:cap="flat" w14:cmpd="sng">
            <w14:solidFill>
              <w14:srgbClr w14:val="000000"/>
            </w14:solidFill>
            <w14:prstDash w14:val="solid"/>
            <w14:miter w14:val="0"/>
          </w14:textOutline>
        </w:rPr>
        <w:t>监狱企业声明函格式</w:t>
      </w:r>
    </w:p>
    <w:p w14:paraId="051C0E2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both"/>
        <w:textAlignment w:val="baseline"/>
        <w:rPr>
          <w:rFonts w:hint="eastAsia" w:ascii="宋体" w:hAnsi="宋体"/>
          <w:b/>
          <w:sz w:val="28"/>
          <w:szCs w:val="28"/>
          <w:lang w:eastAsia="zh-CN"/>
        </w:rPr>
      </w:pPr>
    </w:p>
    <w:p w14:paraId="003861F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本企业郑重声明，根据《财政部、司法部关于政府采购支持监狱企业发展有关问题的通知》（财库</w:t>
      </w:r>
      <w:r>
        <w:rPr>
          <w:rFonts w:hint="eastAsia" w:asciiTheme="minorEastAsia" w:hAnsiTheme="minorEastAsia" w:eastAsiaTheme="minorEastAsia" w:cstheme="minorEastAsia"/>
          <w:spacing w:val="3"/>
          <w:sz w:val="24"/>
          <w:szCs w:val="24"/>
        </w:rPr>
        <w:t>〔201</w:t>
      </w:r>
      <w:r>
        <w:rPr>
          <w:rFonts w:hint="eastAsia" w:asciiTheme="minorEastAsia" w:hAnsiTheme="minorEastAsia" w:eastAsiaTheme="minorEastAsia" w:cstheme="minorEastAsia"/>
          <w:spacing w:val="3"/>
          <w:sz w:val="24"/>
          <w:szCs w:val="24"/>
          <w:lang w:val="en-US" w:eastAsia="zh-CN"/>
        </w:rPr>
        <w:t>4</w:t>
      </w:r>
      <w:r>
        <w:rPr>
          <w:rFonts w:hint="eastAsia" w:asciiTheme="minorEastAsia" w:hAnsiTheme="minorEastAsia" w:eastAsiaTheme="minorEastAsia" w:cstheme="minorEastAsia"/>
          <w:spacing w:val="3"/>
          <w:sz w:val="24"/>
          <w:szCs w:val="24"/>
        </w:rPr>
        <w:t>〕</w:t>
      </w:r>
      <w:r>
        <w:rPr>
          <w:rFonts w:hint="eastAsia" w:asciiTheme="minorEastAsia" w:hAnsiTheme="minorEastAsia" w:eastAsiaTheme="minorEastAsia" w:cstheme="minorEastAsia"/>
          <w:snapToGrid w:val="0"/>
          <w:color w:val="000000"/>
          <w:spacing w:val="7"/>
          <w:kern w:val="0"/>
          <w:sz w:val="24"/>
          <w:szCs w:val="24"/>
          <w:lang w:val="en-US" w:eastAsia="zh-CN" w:bidi="ar-SA"/>
        </w:rPr>
        <w:t>68号），本企业______（是、不是）监狱企业。后附省级以上监狱管理局、戒毒管理局（含新疆生产建设兵团）出具的属于监狱企业证明文件。</w:t>
      </w:r>
    </w:p>
    <w:p w14:paraId="12BCF8C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本企业对上述声明的真实性负责。如有虚假，将依法承担相应责任。</w:t>
      </w:r>
    </w:p>
    <w:p w14:paraId="0EDD755D">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p>
    <w:p w14:paraId="60432856">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508" w:firstLineChars="200"/>
        <w:jc w:val="both"/>
        <w:textAlignment w:val="baseline"/>
        <w:rPr>
          <w:rFonts w:hint="eastAsia" w:asciiTheme="minorEastAsia" w:hAnsiTheme="minorEastAsia" w:eastAsiaTheme="minorEastAsia" w:cstheme="minorEastAsia"/>
          <w:snapToGrid w:val="0"/>
          <w:color w:val="000000"/>
          <w:spacing w:val="7"/>
          <w:kern w:val="0"/>
          <w:sz w:val="24"/>
          <w:szCs w:val="24"/>
          <w:lang w:val="en-US"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企业名称（盖章）：</w:t>
      </w:r>
    </w:p>
    <w:p w14:paraId="03DCC91C">
      <w:pPr>
        <w:keepNext w:val="0"/>
        <w:keepLines w:val="0"/>
        <w:pageBreakBefore w:val="0"/>
        <w:widowControl w:val="0"/>
        <w:kinsoku/>
        <w:wordWrap w:val="0"/>
        <w:overflowPunct/>
        <w:topLinePunct w:val="0"/>
        <w:autoSpaceDE w:val="0"/>
        <w:autoSpaceDN w:val="0"/>
        <w:bidi w:val="0"/>
        <w:adjustRightInd w:val="0"/>
        <w:spacing w:line="360" w:lineRule="auto"/>
        <w:ind w:firstLine="508" w:firstLineChars="2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snapToGrid w:val="0"/>
          <w:color w:val="000000"/>
          <w:spacing w:val="7"/>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2131B63F">
      <w:pPr>
        <w:keepNext w:val="0"/>
        <w:keepLines w:val="0"/>
        <w:pageBreakBefore w:val="0"/>
        <w:widowControl/>
        <w:tabs>
          <w:tab w:val="left" w:pos="4860"/>
        </w:tabs>
        <w:kinsoku/>
        <w:wordWrap w:val="0"/>
        <w:overflowPunct/>
        <w:topLinePunct w:val="0"/>
        <w:autoSpaceDE w:val="0"/>
        <w:autoSpaceDN w:val="0"/>
        <w:bidi w:val="0"/>
        <w:adjustRightInd w:val="0"/>
        <w:snapToGrid w:val="0"/>
        <w:spacing w:line="360" w:lineRule="auto"/>
        <w:ind w:left="0" w:right="0" w:firstLine="480" w:firstLineChars="200"/>
        <w:jc w:val="both"/>
        <w:textAlignment w:val="baseline"/>
        <w:rPr>
          <w:rFonts w:hint="eastAsia" w:asciiTheme="minorEastAsia" w:hAnsiTheme="minorEastAsia" w:eastAsiaTheme="minorEastAsia" w:cstheme="minorEastAsia"/>
          <w:sz w:val="24"/>
          <w:szCs w:val="24"/>
          <w:u w:val="single" w:color="auto"/>
        </w:rPr>
      </w:pPr>
    </w:p>
    <w:p w14:paraId="48F41B0C">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14:paraId="5522FDCF">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sz w:val="24"/>
          <w:szCs w:val="24"/>
          <w:lang w:eastAsia="zh-CN"/>
        </w:rPr>
      </w:pPr>
    </w:p>
    <w:p w14:paraId="5CC458E8">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r>
        <w:rPr>
          <w:rFonts w:hint="eastAsia" w:asciiTheme="minorEastAsia" w:hAnsiTheme="minorEastAsia" w:eastAsiaTheme="minorEastAsia" w:cstheme="minorEastAsia"/>
          <w:b/>
          <w:bCs/>
          <w:sz w:val="24"/>
          <w:szCs w:val="24"/>
          <w:lang w:eastAsia="zh-CN"/>
        </w:rPr>
        <w:t>按照南阳市财政局《关于在政府采购活动中施行供应商资格信用承诺制的通知》宛财购〔2023〕4号的要求，</w:t>
      </w:r>
      <w:r>
        <w:rPr>
          <w:rFonts w:hint="eastAsia" w:asciiTheme="minorEastAsia" w:hAnsiTheme="minorEastAsia" w:eastAsiaTheme="minorEastAsia" w:cstheme="minorEastAsia"/>
          <w:b/>
          <w:bCs/>
          <w:sz w:val="24"/>
          <w:szCs w:val="24"/>
          <w:lang w:val="en-US" w:eastAsia="zh-CN"/>
        </w:rPr>
        <w:t>对于市本级政府采购项目，全部实施供应商资格信用承诺，供应商</w:t>
      </w:r>
      <w:r>
        <w:rPr>
          <w:rFonts w:hint="eastAsia" w:asciiTheme="minorEastAsia" w:hAnsiTheme="minorEastAsia" w:eastAsiaTheme="minorEastAsia" w:cstheme="minorEastAsia"/>
          <w:b/>
          <w:bCs/>
          <w:sz w:val="24"/>
          <w:szCs w:val="24"/>
          <w:lang w:eastAsia="zh-CN"/>
        </w:rPr>
        <w:t>在</w:t>
      </w:r>
      <w:r>
        <w:rPr>
          <w:rFonts w:hint="eastAsia" w:asciiTheme="minorEastAsia" w:hAnsiTheme="minorEastAsia" w:eastAsiaTheme="minorEastAsia" w:cstheme="minorEastAsia"/>
          <w:b/>
          <w:bCs/>
          <w:sz w:val="24"/>
          <w:szCs w:val="24"/>
          <w:lang w:val="en-US" w:eastAsia="zh-CN"/>
        </w:rPr>
        <w:t>响应</w:t>
      </w:r>
      <w:r>
        <w:rPr>
          <w:rFonts w:hint="eastAsia" w:asciiTheme="minorEastAsia" w:hAnsiTheme="minorEastAsia" w:eastAsiaTheme="minorEastAsia" w:cstheme="minorEastAsia"/>
          <w:b/>
          <w:bCs/>
          <w:sz w:val="24"/>
          <w:szCs w:val="24"/>
          <w:lang w:eastAsia="zh-CN"/>
        </w:rPr>
        <w:t>时，按照规定提供“南阳市政府采购供应商信用承诺函”（详见附件）的，无需再提交上述</w:t>
      </w:r>
      <w:r>
        <w:rPr>
          <w:rFonts w:hint="eastAsia" w:asciiTheme="minorEastAsia" w:hAnsiTheme="minorEastAsia" w:eastAsiaTheme="minorEastAsia" w:cstheme="minorEastAsia"/>
          <w:b/>
          <w:bCs/>
          <w:sz w:val="24"/>
          <w:szCs w:val="24"/>
          <w:lang w:val="en-US" w:eastAsia="zh-CN"/>
        </w:rPr>
        <w:t>第四</w:t>
      </w:r>
      <w:r>
        <w:rPr>
          <w:rFonts w:hint="eastAsia" w:asciiTheme="minorEastAsia" w:hAnsiTheme="minorEastAsia" w:eastAsiaTheme="minorEastAsia" w:cstheme="minorEastAsia"/>
          <w:b/>
          <w:bCs/>
          <w:sz w:val="24"/>
          <w:szCs w:val="24"/>
          <w:lang w:eastAsia="zh-CN"/>
        </w:rPr>
        <w:t>项证明材料”。</w:t>
      </w:r>
      <w:r>
        <w:rPr>
          <w:rFonts w:hint="eastAsia" w:asciiTheme="minorEastAsia" w:hAnsiTheme="minorEastAsia" w:eastAsiaTheme="minorEastAsia" w:cstheme="minorEastAsia"/>
          <w:b/>
          <w:bCs/>
          <w:sz w:val="24"/>
          <w:szCs w:val="24"/>
          <w:lang w:val="en-US" w:eastAsia="zh-CN"/>
        </w:rPr>
        <w:t>供应商</w:t>
      </w:r>
      <w:r>
        <w:rPr>
          <w:rFonts w:hint="eastAsia" w:asciiTheme="minorEastAsia" w:hAnsiTheme="minorEastAsia" w:eastAsiaTheme="minorEastAsia" w:cstheme="minorEastAsia"/>
          <w:b/>
          <w:bCs/>
          <w:sz w:val="24"/>
          <w:szCs w:val="24"/>
          <w:lang w:val="zh-CN" w:eastAsia="zh-CN"/>
        </w:rPr>
        <w:t>在</w:t>
      </w:r>
      <w:r>
        <w:rPr>
          <w:rFonts w:hint="eastAsia" w:asciiTheme="minorEastAsia" w:hAnsiTheme="minorEastAsia" w:eastAsiaTheme="minorEastAsia" w:cstheme="minorEastAsia"/>
          <w:b/>
          <w:bCs/>
          <w:sz w:val="24"/>
          <w:szCs w:val="24"/>
          <w:lang w:val="en-US" w:eastAsia="zh-CN"/>
        </w:rPr>
        <w:t>成交</w:t>
      </w:r>
      <w:r>
        <w:rPr>
          <w:rFonts w:hint="eastAsia" w:asciiTheme="minorEastAsia" w:hAnsiTheme="minorEastAsia" w:eastAsiaTheme="minorEastAsia" w:cstheme="minorEastAsia"/>
          <w:b/>
          <w:bCs/>
          <w:sz w:val="24"/>
          <w:szCs w:val="24"/>
          <w:lang w:val="zh-CN" w:eastAsia="zh-CN"/>
        </w:rPr>
        <w:t>后，应将上述由信用承诺书替代的证明材料提交采购人或采购代理机构，证明材料将随公告一并公示。”</w:t>
      </w:r>
    </w:p>
    <w:p w14:paraId="21777B16">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2" w:firstLineChars="200"/>
        <w:jc w:val="both"/>
        <w:textAlignment w:val="baseline"/>
        <w:rPr>
          <w:rFonts w:hint="eastAsia" w:asciiTheme="minorEastAsia" w:hAnsiTheme="minorEastAsia" w:eastAsiaTheme="minorEastAsia" w:cstheme="minorEastAsia"/>
          <w:b/>
          <w:bCs/>
          <w:sz w:val="24"/>
          <w:szCs w:val="24"/>
          <w:lang w:val="zh-CN" w:eastAsia="zh-CN"/>
        </w:rPr>
      </w:pPr>
    </w:p>
    <w:p w14:paraId="02D13341">
      <w:pPr>
        <w:pStyle w:val="5"/>
        <w:keepNext w:val="0"/>
        <w:keepLines w:val="0"/>
        <w:pageBreakBefore w:val="0"/>
        <w:kinsoku/>
        <w:wordWrap w:val="0"/>
        <w:overflowPunct/>
        <w:topLinePunct w:val="0"/>
        <w:bidi w:val="0"/>
        <w:spacing w:line="360" w:lineRule="auto"/>
        <w:ind w:firstLine="1446" w:firstLineChars="600"/>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2DA1200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52BA6A30">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193E49D8">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0DEE00E5">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268864F7">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p>
    <w:p w14:paraId="2D4C394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jc w:val="center"/>
        <w:textAlignment w:val="baseline"/>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pPr>
      <w:r>
        <w:rPr>
          <w:rFonts w:hint="eastAsia" w:asciiTheme="minorEastAsia" w:hAnsiTheme="minorEastAsia" w:eastAsiaTheme="minorEastAsia" w:cstheme="minorEastAsia"/>
          <w:sz w:val="32"/>
          <w:szCs w:val="32"/>
          <w:lang w:val="zh-CN" w:eastAsia="zh-CN"/>
          <w14:textOutline w14:w="2306" w14:cap="flat" w14:cmpd="sng">
            <w14:solidFill>
              <w14:srgbClr w14:val="000000"/>
            </w14:solidFill>
            <w14:prstDash w14:val="solid"/>
            <w14:miter w14:val="0"/>
          </w14:textOutline>
        </w:rPr>
        <w:t>南阳市政府采购供应商信用承诺函（格式）</w:t>
      </w:r>
    </w:p>
    <w:p w14:paraId="6F38829A">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bCs/>
          <w:snapToGrid w:val="0"/>
          <w:color w:val="000000"/>
          <w:kern w:val="0"/>
          <w:sz w:val="24"/>
          <w:szCs w:val="24"/>
          <w:lang w:val="zh-CN" w:eastAsia="zh-CN" w:bidi="ar-SA"/>
        </w:rPr>
      </w:pPr>
    </w:p>
    <w:p w14:paraId="6893450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14:paraId="3DD9CAD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14:paraId="1FC9F0E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14:paraId="66F188F6">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14:paraId="4DB8CCF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14:paraId="24370D97">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14:paraId="090CA6B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14:paraId="716ACE0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14:paraId="533AB430">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14:paraId="4C84F799">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14:paraId="41594222">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14:paraId="25016201">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14:paraId="6D077EB8">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14:paraId="3C21B104">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14:paraId="22933E29">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6413E00E">
      <w:pPr>
        <w:keepNext w:val="0"/>
        <w:keepLines w:val="0"/>
        <w:pageBreakBefore w:val="0"/>
        <w:widowControl w:val="0"/>
        <w:kinsoku/>
        <w:wordWrap w:val="0"/>
        <w:overflowPunct/>
        <w:topLinePunct w:val="0"/>
        <w:autoSpaceDE w:val="0"/>
        <w:autoSpaceDN w:val="0"/>
        <w:bidi w:val="0"/>
        <w:adjustRightInd w:val="0"/>
        <w:spacing w:line="360" w:lineRule="auto"/>
        <w:ind w:firstLine="1200" w:firstLineChars="5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14:paraId="0FCEEFEF">
      <w:pPr>
        <w:keepNext w:val="0"/>
        <w:keepLines w:val="0"/>
        <w:pageBreakBefore w:val="0"/>
        <w:widowControl w:val="0"/>
        <w:kinsoku/>
        <w:wordWrap w:val="0"/>
        <w:overflowPunct/>
        <w:topLinePunct w:val="0"/>
        <w:autoSpaceDE w:val="0"/>
        <w:autoSpaceDN w:val="0"/>
        <w:bidi w:val="0"/>
        <w:adjustRightInd w:val="0"/>
        <w:spacing w:line="360" w:lineRule="auto"/>
        <w:ind w:firstLine="1568" w:firstLineChars="700"/>
        <w:jc w:val="both"/>
        <w:rPr>
          <w:rFonts w:hint="eastAsia" w:asciiTheme="minorEastAsia" w:hAnsiTheme="minorEastAsia" w:eastAsiaTheme="minorEastAsia" w:cstheme="minorEastAsia"/>
          <w:b w:val="0"/>
          <w:bCs w:val="0"/>
          <w:snapToGrid w:val="0"/>
          <w:color w:val="000000"/>
          <w:spacing w:val="-8"/>
          <w:kern w:val="0"/>
          <w:sz w:val="24"/>
          <w:szCs w:val="24"/>
          <w:lang w:val="zh-CN" w:eastAsia="zh-CN" w:bidi="ar-SA"/>
        </w:rPr>
      </w:pP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日期：</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b w:val="0"/>
          <w:bCs w:val="0"/>
          <w:snapToGrid w:val="0"/>
          <w:color w:val="000000"/>
          <w:spacing w:val="-8"/>
          <w:kern w:val="0"/>
          <w:sz w:val="24"/>
          <w:szCs w:val="24"/>
          <w:u w:val="single"/>
          <w:lang w:val="en-US" w:eastAsia="zh-CN" w:bidi="ar-SA"/>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14:paraId="71BC85D0">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p>
    <w:p w14:paraId="34992BED">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14:paraId="1B7AB5B7">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14:paraId="365C6F31">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napToGrid w:val="0"/>
          <w:color w:val="000000"/>
          <w:spacing w:val="-3"/>
          <w:kern w:val="0"/>
          <w:sz w:val="24"/>
          <w:szCs w:val="24"/>
          <w:lang w:val="en-US" w:eastAsia="en-US"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sectPr>
      <w:headerReference r:id="rId12" w:type="default"/>
      <w:footerReference r:id="rId13" w:type="default"/>
      <w:pgSz w:w="11907" w:h="16840"/>
      <w:pgMar w:top="1440" w:right="1800" w:bottom="1440" w:left="1800" w:header="878" w:footer="886"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386C1C0-B715-4437-9C89-D3F9AA7BD028}"/>
  </w:font>
  <w:font w:name="Arial">
    <w:panose1 w:val="020B0604020202020204"/>
    <w:charset w:val="01"/>
    <w:family w:val="swiss"/>
    <w:pitch w:val="default"/>
    <w:sig w:usb0="E0002EFF" w:usb1="C000785B" w:usb2="00000009" w:usb3="00000000" w:csb0="400001FF" w:csb1="FFFF0000"/>
    <w:embedRegular r:id="rId2" w:fontKey="{93E0AC40-D341-4F74-B1F7-8DEB66A7DC37}"/>
  </w:font>
  <w:font w:name="黑体">
    <w:panose1 w:val="02010609060101010101"/>
    <w:charset w:val="86"/>
    <w:family w:val="auto"/>
    <w:pitch w:val="default"/>
    <w:sig w:usb0="800002BF" w:usb1="38CF7CFA" w:usb2="00000016" w:usb3="00000000" w:csb0="00040001" w:csb1="00000000"/>
    <w:embedRegular r:id="rId3" w:fontKey="{37FEC3C3-2AF7-4A7C-B289-575EEF76223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968F807D-67F2-4909-9D5E-F827C1CF51C3}"/>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200247B" w:usb2="00000009" w:usb3="00000000" w:csb0="200001FF" w:csb1="00000000"/>
  </w:font>
  <w:font w:name="华文楷体">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modern"/>
    <w:pitch w:val="default"/>
    <w:sig w:usb0="00000001" w:usb1="080E0000" w:usb2="00000000" w:usb3="00000000" w:csb0="00040000" w:csb1="00000000"/>
    <w:embedRegular r:id="rId5" w:fontKey="{5B769576-2C87-4CAF-A77C-332870A79F90}"/>
  </w:font>
  <w:font w:name="Arial Unicode MS">
    <w:panose1 w:val="020B0604020202020204"/>
    <w:charset w:val="86"/>
    <w:family w:val="auto"/>
    <w:pitch w:val="default"/>
    <w:sig w:usb0="F7FFAEFF" w:usb1="F9DFFFFF" w:usb2="0000007F" w:usb3="00000000" w:csb0="203F01FF" w:csb1="DFFF0000"/>
    <w:embedRegular r:id="rId6" w:fontKey="{2FBB1BC8-2070-43F7-9091-F2D042363F71}"/>
  </w:font>
  <w:font w:name="WPSEMBED1">
    <w:panose1 w:val="020B0604020202020204"/>
    <w:charset w:val="86"/>
    <w:family w:val="auto"/>
    <w:pitch w:val="default"/>
    <w:sig w:usb0="F7FFAEFF" w:usb1="F9DFFFFF" w:usb2="0000007F" w:usb3="00000000" w:csb0="203F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1E93">
    <w:pPr>
      <w:pStyle w:val="9"/>
      <w:tabs>
        <w:tab w:val="center" w:pos="4579"/>
        <w:tab w:val="clear" w:pos="4153"/>
      </w:tabs>
    </w:pPr>
    <w:r>
      <w:rPr>
        <w:rFonts w:hint="eastAsia" w:eastAsia="宋体"/>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89193">
    <w:pPr>
      <w:pStyle w:val="9"/>
      <w:rPr>
        <w:rFonts w:hint="default"/>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C8498">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3C2C8498">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6</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6E5DC">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136464">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8136464">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26</w:t>
                    </w:r>
                    <w:r>
                      <w:rPr>
                        <w:rFonts w:hint="eastAsia" w:eastAsia="宋体"/>
                        <w:lang w:eastAsia="zh-CN"/>
                      </w:rP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posOffset>2839720</wp:posOffset>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95983">
                          <w:pPr>
                            <w:pStyle w:val="9"/>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3.6pt;margin-top:0pt;height:144pt;width:144pt;mso-position-horizontal-relative:margin;mso-wrap-style:none;z-index:251660288;mso-width-relative:page;mso-height-relative:page;" filled="f" stroked="f" coordsize="21600,21600" o:gfxdata="UEsDBAoAAAAAAIdO4kAAAAAAAAAAAAAAAAAEAAAAZHJzL1BLAwQUAAAACACHTuJAOr7Er9UAAAAI&#10;AQAADwAAAGRycy9kb3ducmV2LnhtbE2PzU7DMBCE70i8g7VI3KjdNNAoxKlERTgi0XDg6MZLEvBP&#10;ZLtpeHuWEz2OZjTzTbVbrGEzhjh6J2G9EsDQdV6Prpfw3jZ3BbCYlNPKeIcSfjDCrr6+qlSp/dm9&#10;4XxIPaMSF0slYUhpKjmP3YBWxZWf0JH36YNViWTouQ7qTOXW8EyIB27V6GhhUBPuB+y+DycrYd+0&#10;bZgxBvOBL83m6/Upx+dFytubtXgElnBJ/2H4wyd0qInp6E9OR2Yk5Pk2o6gEekT2dnNP8ighKwoB&#10;vK745YH6F1BLAwQUAAAACACHTuJAgoR2GDMCAABjBAAADgAAAGRycy9lMm9Eb2MueG1srVTNjtMw&#10;EL4j8Q6W7zRpEatSNV2VrYqQKnalBXF2Haex5D/ZbpPyAPAGnLhw3+fqc/A5abpo4bAHLs7YM/7G&#10;3zczmV+3WpGD8EFaU9DxKKdEGG5LaXYF/fxp/WpKSYjMlExZIwp6FIFeL16+mDduJia2tqoUngDE&#10;hFnjClrH6GZZFngtNAsj64SBs7Jes4it32WlZw3QtcomeX6VNdaXzlsuQsDpqnfSM6J/DqCtKsnF&#10;yvK9Fib2qF4oFkEp1NIFuuheW1WCx9uqCiISVVAwjd2KJLC3ac0WczbbeeZqyc9PYM95whNOmkmD&#10;pBeoFYuM7L38C0pL7m2wVRxxq7OeSKcIWIzzJ9rc18yJjgukDu4ievh/sPzj4c4TWRZ08pYSwzQq&#10;fvrx/fTz4fTrG8EZBGpcmCHu3iEytu9si7YZzgMOE++28jp9wYjAD3mPF3lFGwlPl6aT6TSHi8M3&#10;bICfPV53PsT3wmqSjIJ61K+TlR02IfahQ0jKZuxaKtXVUBnSFPTq9Zu8u3DxAFwZ5Egk+scmK7bb&#10;9sxsa8sjiHnb90ZwfC2RfMNCvGMezYAHY1ziLZZKWSSxZ4uS2vqv/zpP8agRvJQ0aK6CGswSJeqD&#10;Qe0AGAfDD8Z2MMxe31h06xhj6Hhn4oKPajArb/UXzNAy5YCLGY5MBY2DeRP7BscMcrFcdkF75+Wu&#10;7i+g8xyLG3PveEqThAxuuY8Qs9M4CdSrctYNvddV6Twnqbn/3HdRj/+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6vsSv1QAAAAgBAAAPAAAAAAAAAAEAIAAAACIAAABkcnMvZG93bnJldi54bWxQ&#10;SwECFAAUAAAACACHTuJAgoR2GDMCAABjBAAADgAAAAAAAAABACAAAAAkAQAAZHJzL2Uyb0RvYy54&#10;bWxQSwUGAAAAAAYABgBZAQAAyQUAAAAA&#10;">
              <v:fill on="f" focussize="0,0"/>
              <v:stroke on="f" weight="0.5pt"/>
              <v:imagedata o:title=""/>
              <o:lock v:ext="edit" aspectratio="f"/>
              <v:textbox inset="0mm,0mm,0mm,0mm" style="mso-fit-shape-to-text:t;">
                <w:txbxContent>
                  <w:p w14:paraId="4EB95983">
                    <w:pPr>
                      <w:pStyle w:val="9"/>
                      <w:rPr>
                        <w:rFonts w:hint="eastAsia" w:eastAsia="宋体"/>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FF2F9">
    <w:pPr>
      <w:spacing w:line="189" w:lineRule="auto"/>
      <w:ind w:left="4435"/>
      <w:rPr>
        <w:rFonts w:ascii="Arial" w:hAnsi="Arial" w:eastAsia="Arial" w:cs="Arial"/>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7EEDDF">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697EEDDF">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33</w:t>
                    </w:r>
                    <w:r>
                      <w:rPr>
                        <w:rFonts w:hint="eastAsia" w:eastAsia="宋体"/>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4A5BD">
    <w:pPr>
      <w:spacing w:line="189" w:lineRule="auto"/>
      <w:ind w:left="4433"/>
      <w:rPr>
        <w:rFonts w:ascii="Arial" w:hAnsi="Arial" w:eastAsia="Arial" w:cs="Arial"/>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554CED">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7D554CED">
                    <w:pPr>
                      <w:pStyle w:val="9"/>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38</w:t>
                    </w:r>
                    <w:r>
                      <w:rPr>
                        <w:rFonts w:hint="eastAsia" w:eastAsia="宋体"/>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29BE4">
    <w:pPr>
      <w:pStyle w:val="1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93DBB">
    <w:pPr>
      <w:pStyle w:val="10"/>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B00BE">
    <w:pPr>
      <w:pStyle w:val="10"/>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6E8F6">
    <w:pPr>
      <w:pStyle w:val="1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4771FD"/>
    <w:multiLevelType w:val="singleLevel"/>
    <w:tmpl w:val="014771F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ZDU5ODFjOGEyNWRlYTNkMjA0OTNkYmM2YTBlNjc3YTEifQ=="/>
  </w:docVars>
  <w:rsids>
    <w:rsidRoot w:val="00000000"/>
    <w:rsid w:val="00991589"/>
    <w:rsid w:val="01080A12"/>
    <w:rsid w:val="01530D77"/>
    <w:rsid w:val="015C3E7B"/>
    <w:rsid w:val="01C501BB"/>
    <w:rsid w:val="02205FBA"/>
    <w:rsid w:val="064F4319"/>
    <w:rsid w:val="068E3768"/>
    <w:rsid w:val="06BC23B0"/>
    <w:rsid w:val="06EF5D41"/>
    <w:rsid w:val="07512AFF"/>
    <w:rsid w:val="07AB20F7"/>
    <w:rsid w:val="08743EB7"/>
    <w:rsid w:val="09593447"/>
    <w:rsid w:val="09A960A9"/>
    <w:rsid w:val="0A4E3858"/>
    <w:rsid w:val="0BCA5067"/>
    <w:rsid w:val="0C272EF4"/>
    <w:rsid w:val="0CEA544B"/>
    <w:rsid w:val="0D4C0C6C"/>
    <w:rsid w:val="0DA948FA"/>
    <w:rsid w:val="0DD9599C"/>
    <w:rsid w:val="0EC4025E"/>
    <w:rsid w:val="0EE04793"/>
    <w:rsid w:val="0EE83C0B"/>
    <w:rsid w:val="0FFF7484"/>
    <w:rsid w:val="11DE5D80"/>
    <w:rsid w:val="11E54B27"/>
    <w:rsid w:val="124675EC"/>
    <w:rsid w:val="12AF0CEE"/>
    <w:rsid w:val="13346191"/>
    <w:rsid w:val="139C13E5"/>
    <w:rsid w:val="13F12C33"/>
    <w:rsid w:val="13FE2F34"/>
    <w:rsid w:val="14184102"/>
    <w:rsid w:val="145D4BFF"/>
    <w:rsid w:val="146A4EE4"/>
    <w:rsid w:val="147646D5"/>
    <w:rsid w:val="14B05372"/>
    <w:rsid w:val="14B80C58"/>
    <w:rsid w:val="14C924CC"/>
    <w:rsid w:val="15103876"/>
    <w:rsid w:val="15EF58A5"/>
    <w:rsid w:val="1627027A"/>
    <w:rsid w:val="17426AF8"/>
    <w:rsid w:val="17AC113D"/>
    <w:rsid w:val="18C921CA"/>
    <w:rsid w:val="19075642"/>
    <w:rsid w:val="196A0814"/>
    <w:rsid w:val="19E82D37"/>
    <w:rsid w:val="1C7B41D3"/>
    <w:rsid w:val="1D7F2147"/>
    <w:rsid w:val="1DA01659"/>
    <w:rsid w:val="1E806520"/>
    <w:rsid w:val="1EFF636F"/>
    <w:rsid w:val="1FCF1E87"/>
    <w:rsid w:val="20FB6077"/>
    <w:rsid w:val="21157CC7"/>
    <w:rsid w:val="21887424"/>
    <w:rsid w:val="226F0499"/>
    <w:rsid w:val="23735491"/>
    <w:rsid w:val="240E1FB8"/>
    <w:rsid w:val="249B7305"/>
    <w:rsid w:val="253D7C8D"/>
    <w:rsid w:val="25F7793F"/>
    <w:rsid w:val="26A5448A"/>
    <w:rsid w:val="277211DD"/>
    <w:rsid w:val="27840543"/>
    <w:rsid w:val="27B97C1A"/>
    <w:rsid w:val="28C34872"/>
    <w:rsid w:val="29A9603F"/>
    <w:rsid w:val="2A3A0118"/>
    <w:rsid w:val="2A9137CD"/>
    <w:rsid w:val="2B05194E"/>
    <w:rsid w:val="2B481888"/>
    <w:rsid w:val="2C956D4E"/>
    <w:rsid w:val="2D087520"/>
    <w:rsid w:val="2D452BB2"/>
    <w:rsid w:val="2E375403"/>
    <w:rsid w:val="304D1074"/>
    <w:rsid w:val="31E05F1C"/>
    <w:rsid w:val="320C16C0"/>
    <w:rsid w:val="322E0317"/>
    <w:rsid w:val="32D83E39"/>
    <w:rsid w:val="334A1323"/>
    <w:rsid w:val="334A32B0"/>
    <w:rsid w:val="33A371EA"/>
    <w:rsid w:val="34A47FC2"/>
    <w:rsid w:val="34B2130C"/>
    <w:rsid w:val="366B6ABE"/>
    <w:rsid w:val="372B776E"/>
    <w:rsid w:val="37542B18"/>
    <w:rsid w:val="37CA6352"/>
    <w:rsid w:val="39416B9D"/>
    <w:rsid w:val="39906272"/>
    <w:rsid w:val="39FD5F33"/>
    <w:rsid w:val="3BAF7174"/>
    <w:rsid w:val="3C5C1B69"/>
    <w:rsid w:val="3F170A05"/>
    <w:rsid w:val="40EB4E21"/>
    <w:rsid w:val="41FD4D22"/>
    <w:rsid w:val="423746D8"/>
    <w:rsid w:val="42AC25ED"/>
    <w:rsid w:val="435968D0"/>
    <w:rsid w:val="44B74AB0"/>
    <w:rsid w:val="45485320"/>
    <w:rsid w:val="462D5E47"/>
    <w:rsid w:val="46832AB5"/>
    <w:rsid w:val="46837CA7"/>
    <w:rsid w:val="46B130B1"/>
    <w:rsid w:val="49AB21BF"/>
    <w:rsid w:val="4B9619CE"/>
    <w:rsid w:val="4BBB7B8C"/>
    <w:rsid w:val="4BD83AA6"/>
    <w:rsid w:val="4C3664B6"/>
    <w:rsid w:val="4D025E0C"/>
    <w:rsid w:val="4D8D53AE"/>
    <w:rsid w:val="4E5C03B2"/>
    <w:rsid w:val="4F561780"/>
    <w:rsid w:val="4FF86B2F"/>
    <w:rsid w:val="50232EC7"/>
    <w:rsid w:val="516C45A1"/>
    <w:rsid w:val="52E92543"/>
    <w:rsid w:val="535C3EBA"/>
    <w:rsid w:val="54E833A6"/>
    <w:rsid w:val="55473AD1"/>
    <w:rsid w:val="569C2904"/>
    <w:rsid w:val="56E144CD"/>
    <w:rsid w:val="583737A8"/>
    <w:rsid w:val="596F7548"/>
    <w:rsid w:val="59C70462"/>
    <w:rsid w:val="5A1629CD"/>
    <w:rsid w:val="5C45162D"/>
    <w:rsid w:val="5CB03C1D"/>
    <w:rsid w:val="5D1853FB"/>
    <w:rsid w:val="5D5C1168"/>
    <w:rsid w:val="5DAE1464"/>
    <w:rsid w:val="5E401EE1"/>
    <w:rsid w:val="5F6E2449"/>
    <w:rsid w:val="603E3E34"/>
    <w:rsid w:val="60811390"/>
    <w:rsid w:val="612C3317"/>
    <w:rsid w:val="61390221"/>
    <w:rsid w:val="63074E6A"/>
    <w:rsid w:val="649C61C5"/>
    <w:rsid w:val="64E32222"/>
    <w:rsid w:val="655F65B8"/>
    <w:rsid w:val="659F0B33"/>
    <w:rsid w:val="66263390"/>
    <w:rsid w:val="6A443604"/>
    <w:rsid w:val="6A8A71EB"/>
    <w:rsid w:val="6B6E2D90"/>
    <w:rsid w:val="6BFF5555"/>
    <w:rsid w:val="6DB602F7"/>
    <w:rsid w:val="6E085CF6"/>
    <w:rsid w:val="6E236DA6"/>
    <w:rsid w:val="6EC24A7A"/>
    <w:rsid w:val="6F1E4415"/>
    <w:rsid w:val="6F746490"/>
    <w:rsid w:val="6FA16FBF"/>
    <w:rsid w:val="6FC26D45"/>
    <w:rsid w:val="702B3BC3"/>
    <w:rsid w:val="70411D13"/>
    <w:rsid w:val="705047AD"/>
    <w:rsid w:val="70D70B1C"/>
    <w:rsid w:val="730438B3"/>
    <w:rsid w:val="735730CC"/>
    <w:rsid w:val="74143D3D"/>
    <w:rsid w:val="747607E0"/>
    <w:rsid w:val="75654242"/>
    <w:rsid w:val="76565FC9"/>
    <w:rsid w:val="776E579F"/>
    <w:rsid w:val="7778698F"/>
    <w:rsid w:val="786749F3"/>
    <w:rsid w:val="78F607B2"/>
    <w:rsid w:val="79076D37"/>
    <w:rsid w:val="7BC65611"/>
    <w:rsid w:val="7C0A78A1"/>
    <w:rsid w:val="7C217284"/>
    <w:rsid w:val="7C2C76E7"/>
    <w:rsid w:val="7C7D54DC"/>
    <w:rsid w:val="7CD876A0"/>
    <w:rsid w:val="7D192AAE"/>
    <w:rsid w:val="7D390946"/>
    <w:rsid w:val="7F3341BF"/>
    <w:rsid w:val="7FE301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autoRedefine/>
    <w:qFormat/>
    <w:uiPriority w:val="0"/>
    <w:pPr>
      <w:keepNext/>
      <w:keepLines/>
      <w:spacing w:line="360" w:lineRule="auto"/>
      <w:outlineLvl w:val="1"/>
    </w:pPr>
    <w:rPr>
      <w:rFonts w:ascii="Arial" w:hAnsi="Arial"/>
      <w:b/>
      <w:bCs/>
      <w:sz w:val="24"/>
      <w:szCs w:val="3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3">
    <w:name w:val="index 5"/>
    <w:next w:val="1"/>
    <w:qFormat/>
    <w:uiPriority w:val="0"/>
    <w:pPr>
      <w:widowControl w:val="0"/>
      <w:ind w:left="1680"/>
      <w:jc w:val="both"/>
    </w:pPr>
    <w:rPr>
      <w:rFonts w:ascii="Times New Roman" w:hAnsi="Times New Roman" w:eastAsia="宋体" w:cs="Times New Roman"/>
      <w:kern w:val="2"/>
      <w:sz w:val="21"/>
      <w:szCs w:val="24"/>
      <w:lang w:val="en-US" w:eastAsia="zh-CN" w:bidi="ar-SA"/>
    </w:rPr>
  </w:style>
  <w:style w:type="paragraph" w:styleId="4">
    <w:name w:val="annotation text"/>
    <w:basedOn w:val="1"/>
    <w:next w:val="1"/>
    <w:autoRedefine/>
    <w:qFormat/>
    <w:uiPriority w:val="0"/>
    <w:pPr>
      <w:jc w:val="left"/>
    </w:pPr>
  </w:style>
  <w:style w:type="paragraph" w:styleId="5">
    <w:name w:val="Body Text"/>
    <w:basedOn w:val="1"/>
    <w:next w:val="1"/>
    <w:autoRedefine/>
    <w:qFormat/>
    <w:uiPriority w:val="0"/>
    <w:rPr>
      <w:rFonts w:ascii="宋体" w:hAnsi="宋体" w:eastAsia="宋体" w:cs="宋体"/>
      <w:sz w:val="31"/>
      <w:szCs w:val="31"/>
      <w:lang w:val="en-US" w:eastAsia="en-US" w:bidi="ar-SA"/>
    </w:rPr>
  </w:style>
  <w:style w:type="paragraph" w:styleId="6">
    <w:name w:val="Body Text Indent"/>
    <w:basedOn w:val="1"/>
    <w:autoRedefine/>
    <w:qFormat/>
    <w:uiPriority w:val="0"/>
    <w:pPr>
      <w:tabs>
        <w:tab w:val="left" w:pos="0"/>
      </w:tabs>
      <w:ind w:firstLine="538" w:firstLineChars="192"/>
    </w:pPr>
    <w:rPr>
      <w:rFonts w:ascii="Tahoma" w:hAnsi="Tahoma"/>
      <w:kern w:val="2"/>
      <w:sz w:val="28"/>
      <w:szCs w:val="24"/>
    </w:rPr>
  </w:style>
  <w:style w:type="paragraph" w:styleId="7">
    <w:name w:val="Plain Text"/>
    <w:basedOn w:val="1"/>
    <w:autoRedefine/>
    <w:qFormat/>
    <w:uiPriority w:val="0"/>
    <w:rPr>
      <w:rFonts w:ascii="宋体" w:hAnsi="Courier New" w:cs="Courier New"/>
      <w:szCs w:val="21"/>
    </w:rPr>
  </w:style>
  <w:style w:type="paragraph" w:styleId="8">
    <w:name w:val="Body Text Indent 2"/>
    <w:basedOn w:val="1"/>
    <w:qFormat/>
    <w:uiPriority w:val="0"/>
    <w:pPr>
      <w:spacing w:line="360" w:lineRule="auto"/>
      <w:ind w:left="1140"/>
    </w:pPr>
    <w:rPr>
      <w:rFonts w:ascii="宋体"/>
      <w:kern w:val="0"/>
      <w:sz w:val="24"/>
      <w:szCs w:val="20"/>
    </w:rPr>
  </w:style>
  <w:style w:type="paragraph" w:styleId="9">
    <w:name w:val="footer"/>
    <w:basedOn w:val="1"/>
    <w:autoRedefine/>
    <w:qFormat/>
    <w:uiPriority w:val="99"/>
    <w:pPr>
      <w:tabs>
        <w:tab w:val="center" w:pos="4153"/>
        <w:tab w:val="right" w:pos="8306"/>
      </w:tabs>
      <w:snapToGrid w:val="0"/>
      <w:jc w:val="left"/>
    </w:pPr>
    <w:rPr>
      <w:rFonts w:ascii="Tahoma" w:hAnsi="Tahoma"/>
      <w:kern w:val="2"/>
      <w:sz w:val="18"/>
      <w:szCs w:val="18"/>
    </w:rPr>
  </w:style>
  <w:style w:type="paragraph" w:styleId="10">
    <w:name w:val="header"/>
    <w:basedOn w:val="1"/>
    <w:autoRedefine/>
    <w:qFormat/>
    <w:uiPriority w:val="0"/>
    <w:pPr>
      <w:pBdr>
        <w:bottom w:val="single" w:color="auto" w:sz="6" w:space="1"/>
      </w:pBdr>
      <w:tabs>
        <w:tab w:val="center" w:pos="4153"/>
        <w:tab w:val="right" w:pos="8306"/>
      </w:tabs>
      <w:snapToGrid w:val="0"/>
      <w:jc w:val="center"/>
    </w:pPr>
    <w:rPr>
      <w:rFonts w:ascii="Tahoma" w:hAnsi="Tahoma"/>
      <w:kern w:val="2"/>
      <w:sz w:val="18"/>
      <w:szCs w:val="18"/>
    </w:rPr>
  </w:style>
  <w:style w:type="paragraph" w:styleId="11">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eastAsia="宋体" w:cs="Times New Roman"/>
      <w:szCs w:val="24"/>
    </w:rPr>
  </w:style>
  <w:style w:type="paragraph" w:styleId="12">
    <w:name w:val="Body Text First Indent 2"/>
    <w:basedOn w:val="6"/>
    <w:next w:val="1"/>
    <w:autoRedefine/>
    <w:unhideWhenUsed/>
    <w:qFormat/>
    <w:uiPriority w:val="99"/>
    <w:pPr>
      <w:spacing w:after="120"/>
      <w:ind w:left="420" w:leftChars="200" w:firstLine="420" w:firstLineChars="200"/>
    </w:pPr>
    <w:rPr>
      <w:rFonts w:ascii="宋体" w:hAnsi="Courier New"/>
      <w:spacing w:val="-4"/>
      <w:kern w:val="2"/>
      <w:sz w:val="21"/>
      <w:szCs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7">
    <w:name w:val="Default"/>
    <w:next w:val="4"/>
    <w:autoRedefine/>
    <w:qFormat/>
    <w:uiPriority w:val="0"/>
    <w:pPr>
      <w:widowControl w:val="0"/>
      <w:autoSpaceDE w:val="0"/>
      <w:autoSpaceDN w:val="0"/>
      <w:adjustRightInd w:val="0"/>
      <w:spacing w:after="160" w:line="259" w:lineRule="auto"/>
    </w:pPr>
    <w:rPr>
      <w:rFonts w:ascii="黑体" w:hAnsi="Calibri" w:eastAsia="黑体" w:cs="黑体"/>
      <w:color w:val="000000"/>
      <w:sz w:val="24"/>
      <w:szCs w:val="24"/>
      <w:lang w:val="en-US" w:eastAsia="zh-CN" w:bidi="ar-SA"/>
    </w:rPr>
  </w:style>
  <w:style w:type="paragraph" w:customStyle="1" w:styleId="18">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table" w:customStyle="1" w:styleId="19">
    <w:name w:val="Table Normal"/>
    <w:autoRedefine/>
    <w:semiHidden/>
    <w:unhideWhenUsed/>
    <w:qFormat/>
    <w:uiPriority w:val="0"/>
    <w:tblPr>
      <w:tblCellMar>
        <w:top w:w="0" w:type="dxa"/>
        <w:left w:w="0" w:type="dxa"/>
        <w:bottom w:w="0" w:type="dxa"/>
        <w:right w:w="0" w:type="dxa"/>
      </w:tblCellMar>
    </w:tblPr>
  </w:style>
  <w:style w:type="paragraph" w:customStyle="1" w:styleId="20">
    <w:name w:val="Table Text"/>
    <w:basedOn w:val="1"/>
    <w:autoRedefine/>
    <w:semiHidden/>
    <w:qFormat/>
    <w:uiPriority w:val="0"/>
    <w:rPr>
      <w:rFonts w:ascii="Arial" w:hAnsi="Arial" w:eastAsia="Arial" w:cs="Arial"/>
      <w:sz w:val="21"/>
      <w:szCs w:val="21"/>
      <w:lang w:val="en-US" w:eastAsia="en-US" w:bidi="ar-SA"/>
    </w:rPr>
  </w:style>
  <w:style w:type="paragraph" w:customStyle="1" w:styleId="21">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76</Pages>
  <Words>2468</Words>
  <Characters>2897</Characters>
  <TotalTime>10</TotalTime>
  <ScaleCrop>false</ScaleCrop>
  <LinksUpToDate>false</LinksUpToDate>
  <CharactersWithSpaces>3081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2023-09-08T09:19:00Z</dcterms:created>
  <dc:creator>尹皓</dc:creator>
  <cp:lastModifiedBy>NTKO</cp:lastModifiedBy>
  <dcterms:modified xsi:type="dcterms:W3CDTF">2026-07-21T07:28:45Z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2023-09-18T16:53:18Z</vt:filetime>
  </property>
  <property fmtid="{D5CDD505-2E9C-101B-9397-08002B2CF9AE}" pid="4" name="KSOProductBuildVer">
    <vt:lpwstr>2052-12.1.0.26895</vt:lpwstr>
  </property>
  <property fmtid="{D5CDD505-2E9C-101B-9397-08002B2CF9AE}" pid="5" name="ICV">
    <vt:lpwstr>317286A75E7A4C7E96A58209C41DB947_13</vt:lpwstr>
  </property>
  <property fmtid="{D5CDD505-2E9C-101B-9397-08002B2CF9AE}" pid="6" name="KSOTemplateDocerSaveRecord">
    <vt:lpwstr>eyJoZGlkIjoiYTUyM2UwYjBmYzc3YmM3ZjI1ODg2NTk3ZGJhZGNiNGIiLCJ1c2VySWQiOiI0MTY3MTE2MDgifQ==</vt:lpwstr>
  </property>
</Properties>
</file>