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C4D38">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pPr>
    </w:p>
    <w:p w14:paraId="52136214">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z w:val="52"/>
          <w:szCs w:val="52"/>
        </w:rPr>
      </w:pPr>
      <w:r>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t>南阳市</w:t>
      </w:r>
      <w:r>
        <w:rPr>
          <w:rFonts w:hint="eastAsia" w:asciiTheme="minorEastAsia" w:hAnsiTheme="minorEastAsia" w:eastAsiaTheme="minorEastAsia" w:cstheme="minorEastAsia"/>
          <w:spacing w:val="-2"/>
          <w:sz w:val="52"/>
          <w:szCs w:val="52"/>
          <w14:textOutline w14:w="3844" w14:cap="flat" w14:cmpd="sng">
            <w14:solidFill>
              <w14:srgbClr w14:val="000000"/>
            </w14:solidFill>
            <w14:prstDash w14:val="solid"/>
            <w14:miter w14:val="0"/>
          </w14:textOutline>
        </w:rPr>
        <w:t>政府采购项目</w:t>
      </w:r>
    </w:p>
    <w:p w14:paraId="0E4C6318">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z w:val="60"/>
          <w:szCs w:val="60"/>
        </w:rPr>
      </w:pPr>
      <w:r>
        <w:rPr>
          <w:rFonts w:hint="eastAsia" w:asciiTheme="minorEastAsia" w:hAnsiTheme="minorEastAsia" w:eastAsiaTheme="minorEastAsia" w:cstheme="minorEastAsia"/>
          <w:spacing w:val="-3"/>
          <w:sz w:val="52"/>
          <w:szCs w:val="52"/>
          <w14:textOutline w14:w="3844" w14:cap="flat" w14:cmpd="sng">
            <w14:solidFill>
              <w14:srgbClr w14:val="000000"/>
            </w14:solidFill>
            <w14:prstDash w14:val="solid"/>
            <w14:miter w14:val="0"/>
          </w14:textOutline>
        </w:rPr>
        <w:t>公开招标文件</w:t>
      </w:r>
    </w:p>
    <w:p w14:paraId="19213EB3">
      <w:pPr>
        <w:keepNext w:val="0"/>
        <w:keepLines w:val="0"/>
        <w:pageBreakBefore w:val="0"/>
        <w:kinsoku/>
        <w:wordWrap w:val="0"/>
        <w:overflowPunct/>
        <w:topLinePunct w:val="0"/>
        <w:bidi w:val="0"/>
        <w:spacing w:line="316" w:lineRule="auto"/>
        <w:jc w:val="both"/>
        <w:rPr>
          <w:rFonts w:hint="eastAsia" w:asciiTheme="minorEastAsia" w:hAnsiTheme="minorEastAsia" w:eastAsiaTheme="minorEastAsia" w:cstheme="minorEastAsia"/>
          <w:sz w:val="21"/>
        </w:rPr>
      </w:pPr>
    </w:p>
    <w:p w14:paraId="3AE82828">
      <w:pPr>
        <w:keepNext w:val="0"/>
        <w:keepLines w:val="0"/>
        <w:pageBreakBefore w:val="0"/>
        <w:kinsoku/>
        <w:wordWrap w:val="0"/>
        <w:overflowPunct/>
        <w:topLinePunct w:val="0"/>
        <w:bidi w:val="0"/>
        <w:spacing w:line="316" w:lineRule="auto"/>
        <w:jc w:val="both"/>
        <w:rPr>
          <w:rFonts w:hint="eastAsia" w:asciiTheme="minorEastAsia" w:hAnsiTheme="minorEastAsia" w:eastAsiaTheme="minorEastAsia" w:cstheme="minorEastAsia"/>
          <w:sz w:val="21"/>
        </w:rPr>
      </w:pPr>
    </w:p>
    <w:p w14:paraId="7D255A26">
      <w:pPr>
        <w:keepNext w:val="0"/>
        <w:keepLines w:val="0"/>
        <w:pageBreakBefore w:val="0"/>
        <w:kinsoku/>
        <w:wordWrap w:val="0"/>
        <w:overflowPunct/>
        <w:topLinePunct w:val="0"/>
        <w:bidi w:val="0"/>
        <w:spacing w:line="317" w:lineRule="auto"/>
        <w:jc w:val="both"/>
        <w:rPr>
          <w:rFonts w:hint="eastAsia" w:asciiTheme="minorEastAsia" w:hAnsiTheme="minorEastAsia" w:eastAsiaTheme="minorEastAsia" w:cstheme="minorEastAsia"/>
          <w:sz w:val="21"/>
        </w:rPr>
      </w:pPr>
    </w:p>
    <w:p w14:paraId="688A3B18">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6"/>
          <w:szCs w:val="36"/>
        </w:rPr>
      </w:pPr>
    </w:p>
    <w:p w14:paraId="3191F1FF">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6"/>
          <w:szCs w:val="36"/>
        </w:rPr>
      </w:pPr>
    </w:p>
    <w:p w14:paraId="13D29BDB">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 xml:space="preserve"> 河南南阳干部学院后勤服务委托管理项目</w:t>
      </w:r>
    </w:p>
    <w:p w14:paraId="645900FE">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        南阳政采公开-2026-26          </w:t>
      </w:r>
    </w:p>
    <w:p w14:paraId="4124D400">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u w:val="single"/>
          <w:lang w:val="en-US" w:eastAsia="zh-CN"/>
        </w:rPr>
        <w:t xml:space="preserve">       南阳政采公开-2026-26-1         </w:t>
      </w:r>
    </w:p>
    <w:p w14:paraId="1FCCC6C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lang w:val="en-US"/>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河南南阳干部学院            </w:t>
      </w:r>
    </w:p>
    <w:p w14:paraId="11845D17">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 xml:space="preserve">     南阳市公共资源交易中心      </w:t>
      </w:r>
    </w:p>
    <w:p w14:paraId="430DCF4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p>
    <w:p w14:paraId="5D49E9B1">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0FA6EA12">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03EC39E2">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4C682676">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317807E6">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52520568">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p w14:paraId="31C80C1A">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p w14:paraId="6E9847E0">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p w14:paraId="4D264497">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p w14:paraId="2CAC389D">
      <w:pPr>
        <w:pStyle w:val="6"/>
        <w:keepNext w:val="0"/>
        <w:keepLines w:val="0"/>
        <w:pageBreakBefore w:val="0"/>
        <w:kinsoku/>
        <w:wordWrap w:val="0"/>
        <w:overflowPunct/>
        <w:topLinePunct w:val="0"/>
        <w:bidi w:val="0"/>
        <w:spacing w:before="117" w:line="220" w:lineRule="auto"/>
        <w:jc w:val="center"/>
        <w:rPr>
          <w:rFonts w:hint="eastAsia" w:asciiTheme="minorEastAsia" w:hAnsiTheme="minorEastAsia" w:eastAsiaTheme="minorEastAsia" w:cstheme="minorEastAsia"/>
          <w:spacing w:val="-3"/>
          <w:sz w:val="44"/>
          <w:szCs w:val="44"/>
          <w14:textOutline w14:w="2306" w14:cap="flat" w14:cmpd="sng">
            <w14:solidFill>
              <w14:srgbClr w14:val="000000"/>
            </w14:solidFill>
            <w14:prstDash w14:val="solid"/>
            <w14:miter w14:val="0"/>
          </w14:textOutline>
        </w:rPr>
        <w:sectPr>
          <w:headerReference r:id="rId5" w:type="default"/>
          <w:footerReference r:id="rId6" w:type="default"/>
          <w:pgSz w:w="11907" w:h="16840"/>
          <w:pgMar w:top="1440" w:right="1800" w:bottom="1440" w:left="1800" w:header="878" w:footer="886" w:gutter="0"/>
          <w:pgNumType w:fmt="decimal"/>
          <w:cols w:space="720" w:num="1"/>
        </w:sect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lang w:val="en-US"/>
        </w:rPr>
      </w:sdtEndPr>
      <w:sdtContent>
        <w:p w14:paraId="3DB34533">
          <w:pPr>
            <w:pStyle w:val="6"/>
            <w:keepNext w:val="0"/>
            <w:keepLines w:val="0"/>
            <w:pageBreakBefore w:val="0"/>
            <w:kinsoku/>
            <w:wordWrap w:val="0"/>
            <w:overflowPunct/>
            <w:topLinePunct w:val="0"/>
            <w:bidi w:val="0"/>
            <w:spacing w:before="353" w:line="222" w:lineRule="auto"/>
            <w:ind w:left="3716"/>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42"/>
              <w:sz w:val="44"/>
              <w:szCs w:val="44"/>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录</w:t>
          </w:r>
        </w:p>
        <w:p w14:paraId="596421D2">
          <w:pPr>
            <w:pStyle w:val="6"/>
            <w:keepNext w:val="0"/>
            <w:keepLines w:val="0"/>
            <w:pageBreakBefore w:val="0"/>
            <w:kinsoku/>
            <w:wordWrap w:val="0"/>
            <w:overflowPunct/>
            <w:topLinePunct w:val="0"/>
            <w:bidi w:val="0"/>
            <w:jc w:val="both"/>
            <w:rPr>
              <w:rFonts w:hint="eastAsia"/>
              <w:shd w:val="clear" w:color="FFFFFF" w:fill="D9D9D9"/>
            </w:rPr>
          </w:pPr>
        </w:p>
        <w:p w14:paraId="6A788F17">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第一章</w:t>
          </w:r>
          <w:r>
            <w:rPr>
              <w:rFonts w:hint="eastAsia"/>
              <w:sz w:val="28"/>
              <w:szCs w:val="28"/>
              <w:lang w:val="en-US" w:eastAsia="zh-CN"/>
            </w:rPr>
            <w:t xml:space="preserve"> </w:t>
          </w:r>
          <w:r>
            <w:rPr>
              <w:rFonts w:hint="eastAsia"/>
              <w:sz w:val="28"/>
              <w:szCs w:val="28"/>
              <w:lang w:eastAsia="zh-CN"/>
            </w:rPr>
            <w:t>公开招标公告</w:t>
          </w:r>
        </w:p>
        <w:p w14:paraId="4D9DADA1">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二</w:t>
          </w:r>
          <w:r>
            <w:rPr>
              <w:rFonts w:hint="eastAsia"/>
              <w:sz w:val="28"/>
              <w:szCs w:val="28"/>
            </w:rPr>
            <w:t>章</w:t>
          </w:r>
          <w:r>
            <w:rPr>
              <w:rFonts w:hint="eastAsia"/>
              <w:sz w:val="28"/>
              <w:szCs w:val="28"/>
              <w:lang w:val="en-US" w:eastAsia="zh-CN"/>
            </w:rPr>
            <w:t xml:space="preserve"> </w:t>
          </w:r>
          <w:r>
            <w:rPr>
              <w:rFonts w:hint="eastAsia"/>
              <w:sz w:val="28"/>
              <w:szCs w:val="28"/>
            </w:rPr>
            <w:t>采购需求</w:t>
          </w:r>
        </w:p>
        <w:p w14:paraId="7E364C7F">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三</w:t>
          </w:r>
          <w:r>
            <w:rPr>
              <w:rFonts w:hint="eastAsia"/>
              <w:sz w:val="28"/>
              <w:szCs w:val="28"/>
            </w:rPr>
            <w:t>章</w:t>
          </w:r>
          <w:r>
            <w:rPr>
              <w:rFonts w:hint="eastAsia"/>
              <w:sz w:val="28"/>
              <w:szCs w:val="28"/>
              <w:lang w:val="en-US" w:eastAsia="zh-CN"/>
            </w:rPr>
            <w:t xml:space="preserve"> </w:t>
          </w:r>
          <w:r>
            <w:rPr>
              <w:rFonts w:hint="eastAsia"/>
              <w:sz w:val="28"/>
              <w:szCs w:val="28"/>
            </w:rPr>
            <w:t>投标人须知</w:t>
          </w:r>
        </w:p>
        <w:p w14:paraId="4132EFC8">
          <w:pPr>
            <w:pStyle w:val="6"/>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四</w:t>
          </w:r>
          <w:r>
            <w:rPr>
              <w:rFonts w:hint="eastAsia"/>
              <w:sz w:val="28"/>
              <w:szCs w:val="28"/>
            </w:rPr>
            <w:t>章</w:t>
          </w:r>
          <w:r>
            <w:rPr>
              <w:rFonts w:hint="eastAsia"/>
              <w:sz w:val="28"/>
              <w:szCs w:val="28"/>
              <w:lang w:val="en-US" w:eastAsia="zh-CN"/>
            </w:rPr>
            <w:t xml:space="preserve"> 开、</w:t>
          </w:r>
          <w:r>
            <w:rPr>
              <w:rFonts w:hint="eastAsia"/>
              <w:sz w:val="28"/>
              <w:szCs w:val="28"/>
            </w:rPr>
            <w:t>评标程序、评标方法和评标标准</w:t>
          </w:r>
        </w:p>
        <w:p w14:paraId="104E9528">
          <w:pPr>
            <w:pStyle w:val="6"/>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五</w:t>
          </w:r>
          <w:r>
            <w:rPr>
              <w:rFonts w:hint="eastAsia"/>
              <w:sz w:val="28"/>
              <w:szCs w:val="28"/>
            </w:rPr>
            <w:t>章</w:t>
          </w:r>
          <w:r>
            <w:rPr>
              <w:rFonts w:hint="eastAsia"/>
              <w:sz w:val="28"/>
              <w:szCs w:val="28"/>
              <w:lang w:val="en-US" w:eastAsia="zh-CN"/>
            </w:rPr>
            <w:t xml:space="preserve"> </w:t>
          </w:r>
          <w:r>
            <w:rPr>
              <w:rFonts w:hint="eastAsia"/>
              <w:sz w:val="28"/>
              <w:szCs w:val="28"/>
              <w:lang w:eastAsia="zh-CN"/>
            </w:rPr>
            <w:t>政府采购合同（草案）</w:t>
          </w:r>
        </w:p>
        <w:p w14:paraId="0741637E">
          <w:pPr>
            <w:pStyle w:val="6"/>
            <w:keepNext w:val="0"/>
            <w:keepLines w:val="0"/>
            <w:pageBreakBefore w:val="0"/>
            <w:kinsoku/>
            <w:wordWrap w:val="0"/>
            <w:overflowPunct/>
            <w:topLinePunct w:val="0"/>
            <w:bidi w:val="0"/>
            <w:spacing w:line="360" w:lineRule="auto"/>
            <w:jc w:val="both"/>
            <w:rPr>
              <w:rFonts w:hint="eastAsia"/>
              <w:sz w:val="28"/>
              <w:szCs w:val="28"/>
            </w:rPr>
          </w:pPr>
          <w:r>
            <w:rPr>
              <w:rFonts w:hint="eastAsia"/>
              <w:sz w:val="28"/>
              <w:szCs w:val="28"/>
            </w:rPr>
            <w:t>第</w:t>
          </w:r>
          <w:r>
            <w:rPr>
              <w:rFonts w:hint="eastAsia"/>
              <w:sz w:val="28"/>
              <w:szCs w:val="28"/>
              <w:lang w:val="en-US" w:eastAsia="zh-CN"/>
            </w:rPr>
            <w:t>六</w:t>
          </w:r>
          <w:r>
            <w:rPr>
              <w:rFonts w:hint="eastAsia"/>
              <w:sz w:val="28"/>
              <w:szCs w:val="28"/>
            </w:rPr>
            <w:t>章</w:t>
          </w:r>
          <w:r>
            <w:rPr>
              <w:rFonts w:hint="eastAsia"/>
              <w:sz w:val="28"/>
              <w:szCs w:val="28"/>
              <w:lang w:val="en-US" w:eastAsia="zh-CN"/>
            </w:rPr>
            <w:t xml:space="preserve"> </w:t>
          </w:r>
          <w:r>
            <w:rPr>
              <w:rFonts w:hint="eastAsia"/>
              <w:sz w:val="28"/>
              <w:szCs w:val="28"/>
            </w:rPr>
            <w:t>投标文件格式</w:t>
          </w:r>
        </w:p>
      </w:sdtContent>
    </w:sdt>
    <w:p w14:paraId="16631FDE">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10209D3">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7A52BCD">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7A373697">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1DA4546A">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7D92110">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DC29419">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139411E">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671ABEA8">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6C224AA">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112F664">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326D8BB">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0CAA16A">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3EE338E">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6E515CE">
      <w:pPr>
        <w:pStyle w:val="6"/>
        <w:keepNext w:val="0"/>
        <w:keepLines w:val="0"/>
        <w:pageBreakBefore w:val="0"/>
        <w:kinsoku/>
        <w:wordWrap w:val="0"/>
        <w:overflowPunct/>
        <w:topLinePunct w:val="0"/>
        <w:bidi w:val="0"/>
        <w:spacing w:before="353" w:line="360" w:lineRule="auto"/>
        <w:jc w:val="center"/>
        <w:rPr>
          <w:spacing w:val="-6"/>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公开招标公告</w:t>
      </w:r>
    </w:p>
    <w:p w14:paraId="28E491F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p>
    <w:p w14:paraId="1C36F32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公开</w:t>
      </w:r>
      <w:r>
        <w:rPr>
          <w:spacing w:val="-6"/>
          <w:sz w:val="24"/>
          <w:szCs w:val="24"/>
        </w:rPr>
        <w:t>招标方式组织采购活动，</w:t>
      </w:r>
      <w:r>
        <w:rPr>
          <w:rFonts w:hint="eastAsia"/>
          <w:spacing w:val="-6"/>
          <w:sz w:val="24"/>
          <w:szCs w:val="24"/>
          <w:lang w:eastAsia="zh-CN"/>
        </w:rPr>
        <w:t>欢迎潜在投标人</w:t>
      </w:r>
      <w:r>
        <w:rPr>
          <w:spacing w:val="-6"/>
          <w:sz w:val="24"/>
          <w:szCs w:val="24"/>
        </w:rPr>
        <w:t>参与本项目投标。</w:t>
      </w:r>
    </w:p>
    <w:p w14:paraId="24AE5BB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一、项目基本情况</w:t>
      </w:r>
    </w:p>
    <w:p w14:paraId="3F17760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5"/>
          <w:sz w:val="24"/>
          <w:szCs w:val="24"/>
        </w:rPr>
        <w:t>1.项目编号：南阳政采公开-2026-26</w:t>
      </w:r>
    </w:p>
    <w:p w14:paraId="6D5B609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2.项目名称：河南南阳干部学院后勤服务委托管理项目</w:t>
      </w:r>
    </w:p>
    <w:p w14:paraId="57BAAB6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pacing w:val="-14"/>
          <w:sz w:val="24"/>
          <w:szCs w:val="24"/>
          <w:u w:val="single"/>
          <w:lang w:val="en-US" w:eastAsia="zh-CN"/>
        </w:rPr>
        <w:t xml:space="preserve"> 400 </w:t>
      </w:r>
      <w:r>
        <w:rPr>
          <w:rFonts w:hint="eastAsia" w:asciiTheme="minorEastAsia" w:hAnsiTheme="minorEastAsia" w:eastAsiaTheme="minorEastAsia" w:cstheme="minorEastAsia"/>
          <w:spacing w:val="-14"/>
          <w:sz w:val="24"/>
          <w:szCs w:val="24"/>
        </w:rPr>
        <w:t>万元、项目最高限价（如有</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lang w:val="en-US" w:eastAsia="zh-CN"/>
        </w:rPr>
        <w:t xml:space="preserve"> 400 </w:t>
      </w:r>
      <w:r>
        <w:rPr>
          <w:rFonts w:hint="eastAsia" w:asciiTheme="minorEastAsia" w:hAnsiTheme="minorEastAsia" w:eastAsiaTheme="minorEastAsia" w:cstheme="minorEastAsia"/>
          <w:spacing w:val="-14"/>
          <w:sz w:val="24"/>
          <w:szCs w:val="24"/>
        </w:rPr>
        <w:t>万元</w:t>
      </w:r>
    </w:p>
    <w:p w14:paraId="69E2CC7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24"/>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14:paraId="1A6A4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14:paraId="51170DDC">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14:paraId="18EB6066">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14:paraId="34AA1B7B">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14:paraId="09B30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center"/>
          </w:tcPr>
          <w:p w14:paraId="3AD5437F">
            <w:pPr>
              <w:pStyle w:val="2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val="en-US" w:eastAsia="zh-CN"/>
              </w:rPr>
              <w:t>南阳政采公开-2026-26-</w:t>
            </w:r>
            <w:r>
              <w:rPr>
                <w:rFonts w:hint="eastAsia" w:asciiTheme="minorEastAsia" w:hAnsiTheme="minorEastAsia" w:eastAsiaTheme="minorEastAsia" w:cstheme="minorEastAsia"/>
                <w:spacing w:val="14"/>
                <w:sz w:val="24"/>
                <w:szCs w:val="24"/>
              </w:rPr>
              <w:t>1</w:t>
            </w:r>
          </w:p>
        </w:tc>
        <w:tc>
          <w:tcPr>
            <w:tcW w:w="4215" w:type="dxa"/>
            <w:vAlign w:val="center"/>
          </w:tcPr>
          <w:p w14:paraId="26C84BF0">
            <w:pPr>
              <w:pStyle w:val="2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河南南阳干部学院后勤服务委托管理项目</w:t>
            </w:r>
          </w:p>
        </w:tc>
        <w:tc>
          <w:tcPr>
            <w:tcW w:w="2321" w:type="dxa"/>
            <w:vAlign w:val="center"/>
          </w:tcPr>
          <w:p w14:paraId="6F32F20B">
            <w:pPr>
              <w:pStyle w:val="2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4000000</w:t>
            </w:r>
          </w:p>
        </w:tc>
      </w:tr>
    </w:tbl>
    <w:p w14:paraId="658141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5.采购清单或服务要求</w:t>
      </w:r>
    </w:p>
    <w:p w14:paraId="22C688D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380" w:firstLineChars="200"/>
        <w:jc w:val="both"/>
        <w:textAlignment w:val="baseline"/>
        <w:rPr>
          <w:rFonts w:hint="default" w:asciiTheme="minorEastAsia" w:hAnsiTheme="minorEastAsia" w:eastAsiaTheme="minorEastAsia" w:cstheme="minorEastAsia"/>
          <w:spacing w:val="-25"/>
          <w:sz w:val="24"/>
          <w:szCs w:val="24"/>
          <w:lang w:val="en-US" w:eastAsia="zh-CN"/>
        </w:rPr>
      </w:pPr>
      <w:r>
        <w:rPr>
          <w:rFonts w:hint="eastAsia" w:asciiTheme="minorEastAsia" w:hAnsiTheme="minorEastAsia" w:eastAsiaTheme="minorEastAsia" w:cstheme="minorEastAsia"/>
          <w:spacing w:val="-25"/>
          <w:sz w:val="24"/>
          <w:szCs w:val="24"/>
          <w:lang w:val="en-US" w:eastAsia="zh-CN"/>
        </w:rPr>
        <w:t>后勤委托管理服务包括但不限于餐饮服务、客房服务、环境卫生、教学会务、文体服务、场馆服务、人力资源、建筑物设备的运行及维护管理等。该委托管理服务时间为壹年，项目以每月实际发生据实结算，总费用上限为400万元。</w:t>
      </w:r>
    </w:p>
    <w:p w14:paraId="6E633C5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Theme="minorEastAsia" w:hAnsiTheme="minorEastAsia" w:eastAsiaTheme="minorEastAsia" w:cstheme="minorEastAsia"/>
          <w:spacing w:val="-5"/>
          <w:sz w:val="24"/>
          <w:szCs w:val="24"/>
          <w:lang w:val="en-US" w:eastAsia="zh-CN"/>
        </w:rPr>
        <w:t>一年</w:t>
      </w:r>
    </w:p>
    <w:p w14:paraId="460DECD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.本项目是否接受联合体投标：</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14:paraId="4D5B7E3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56CCBAF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资格要求（须同时满足）</w:t>
      </w:r>
    </w:p>
    <w:p w14:paraId="008AC552">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7EB4C449">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32D608CC">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5F07A375">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0C1A8229">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7DBFE6D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6E45AD22">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154F08A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562FFE0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14:paraId="2010B51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val="en-US" w:eastAsia="zh-CN"/>
        </w:rPr>
        <w:t>1.</w:t>
      </w:r>
      <w:r>
        <w:rPr>
          <w:rFonts w:hint="eastAsia" w:asciiTheme="minorEastAsia" w:hAnsiTheme="minorEastAsia" w:eastAsiaTheme="minorEastAsia" w:cstheme="minorEastAsia"/>
          <w:color w:val="auto"/>
          <w:spacing w:val="1"/>
          <w:sz w:val="24"/>
          <w:szCs w:val="24"/>
          <w:highlight w:val="none"/>
        </w:rPr>
        <w:t>中小企业政策</w:t>
      </w:r>
    </w:p>
    <w:p w14:paraId="7B3AC01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FF0000"/>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
          <w:sz w:val="24"/>
          <w:szCs w:val="24"/>
          <w:highlight w:val="none"/>
        </w:rPr>
        <w:t>本项目不专门面向中小企业预留采购份额。</w:t>
      </w:r>
    </w:p>
    <w:p w14:paraId="37C9959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0523EE5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049BD76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14:paraId="749E4D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☑否</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□接受进口产品</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14:paraId="4523E7D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（政府采购活动中既有本国产品又有非本国产品参与竞争的，依法对本国产品给予价格评审优惠，对本国产品的报价给予 20%的价格扣除，用扣除后的价格参与评审。）</w:t>
      </w:r>
    </w:p>
    <w:p w14:paraId="7B3ABC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6FE73E5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3DA5695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、获取招标文件</w:t>
      </w:r>
    </w:p>
    <w:p w14:paraId="462920E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7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29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4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3"/>
          <w:sz w:val="24"/>
          <w:szCs w:val="24"/>
          <w:u w:val="single"/>
          <w:lang w:val="en-US" w:eastAsia="zh-CN"/>
        </w:rPr>
        <w:t xml:space="preserve"> 0:00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23:59 </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14:paraId="0A620FBA">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w:t>
      </w:r>
      <w:r>
        <w:rPr>
          <w:rFonts w:hint="eastAsia" w:ascii="宋体" w:hAnsi="宋体" w:eastAsia="宋体" w:cs="宋体"/>
          <w:sz w:val="24"/>
          <w:szCs w:val="24"/>
        </w:rPr>
        <w:t>全国公共资源交易平台(河南省·南阳市)</w:t>
      </w:r>
      <w:r>
        <w:rPr>
          <w:rFonts w:hint="eastAsia" w:ascii="宋体" w:hAnsi="宋体" w:eastAsia="宋体" w:cs="宋体"/>
          <w:sz w:val="24"/>
          <w:szCs w:val="24"/>
          <w:lang w:eastAsia="zh-CN"/>
        </w:rPr>
        <w:t>（</w:t>
      </w:r>
      <w:r>
        <w:rPr>
          <w:rFonts w:hint="eastAsia" w:ascii="宋体" w:hAnsi="宋体" w:eastAsia="宋体" w:cs="宋体"/>
          <w:sz w:val="24"/>
          <w:szCs w:val="24"/>
        </w:rPr>
        <w:t>https://ggzyjy.nanyang.gov.cn</w:t>
      </w:r>
      <w:r>
        <w:rPr>
          <w:rFonts w:hint="eastAsia" w:ascii="宋体" w:hAnsi="宋体" w:eastAsia="宋体" w:cs="宋体"/>
          <w:sz w:val="24"/>
          <w:szCs w:val="24"/>
          <w:lang w:eastAsia="zh-CN"/>
        </w:rPr>
        <w:t>）</w:t>
      </w:r>
    </w:p>
    <w:p w14:paraId="1D56D14E">
      <w:pPr>
        <w:ind w:firstLine="464"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宋体" w:hAnsi="宋体" w:eastAsia="宋体" w:cs="宋体"/>
          <w:spacing w:val="-4"/>
          <w:sz w:val="24"/>
          <w:szCs w:val="24"/>
          <w:lang w:val="en-US" w:eastAsia="zh-CN"/>
        </w:rPr>
        <w:t>使用普通电子交易系统，</w:t>
      </w:r>
      <w:r>
        <w:rPr>
          <w:rFonts w:hint="eastAsia" w:ascii="宋体" w:hAnsi="宋体" w:eastAsia="宋体" w:cs="宋体"/>
          <w:spacing w:val="-4"/>
          <w:sz w:val="24"/>
          <w:szCs w:val="24"/>
          <w:lang w:eastAsia="zh-CN"/>
        </w:rPr>
        <w:t>登录</w:t>
      </w:r>
      <w:r>
        <w:rPr>
          <w:rFonts w:hint="eastAsia" w:ascii="宋体" w:hAnsi="宋体" w:eastAsia="宋体" w:cs="宋体"/>
          <w:sz w:val="24"/>
          <w:szCs w:val="24"/>
        </w:rPr>
        <w:t>全国公共资源交易平台(河南省·南阳市)</w:t>
      </w:r>
      <w:r>
        <w:rPr>
          <w:rFonts w:hint="eastAsia" w:ascii="宋体" w:hAnsi="宋体" w:eastAsia="宋体" w:cs="宋体"/>
          <w:spacing w:val="-4"/>
          <w:sz w:val="24"/>
          <w:szCs w:val="24"/>
          <w:lang w:eastAsia="zh-CN"/>
        </w:rPr>
        <w:t>（https://ggzyjy.nanyang.gov.cn），注册后凭办理的企业身份认证锁（CA数字证书）登录会员系统按网上提示下载招标文件(*.nyzf格式)及资料（操作程序详见</w:t>
      </w:r>
      <w:r>
        <w:rPr>
          <w:rFonts w:hint="eastAsia" w:ascii="宋体" w:hAnsi="宋体" w:eastAsia="宋体" w:cs="宋体"/>
          <w:sz w:val="24"/>
          <w:szCs w:val="24"/>
        </w:rPr>
        <w:t>全国公共资源交易平台(河南省·南阳市)</w:t>
      </w:r>
      <w:r>
        <w:rPr>
          <w:rFonts w:hint="eastAsia" w:ascii="宋体" w:hAnsi="宋体" w:eastAsia="宋体" w:cs="宋体"/>
          <w:spacing w:val="-4"/>
          <w:sz w:val="24"/>
          <w:szCs w:val="24"/>
          <w:lang w:eastAsia="zh-CN"/>
        </w:rPr>
        <w:t>网站下载专区）</w:t>
      </w:r>
      <w:r>
        <w:rPr>
          <w:rFonts w:hint="eastAsia" w:ascii="宋体" w:hAnsi="宋体" w:eastAsia="宋体" w:cs="宋体"/>
          <w:snapToGrid w:val="0"/>
          <w:color w:val="000000"/>
          <w:kern w:val="0"/>
          <w:sz w:val="24"/>
          <w:szCs w:val="24"/>
          <w:lang w:val="en-US" w:eastAsia="zh-CN" w:bidi="ar-SA"/>
        </w:rPr>
        <w:t>，电子交易系统技术支持电话：0512-58188538，</w:t>
      </w:r>
      <w:r>
        <w:rPr>
          <w:rFonts w:hint="eastAsia" w:ascii="宋体" w:hAnsi="宋体" w:eastAsia="宋体" w:cs="宋体"/>
          <w:spacing w:val="-4"/>
          <w:sz w:val="24"/>
          <w:szCs w:val="24"/>
          <w:lang w:eastAsia="zh-CN"/>
        </w:rPr>
        <w:t>CA数字证书技术支持：</w:t>
      </w:r>
      <w:r>
        <w:rPr>
          <w:rFonts w:hint="eastAsia" w:asciiTheme="minorEastAsia" w:hAnsiTheme="minorEastAsia" w:eastAsiaTheme="minorEastAsia" w:cstheme="minorEastAsia"/>
          <w:spacing w:val="-4"/>
          <w:sz w:val="24"/>
          <w:szCs w:val="24"/>
          <w:lang w:eastAsia="zh-CN"/>
        </w:rPr>
        <w:t>https://ggzyjy.nanyang.gov.cn/ptdl/011009/single.html。</w:t>
      </w:r>
    </w:p>
    <w:p w14:paraId="0FFF5D1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4.售价：0元。</w:t>
      </w:r>
    </w:p>
    <w:p w14:paraId="017EE81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003A6194">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14:paraId="2F33C60B">
      <w:pPr>
        <w:keepNext w:val="0"/>
        <w:keepLines w:val="0"/>
        <w:pageBreakBefore w:val="0"/>
        <w:widowControl/>
        <w:overflowPunct/>
        <w:topLinePunct w:val="0"/>
        <w:autoSpaceDE w:val="0"/>
        <w:autoSpaceDN w:val="0"/>
        <w:bidi w:val="0"/>
        <w:adjustRightInd w:val="0"/>
        <w:snapToGrid w:val="0"/>
        <w:spacing w:line="400" w:lineRule="exact"/>
        <w:ind w:firstLine="464" w:firstLineChars="200"/>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。投标人须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电子投标文件，电子投标文件需要使用投标文件制作工具制作，制作工具及操作手册可在</w:t>
      </w:r>
      <w:r>
        <w:rPr>
          <w:rFonts w:hint="eastAsia"/>
        </w:rPr>
        <w:t>全国公共资源交易平台(河南省·南阳市)</w:t>
      </w:r>
      <w:r>
        <w:rPr>
          <w:rFonts w:hint="eastAsia" w:asciiTheme="minorEastAsia" w:hAnsiTheme="minorEastAsia" w:eastAsiaTheme="minorEastAsia" w:cstheme="minorEastAsia"/>
          <w:spacing w:val="-4"/>
          <w:sz w:val="24"/>
          <w:szCs w:val="24"/>
          <w:lang w:eastAsia="zh-CN"/>
        </w:rPr>
        <w:t>“下载专区”中下载。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电子投标文件应在招标文件规定的投标截止时间前到达交易系统。逾期到达交易系统的电子投标文件视为放弃本次投标。</w:t>
      </w:r>
    </w:p>
    <w:p w14:paraId="60CDCFA7">
      <w:pPr>
        <w:keepNext w:val="0"/>
        <w:keepLines w:val="0"/>
        <w:pageBreakBefore w:val="0"/>
        <w:widowControl/>
        <w:shd w:val="clear" w:color="auto" w:fill="FFFFFF"/>
        <w:kinsoku/>
        <w:wordWrap w:val="0"/>
        <w:overflowPunct/>
        <w:topLinePunct w:val="0"/>
        <w:autoSpaceDE w:val="0"/>
        <w:autoSpaceDN w:val="0"/>
        <w:bidi w:val="0"/>
        <w:adjustRightInd w:val="0"/>
        <w:snapToGrid w:val="0"/>
        <w:spacing w:line="400" w:lineRule="exact"/>
        <w:ind w:firstLine="464" w:firstLineChars="200"/>
        <w:jc w:val="both"/>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因投标人无需现场参与开标，所有准备工作需要自行到位。开标过程中如遇到紧急事项，可在不见面开标大厅中进行提出异议或文字交流，严重问题可拨打技术支持电话0377-61176137。不见面开标过程中，如</w:t>
      </w:r>
      <w:r>
        <w:rPr>
          <w:rFonts w:hint="eastAsia" w:asciiTheme="minorEastAsia" w:hAnsiTheme="minorEastAsia" w:eastAsiaTheme="minorEastAsia" w:cstheme="minorEastAsia"/>
          <w:spacing w:val="-4"/>
          <w:sz w:val="24"/>
          <w:szCs w:val="24"/>
          <w:lang w:val="en-US" w:eastAsia="zh-CN"/>
        </w:rPr>
        <w:t>因</w:t>
      </w:r>
      <w:r>
        <w:rPr>
          <w:rFonts w:hint="eastAsia" w:asciiTheme="minorEastAsia" w:hAnsiTheme="minorEastAsia" w:eastAsiaTheme="minorEastAsia" w:cstheme="minorEastAsia"/>
          <w:spacing w:val="-4"/>
          <w:sz w:val="24"/>
          <w:szCs w:val="24"/>
          <w:lang w:eastAsia="zh-CN"/>
        </w:rPr>
        <w:t>投标人准备不到位、网络问题等情况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造成开标无法继续的，视为该投标人自动放弃投标，将被退回投标文件”。电子交易系统技术支持电话：0512-58188538。</w:t>
      </w:r>
    </w:p>
    <w:p w14:paraId="0B56E8D8">
      <w:pPr>
        <w:pStyle w:val="23"/>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p>
    <w:p w14:paraId="206AE4A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14:paraId="149D309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投标截止时间、开标时间：</w:t>
      </w:r>
      <w:r>
        <w:rPr>
          <w:rFonts w:hint="eastAsia" w:asciiTheme="minorEastAsia" w:hAnsiTheme="minorEastAsia" w:eastAsiaTheme="minorEastAsia" w:cstheme="minorEastAsia"/>
          <w:spacing w:val="-14"/>
          <w:sz w:val="24"/>
          <w:szCs w:val="24"/>
          <w:u w:val="single"/>
          <w:lang w:val="en-US" w:eastAsia="zh-CN"/>
        </w:rPr>
        <w:t xml:space="preserve"> 2026 </w:t>
      </w:r>
      <w:r>
        <w:rPr>
          <w:rFonts w:hint="eastAsia" w:asciiTheme="minorEastAsia" w:hAnsiTheme="minorEastAsia" w:eastAsiaTheme="minorEastAsia" w:cstheme="minorEastAsia"/>
          <w:snapToGrid w:val="0"/>
          <w:color w:val="000000"/>
          <w:spacing w:val="-4"/>
          <w:kern w:val="0"/>
          <w:sz w:val="24"/>
          <w:szCs w:val="24"/>
          <w:lang w:val="en-US" w:eastAsia="zh-CN" w:bidi="ar-SA"/>
        </w:rPr>
        <w:t>年</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8 </w:t>
      </w:r>
      <w:r>
        <w:rPr>
          <w:rFonts w:hint="eastAsia" w:asciiTheme="minorEastAsia" w:hAnsiTheme="minorEastAsia" w:eastAsiaTheme="minorEastAsia" w:cstheme="minorEastAsia"/>
          <w:snapToGrid w:val="0"/>
          <w:color w:val="000000"/>
          <w:spacing w:val="-4"/>
          <w:kern w:val="0"/>
          <w:sz w:val="24"/>
          <w:szCs w:val="24"/>
          <w:lang w:val="en-US" w:eastAsia="zh-CN" w:bidi="ar-SA"/>
        </w:rPr>
        <w:t>月</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18 </w:t>
      </w:r>
      <w:r>
        <w:rPr>
          <w:rFonts w:hint="eastAsia" w:asciiTheme="minorEastAsia" w:hAnsiTheme="minorEastAsia" w:eastAsiaTheme="minorEastAsia" w:cstheme="minorEastAsia"/>
          <w:snapToGrid w:val="0"/>
          <w:color w:val="000000"/>
          <w:spacing w:val="-4"/>
          <w:kern w:val="0"/>
          <w:sz w:val="24"/>
          <w:szCs w:val="24"/>
          <w:lang w:val="en-US" w:eastAsia="zh-CN" w:bidi="ar-SA"/>
        </w:rPr>
        <w:t>日</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lang w:val="en-US" w:eastAsia="zh-CN" w:bidi="ar-SA"/>
        </w:rPr>
        <w:t>点</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00 </w:t>
      </w:r>
      <w:r>
        <w:rPr>
          <w:rFonts w:hint="eastAsia" w:asciiTheme="minorEastAsia" w:hAnsiTheme="minorEastAsia" w:eastAsiaTheme="minorEastAsia" w:cstheme="minorEastAsia"/>
          <w:snapToGrid w:val="0"/>
          <w:color w:val="000000"/>
          <w:spacing w:val="-4"/>
          <w:kern w:val="0"/>
          <w:sz w:val="24"/>
          <w:szCs w:val="24"/>
          <w:lang w:val="en-US" w:eastAsia="zh-CN" w:bidi="ar-SA"/>
        </w:rPr>
        <w:t>分（北</w:t>
      </w:r>
      <w:r>
        <w:rPr>
          <w:rFonts w:hint="eastAsia" w:asciiTheme="minorEastAsia" w:hAnsiTheme="minorEastAsia" w:eastAsiaTheme="minorEastAsia" w:cstheme="minorEastAsia"/>
          <w:spacing w:val="-15"/>
          <w:sz w:val="24"/>
          <w:szCs w:val="24"/>
        </w:rPr>
        <w:t>京时间）。</w:t>
      </w:r>
    </w:p>
    <w:p w14:paraId="4E589F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7"/>
          <w:sz w:val="24"/>
          <w:szCs w:val="24"/>
          <w:lang w:val="en-US" w:eastAsia="zh-CN"/>
        </w:rPr>
      </w:pPr>
      <w:r>
        <w:rPr>
          <w:rFonts w:hint="eastAsia" w:asciiTheme="minorEastAsia" w:hAnsiTheme="minorEastAsia" w:eastAsiaTheme="minorEastAsia" w:cstheme="minorEastAsia"/>
          <w:spacing w:val="-17"/>
          <w:sz w:val="24"/>
          <w:szCs w:val="24"/>
          <w:lang w:val="en-US" w:eastAsia="zh-CN"/>
        </w:rPr>
        <w:t>开标方式：不见面开标</w:t>
      </w:r>
    </w:p>
    <w:p w14:paraId="2B66D3B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7"/>
          <w:sz w:val="24"/>
          <w:szCs w:val="24"/>
        </w:rPr>
        <w:t>地点：本项目使用不见面开标，投标人无需前往现场来参与投标。具体操作流程详见南阳市公共资源交易中心下载专区栏发布的南阳不见面开标-操作手册（投标人）。</w:t>
      </w:r>
    </w:p>
    <w:p w14:paraId="23A8943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124DF45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、公告期限</w:t>
      </w:r>
    </w:p>
    <w:p w14:paraId="420CCEE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7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29 </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8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4 </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3"/>
          <w:sz w:val="24"/>
          <w:szCs w:val="24"/>
          <w:lang w:eastAsia="zh-CN"/>
        </w:rPr>
        <w:t>。</w:t>
      </w:r>
    </w:p>
    <w:p w14:paraId="6427458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rPr>
      </w:pPr>
    </w:p>
    <w:p w14:paraId="7DE0DF5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14:paraId="74DFDB1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宋体" w:hAnsi="宋体" w:cs="宋体"/>
          <w:sz w:val="24"/>
          <w:szCs w:val="24"/>
        </w:rPr>
        <w:t>本项目采用</w:t>
      </w:r>
      <w:r>
        <w:rPr>
          <w:rFonts w:hint="eastAsia" w:ascii="宋体" w:hAnsi="宋体" w:cs="宋体"/>
          <w:b/>
          <w:bCs/>
          <w:sz w:val="24"/>
          <w:szCs w:val="24"/>
        </w:rPr>
        <w:t>“暗标”</w:t>
      </w:r>
      <w:r>
        <w:rPr>
          <w:rFonts w:hint="eastAsia" w:ascii="宋体" w:hAnsi="宋体" w:cs="宋体"/>
          <w:sz w:val="24"/>
          <w:szCs w:val="24"/>
        </w:rPr>
        <w:t>评审。供应商应按照</w:t>
      </w:r>
      <w:r>
        <w:rPr>
          <w:rFonts w:hint="eastAsia" w:cs="宋体"/>
          <w:sz w:val="24"/>
          <w:szCs w:val="24"/>
          <w:lang w:val="en-US" w:eastAsia="zh-CN"/>
        </w:rPr>
        <w:t>招标</w:t>
      </w:r>
      <w:r>
        <w:rPr>
          <w:rFonts w:hint="eastAsia" w:ascii="宋体" w:hAnsi="宋体" w:cs="宋体"/>
          <w:sz w:val="24"/>
          <w:szCs w:val="24"/>
        </w:rPr>
        <w:t>文件要求制作投标文件。</w:t>
      </w:r>
    </w:p>
    <w:p w14:paraId="3F5BC48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0B79F9A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14:paraId="7C14F55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highlight w:val="red"/>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highlight w:val="none"/>
          <w:lang w:val="en-US" w:eastAsia="zh-CN"/>
        </w:rPr>
        <w:t>河南南阳</w:t>
      </w:r>
      <w:r>
        <w:rPr>
          <w:rFonts w:hint="eastAsia" w:asciiTheme="minorEastAsia" w:hAnsiTheme="minorEastAsia" w:eastAsiaTheme="minorEastAsia" w:cstheme="minorEastAsia"/>
          <w:spacing w:val="-15"/>
          <w:sz w:val="24"/>
          <w:szCs w:val="24"/>
          <w:highlight w:val="none"/>
        </w:rPr>
        <w:t>干部学院</w:t>
      </w:r>
    </w:p>
    <w:p w14:paraId="3084344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地址：河南省南阳市淅川县九重镇学院路1号</w:t>
      </w:r>
    </w:p>
    <w:p w14:paraId="342C4B3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联系人：闫女士</w:t>
      </w:r>
    </w:p>
    <w:p w14:paraId="50D1C02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4"/>
          <w:sz w:val="24"/>
          <w:szCs w:val="24"/>
        </w:rPr>
      </w:pPr>
      <w:r>
        <w:rPr>
          <w:rFonts w:hint="eastAsia" w:asciiTheme="minorEastAsia" w:hAnsiTheme="minorEastAsia" w:eastAsiaTheme="minorEastAsia" w:cstheme="minorEastAsia"/>
          <w:spacing w:val="-15"/>
          <w:sz w:val="24"/>
          <w:szCs w:val="24"/>
        </w:rPr>
        <w:t>联系方式：0377</w:t>
      </w:r>
      <w:r>
        <w:rPr>
          <w:rFonts w:hint="eastAsia" w:asciiTheme="minorEastAsia" w:hAnsiTheme="minorEastAsia" w:eastAsiaTheme="minorEastAsia" w:cstheme="minorEastAsia"/>
          <w:spacing w:val="-15"/>
          <w:sz w:val="24"/>
          <w:szCs w:val="24"/>
          <w:lang w:val="en-US" w:eastAsia="zh-CN"/>
        </w:rPr>
        <w:t>-</w:t>
      </w:r>
      <w:bookmarkStart w:id="0" w:name="_GoBack"/>
      <w:bookmarkEnd w:id="0"/>
      <w:r>
        <w:rPr>
          <w:rFonts w:hint="eastAsia" w:asciiTheme="minorEastAsia" w:hAnsiTheme="minorEastAsia" w:eastAsiaTheme="minorEastAsia" w:cstheme="minorEastAsia"/>
          <w:spacing w:val="-15"/>
          <w:sz w:val="24"/>
          <w:szCs w:val="24"/>
        </w:rPr>
        <w:t>60150681</w:t>
      </w:r>
    </w:p>
    <w:p w14:paraId="47BF656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344B81E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名称：南阳市公共资源交易中心</w:t>
      </w:r>
    </w:p>
    <w:p w14:paraId="7616BBD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地址：南阳市范蠡东路与南都路交叉口市民服务中心中区3号楼5楼</w:t>
      </w:r>
    </w:p>
    <w:p w14:paraId="1C8DD83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联系人：黄先生</w:t>
      </w:r>
    </w:p>
    <w:p w14:paraId="2A32253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0377-</w:t>
      </w:r>
      <w:r>
        <w:rPr>
          <w:rFonts w:hint="eastAsia" w:asciiTheme="minorEastAsia" w:hAnsiTheme="minorEastAsia" w:eastAsiaTheme="minorEastAsia" w:cstheme="minorEastAsia"/>
          <w:spacing w:val="-15"/>
          <w:sz w:val="24"/>
          <w:szCs w:val="24"/>
        </w:rPr>
        <w:t>61176178</w:t>
      </w:r>
    </w:p>
    <w:p w14:paraId="0E9261A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14:paraId="1B7D720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spacing w:val="-15"/>
          <w:sz w:val="24"/>
          <w:szCs w:val="24"/>
          <w:lang w:val="en-US" w:eastAsia="zh-CN"/>
        </w:rPr>
        <w:fldChar w:fldCharType="begin"/>
      </w:r>
      <w:r>
        <w:rPr>
          <w:rFonts w:hint="eastAsia" w:asciiTheme="minorEastAsia" w:hAnsiTheme="minorEastAsia" w:eastAsiaTheme="minorEastAsia" w:cstheme="minorEastAsia"/>
          <w:spacing w:val="-15"/>
          <w:sz w:val="24"/>
          <w:szCs w:val="24"/>
          <w:lang w:val="en-US" w:eastAsia="zh-CN"/>
        </w:rPr>
        <w:instrText xml:space="preserve"> HYPERLINK "https://ggzyjy.nanyang.gov.cn" </w:instrText>
      </w:r>
      <w:r>
        <w:rPr>
          <w:rFonts w:hint="eastAsia" w:asciiTheme="minorEastAsia" w:hAnsiTheme="minorEastAsia" w:eastAsiaTheme="minorEastAsia" w:cstheme="minorEastAsia"/>
          <w:spacing w:val="-15"/>
          <w:sz w:val="24"/>
          <w:szCs w:val="24"/>
          <w:lang w:val="en-US" w:eastAsia="zh-CN"/>
        </w:rPr>
        <w:fldChar w:fldCharType="separate"/>
      </w:r>
      <w:r>
        <w:rPr>
          <w:rStyle w:val="21"/>
          <w:rFonts w:hint="eastAsia" w:asciiTheme="minorEastAsia" w:hAnsiTheme="minorEastAsia" w:eastAsiaTheme="minorEastAsia" w:cstheme="minorEastAsia"/>
          <w:spacing w:val="-15"/>
          <w:sz w:val="24"/>
          <w:szCs w:val="24"/>
          <w:lang w:val="en-US" w:eastAsia="zh-CN"/>
        </w:rPr>
        <w:t>https://ggzyjy.nanyang.gov.cn</w:t>
      </w:r>
      <w:r>
        <w:rPr>
          <w:rFonts w:hint="eastAsia" w:asciiTheme="minorEastAsia" w:hAnsiTheme="minorEastAsia" w:eastAsiaTheme="minorEastAsia" w:cstheme="minorEastAsia"/>
          <w:spacing w:val="-15"/>
          <w:sz w:val="24"/>
          <w:szCs w:val="24"/>
          <w:lang w:val="en-US" w:eastAsia="zh-CN"/>
        </w:rPr>
        <w:fldChar w:fldCharType="end"/>
      </w:r>
      <w:r>
        <w:rPr>
          <w:rFonts w:hint="eastAsia" w:asciiTheme="minorEastAsia" w:hAnsiTheme="minorEastAsia" w:eastAsiaTheme="minorEastAsia" w:cstheme="minorEastAsia"/>
          <w:spacing w:val="-15"/>
          <w:sz w:val="24"/>
          <w:szCs w:val="24"/>
          <w:lang w:val="en-US" w:eastAsia="zh-CN"/>
        </w:rPr>
        <w:t xml:space="preserve">   E-mail:nyszfcgzx@126.com</w:t>
      </w:r>
    </w:p>
    <w:p w14:paraId="3E9DD79E">
      <w:pPr>
        <w:pStyle w:val="6"/>
        <w:keepNext w:val="0"/>
        <w:keepLines w:val="0"/>
        <w:pageBreakBefore w:val="0"/>
        <w:numPr>
          <w:ilvl w:val="0"/>
          <w:numId w:val="0"/>
        </w:numPr>
        <w:kinsoku/>
        <w:wordWrap w:val="0"/>
        <w:overflowPunct/>
        <w:topLinePunct w:val="0"/>
        <w:bidi w:val="0"/>
        <w:spacing w:before="352" w:line="690" w:lineRule="exact"/>
        <w:jc w:val="both"/>
        <w:rPr>
          <w:rFonts w:hint="eastAsia" w:ascii="仿宋_GB2312" w:hAnsi="宋体" w:eastAsia="仿宋_GB2312"/>
          <w:color w:val="0000FF"/>
          <w:sz w:val="28"/>
          <w:szCs w:val="28"/>
          <w:lang w:val="en-US" w:eastAsia="zh-CN"/>
        </w:rPr>
      </w:pPr>
    </w:p>
    <w:p w14:paraId="6FAE18E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3990" w:firstLineChars="1900"/>
        <w:jc w:val="both"/>
        <w:textAlignment w:val="baseline"/>
        <w:outlineLvl w:val="1"/>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南阳市公共资源交易中心</w:t>
      </w:r>
    </w:p>
    <w:p w14:paraId="39181AC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066" w:firstLineChars="1900"/>
        <w:jc w:val="both"/>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highlight w:val="none"/>
          <w:u w:val="single"/>
          <w:lang w:val="en-US" w:eastAsia="zh-CN"/>
        </w:rPr>
        <w:t xml:space="preserve"> 7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28 </w:t>
      </w:r>
      <w:r>
        <w:rPr>
          <w:rFonts w:hint="eastAsia" w:asciiTheme="minorEastAsia" w:hAnsiTheme="minorEastAsia" w:eastAsiaTheme="minorEastAsia" w:cstheme="minorEastAsia"/>
          <w:spacing w:val="-13"/>
          <w:sz w:val="24"/>
          <w:szCs w:val="24"/>
          <w:highlight w:val="none"/>
        </w:rPr>
        <w:t>日</w:t>
      </w:r>
    </w:p>
    <w:p w14:paraId="1EC3F2F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943B36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53FEC3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80ED5D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285A46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0B4C592">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2688CF8">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053577D">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0EEE6A8">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176C9C8">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58F7598">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1165DDD">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07AFDFB">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7E5D39E">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2241BB0">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8E29DE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2998C7C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64BA639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项目概况</w:t>
      </w:r>
    </w:p>
    <w:p w14:paraId="3D1359D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outlineLvl w:val="9"/>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（一）</w:t>
      </w:r>
      <w:r>
        <w:rPr>
          <w:rFonts w:hint="eastAsia" w:ascii="宋体" w:hAnsi="宋体" w:eastAsia="宋体" w:cs="宋体"/>
          <w:b/>
          <w:bCs/>
          <w:snapToGrid w:val="0"/>
          <w:color w:val="000000"/>
          <w:kern w:val="0"/>
          <w:sz w:val="24"/>
          <w:szCs w:val="24"/>
          <w:lang w:val="en-US" w:eastAsia="en-US" w:bidi="ar-SA"/>
        </w:rPr>
        <w:t>项目基本情况</w:t>
      </w:r>
    </w:p>
    <w:p w14:paraId="1354DE3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河南南阳干部学院校址位于河南省南阳市淅川县丹阳镇（武店村和张家村结合地块)，规划总占地约206亩。校园中心位置为东经111°71′79″，北纬32°68′24″。该区域属于浅山丘陵地带，平均海拔高度约177.5米。</w:t>
      </w:r>
    </w:p>
    <w:p w14:paraId="26DEFE4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河南南阳干部学院由综合楼、学员宿舍、餐饮中心、展览馆、动力中心、东区游园六大功能区组成，总建筑面积约49124.32平方米，结构类型为框架结构。其中综合楼（三层、建筑面积17711㎡）、1#学员宿舍（四层、建筑面积7280.45㎡）、2#学员宿舍（四层、建筑面积6840.33㎡）、3#学员宿舍（四层、建筑面积6558㎡）、4#教职工宿舍（四层、建筑面积6020㎡）、餐饮中心（二层、建筑面积3273㎡）、动力中心（二层、1441.5㎡）、东区游园、前广场、停车场、道路、环境景观、廊道和步道。</w:t>
      </w:r>
    </w:p>
    <w:p w14:paraId="7947D0D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outlineLvl w:val="9"/>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en-US" w:bidi="ar-SA"/>
        </w:rPr>
        <w:t>(</w:t>
      </w:r>
      <w:r>
        <w:rPr>
          <w:rFonts w:hint="eastAsia" w:ascii="宋体" w:hAnsi="宋体" w:eastAsia="宋体" w:cs="宋体"/>
          <w:b/>
          <w:bCs/>
          <w:snapToGrid w:val="0"/>
          <w:color w:val="000000"/>
          <w:kern w:val="0"/>
          <w:sz w:val="24"/>
          <w:szCs w:val="24"/>
          <w:lang w:val="en-US" w:eastAsia="zh-CN" w:bidi="ar-SA"/>
        </w:rPr>
        <w:t>二</w:t>
      </w:r>
      <w:r>
        <w:rPr>
          <w:rFonts w:hint="eastAsia" w:ascii="宋体" w:hAnsi="宋体" w:eastAsia="宋体" w:cs="宋体"/>
          <w:b/>
          <w:bCs/>
          <w:snapToGrid w:val="0"/>
          <w:color w:val="000000"/>
          <w:kern w:val="0"/>
          <w:sz w:val="24"/>
          <w:szCs w:val="24"/>
          <w:lang w:val="en-US" w:eastAsia="en-US" w:bidi="ar-SA"/>
        </w:rPr>
        <w:t>)各单体建筑功能分区说明</w:t>
      </w:r>
    </w:p>
    <w:p w14:paraId="137860E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rPr>
        <w:t>1.综合楼</w:t>
      </w:r>
      <w:r>
        <w:rPr>
          <w:rFonts w:hint="eastAsia" w:asciiTheme="minorEastAsia" w:hAnsiTheme="minorEastAsia" w:eastAsiaTheme="minorEastAsia" w:cstheme="minorEastAsia"/>
          <w:spacing w:val="-1"/>
          <w:sz w:val="24"/>
          <w:szCs w:val="24"/>
        </w:rPr>
        <w:t>：</w:t>
      </w:r>
    </w:p>
    <w:p w14:paraId="05CA4E2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综合楼东半部包含1个报告厅、1个图书馆、6个教室、1个资料馆、1个健身房、1个台球室、1个瑜伽室、5个研讨室及各部室办公室。</w:t>
      </w:r>
    </w:p>
    <w:p w14:paraId="5A4B80E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一层：多功能厅1处可容纳515人（总面积1023㎡，含主席台面积）；教室2间可容纳180人左右（面积240㎡）；值班接待室1间（面积65㎡）；医疗卫生室1间（面积65㎡）；贵宾接待室1间（面积40㎡）；办公室2间（面积50㎡）；消控室1间（面积35㎡）；图书馆1间（面积600㎡）；</w:t>
      </w:r>
    </w:p>
    <w:p w14:paraId="2796F5A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二层：多媒体教室2间设计可容纳220人（面积320㎡）；名师工作室1间（面积100㎡）；培训工作部办公室1间（面积105㎡）；教务教研部/南水北调研究中心办公室1间（面积66㎡）；交流联络部办公室1间（面积39㎡）；后勤服务部办公室1间（面积39㎡）。</w:t>
      </w:r>
    </w:p>
    <w:p w14:paraId="033D332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三层：健身房1间（面积120㎡）；仓库1间（面积120㎡）；200人教室1间（面积420㎡）；研讨室5间（面积355㎡）；资料馆1间（面积100㎡）；台球室1间（面积106㎡）；瑜伽室1间（面积30㎡）；院领导办公室4间和信息机房1间（面积90㎡）。</w:t>
      </w:r>
    </w:p>
    <w:p w14:paraId="61F1BD8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综合楼西半部为展览馆，包含6个展厅、1个4D影院、1个接待室、1个会议室、2个档案室。总面积6800㎡，共三层六个部分，通过图文介绍、智能化多媒体、声光电和实物等形式全景式展现南水北调这一宏伟的世纪工程。</w:t>
      </w:r>
    </w:p>
    <w:p w14:paraId="76168E1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rPr>
        <w:t>2.学员宿舍</w:t>
      </w:r>
      <w:r>
        <w:rPr>
          <w:rFonts w:hint="eastAsia" w:asciiTheme="minorEastAsia" w:hAnsiTheme="minorEastAsia" w:eastAsiaTheme="minorEastAsia" w:cstheme="minorEastAsia"/>
          <w:spacing w:val="-1"/>
          <w:sz w:val="24"/>
          <w:szCs w:val="24"/>
        </w:rPr>
        <w:t>：</w:t>
      </w:r>
    </w:p>
    <w:p w14:paraId="5CB5DEB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1#学员宿舍和2#学员宿舍，总计标准双人间123间（每间面积35㎡）、标准单人间124间（每间面积35㎡）共计可住370人，</w:t>
      </w:r>
    </w:p>
    <w:p w14:paraId="562B09B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1#学员宿舍：</w:t>
      </w:r>
    </w:p>
    <w:p w14:paraId="79BA92E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一层：总服务台（面积220㎡），标准单人间31间、商务中心1间（面积50㎡）；二层至四层：每层标准单人间31间共计93间；共可住124人。</w:t>
      </w:r>
    </w:p>
    <w:p w14:paraId="7A17155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2#学员宿舍：</w:t>
      </w:r>
    </w:p>
    <w:p w14:paraId="020DCC2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一层：标准双人间30间；二层至四层：每层标准双人间31间；共计123间，共可住246人。</w:t>
      </w:r>
    </w:p>
    <w:p w14:paraId="73C3044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3#学员宿舍：</w:t>
      </w:r>
    </w:p>
    <w:p w14:paraId="0719093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学员住房73间（每间面积35㎡）；服务台1处（面积110㎡）；会见厅1间（面积50㎡）；会议室和教室各1间（面积90㎡）；活动室1间（面积80㎡）；共计可住73人。</w:t>
      </w:r>
    </w:p>
    <w:p w14:paraId="54B2FB3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一层：配置服务台一处（面积110㎡）；会客厅（面积50㎡）、厨房（面积111㎡）、自助餐厅（面积130㎡）;包间2间（面积25㎡）；学员住房16间（每间面积35㎡）；2连套房1间（面积72㎡）。</w:t>
      </w:r>
    </w:p>
    <w:p w14:paraId="1D76BD2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二层：配置学员住房18间（每间面积35㎡）;活动室1间（面积80㎡）；会议室2间（面积90㎡）；2连套房1间（面积72㎡）。</w:t>
      </w:r>
    </w:p>
    <w:p w14:paraId="1876558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三层：配置学员住房17间（每间面积35㎡）；3连套房1间（108㎡）。</w:t>
      </w:r>
    </w:p>
    <w:p w14:paraId="3CEBBFF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四层：配置学员住房18间（每间面积35㎡）；2连套房1间（面积72㎡）。</w:t>
      </w:r>
    </w:p>
    <w:p w14:paraId="7D6826F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rPr>
        <w:t>3.餐饮中心</w:t>
      </w:r>
      <w:r>
        <w:rPr>
          <w:rFonts w:hint="eastAsia" w:asciiTheme="minorEastAsia" w:hAnsiTheme="minorEastAsia" w:eastAsiaTheme="minorEastAsia" w:cstheme="minorEastAsia"/>
          <w:spacing w:val="-1"/>
          <w:sz w:val="24"/>
          <w:szCs w:val="24"/>
        </w:rPr>
        <w:t>：整个餐饮中心包含大中型餐厅4个，可同时容纳660人就餐。</w:t>
      </w:r>
    </w:p>
    <w:p w14:paraId="4328EBD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一层：大餐厅按自助餐厅设计可容纳332人（面积898㎡）；服务公司职工餐厅1间可容纳80人（面积122.18㎡）；教职工餐厅3间（面积60㎡）；综合化厨房及仓库（面积453.49㎡）。</w:t>
      </w:r>
    </w:p>
    <w:p w14:paraId="7DEE3C8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 xml:space="preserve">二层：中餐厅按自助餐厅设计可容纳160人（面积361㎡）。 </w:t>
      </w:r>
    </w:p>
    <w:p w14:paraId="3065F81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3#楼一层小餐厅及厨房（面积213.84㎡），可容纳88人就餐。</w:t>
      </w:r>
    </w:p>
    <w:p w14:paraId="4D0EDBC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rPr>
        <w:t>4.4#职工宿舍</w:t>
      </w:r>
      <w:r>
        <w:rPr>
          <w:rFonts w:hint="eastAsia" w:asciiTheme="minorEastAsia" w:hAnsiTheme="minorEastAsia" w:eastAsiaTheme="minorEastAsia" w:cstheme="minorEastAsia"/>
          <w:spacing w:val="-1"/>
          <w:sz w:val="24"/>
          <w:szCs w:val="24"/>
        </w:rPr>
        <w:t>：职工宿舍套间28间（每间面积65㎡）、标间宿舍50间（每间面积35㎡）、洗衣房3间（每间面积35㎡）</w:t>
      </w:r>
    </w:p>
    <w:p w14:paraId="431C6D3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一层：标间宿舍26间；洗衣房1间。二层：职工宿舍标间28间；洗衣房1间。三层：职工宿舍套间14间；洗衣房1间。四层：职工宿舍套间14间；洗衣房1间。</w:t>
      </w:r>
    </w:p>
    <w:p w14:paraId="4ECC842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rPr>
        <w:t>5.动力中心</w:t>
      </w:r>
      <w:r>
        <w:rPr>
          <w:rFonts w:hint="eastAsia" w:asciiTheme="minorEastAsia" w:hAnsiTheme="minorEastAsia" w:eastAsiaTheme="minorEastAsia" w:cstheme="minorEastAsia"/>
          <w:spacing w:val="-1"/>
          <w:sz w:val="24"/>
          <w:szCs w:val="24"/>
        </w:rPr>
        <w:t>：总建筑面积1441.5㎡。</w:t>
      </w:r>
    </w:p>
    <w:p w14:paraId="5191F28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地下一层（面积848.5㎡）设置消防水池水泵房、生活水池泵房和变配电室、发电机房；地上一层（面积593㎡）设置直燃机房、变配电室、中央空调主机、循环水泵等。</w:t>
      </w:r>
    </w:p>
    <w:p w14:paraId="7377B5D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rPr>
        <w:t>6.仓库</w:t>
      </w:r>
      <w:r>
        <w:rPr>
          <w:rFonts w:hint="eastAsia" w:asciiTheme="minorEastAsia" w:hAnsiTheme="minorEastAsia" w:eastAsiaTheme="minorEastAsia" w:cstheme="minorEastAsia"/>
          <w:spacing w:val="-1"/>
          <w:sz w:val="24"/>
          <w:szCs w:val="24"/>
        </w:rPr>
        <w:t>：总建筑面积180面积20㎡</w:t>
      </w:r>
    </w:p>
    <w:p w14:paraId="28811BA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位于4#职工宿舍北侧，共9间，每间20㎡。</w:t>
      </w:r>
    </w:p>
    <w:p w14:paraId="3836752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rPr>
        <w:t>7.门卫室</w:t>
      </w:r>
      <w:r>
        <w:rPr>
          <w:rFonts w:hint="eastAsia" w:asciiTheme="minorEastAsia" w:hAnsiTheme="minorEastAsia" w:eastAsiaTheme="minorEastAsia" w:cstheme="minorEastAsia"/>
          <w:spacing w:val="-1"/>
          <w:sz w:val="24"/>
          <w:szCs w:val="24"/>
        </w:rPr>
        <w:t>：总建筑面积60㎡</w:t>
      </w:r>
    </w:p>
    <w:p w14:paraId="79C2BD7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学院设南大门、西大门各一个，门卫室6间，共60㎡。</w:t>
      </w:r>
    </w:p>
    <w:p w14:paraId="1421244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outlineLvl w:val="9"/>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en-US" w:bidi="ar-SA"/>
        </w:rPr>
        <w:t>（</w:t>
      </w:r>
      <w:r>
        <w:rPr>
          <w:rFonts w:hint="eastAsia" w:ascii="宋体" w:hAnsi="宋体" w:eastAsia="宋体" w:cs="宋体"/>
          <w:b/>
          <w:bCs/>
          <w:snapToGrid w:val="0"/>
          <w:color w:val="000000"/>
          <w:kern w:val="0"/>
          <w:sz w:val="24"/>
          <w:szCs w:val="24"/>
          <w:lang w:val="en-US" w:eastAsia="zh-CN" w:bidi="ar-SA"/>
        </w:rPr>
        <w:t>三</w:t>
      </w:r>
      <w:r>
        <w:rPr>
          <w:rFonts w:hint="eastAsia" w:ascii="宋体" w:hAnsi="宋体" w:eastAsia="宋体" w:cs="宋体"/>
          <w:b/>
          <w:bCs/>
          <w:snapToGrid w:val="0"/>
          <w:color w:val="000000"/>
          <w:kern w:val="0"/>
          <w:sz w:val="24"/>
          <w:szCs w:val="24"/>
          <w:lang w:val="en-US" w:eastAsia="en-US" w:bidi="ar-SA"/>
        </w:rPr>
        <w:t>）亮化工程</w:t>
      </w:r>
    </w:p>
    <w:p w14:paraId="36534F3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景观灯具：室外LED灯1865盏，小柱灯16盏，草坪灯41盏，绿化射树灯10盏，投光灯8盏，庭院灯44盏，球场灯12盏，高杆灯5盏，综合楼及校园射灯14盏，共计2000盏左右。东区游园景观灯具由独立智能灯光系统控制。</w:t>
      </w:r>
    </w:p>
    <w:p w14:paraId="731AD29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outlineLvl w:val="9"/>
        <w:rPr>
          <w:rFonts w:hint="eastAsia" w:ascii="黑体" w:hAnsi="黑体" w:eastAsia="黑体" w:cs="黑体"/>
          <w:spacing w:val="-1"/>
          <w:sz w:val="24"/>
          <w:szCs w:val="24"/>
        </w:rPr>
      </w:pPr>
      <w:r>
        <w:rPr>
          <w:rFonts w:hint="eastAsia" w:ascii="宋体" w:hAnsi="宋体" w:eastAsia="宋体" w:cs="宋体"/>
          <w:b/>
          <w:bCs/>
          <w:snapToGrid w:val="0"/>
          <w:color w:val="000000"/>
          <w:kern w:val="0"/>
          <w:sz w:val="24"/>
          <w:szCs w:val="24"/>
          <w:lang w:val="en-US" w:eastAsia="en-US" w:bidi="ar-SA"/>
        </w:rPr>
        <w:t>（</w:t>
      </w:r>
      <w:r>
        <w:rPr>
          <w:rFonts w:hint="eastAsia" w:ascii="宋体" w:hAnsi="宋体" w:eastAsia="宋体" w:cs="宋体"/>
          <w:b/>
          <w:bCs/>
          <w:snapToGrid w:val="0"/>
          <w:color w:val="000000"/>
          <w:kern w:val="0"/>
          <w:sz w:val="24"/>
          <w:szCs w:val="24"/>
          <w:lang w:val="en-US" w:eastAsia="zh-CN" w:bidi="ar-SA"/>
        </w:rPr>
        <w:t>四</w:t>
      </w:r>
      <w:r>
        <w:rPr>
          <w:rFonts w:hint="eastAsia" w:ascii="宋体" w:hAnsi="宋体" w:eastAsia="宋体" w:cs="宋体"/>
          <w:b/>
          <w:bCs/>
          <w:snapToGrid w:val="0"/>
          <w:color w:val="000000"/>
          <w:kern w:val="0"/>
          <w:sz w:val="24"/>
          <w:szCs w:val="24"/>
          <w:lang w:val="en-US" w:eastAsia="en-US" w:bidi="ar-SA"/>
        </w:rPr>
        <w:t>）监控及信息化工程</w:t>
      </w:r>
    </w:p>
    <w:p w14:paraId="6F8CB8D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学院监控系统共有274个监控摄像头，每栋建筑之间通过千兆光纤与机房连接，设计标准按照河南省安全技术防范工程三级标准设计。</w:t>
      </w:r>
    </w:p>
    <w:p w14:paraId="2B7F0AB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outlineLvl w:val="9"/>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en-US" w:bidi="ar-SA"/>
        </w:rPr>
        <w:t>（</w:t>
      </w:r>
      <w:r>
        <w:rPr>
          <w:rFonts w:hint="eastAsia" w:ascii="宋体" w:hAnsi="宋体" w:eastAsia="宋体" w:cs="宋体"/>
          <w:b/>
          <w:bCs/>
          <w:snapToGrid w:val="0"/>
          <w:color w:val="000000"/>
          <w:kern w:val="0"/>
          <w:sz w:val="24"/>
          <w:szCs w:val="24"/>
          <w:lang w:val="en-US" w:eastAsia="zh-CN" w:bidi="ar-SA"/>
        </w:rPr>
        <w:t>五</w:t>
      </w:r>
      <w:r>
        <w:rPr>
          <w:rFonts w:hint="eastAsia" w:ascii="宋体" w:hAnsi="宋体" w:eastAsia="宋体" w:cs="宋体"/>
          <w:b/>
          <w:bCs/>
          <w:snapToGrid w:val="0"/>
          <w:color w:val="000000"/>
          <w:kern w:val="0"/>
          <w:sz w:val="24"/>
          <w:szCs w:val="24"/>
          <w:lang w:val="en-US" w:eastAsia="en-US" w:bidi="ar-SA"/>
        </w:rPr>
        <w:t>）水、电、燃气</w:t>
      </w:r>
    </w:p>
    <w:p w14:paraId="4608E40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 xml:space="preserve">    学院设一个动力中心，地下一层设置消防水池水泵池（500立方）、生活水池泵池（200立方）、变配电室、1000千瓦柴油发电机房，地上一层设置直燃机房和变配电室，厨房全部用电；全院设变压器4台，总功率4600千瓦；2#学员宿舍顶部设300立方消防水池一个。</w:t>
      </w:r>
    </w:p>
    <w:p w14:paraId="2311150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服务内容及要求</w:t>
      </w:r>
    </w:p>
    <w:p w14:paraId="5F7856F2">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eastAsia="zh-CN"/>
        </w:rPr>
        <w:t>一</w:t>
      </w:r>
      <w:r>
        <w:rPr>
          <w:rFonts w:hint="eastAsia" w:ascii="宋体" w:hAnsi="宋体" w:eastAsia="宋体" w:cs="宋体"/>
          <w:b/>
          <w:bCs/>
          <w:sz w:val="24"/>
          <w:szCs w:val="24"/>
        </w:rPr>
        <w:t>）餐饮服务</w:t>
      </w:r>
    </w:p>
    <w:p w14:paraId="39D9B788">
      <w:pPr>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餐厅管理</w:t>
      </w:r>
    </w:p>
    <w:p w14:paraId="636BCD23">
      <w:pPr>
        <w:snapToGrid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1、定期组织从业人员进行食品卫生法律法规和卫生知识培训</w:t>
      </w:r>
      <w:r>
        <w:rPr>
          <w:rFonts w:hint="eastAsia" w:ascii="宋体" w:hAnsi="宋体" w:eastAsia="宋体" w:cs="宋体"/>
          <w:sz w:val="24"/>
          <w:szCs w:val="24"/>
          <w:lang w:eastAsia="zh-CN"/>
        </w:rPr>
        <w:t>。</w:t>
      </w:r>
    </w:p>
    <w:p w14:paraId="2FE5406F">
      <w:pPr>
        <w:snapToGrid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2、制定食品卫生管理制度及岗位责任制度，并对执行情况进行经常性督促检查与考核</w:t>
      </w:r>
      <w:r>
        <w:rPr>
          <w:rFonts w:hint="eastAsia" w:ascii="宋体" w:hAnsi="宋体" w:eastAsia="宋体" w:cs="宋体"/>
          <w:sz w:val="24"/>
          <w:szCs w:val="24"/>
          <w:lang w:eastAsia="zh-CN"/>
        </w:rPr>
        <w:t>。</w:t>
      </w:r>
    </w:p>
    <w:p w14:paraId="238F8E57">
      <w:pPr>
        <w:snapToGrid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3、检查食品生产经营过程的卫生状况并考核记录，对检查中发现的不符合卫生要求的行为及时制止并提出处理意见</w:t>
      </w:r>
      <w:r>
        <w:rPr>
          <w:rFonts w:hint="eastAsia" w:ascii="宋体" w:hAnsi="宋体" w:eastAsia="宋体" w:cs="宋体"/>
          <w:sz w:val="24"/>
          <w:szCs w:val="24"/>
          <w:lang w:eastAsia="zh-CN"/>
        </w:rPr>
        <w:t>。</w:t>
      </w:r>
    </w:p>
    <w:p w14:paraId="5677666A">
      <w:pPr>
        <w:snapToGrid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4、对食品卫生检查工作进行管理；学员集体用餐必须当餐加工，不得加工隔日或订购隔日的剩余食品，不得订购冷荤凉菜食品</w:t>
      </w:r>
      <w:r>
        <w:rPr>
          <w:rFonts w:hint="eastAsia" w:ascii="宋体" w:hAnsi="宋体" w:eastAsia="宋体" w:cs="宋体"/>
          <w:sz w:val="24"/>
          <w:szCs w:val="24"/>
          <w:lang w:eastAsia="zh-CN"/>
        </w:rPr>
        <w:t>。</w:t>
      </w:r>
    </w:p>
    <w:p w14:paraId="7DFD1CC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每年</w:t>
      </w:r>
      <w:r>
        <w:rPr>
          <w:rFonts w:hint="eastAsia" w:ascii="宋体" w:hAnsi="宋体" w:eastAsia="宋体" w:cs="宋体"/>
          <w:sz w:val="24"/>
          <w:szCs w:val="24"/>
        </w:rPr>
        <w:t>组织从业人员进行健康检查和办</w:t>
      </w:r>
      <w:r>
        <w:rPr>
          <w:rFonts w:hint="eastAsia" w:ascii="宋体" w:hAnsi="宋体" w:eastAsia="宋体" w:cs="宋体"/>
          <w:sz w:val="24"/>
          <w:szCs w:val="24"/>
          <w:lang w:eastAsia="zh-CN"/>
        </w:rPr>
        <w:t>理健康</w:t>
      </w:r>
      <w:r>
        <w:rPr>
          <w:rFonts w:hint="eastAsia" w:ascii="宋体" w:hAnsi="宋体" w:eastAsia="宋体" w:cs="宋体"/>
          <w:sz w:val="24"/>
          <w:szCs w:val="24"/>
        </w:rPr>
        <w:t>证。督促患有有碍食品卫生疾病和病症的人员调离相关岗位。凡患有痢疾、伤寒等消化道疾病（包括病原携带者）、病毒性肝炎</w:t>
      </w:r>
      <w:r>
        <w:rPr>
          <w:rFonts w:hint="eastAsia" w:ascii="宋体" w:hAnsi="宋体" w:eastAsia="宋体" w:cs="宋体"/>
          <w:sz w:val="24"/>
          <w:szCs w:val="24"/>
          <w:lang w:eastAsia="zh-CN"/>
        </w:rPr>
        <w:t>等传染性疾病</w:t>
      </w:r>
      <w:r>
        <w:rPr>
          <w:rFonts w:hint="eastAsia" w:ascii="宋体" w:hAnsi="宋体" w:eastAsia="宋体" w:cs="宋体"/>
          <w:sz w:val="24"/>
          <w:szCs w:val="24"/>
        </w:rPr>
        <w:t>，活动性肺结核，化脓性或者渗出性皮肤病以及其他有碍食品卫生的疾病的，不得从事接触直接入口食品的工作。餐厅从业人员及集体餐分餐人员在出现咳嗽、腹泻、发热、呕吐等有碍食品卫生的疾病时，应立即脱离工作岗位，待查明病因、排除有碍食品卫生的病症或治愈后，方可重新上岗。</w:t>
      </w:r>
    </w:p>
    <w:p w14:paraId="5DF86A47">
      <w:pPr>
        <w:snapToGrid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6、建立食品卫生管理档案</w:t>
      </w:r>
      <w:r>
        <w:rPr>
          <w:rFonts w:hint="eastAsia" w:ascii="宋体" w:hAnsi="宋体" w:eastAsia="宋体" w:cs="宋体"/>
          <w:sz w:val="24"/>
          <w:szCs w:val="24"/>
          <w:lang w:eastAsia="zh-CN"/>
        </w:rPr>
        <w:t>。</w:t>
      </w:r>
    </w:p>
    <w:p w14:paraId="08766FA7">
      <w:pPr>
        <w:snapToGrid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7、接受和配合卫生监督机构对本单位的食品卫生进行监督检查，并如实提供有关情况</w:t>
      </w:r>
      <w:r>
        <w:rPr>
          <w:rFonts w:hint="eastAsia" w:ascii="宋体" w:hAnsi="宋体" w:eastAsia="宋体" w:cs="宋体"/>
          <w:sz w:val="24"/>
          <w:szCs w:val="24"/>
          <w:lang w:eastAsia="zh-CN"/>
        </w:rPr>
        <w:t>。</w:t>
      </w:r>
    </w:p>
    <w:p w14:paraId="047CB335">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8、与保证食品安全卫生有关的其他管理工作。</w:t>
      </w:r>
    </w:p>
    <w:p w14:paraId="6B6781A1">
      <w:pPr>
        <w:snapToGrid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9、配合采购方做好食材质量验收入库工作。</w:t>
      </w:r>
    </w:p>
    <w:p w14:paraId="480A2EA5">
      <w:pPr>
        <w:snapToGrid w:val="0"/>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食品采购均由学院自行采购</w:t>
      </w:r>
    </w:p>
    <w:p w14:paraId="57906EF3">
      <w:pPr>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粗加工要求</w:t>
      </w:r>
    </w:p>
    <w:p w14:paraId="15F9E78F">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1、清洗加工食品先检查质量，腐败变质、发霉生虫、掺杂掺假、有毒有害食品不加工。</w:t>
      </w:r>
    </w:p>
    <w:p w14:paraId="4D91A4C0">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2、蔬菜必须先浸泡，再按“一拣、二洗、三切”的顺序操作，洗后无泥沙杂草。</w:t>
      </w:r>
    </w:p>
    <w:p w14:paraId="2D4AE07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3、动物性食品、植物食品应分池清洗，水产品宜在专用水池清洗，禽蛋在使用前应对外壳进行清洗，必要时消毒处理。</w:t>
      </w:r>
    </w:p>
    <w:p w14:paraId="4B243541">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4、动物性食品、植物性食品，水产品盛器用后冲洗干净分开使用。</w:t>
      </w:r>
    </w:p>
    <w:p w14:paraId="17446CB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5、清洗过的食品不落地存放。</w:t>
      </w:r>
    </w:p>
    <w:p w14:paraId="5E14EDC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6、每餐加工结束将地面、水池、加工台、工具、容器清扫洗刷干净，做到及时清场。</w:t>
      </w:r>
    </w:p>
    <w:p w14:paraId="040552C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7、讲究个人卫生（勤剪指甲、勤洗手、不戴首饰、不留长发、工作帽前延遮发，穿着干净工作服，不带病上岗，上岗不吸烟），个人物品摆放到更衣室，不得乱摆乱放。</w:t>
      </w:r>
    </w:p>
    <w:p w14:paraId="5C8C098B">
      <w:pPr>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配菜（切配、冷冻冷藏）要求</w:t>
      </w:r>
    </w:p>
    <w:p w14:paraId="5814BF1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1、切配前检查食品质量，腐败变质、发霉生虫、掺杂掺假、有毒有害、未净未泡、高危食品不加工。</w:t>
      </w:r>
    </w:p>
    <w:p w14:paraId="492A53F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2、刀砧板抹布专用，配菜盘专用，生熟分开使用，用后及时清洗消毒，有序摆放。</w:t>
      </w:r>
    </w:p>
    <w:p w14:paraId="10392F0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3、保持配菜台整洁，切配过的食品必须上架摆放，不得落地存放，避免污染，并应根据性质分类存放。</w:t>
      </w:r>
    </w:p>
    <w:p w14:paraId="318F34BF">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生品、半生品、熟食品必须严格分类，在有标识冰箱（标识生品、半成品、熟食品）保存，保存时容器必须加盖加膜。经常检查冰箱温度控制（冷冻温度的范围应在-20℃～-1℃之间；冷藏温度的范围应在0～10℃之间），定期化霜。</w:t>
      </w:r>
    </w:p>
    <w:p w14:paraId="45C503B3">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5、易腐食品应尽量缩短在常温下的存放时间，加工后应及时使用或冷藏。</w:t>
      </w:r>
    </w:p>
    <w:p w14:paraId="2174B70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6、配菜结束拖清地面，工具、用具清洗干净，保持室内清洁卫生。</w:t>
      </w:r>
    </w:p>
    <w:p w14:paraId="7BE815D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7、讲究个人卫生（勤剪指甲、勤洗手、不戴首饰、不留长发、工作帽前沿遮发，穿着干净工作服，不带病上岗，上岗不抽烟），个人物品摆放到更衣室，不得乱摆乱放。</w:t>
      </w:r>
    </w:p>
    <w:p w14:paraId="009D2BE0">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烧煮烹调要求</w:t>
      </w:r>
    </w:p>
    <w:p w14:paraId="3AE4BDE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1、烹调前检查食品、调味品质量，做到“七不加工”（腐败变质、发霉生虫、掺杂掺假、有毒有害、未净未泡、高危食品、过期 “三无”食品或调味品不加工</w:t>
      </w:r>
      <w:r>
        <w:rPr>
          <w:rFonts w:hint="eastAsia" w:ascii="宋体" w:hAnsi="宋体" w:eastAsia="宋体" w:cs="宋体"/>
          <w:sz w:val="24"/>
          <w:szCs w:val="24"/>
          <w:lang w:eastAsia="zh-CN"/>
        </w:rPr>
        <w:t>）</w:t>
      </w:r>
      <w:r>
        <w:rPr>
          <w:rFonts w:hint="eastAsia" w:ascii="宋体" w:hAnsi="宋体" w:eastAsia="宋体" w:cs="宋体"/>
          <w:sz w:val="24"/>
          <w:szCs w:val="24"/>
        </w:rPr>
        <w:t>。</w:t>
      </w:r>
    </w:p>
    <w:p w14:paraId="33754FFF">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2、食品以及隔顿食品要充分加热烧熟煮透，防止里生外熟。在停电、停气、停油等特殊情况下如果改变加热方式，要特别提高警惕。  </w:t>
      </w:r>
    </w:p>
    <w:p w14:paraId="206905A0">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3、烹饪好的食品至食用之间不得超过2小时。</w:t>
      </w:r>
    </w:p>
    <w:p w14:paraId="1EF51707">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4、无适当保存条件（温度低于60度，高于10度条件下放置2小时以上的），存放时间超过2小时的熟食品，需再次利用的应充分加热，加热前应确认食品未变质。</w:t>
      </w:r>
    </w:p>
    <w:p w14:paraId="4CAC419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5、冷冻熟食品应彻底解冻后经充分加热方可食用。</w:t>
      </w:r>
    </w:p>
    <w:p w14:paraId="130B530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6、当天餐当天处理，不隔夜，不外购熟食。不得将回收后的食品（包括辅料）经烹调加工后再次供应。</w:t>
      </w:r>
    </w:p>
    <w:p w14:paraId="7D80E27A">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7、工作结束调料加盖，工具用具、灶上、灶下、地面清扫刷干净。</w:t>
      </w:r>
    </w:p>
    <w:p w14:paraId="3265BEAF">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8、讲究个人卫生（勤剪指甲、勤洗手、不戴首饰、不留长发、工作帽前沿遮发，穿着干净工作服，不带病上岗，上岗不吸烟），个人物品摆放到更衣室，不得乱摆乱放。</w:t>
      </w:r>
    </w:p>
    <w:p w14:paraId="4EBA4DDD">
      <w:pPr>
        <w:snapToGrid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面点加工要求</w:t>
      </w:r>
    </w:p>
    <w:p w14:paraId="0CA6D3D0">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1、原料经检查挑选，发霉、虫蛀、变质原料不用。</w:t>
      </w:r>
    </w:p>
    <w:p w14:paraId="694D63A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2、操作前用肥皂洗手，穿戴清洁的工作衣帽、口罩。</w:t>
      </w:r>
    </w:p>
    <w:p w14:paraId="7FE7C8A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3、制作点心前将刀、案板、棍棒、食品容器等清洗干净；工具、用具、容器、盛器生熟分开，成品容器专用；工作结束将刀、案板、面缸、食品容器等到洗刷干净。</w:t>
      </w:r>
    </w:p>
    <w:p w14:paraId="57BED18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4、添加剂按《食品添加剂使</w:t>
      </w:r>
      <w:r>
        <w:rPr>
          <w:rFonts w:hint="eastAsia" w:ascii="宋体" w:hAnsi="宋体" w:eastAsia="宋体" w:cs="宋体"/>
          <w:sz w:val="24"/>
          <w:szCs w:val="24"/>
          <w:lang w:eastAsia="zh-CN"/>
        </w:rPr>
        <w:t>用</w:t>
      </w:r>
      <w:r>
        <w:rPr>
          <w:rFonts w:hint="eastAsia" w:ascii="宋体" w:hAnsi="宋体" w:eastAsia="宋体" w:cs="宋体"/>
          <w:sz w:val="24"/>
          <w:szCs w:val="24"/>
        </w:rPr>
        <w:t>标准》规定使用。</w:t>
      </w:r>
    </w:p>
    <w:p w14:paraId="7A9477D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5、裱花蛋糕在专间内进行，工具用具严格消毒。</w:t>
      </w:r>
    </w:p>
    <w:p w14:paraId="45DBE1F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6、成品放入清洁的食品橱内，做到防蝇、防尘、防鼠。</w:t>
      </w:r>
    </w:p>
    <w:p w14:paraId="5798213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7、未用完的点心馅料、半成品点心，应在冷柜内存放，并在规定存放期限内使用奶油类原料应低温存放。水分含量较高的含奶、蛋的点心应当在10℃以下或60℃以上的温度条件下贮存。</w:t>
      </w:r>
    </w:p>
    <w:p w14:paraId="5F800A6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8、每餐加工结束将地面、加工台、工具、容器清扫洗刷干净，做到及时清运及时清场。</w:t>
      </w:r>
    </w:p>
    <w:p w14:paraId="4AD61915">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9、讲究个人卫生（勤剪指甲、勤洗手、不戴首饰、不留长发、工作帽前沿遮发，穿着干净工作服，不带病上岗，上岗不吸烟），个人物品摆放到更衣室，不得乱摆乱放。</w:t>
      </w:r>
    </w:p>
    <w:p w14:paraId="3AC7B98B">
      <w:pPr>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备餐要求</w:t>
      </w:r>
    </w:p>
    <w:p w14:paraId="71034C7A">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1、备餐前关闭门窗，做到防蝇、防尘、防鼠、防人为投毒。</w:t>
      </w:r>
    </w:p>
    <w:p w14:paraId="50DE70A0">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2、备餐时进行二次更衣，肥皂洗手消毒、穿戴清洁的工作衣帽、口罩。</w:t>
      </w:r>
    </w:p>
    <w:p w14:paraId="689D6EB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3、应认真检查待供应食品，发现有感官性状异常的，不得供应。</w:t>
      </w:r>
    </w:p>
    <w:p w14:paraId="7EAF456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4、备餐食品应当在</w:t>
      </w:r>
      <w:r>
        <w:rPr>
          <w:rFonts w:hint="eastAsia" w:ascii="宋体" w:hAnsi="宋体" w:eastAsia="宋体" w:cs="宋体"/>
          <w:sz w:val="24"/>
          <w:szCs w:val="24"/>
          <w:lang w:eastAsia="zh-CN"/>
        </w:rPr>
        <w:t>低于</w:t>
      </w:r>
      <w:r>
        <w:rPr>
          <w:rFonts w:hint="eastAsia" w:ascii="宋体" w:hAnsi="宋体" w:eastAsia="宋体" w:cs="宋体"/>
          <w:sz w:val="24"/>
          <w:szCs w:val="24"/>
        </w:rPr>
        <w:t>60℃</w:t>
      </w:r>
      <w:r>
        <w:rPr>
          <w:rFonts w:hint="eastAsia" w:ascii="宋体" w:hAnsi="宋体" w:eastAsia="宋体" w:cs="宋体"/>
          <w:sz w:val="24"/>
          <w:szCs w:val="24"/>
          <w:lang w:eastAsia="zh-CN"/>
        </w:rPr>
        <w:t>高于</w:t>
      </w:r>
      <w:r>
        <w:rPr>
          <w:rFonts w:hint="eastAsia" w:ascii="宋体" w:hAnsi="宋体" w:eastAsia="宋体" w:cs="宋体"/>
          <w:sz w:val="24"/>
          <w:szCs w:val="24"/>
        </w:rPr>
        <w:t>10℃的条件下存放不得超过2小时。</w:t>
      </w:r>
    </w:p>
    <w:p w14:paraId="2D74465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5、不用手直接接触入口食品，不使用未经消毒的餐具用具，要避免食品受到污染。</w:t>
      </w:r>
    </w:p>
    <w:p w14:paraId="16160BB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6、不得重复使用一次性餐具。</w:t>
      </w:r>
    </w:p>
    <w:p w14:paraId="79C05CB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7、备餐间除餐具用具保洁柜和留样专柜外，不摆放其它无关杂物，不销售备餐以外的食品。</w:t>
      </w:r>
    </w:p>
    <w:p w14:paraId="3C1A0F9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8、每餐供应结束后，将地面、备餐台清扫洗刷干净，做到及时清运及时清场。</w:t>
      </w:r>
    </w:p>
    <w:p w14:paraId="499EE5BD">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9、供餐结束后，在无人情况下对备餐间及时进行空气消毒，并做好备餐间空气消毒台帐。  </w:t>
      </w:r>
    </w:p>
    <w:p w14:paraId="7CFD9DA3">
      <w:pPr>
        <w:snapToGrid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餐具用具清洗、消毒和保洁要求</w:t>
      </w:r>
    </w:p>
    <w:p w14:paraId="59BC06E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1、每餐收回的餐具用具必须及时清洗消毒，不得隔夜、隔顿。</w:t>
      </w:r>
    </w:p>
    <w:p w14:paraId="1253CA0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2、餐具清洗消毒应按一刮、二洗、三冲、四消毒、五保洁的顺序操作。</w:t>
      </w:r>
    </w:p>
    <w:p w14:paraId="1BCC7863">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餐具用具尽量采用热力方法（煮沸10分钟、蒸汽15分钟、消毒柜30分钟）。采用消毒柜消毒必须保持餐具用具有间隔缝隙，不得叠放，消毒柜消毒后的餐具用具应无水迹。消毒后餐具应符合GB14934-2016《食品安全国家标准消毒餐（饮）具》规定。</w:t>
      </w:r>
    </w:p>
    <w:p w14:paraId="0DF6E9E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4、洗消完毕将洗碗消毒及其它清洗消毒设备冲洗干净。</w:t>
      </w:r>
    </w:p>
    <w:p w14:paraId="5F697BC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5、消毒后的餐具用具放于保洁橱内，关好保洁橱门。已消毒和未消毒的餐用具应分开存放，保洁柜内不得存放其它物品，防止再污染。</w:t>
      </w:r>
    </w:p>
    <w:p w14:paraId="7287140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6、做好消毒记录台帐。</w:t>
      </w:r>
    </w:p>
    <w:p w14:paraId="1B2B211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其他相关餐饮服务工作。 </w:t>
      </w:r>
    </w:p>
    <w:p w14:paraId="0EDE72D7">
      <w:pPr>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仓储要求</w:t>
      </w:r>
    </w:p>
    <w:p w14:paraId="29160C55">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食品和非食品库房应分开设置,有条件的餐厅设餐厅主食仓库、副食品仓库和杂物仓库。贮存食品的场所应保持整洁、清洁，无霉斑、鼠迹、苍蝇、蟑螂。不得存放有毒、有害物品（如：杀鼠剂、杀虫剂、洗涤剂、消毒剂等）及个人生活用品。</w:t>
      </w:r>
    </w:p>
    <w:p w14:paraId="5081F53A">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2、食品应当分类、分架存放，距离墙壁、地面均在10cm以上，并定期检查，使用应遵循先进先出的原则，变质和过期食品应及时清除。</w:t>
      </w:r>
    </w:p>
    <w:p w14:paraId="19951EC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3、入库前应进行验收，出入库时应登记。做好食品数量、质量以及进、发货登记，做到先进先出，易坏先用。</w:t>
      </w:r>
    </w:p>
    <w:p w14:paraId="7078C3A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4、定型包装食品按类别、品种上架堆放，挂牌注明食品质量及进货日期。散装易霉食品勤晒，储存容器加盖密闭。</w:t>
      </w:r>
    </w:p>
    <w:p w14:paraId="3EB2214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5、肉类、水产、蛋品等易腐食品冷藏储存。</w:t>
      </w:r>
    </w:p>
    <w:p w14:paraId="383AF37F">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6、经常检查食品质量，发现食品变质、发霉、生虫等及时处理。</w:t>
      </w:r>
    </w:p>
    <w:p w14:paraId="043DDB6D">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7、杀虫剂、杀鼠剂及其他有毒有害物品存放，均应有固定的场所（或橱柜）并上锁，包装上应有明显的警示标志,对使用人、使用目的、使用区域、使用量、配制浓度等进行复核。</w:t>
      </w:r>
    </w:p>
    <w:p w14:paraId="49D0D02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8、仓库经常开窗通风，保持干燥。</w:t>
      </w:r>
    </w:p>
    <w:p w14:paraId="228E49B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9、其他相关仓储工作。</w:t>
      </w:r>
    </w:p>
    <w:p w14:paraId="24B876AA">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环境保洁要求（餐厅和周边）</w:t>
      </w:r>
    </w:p>
    <w:p w14:paraId="09EFE41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1、及时清洗使用过的餐具，引导学员用完餐后主动将餐具送达指定的收残点。</w:t>
      </w:r>
    </w:p>
    <w:p w14:paraId="58E97E2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2、每餐结束后及时清扫，保持用餐桌椅排列整齐。餐厅内桌、椅、台、地面等清洁，无油腻感。餐厅墙角、吊顶、灯具无积尘和吊灰。</w:t>
      </w:r>
    </w:p>
    <w:p w14:paraId="186E99BF">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3、收残点或泔水缸装袋密封，每餐及时清运，不过夜。</w:t>
      </w:r>
    </w:p>
    <w:p w14:paraId="30C6BB5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4、窗户明亮，窗纱无破损。餐厅内无虫蝇、无异味、油烟。</w:t>
      </w:r>
    </w:p>
    <w:p w14:paraId="210B4AC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5、餐厅周边、洗漱池及时清理，保持干净卫生。</w:t>
      </w:r>
    </w:p>
    <w:p w14:paraId="3869154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6、定期进行除虫灭害工作，防止害虫孳生。</w:t>
      </w:r>
    </w:p>
    <w:p w14:paraId="5B9ED421">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7、其他相关保洁工作。</w:t>
      </w:r>
    </w:p>
    <w:p w14:paraId="7125EF3F">
      <w:pPr>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eastAsia="zh-CN"/>
        </w:rPr>
        <w:t>二</w:t>
      </w:r>
      <w:r>
        <w:rPr>
          <w:rFonts w:hint="eastAsia" w:ascii="宋体" w:hAnsi="宋体" w:eastAsia="宋体" w:cs="宋体"/>
          <w:b/>
          <w:bCs/>
          <w:sz w:val="24"/>
          <w:szCs w:val="24"/>
        </w:rPr>
        <w:t>）</w:t>
      </w:r>
      <w:r>
        <w:rPr>
          <w:rFonts w:hint="eastAsia" w:ascii="宋体" w:hAnsi="宋体" w:eastAsia="宋体" w:cs="宋体"/>
          <w:b/>
          <w:bCs/>
          <w:sz w:val="24"/>
          <w:szCs w:val="24"/>
          <w:lang w:eastAsia="zh-CN"/>
        </w:rPr>
        <w:t>客房服务</w:t>
      </w:r>
      <w:r>
        <w:rPr>
          <w:rFonts w:hint="eastAsia" w:ascii="宋体" w:hAnsi="宋体" w:eastAsia="宋体" w:cs="宋体"/>
          <w:b/>
          <w:bCs/>
          <w:sz w:val="24"/>
          <w:szCs w:val="24"/>
        </w:rPr>
        <w:t>（学员宿舍</w:t>
      </w:r>
      <w:r>
        <w:rPr>
          <w:rFonts w:hint="eastAsia" w:ascii="宋体" w:hAnsi="宋体" w:eastAsia="宋体" w:cs="宋体"/>
          <w:b/>
          <w:bCs/>
          <w:sz w:val="24"/>
          <w:szCs w:val="24"/>
          <w:lang w:eastAsia="zh-CN"/>
        </w:rPr>
        <w:t>及职工宿舍</w:t>
      </w:r>
      <w:r>
        <w:rPr>
          <w:rFonts w:hint="eastAsia" w:ascii="宋体" w:hAnsi="宋体" w:eastAsia="宋体" w:cs="宋体"/>
          <w:b/>
          <w:bCs/>
          <w:sz w:val="24"/>
          <w:szCs w:val="24"/>
        </w:rPr>
        <w:t>）</w:t>
      </w:r>
    </w:p>
    <w:p w14:paraId="22CF22FF">
      <w:pPr>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客房服务工作质量要求</w:t>
      </w:r>
    </w:p>
    <w:p w14:paraId="58BBEFB0">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1、建立完备的服务、清洁岗。有齐全的迎宾、送水、进房介绍、送客、做房、清洁、洗衣、代办等客房服务项目，在规定的服务时间内，始终保持有岗、有人、有服务，服务规范，程序完善。</w:t>
      </w:r>
    </w:p>
    <w:p w14:paraId="65A18DC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2、上岗的服务、清洁人员做到仪容端庄、仪表整洁，合乎员工守则要求。楼层服务员对客站立服务，礼貌接待每位客人。</w:t>
      </w:r>
    </w:p>
    <w:p w14:paraId="71D1DA7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3、掌握楼面客房状况，了解每天客人的抵离时间，做好迎送服务工作，保证客到有人迎，客走有人送，茶水有人递，情况有人介绍。</w:t>
      </w:r>
    </w:p>
    <w:p w14:paraId="46549CE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4、能回答客人的询问及对客房情况作介绍。介绍内容简练得当，符合规范。</w:t>
      </w:r>
    </w:p>
    <w:p w14:paraId="03CA43BD">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5、客房清扫整理及时，根据规范要求和实际情况，分轻重缓急顺序进行。</w:t>
      </w:r>
    </w:p>
    <w:p w14:paraId="51EC6A7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6、住有客人的房间，进房符合规范要求，对挂有“请勿打扰”牌的客房，做到按规定的处理程序进房。</w:t>
      </w:r>
    </w:p>
    <w:p w14:paraId="49D3FB4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7、为客服务，尽量满足客人的合理要求。</w:t>
      </w:r>
    </w:p>
    <w:p w14:paraId="56054D6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8、客人离店及时查房，发现客人遗留或遗弃物品，及时上交，处理符合规范要求。</w:t>
      </w:r>
    </w:p>
    <w:p w14:paraId="4A27959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9、保持客房门、铃、把手、门锁、门牌号、门窥镜、安全链的完好整洁，无尘、无污渍，干净光亮。</w:t>
      </w:r>
    </w:p>
    <w:p w14:paraId="154C3887">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10、保持房内窗、窗台、窗框的干净整洁，窗户明亮，窗帘干净完好，无破损脱钩。</w:t>
      </w:r>
    </w:p>
    <w:p w14:paraId="37B282BA">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11、保持房内墙面、天花板的整洁完好，无污渍、无浮灰、无剥落、无破损。</w:t>
      </w:r>
    </w:p>
    <w:p w14:paraId="47FC55A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12、保持地面整洁完好，无垃圾、无污渍、无破洞。</w:t>
      </w:r>
    </w:p>
    <w:p w14:paraId="5E435067">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13、保持房内各种家具的完好，沙发、凳椅、茶几、写字台、衣橱、客床、床头柜以及镜子均光洁无灰，完好有效。</w:t>
      </w:r>
    </w:p>
    <w:p w14:paraId="022C6B81">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14、保持房内各种灯具、电器清洁完好，光洁无灰，完好有效。</w:t>
      </w:r>
    </w:p>
    <w:p w14:paraId="7A364601">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15、保持房内空调出风口的干净整洁，无积灰、无霉斑。</w:t>
      </w:r>
    </w:p>
    <w:p w14:paraId="75ED2FD1">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16、保持房内各种艺术挂件挂放端正，清洁无损。</w:t>
      </w:r>
    </w:p>
    <w:p w14:paraId="55ABCE7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17、衣柜内挂衣架按规定种类和数量备足挂好，无浮灰、无破损。</w:t>
      </w:r>
    </w:p>
    <w:p w14:paraId="5CD1D04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18、各种饮具、茶叶盒、杯垫及小冰箱齐全完好，干净清洁，按规定数量摆放。客用水杯、盖杯用后消毒揩净，无水渍、无手印、无裂纹。客用电热水壶、凉水壶定期清擦，光洁无污垢。</w:t>
      </w:r>
    </w:p>
    <w:p w14:paraId="4929650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19、烟缸、火柴等烟具按规定位置及数量摆放有序，清洁完好。</w:t>
      </w:r>
    </w:p>
    <w:p w14:paraId="4514306F">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20、洗衣袋、洗衣发票、客用拖鞋及擦鞋、刷衣工具齐全，按规定数量摆放有序，清洁完好。</w:t>
      </w:r>
    </w:p>
    <w:p w14:paraId="787DB20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21、“请勿打扰”、“请速清扫”、“安全出口示意图”齐全完好，清洁无损。</w:t>
      </w:r>
    </w:p>
    <w:p w14:paraId="391BA55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22、文具夹内供应品完全，信封、信纸、服务指南、电话指南、宾客意见征求书、笔、针线包等按规定数量摆放有序，各类印刷品清洁完好，无皱痕、无涂写等渍印。</w:t>
      </w:r>
    </w:p>
    <w:p w14:paraId="06B5368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23、电话机完好有效，功能齐全，定期消毒清洁，并配有便条纸和铅笔。</w:t>
      </w:r>
    </w:p>
    <w:p w14:paraId="6CB963C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24、电视机完好有效，各频道图象清晰，配有电视节目单并定期换节目内容，及节目锁定。</w:t>
      </w:r>
    </w:p>
    <w:p w14:paraId="5F4C6325">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25、床单、枕套、床罩等布件必须干净平整，无皱纹、无污渍、无破洞、无毛发。</w:t>
      </w:r>
    </w:p>
    <w:p w14:paraId="1ACB2730">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26、床垫定期翻转定位，无松塌、凹陷现象。</w:t>
      </w:r>
    </w:p>
    <w:p w14:paraId="5D6EE6E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27、客房内有定期灭害、灭虫措施，房内无“四害”。</w:t>
      </w:r>
    </w:p>
    <w:p w14:paraId="60A1D3B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28、客房内空气清新，无异味，定期开窗通风或喷洒空气清新剂。房内温度适当。</w:t>
      </w:r>
    </w:p>
    <w:p w14:paraId="3605B213">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29、浴间干净整洁，四壁、地面、天花板完好 ，无污渍、无毛发、无积水、无剥落。</w:t>
      </w:r>
    </w:p>
    <w:p w14:paraId="04429B5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30、镜面、台面清洁光亮，无浮灰、无水渍。</w:t>
      </w:r>
    </w:p>
    <w:p w14:paraId="65FCCD5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面盆、恭桶等设备完好，干净光亮，无渍垢、无水印、无毛发、下水塞子完好齐全，水龙头洁净明亮，浴帘完好无霉斑、水渍。各种镀件包括喷淋头、拉手架、手纸托架、毛巾架、浴帘杆等齐全完好，光洁明亮。</w:t>
      </w:r>
    </w:p>
    <w:p w14:paraId="234FE617">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32、电源插座、电话机、排风扇、照明完好有效，干净清洁。</w:t>
      </w:r>
    </w:p>
    <w:p w14:paraId="71BF1D44">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33、浴室内各种毛巾齐全完好，干净清洁，无黄渍、无破洞，按规定数量摆放。</w:t>
      </w:r>
    </w:p>
    <w:p w14:paraId="7681F12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34、各类浴室供应品包括卷筒纸、擦手纸、香皂、皂缸、浴液、洗发液、浴帽、牙刷、牙膏、梳子、漱口杯、卫生袋及废纸筒等齐全完好，按规定位置和数量摆放有序。</w:t>
      </w:r>
    </w:p>
    <w:p w14:paraId="1101733F">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35、浴室内空气清新，水质清洁，温度适当，区域目的物照明明亮。</w:t>
      </w:r>
    </w:p>
    <w:p w14:paraId="4C9E6E8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36、保持楼面、走廊通道地面、墙面、天花板、灯具的干净整洁，设备完好。</w:t>
      </w:r>
    </w:p>
    <w:p w14:paraId="26977B7F">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37、保持楼层卫生间干净整洁，地面、墙面无污渍、无异味。</w:t>
      </w:r>
    </w:p>
    <w:p w14:paraId="4E5C1D12">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38、保持工作间干净整洁，各类备品、布件、工具摆放有序。工作车干净整洁，各类用具摆放整齐合理。</w:t>
      </w:r>
    </w:p>
    <w:p w14:paraId="641D62C2">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39、有定期、循环的计划清洁工作安排，每间客房</w:t>
      </w:r>
      <w:r>
        <w:rPr>
          <w:rFonts w:hint="eastAsia" w:ascii="宋体" w:hAnsi="宋体" w:eastAsia="宋体" w:cs="宋体"/>
          <w:sz w:val="24"/>
          <w:szCs w:val="24"/>
          <w:lang w:val="en-US" w:eastAsia="zh-CN"/>
        </w:rPr>
        <w:t>一</w:t>
      </w:r>
      <w:r>
        <w:rPr>
          <w:rFonts w:hint="eastAsia" w:ascii="宋体" w:hAnsi="宋体" w:eastAsia="宋体" w:cs="宋体"/>
          <w:sz w:val="24"/>
          <w:szCs w:val="24"/>
        </w:rPr>
        <w:t>月不少于两次全面大清洁。</w:t>
      </w:r>
    </w:p>
    <w:p w14:paraId="5F0F9F8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40、会客服务、加床服务、洗衣服务、叫醒服务热情主动，按规范和程序处理，工作无差错。</w:t>
      </w:r>
    </w:p>
    <w:p w14:paraId="218EAC7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41、严格控制客用供应品，实行定额管理，有严格的领用制度，手续完备，</w:t>
      </w:r>
      <w:r>
        <w:rPr>
          <w:rFonts w:hint="eastAsia" w:ascii="宋体" w:hAnsi="宋体" w:eastAsia="宋体" w:cs="宋体"/>
          <w:sz w:val="24"/>
          <w:szCs w:val="24"/>
          <w:lang w:eastAsia="zh-CN"/>
        </w:rPr>
        <w:t>账物</w:t>
      </w:r>
      <w:r>
        <w:rPr>
          <w:rFonts w:hint="eastAsia" w:ascii="宋体" w:hAnsi="宋体" w:eastAsia="宋体" w:cs="宋体"/>
          <w:sz w:val="24"/>
          <w:szCs w:val="24"/>
        </w:rPr>
        <w:t>相符。</w:t>
      </w:r>
    </w:p>
    <w:p w14:paraId="329CA9E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42、客房财产二级</w:t>
      </w:r>
      <w:r>
        <w:rPr>
          <w:rFonts w:hint="eastAsia" w:ascii="宋体" w:hAnsi="宋体" w:eastAsia="宋体" w:cs="宋体"/>
          <w:sz w:val="24"/>
          <w:szCs w:val="24"/>
          <w:lang w:val="en-US" w:eastAsia="zh-CN"/>
        </w:rPr>
        <w:t>账</w:t>
      </w:r>
      <w:r>
        <w:rPr>
          <w:rFonts w:hint="eastAsia" w:ascii="宋体" w:hAnsi="宋体" w:eastAsia="宋体" w:cs="宋体"/>
          <w:sz w:val="24"/>
          <w:szCs w:val="24"/>
        </w:rPr>
        <w:t>和三级</w:t>
      </w:r>
      <w:r>
        <w:rPr>
          <w:rFonts w:hint="eastAsia" w:ascii="宋体" w:hAnsi="宋体" w:eastAsia="宋体" w:cs="宋体"/>
          <w:sz w:val="24"/>
          <w:szCs w:val="24"/>
          <w:lang w:val="en-US" w:eastAsia="zh-CN"/>
        </w:rPr>
        <w:t>账</w:t>
      </w:r>
      <w:r>
        <w:rPr>
          <w:rFonts w:hint="eastAsia" w:ascii="宋体" w:hAnsi="宋体" w:eastAsia="宋体" w:cs="宋体"/>
          <w:sz w:val="24"/>
          <w:szCs w:val="24"/>
        </w:rPr>
        <w:t>齐全，</w:t>
      </w:r>
      <w:r>
        <w:rPr>
          <w:rFonts w:hint="eastAsia" w:ascii="宋体" w:hAnsi="宋体" w:eastAsia="宋体" w:cs="宋体"/>
          <w:sz w:val="24"/>
          <w:szCs w:val="24"/>
          <w:lang w:eastAsia="zh-CN"/>
        </w:rPr>
        <w:t>账物</w:t>
      </w:r>
      <w:r>
        <w:rPr>
          <w:rFonts w:hint="eastAsia" w:ascii="宋体" w:hAnsi="宋体" w:eastAsia="宋体" w:cs="宋体"/>
          <w:sz w:val="24"/>
          <w:szCs w:val="24"/>
        </w:rPr>
        <w:t>相符。对每项设备的更新、维修均有详细的记录。</w:t>
      </w:r>
    </w:p>
    <w:p w14:paraId="2FA9B1C8">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43、客房公共区域内设有灭火装置，并完好有效，服务人员掌握使用方法。</w:t>
      </w:r>
    </w:p>
    <w:p w14:paraId="0ABD9FB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44、按要求填写各类业务报表，及时在电脑中输入客房状态信息。</w:t>
      </w:r>
    </w:p>
    <w:p w14:paraId="5D2118C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45、客房和楼层总钥匙有专人管理，领用手续齐全，日、中、夜三班衔接时，交接班工作清楚，并有交接记录。</w:t>
      </w:r>
    </w:p>
    <w:p w14:paraId="1433B44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46、</w:t>
      </w:r>
      <w:r>
        <w:rPr>
          <w:rFonts w:hint="eastAsia" w:ascii="宋体" w:hAnsi="宋体" w:eastAsia="宋体" w:cs="宋体"/>
          <w:color w:val="000000"/>
          <w:sz w:val="24"/>
          <w:szCs w:val="24"/>
          <w:lang w:val="en-US" w:eastAsia="zh-CN"/>
        </w:rPr>
        <w:t>妥善保管学员及教职工遗失物品。</w:t>
      </w:r>
    </w:p>
    <w:p w14:paraId="1B05CAE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47、</w:t>
      </w:r>
      <w:r>
        <w:rPr>
          <w:rFonts w:hint="eastAsia" w:ascii="宋体" w:hAnsi="宋体" w:eastAsia="宋体" w:cs="宋体"/>
          <w:sz w:val="24"/>
          <w:szCs w:val="24"/>
        </w:rPr>
        <w:t>其他客房服务工作。</w:t>
      </w:r>
    </w:p>
    <w:p w14:paraId="54A2A771">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公共卫生及服务工作质量要求</w:t>
      </w:r>
    </w:p>
    <w:p w14:paraId="722BC056">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1、设立完备的大厅清洁、环境清洁、厕所清洁、公共区域清洁、养护等岗位，在规定的工作时间内，始终保持有岗、有人、有服务。</w:t>
      </w:r>
    </w:p>
    <w:p w14:paraId="7896251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2、上岗的工作人员做到仪容端庄，仪表整洁，合乎员工守则要求。见客主动问好，微笑待客，礼貌服务。</w:t>
      </w:r>
    </w:p>
    <w:p w14:paraId="7FDF811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3、定岗、定人、定时或巡回进行外围环境、庭院走道、大厅、厕所、公共区域的清洁服务工作，服务规范，程序完善。</w:t>
      </w:r>
    </w:p>
    <w:p w14:paraId="3CDF05F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4、保持庭院、走道、车道地面无烟蒂，无纸屑，无痰迹，无垃圾。</w:t>
      </w:r>
    </w:p>
    <w:p w14:paraId="6713B07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5、各类标志醒目光亮，完好无损。</w:t>
      </w:r>
    </w:p>
    <w:p w14:paraId="33191217">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6、各类标牌及装饰照明灯具干净光亮，完好无损。</w:t>
      </w:r>
    </w:p>
    <w:p w14:paraId="5923288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7、外墙、台阶、玻璃幕墙、门窗干净光亮，完好无损。</w:t>
      </w:r>
    </w:p>
    <w:p w14:paraId="2E529B0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8、环境整洁美观，无落叶、无垃圾。</w:t>
      </w:r>
    </w:p>
    <w:p w14:paraId="099CABF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9、下水道畅通，无淤积、无异味。</w:t>
      </w:r>
    </w:p>
    <w:p w14:paraId="4452980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10、做好庭院灭虫害工作，定期打药，控制</w:t>
      </w:r>
      <w:r>
        <w:rPr>
          <w:rFonts w:hint="eastAsia" w:ascii="宋体" w:hAnsi="宋体" w:eastAsia="宋体" w:cs="宋体"/>
          <w:sz w:val="24"/>
          <w:szCs w:val="24"/>
          <w:lang w:eastAsia="zh-CN"/>
        </w:rPr>
        <w:t>蚊蝇滋生</w:t>
      </w:r>
      <w:r>
        <w:rPr>
          <w:rFonts w:hint="eastAsia" w:ascii="宋体" w:hAnsi="宋体" w:eastAsia="宋体" w:cs="宋体"/>
          <w:sz w:val="24"/>
          <w:szCs w:val="24"/>
        </w:rPr>
        <w:t>。</w:t>
      </w:r>
    </w:p>
    <w:p w14:paraId="4AC824BF">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11、保持场院道路畅通，不堆积垃圾。垃圾做到日产日清，垃圾桶加盖并集中堆放，堆放点合理、卫生，四周无散积垃圾。</w:t>
      </w:r>
    </w:p>
    <w:p w14:paraId="192F757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12、保持屋顶、角落的清洁卫生，无随意抛弃的垃圾。</w:t>
      </w:r>
    </w:p>
    <w:p w14:paraId="5741F61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13、大厅地面干净光亮，有人巡回拖擦。</w:t>
      </w:r>
    </w:p>
    <w:p w14:paraId="6456A1F6">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14、大厅内沙发、凳椅、茶几、台桌等各类家具定时揩擦，干净光亮，无浮灰。</w:t>
      </w:r>
    </w:p>
    <w:p w14:paraId="3A0F84C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15、各种艺术装饰品及挂件放端正，干净整洁。</w:t>
      </w:r>
    </w:p>
    <w:p w14:paraId="6C0367E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16、墙面、天花板、立柱无污渍、无浮灰、无破损。</w:t>
      </w:r>
    </w:p>
    <w:p w14:paraId="3652851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17、各种灯具完好有效，清洁光亮。</w:t>
      </w:r>
    </w:p>
    <w:p w14:paraId="334DF9E2">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18、各类金属镀件、指示标牌清洁光亮。</w:t>
      </w:r>
    </w:p>
    <w:p w14:paraId="064F385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19、烟具清洁完好，无破损，烟缸、烟筒内烟头不超过三个。</w:t>
      </w:r>
    </w:p>
    <w:p w14:paraId="1C2872D0">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20、空调出风口完好清洁，无浮灰、无霉斑。</w:t>
      </w:r>
    </w:p>
    <w:p w14:paraId="351DE0E4">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21、大厅扶梯完好清洁，扶杆光亮，台阶干净。</w:t>
      </w:r>
    </w:p>
    <w:p w14:paraId="6E1DAEE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2</w:t>
      </w:r>
      <w:r>
        <w:rPr>
          <w:rFonts w:hint="eastAsia" w:ascii="宋体" w:hAnsi="宋体" w:eastAsia="宋体" w:cs="宋体"/>
          <w:sz w:val="24"/>
          <w:szCs w:val="24"/>
        </w:rPr>
        <w:t>、电梯梯门光洁明亮，轿厢及四壁、地面干净整洁。</w:t>
      </w:r>
    </w:p>
    <w:p w14:paraId="6A92BED6">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3</w:t>
      </w:r>
      <w:r>
        <w:rPr>
          <w:rFonts w:hint="eastAsia" w:ascii="宋体" w:hAnsi="宋体" w:eastAsia="宋体" w:cs="宋体"/>
          <w:sz w:val="24"/>
          <w:szCs w:val="24"/>
        </w:rPr>
        <w:t>、所有公共区域的川堂、通道、楼梯的地面、四壁、灯具均完好清洁。</w:t>
      </w:r>
    </w:p>
    <w:p w14:paraId="21EA6A9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4</w:t>
      </w:r>
      <w:r>
        <w:rPr>
          <w:rFonts w:hint="eastAsia" w:ascii="宋体" w:hAnsi="宋体" w:eastAsia="宋体" w:cs="宋体"/>
          <w:sz w:val="24"/>
          <w:szCs w:val="24"/>
        </w:rPr>
        <w:t>、所有公共区域的植物盆景鲜艳美观，无浮灰，盆内无枯叶、垃圾。</w:t>
      </w:r>
    </w:p>
    <w:p w14:paraId="07BDCAE0">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5</w:t>
      </w:r>
      <w:r>
        <w:rPr>
          <w:rFonts w:hint="eastAsia" w:ascii="宋体" w:hAnsi="宋体" w:eastAsia="宋体" w:cs="宋体"/>
          <w:sz w:val="24"/>
          <w:szCs w:val="24"/>
        </w:rPr>
        <w:t>、有人及时养护浇水，发现枯叶败花，及时调换，溅出的水迹及时擦净。</w:t>
      </w:r>
    </w:p>
    <w:p w14:paraId="05A39AF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6</w:t>
      </w:r>
      <w:r>
        <w:rPr>
          <w:rFonts w:hint="eastAsia" w:ascii="宋体" w:hAnsi="宋体" w:eastAsia="宋体" w:cs="宋体"/>
          <w:sz w:val="24"/>
          <w:szCs w:val="24"/>
        </w:rPr>
        <w:t>、公共厕所有专人清扫和服务，服务热情，合乎规范。</w:t>
      </w:r>
    </w:p>
    <w:p w14:paraId="3C71DEB6">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7</w:t>
      </w:r>
      <w:r>
        <w:rPr>
          <w:rFonts w:hint="eastAsia" w:ascii="宋体" w:hAnsi="宋体" w:eastAsia="宋体" w:cs="宋体"/>
          <w:sz w:val="24"/>
          <w:szCs w:val="24"/>
        </w:rPr>
        <w:t>、厕所内空气清新，无异味。</w:t>
      </w:r>
    </w:p>
    <w:p w14:paraId="51C5C82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8</w:t>
      </w:r>
      <w:r>
        <w:rPr>
          <w:rFonts w:hint="eastAsia" w:ascii="宋体" w:hAnsi="宋体" w:eastAsia="宋体" w:cs="宋体"/>
          <w:sz w:val="24"/>
          <w:szCs w:val="24"/>
        </w:rPr>
        <w:t>、厕所内门窗、墙面、地面、天花板干净整洁，完好无损。</w:t>
      </w:r>
    </w:p>
    <w:p w14:paraId="61E01C4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29</w:t>
      </w:r>
      <w:r>
        <w:rPr>
          <w:rFonts w:hint="eastAsia" w:ascii="宋体" w:hAnsi="宋体" w:eastAsia="宋体" w:cs="宋体"/>
          <w:sz w:val="24"/>
          <w:szCs w:val="24"/>
        </w:rPr>
        <w:t>、厕所内镜子、面盆台、灯具、排风机、烘手机、恭桶等各因设备完好无损，无污渍、无积灰，光洁明亮。</w:t>
      </w:r>
    </w:p>
    <w:p w14:paraId="7786B8B2">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0</w:t>
      </w:r>
      <w:r>
        <w:rPr>
          <w:rFonts w:hint="eastAsia" w:ascii="宋体" w:hAnsi="宋体" w:eastAsia="宋体" w:cs="宋体"/>
          <w:sz w:val="24"/>
          <w:szCs w:val="24"/>
        </w:rPr>
        <w:t>、厕所内各类客用品供应品齐全充足，摆放位置符合要求。</w:t>
      </w:r>
    </w:p>
    <w:p w14:paraId="055E3A2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1</w:t>
      </w:r>
      <w:r>
        <w:rPr>
          <w:rFonts w:hint="eastAsia" w:ascii="宋体" w:hAnsi="宋体" w:eastAsia="宋体" w:cs="宋体"/>
          <w:sz w:val="24"/>
          <w:szCs w:val="24"/>
        </w:rPr>
        <w:t>、按照要求和计划，进行地毯、沙发清洗，提供服务及时，洗涤符合质量要求。</w:t>
      </w:r>
    </w:p>
    <w:p w14:paraId="2EFA1008">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2</w:t>
      </w:r>
      <w:r>
        <w:rPr>
          <w:rFonts w:hint="eastAsia" w:ascii="宋体" w:hAnsi="宋体" w:eastAsia="宋体" w:cs="宋体"/>
          <w:sz w:val="24"/>
          <w:szCs w:val="24"/>
        </w:rPr>
        <w:t>、爱护使用物料，帐册齐全，帐物相符。</w:t>
      </w:r>
    </w:p>
    <w:p w14:paraId="3896A39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3</w:t>
      </w:r>
      <w:r>
        <w:rPr>
          <w:rFonts w:hint="eastAsia" w:ascii="宋体" w:hAnsi="宋体" w:eastAsia="宋体" w:cs="宋体"/>
          <w:sz w:val="24"/>
          <w:szCs w:val="24"/>
        </w:rPr>
        <w:t>、做好交接班工作，交接清楚，并有记录。</w:t>
      </w:r>
    </w:p>
    <w:p w14:paraId="241AD5D6">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w:t>
      </w:r>
      <w:r>
        <w:rPr>
          <w:rFonts w:hint="eastAsia" w:ascii="宋体" w:hAnsi="宋体" w:eastAsia="宋体" w:cs="宋体"/>
          <w:b/>
          <w:bCs/>
          <w:sz w:val="24"/>
          <w:szCs w:val="24"/>
          <w:lang w:eastAsia="zh-CN"/>
        </w:rPr>
        <w:t>三</w:t>
      </w:r>
      <w:r>
        <w:rPr>
          <w:rFonts w:hint="eastAsia" w:ascii="宋体" w:hAnsi="宋体" w:eastAsia="宋体" w:cs="宋体"/>
          <w:b/>
          <w:bCs/>
          <w:sz w:val="24"/>
          <w:szCs w:val="24"/>
        </w:rPr>
        <w:t>）环境卫生</w:t>
      </w:r>
      <w:r>
        <w:rPr>
          <w:rFonts w:hint="eastAsia" w:ascii="宋体" w:hAnsi="宋体" w:eastAsia="宋体" w:cs="宋体"/>
          <w:b/>
          <w:bCs/>
          <w:sz w:val="24"/>
          <w:szCs w:val="24"/>
          <w:lang w:eastAsia="zh-CN"/>
        </w:rPr>
        <w:t>服务</w:t>
      </w:r>
    </w:p>
    <w:p w14:paraId="5014D7B8">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楼内区域卫生标准</w:t>
      </w:r>
    </w:p>
    <w:p w14:paraId="169B290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1、各楼层公共区域卫生</w:t>
      </w:r>
    </w:p>
    <w:p w14:paraId="2972FB4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①地面：无废杂物、纸屑、无污迹、地毯平整、干净；</w:t>
      </w:r>
    </w:p>
    <w:p w14:paraId="7CC72132">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②墙面：踢脚线、消防排烟口、警铃、安全指示灯、各种标识牌表面干净，无灰尘，水迹、污迹、斑点；</w:t>
      </w:r>
    </w:p>
    <w:p w14:paraId="1647437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③垃圾桶：外表干净，无积垢、臭味；</w:t>
      </w:r>
    </w:p>
    <w:p w14:paraId="613C8FC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④玻璃窗（玻璃、窗框、窗帘、窗台）：明净、光洁、无积尘、污迹、斑点；</w:t>
      </w:r>
    </w:p>
    <w:p w14:paraId="35CC7457">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⑤各种设施外表（如接待大厅前台、灯箱、消防栓箱、楼层分布牌灯）：表面干净，无积尘、污迹、斑点。</w:t>
      </w:r>
    </w:p>
    <w:p w14:paraId="79CDF526">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2、卫生间</w:t>
      </w:r>
    </w:p>
    <w:p w14:paraId="2D336E7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①大、小便池：内外光洁、无污垢、积尘</w:t>
      </w:r>
      <w:r>
        <w:rPr>
          <w:rFonts w:hint="eastAsia" w:ascii="宋体" w:hAnsi="宋体" w:eastAsia="宋体" w:cs="宋体"/>
          <w:sz w:val="24"/>
          <w:szCs w:val="24"/>
          <w:lang w:eastAsia="zh-CN"/>
        </w:rPr>
        <w:t>，</w:t>
      </w:r>
      <w:r>
        <w:rPr>
          <w:rFonts w:hint="eastAsia" w:ascii="宋体" w:hAnsi="宋体" w:eastAsia="宋体" w:cs="宋体"/>
          <w:b/>
          <w:sz w:val="24"/>
          <w:szCs w:val="24"/>
          <w:lang w:eastAsia="zh-CN"/>
        </w:rPr>
        <w:t>冲洗设备损坏或者出现故障应尽快修换</w:t>
      </w:r>
      <w:r>
        <w:rPr>
          <w:rFonts w:hint="eastAsia" w:ascii="宋体" w:hAnsi="宋体" w:eastAsia="宋体" w:cs="宋体"/>
          <w:sz w:val="24"/>
          <w:szCs w:val="24"/>
        </w:rPr>
        <w:t>。适当地方放卫生球，喷空气清新剂；</w:t>
      </w:r>
    </w:p>
    <w:p w14:paraId="7B2F2FF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②洗手盆、镜台、镜面：内外光洁，无污垢、斑点、积水、积尘；</w:t>
      </w:r>
    </w:p>
    <w:p w14:paraId="696A8278">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③地面、墙面：光洁、无污迹，无杂物、赃物，无积水、积尘，无蜘蛛网；</w:t>
      </w:r>
    </w:p>
    <w:p w14:paraId="2F11987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④厕纸篓、垃圾篓：无沉积物、无臭味，外表干净。</w:t>
      </w:r>
    </w:p>
    <w:p w14:paraId="43C4264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⑤以上内容每季度至少消毒一次,并做相应文字记录。</w:t>
      </w:r>
    </w:p>
    <w:p w14:paraId="355F702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3、楼梯</w:t>
      </w:r>
    </w:p>
    <w:p w14:paraId="40F3596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①楼梯（所管理区域内的楼梯、防火梯、栏杆灯）：无灰尘，无杂物；</w:t>
      </w:r>
    </w:p>
    <w:p w14:paraId="7777B07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②楼梯走道、墙上各种设施（应急灯、水管、出入指示牌、凸物等）：无积尘、污迹、脏杂物。</w:t>
      </w:r>
    </w:p>
    <w:p w14:paraId="27413F7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③扶手、栏杆：光洁、无积尘，玻璃无污迹；</w:t>
      </w:r>
    </w:p>
    <w:p w14:paraId="636487B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④门（各卫生区域的门）：干净，无灰尘、污迹；</w:t>
      </w:r>
    </w:p>
    <w:p w14:paraId="3824ED2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4、办公室、会议室、教室（教学楼）</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展览馆</w:t>
      </w:r>
    </w:p>
    <w:p w14:paraId="5EB45AE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①保持室内的窗、窗台、窗框干净、整洁，无破损；</w:t>
      </w:r>
    </w:p>
    <w:p w14:paraId="15ADD64F">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②保持室内墙面、天花板整洁、完好、无污渍、无浮尘、无破损、无蛛网；</w:t>
      </w:r>
    </w:p>
    <w:p w14:paraId="68163D2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③保持地面地毯整洁、完好，无垃圾、无污渍、无破洞；</w:t>
      </w:r>
    </w:p>
    <w:p w14:paraId="3A66E9B0">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④保持室内各种家具光洁、无灰尘，放置整齐；</w:t>
      </w:r>
    </w:p>
    <w:p w14:paraId="0BD8E48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⑤保持室内各种灯具整洁、完好、无破损；</w:t>
      </w:r>
    </w:p>
    <w:p w14:paraId="2C1FC2E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⑥保持室内空调出风口干净、整洁，无积灰、无霉斑；</w:t>
      </w:r>
    </w:p>
    <w:p w14:paraId="211310A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⑦室内各种艺术装饰挂件挂放端正、清洁无损；</w:t>
      </w:r>
    </w:p>
    <w:p w14:paraId="60FECC9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⑧定时开窗通风或喷洒空气清新剂，保持室内的空气清新；</w:t>
      </w:r>
    </w:p>
    <w:p w14:paraId="60A5C38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sz w:val="24"/>
          <w:szCs w:val="24"/>
          <w:lang w:val="en-US" w:eastAsia="zh-CN"/>
        </w:rPr>
        <w:t>⑨</w:t>
      </w:r>
      <w:r>
        <w:rPr>
          <w:rFonts w:hint="eastAsia" w:ascii="宋体" w:hAnsi="宋体" w:eastAsia="宋体" w:cs="宋体"/>
          <w:sz w:val="24"/>
          <w:szCs w:val="24"/>
        </w:rPr>
        <w:t>保持吸烟室内烟缸光洁、烟头数量不超过6个（循环保洁周期2小时）。</w:t>
      </w:r>
    </w:p>
    <w:p w14:paraId="79FE146F">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color w:val="FF0000"/>
          <w:sz w:val="24"/>
          <w:szCs w:val="24"/>
          <w:lang w:val="en-US" w:eastAsia="zh-CN"/>
        </w:rPr>
      </w:pPr>
      <w:r>
        <w:rPr>
          <w:rFonts w:hint="eastAsia" w:ascii="宋体" w:hAnsi="宋体" w:eastAsia="宋体" w:cs="宋体"/>
          <w:b/>
          <w:bCs/>
          <w:sz w:val="24"/>
          <w:szCs w:val="24"/>
        </w:rPr>
        <w:t>楼外区域卫生标准</w:t>
      </w:r>
    </w:p>
    <w:p w14:paraId="4D4748C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1、地面、道路、健体场地及其它已硬化区域：整齐、干净，无垃圾、沙土、纸屑、油迹等，无脏物，无积水（指脏、臭水）、青苔、杂草；</w:t>
      </w:r>
    </w:p>
    <w:p w14:paraId="56009E3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2、学院大门前：学院大门400米院墙外沿线执行政府门前“三包”规定，做到无垃圾、纸屑，禁止院外人员栽种任何植物；</w:t>
      </w:r>
    </w:p>
    <w:p w14:paraId="1AE7EFB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3、大楼外墙：保持干净、明亮；</w:t>
      </w:r>
    </w:p>
    <w:p w14:paraId="587B9CB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sz w:val="24"/>
          <w:szCs w:val="24"/>
        </w:rPr>
        <w:t>4、停车场：保持地面无垃圾、纸屑，</w:t>
      </w:r>
      <w:r>
        <w:rPr>
          <w:rFonts w:hint="eastAsia" w:ascii="宋体" w:hAnsi="宋体" w:eastAsia="宋体" w:cs="宋体"/>
          <w:color w:val="000000"/>
          <w:sz w:val="24"/>
          <w:szCs w:val="24"/>
        </w:rPr>
        <w:t>无积水</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无杂草</w:t>
      </w:r>
      <w:r>
        <w:rPr>
          <w:rFonts w:hint="eastAsia" w:ascii="宋体" w:hAnsi="宋体" w:eastAsia="宋体" w:cs="宋体"/>
          <w:color w:val="000000"/>
          <w:sz w:val="24"/>
          <w:szCs w:val="24"/>
        </w:rPr>
        <w:t>；</w:t>
      </w:r>
    </w:p>
    <w:p w14:paraId="41B25CF2">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5、垃圾箱：垃圾箱无异味散播，无蚊蝇孳生；</w:t>
      </w:r>
    </w:p>
    <w:p w14:paraId="490AEC4F">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eastAsia="zh-CN"/>
        </w:rPr>
        <w:t>四</w:t>
      </w:r>
      <w:r>
        <w:rPr>
          <w:rFonts w:hint="eastAsia" w:ascii="宋体" w:hAnsi="宋体" w:eastAsia="宋体" w:cs="宋体"/>
          <w:b/>
          <w:bCs/>
          <w:sz w:val="24"/>
          <w:szCs w:val="24"/>
        </w:rPr>
        <w:t>）教学会务</w:t>
      </w:r>
    </w:p>
    <w:p w14:paraId="761433B5">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工作内容</w:t>
      </w:r>
    </w:p>
    <w:p w14:paraId="340AEEF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1、协助采购人做好会议活动策划。</w:t>
      </w:r>
    </w:p>
    <w:p w14:paraId="61B8705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2、负责安排工作人员对会议室进行布置，保障会议室整洁舒适。</w:t>
      </w:r>
    </w:p>
    <w:p w14:paraId="2A461E3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3、负责在会议期间进行巡查，传递会议中的相关变更信息，及时处理突发事件，确保会议顺利进行。</w:t>
      </w:r>
    </w:p>
    <w:p w14:paraId="707D98B4">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4、根据会议要求制作会标、会议导视牌、横幅、摆放相关会议用品及现场服务。</w:t>
      </w:r>
    </w:p>
    <w:p w14:paraId="6A50CAF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5</w:t>
      </w:r>
      <w:r>
        <w:rPr>
          <w:rFonts w:hint="eastAsia" w:ascii="宋体" w:hAnsi="宋体" w:eastAsia="宋体" w:cs="宋体"/>
          <w:sz w:val="24"/>
          <w:szCs w:val="24"/>
        </w:rPr>
        <w:t>、预留接待任务需要的客房、餐厅、会议室。</w:t>
      </w:r>
    </w:p>
    <w:p w14:paraId="3B463CC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、各类会务的接待服务和协调。</w:t>
      </w:r>
    </w:p>
    <w:p w14:paraId="3AD41EC0">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7</w:t>
      </w:r>
      <w:r>
        <w:rPr>
          <w:rFonts w:hint="eastAsia" w:ascii="宋体" w:hAnsi="宋体" w:eastAsia="宋体" w:cs="宋体"/>
          <w:sz w:val="24"/>
          <w:szCs w:val="24"/>
        </w:rPr>
        <w:t>、会议</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多媒体音像等</w:t>
      </w:r>
      <w:r>
        <w:rPr>
          <w:rFonts w:hint="eastAsia" w:ascii="宋体" w:hAnsi="宋体" w:eastAsia="宋体" w:cs="宋体"/>
          <w:sz w:val="24"/>
          <w:szCs w:val="24"/>
        </w:rPr>
        <w:t>设备的维修、调试。</w:t>
      </w:r>
    </w:p>
    <w:p w14:paraId="27CACE4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8</w:t>
      </w:r>
      <w:r>
        <w:rPr>
          <w:rFonts w:hint="eastAsia" w:ascii="宋体" w:hAnsi="宋体" w:eastAsia="宋体" w:cs="宋体"/>
          <w:sz w:val="24"/>
          <w:szCs w:val="24"/>
        </w:rPr>
        <w:t>、坚持有利公务、简化礼仪、务实节俭、杜绝浪费的接待工作原则。</w:t>
      </w:r>
    </w:p>
    <w:p w14:paraId="16D80414">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9</w:t>
      </w:r>
      <w:r>
        <w:rPr>
          <w:rFonts w:hint="eastAsia" w:ascii="宋体" w:hAnsi="宋体" w:eastAsia="宋体" w:cs="宋体"/>
          <w:sz w:val="24"/>
          <w:szCs w:val="24"/>
        </w:rPr>
        <w:t>、掌握信息，充分了解客人基本情况。</w:t>
      </w:r>
    </w:p>
    <w:p w14:paraId="7CD7BA28">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10</w:t>
      </w:r>
      <w:r>
        <w:rPr>
          <w:rFonts w:hint="eastAsia" w:ascii="宋体" w:hAnsi="宋体" w:eastAsia="宋体" w:cs="宋体"/>
          <w:sz w:val="24"/>
          <w:szCs w:val="24"/>
        </w:rPr>
        <w:t>、根据客人活动时间和领导要求拟订接待方案。</w:t>
      </w:r>
    </w:p>
    <w:p w14:paraId="3FD95A0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11</w:t>
      </w:r>
      <w:r>
        <w:rPr>
          <w:rFonts w:hint="eastAsia" w:ascii="宋体" w:hAnsi="宋体" w:eastAsia="宋体" w:cs="宋体"/>
          <w:sz w:val="24"/>
          <w:szCs w:val="24"/>
        </w:rPr>
        <w:t>、重要接待任务，协助学院制定接待方案及接待手册。</w:t>
      </w:r>
    </w:p>
    <w:p w14:paraId="1621A1A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12</w:t>
      </w:r>
      <w:r>
        <w:rPr>
          <w:rFonts w:hint="eastAsia" w:ascii="宋体" w:hAnsi="宋体" w:eastAsia="宋体" w:cs="宋体"/>
          <w:sz w:val="24"/>
          <w:szCs w:val="24"/>
        </w:rPr>
        <w:t>、接待方案确定后，及时与相关部门联系，安排落实工作任务。</w:t>
      </w:r>
    </w:p>
    <w:p w14:paraId="3FEF5D2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13</w:t>
      </w:r>
      <w:r>
        <w:rPr>
          <w:rFonts w:hint="eastAsia" w:ascii="宋体" w:hAnsi="宋体" w:eastAsia="宋体" w:cs="宋体"/>
          <w:sz w:val="24"/>
          <w:szCs w:val="24"/>
        </w:rPr>
        <w:t>、通知有关领导和部门迎接时间、地点、方式，组织好迎接活动。</w:t>
      </w:r>
    </w:p>
    <w:p w14:paraId="41964F2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4</w:t>
      </w:r>
      <w:r>
        <w:rPr>
          <w:rFonts w:hint="eastAsia" w:ascii="宋体" w:hAnsi="宋体" w:eastAsia="宋体" w:cs="宋体"/>
          <w:sz w:val="24"/>
          <w:szCs w:val="24"/>
        </w:rPr>
        <w:t>、按照接待方案分工，做好客人在院活动期间食宿行安排和有关服务工作。</w:t>
      </w:r>
    </w:p>
    <w:p w14:paraId="6D6689EF">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5</w:t>
      </w:r>
      <w:r>
        <w:rPr>
          <w:rFonts w:hint="eastAsia" w:ascii="宋体" w:hAnsi="宋体" w:eastAsia="宋体" w:cs="宋体"/>
          <w:sz w:val="24"/>
          <w:szCs w:val="24"/>
        </w:rPr>
        <w:t>、通知有关领导和部门送行时间、地点、方式，组织好送行活动。</w:t>
      </w:r>
    </w:p>
    <w:p w14:paraId="6C5E6364">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16</w:t>
      </w:r>
      <w:r>
        <w:rPr>
          <w:rFonts w:hint="eastAsia" w:ascii="宋体" w:hAnsi="宋体" w:eastAsia="宋体" w:cs="宋体"/>
          <w:sz w:val="24"/>
          <w:szCs w:val="24"/>
        </w:rPr>
        <w:t>、完成采购人交办的其他工作。</w:t>
      </w:r>
    </w:p>
    <w:p w14:paraId="1AB4CB7A">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工作要求</w:t>
      </w:r>
    </w:p>
    <w:p w14:paraId="49677BD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1、会前会场布置、会标悬挂、茶水准备、桌椅摆放整齐。</w:t>
      </w:r>
    </w:p>
    <w:p w14:paraId="07156EC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2、会前工作人员协助客服部进行灯光、视听、音响、话筒等设备的调试。</w:t>
      </w:r>
    </w:p>
    <w:p w14:paraId="59F447B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3、协助办会单位对会议用品的搬运、移位和布置。</w:t>
      </w:r>
    </w:p>
    <w:p w14:paraId="3888EDC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4、随时观察与会人员对茶水的需求，原则上15分钟添加一次，根据季节变化，灵活掌握。与会服务时，控制会场吸烟室内烟头数量不超过6个，及时清理。</w:t>
      </w:r>
    </w:p>
    <w:p w14:paraId="0794D1A4">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5、其他相关会务工作。</w:t>
      </w:r>
    </w:p>
    <w:p w14:paraId="6D54E2E4">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sz w:val="24"/>
          <w:szCs w:val="24"/>
          <w:lang w:eastAsia="zh-CN"/>
        </w:rPr>
      </w:pPr>
      <w:r>
        <w:rPr>
          <w:rFonts w:hint="eastAsia" w:ascii="宋体" w:hAnsi="宋体" w:eastAsia="宋体" w:cs="宋体"/>
          <w:b/>
          <w:bCs/>
          <w:sz w:val="24"/>
          <w:szCs w:val="24"/>
        </w:rPr>
        <w:t>（</w:t>
      </w:r>
      <w:r>
        <w:rPr>
          <w:rFonts w:hint="eastAsia" w:ascii="宋体" w:hAnsi="宋体" w:eastAsia="宋体" w:cs="宋体"/>
          <w:b/>
          <w:bCs/>
          <w:sz w:val="24"/>
          <w:szCs w:val="24"/>
          <w:lang w:eastAsia="zh-CN"/>
        </w:rPr>
        <w:t>五</w:t>
      </w:r>
      <w:r>
        <w:rPr>
          <w:rFonts w:hint="eastAsia" w:ascii="宋体" w:hAnsi="宋体" w:eastAsia="宋体" w:cs="宋体"/>
          <w:b/>
          <w:bCs/>
          <w:sz w:val="24"/>
          <w:szCs w:val="24"/>
        </w:rPr>
        <w:t>）文体</w:t>
      </w:r>
      <w:r>
        <w:rPr>
          <w:rFonts w:hint="eastAsia" w:ascii="宋体" w:hAnsi="宋体" w:eastAsia="宋体" w:cs="宋体"/>
          <w:b/>
          <w:bCs/>
          <w:sz w:val="24"/>
          <w:szCs w:val="24"/>
          <w:lang w:eastAsia="zh-CN"/>
        </w:rPr>
        <w:t>服务</w:t>
      </w:r>
    </w:p>
    <w:p w14:paraId="5AA583C1">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工作内容</w:t>
      </w:r>
    </w:p>
    <w:p w14:paraId="2D3BD458">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1、负责做好文体的全面管理。</w:t>
      </w:r>
    </w:p>
    <w:p w14:paraId="4E06BA9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2、负责安排工作人员对各健身区域进行布置，保持整洁舒适。</w:t>
      </w:r>
    </w:p>
    <w:p w14:paraId="0F38D0F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3、负责在开放期间进行巡查，及时处理突发事件，确保安全服务。</w:t>
      </w:r>
    </w:p>
    <w:p w14:paraId="33A9406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4、根据要求制作相关健身标识、警示及现场服务。</w:t>
      </w:r>
    </w:p>
    <w:p w14:paraId="105A94F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5、各类人员的接待服务和协调。</w:t>
      </w:r>
    </w:p>
    <w:p w14:paraId="2732A5CF">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室内外</w:t>
      </w:r>
      <w:r>
        <w:rPr>
          <w:rFonts w:hint="eastAsia" w:ascii="宋体" w:hAnsi="宋体" w:eastAsia="宋体" w:cs="宋体"/>
          <w:sz w:val="24"/>
          <w:szCs w:val="24"/>
        </w:rPr>
        <w:t>健身设备的</w:t>
      </w:r>
      <w:r>
        <w:rPr>
          <w:rFonts w:hint="eastAsia" w:ascii="宋体" w:hAnsi="宋体" w:eastAsia="宋体" w:cs="宋体"/>
          <w:sz w:val="24"/>
          <w:szCs w:val="24"/>
          <w:lang w:val="en-US" w:eastAsia="zh-CN"/>
        </w:rPr>
        <w:t>常态化</w:t>
      </w:r>
      <w:r>
        <w:rPr>
          <w:rFonts w:hint="eastAsia" w:ascii="宋体" w:hAnsi="宋体" w:eastAsia="宋体" w:cs="宋体"/>
          <w:sz w:val="24"/>
          <w:szCs w:val="24"/>
        </w:rPr>
        <w:t>维修、调试。</w:t>
      </w:r>
    </w:p>
    <w:p w14:paraId="318694B2">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7、完成采购人交办的其他工作。</w:t>
      </w:r>
    </w:p>
    <w:p w14:paraId="69D389F4">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工作要求</w:t>
      </w:r>
    </w:p>
    <w:p w14:paraId="55A8887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1、场所布置、茶水准备、桌椅摆放整齐并热情问候接待。</w:t>
      </w:r>
    </w:p>
    <w:p w14:paraId="66B70A56">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2、安全提示，提醒宾客保管贵重物品。</w:t>
      </w:r>
    </w:p>
    <w:p w14:paraId="26BB848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3、健身用品或器材的搬运、移位和布置。健身器械保养良好、方便操作，并配注意事项，必要时向宾客讲解器械操作指南。</w:t>
      </w:r>
    </w:p>
    <w:p w14:paraId="195B7590">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4、照明、音像设施运行正常，照明充足、音质良好。</w:t>
      </w:r>
    </w:p>
    <w:p w14:paraId="6FE574E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5、随时观察健身人员的需求，根据季节变化，灵活掌握服务内容（包括主动询问需求）。保持中心内良好的环境卫生，发现垃圾及时清理。</w:t>
      </w:r>
    </w:p>
    <w:p w14:paraId="419F0FAF">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6、其他文体相关工作。</w:t>
      </w:r>
    </w:p>
    <w:p w14:paraId="11D2C8B9">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（六）</w:t>
      </w:r>
      <w:r>
        <w:rPr>
          <w:rFonts w:hint="eastAsia" w:ascii="宋体" w:hAnsi="宋体" w:eastAsia="宋体" w:cs="宋体"/>
          <w:b/>
          <w:bCs/>
          <w:sz w:val="24"/>
          <w:szCs w:val="24"/>
          <w:lang w:val="en-US" w:eastAsia="zh-CN"/>
        </w:rPr>
        <w:t>场馆</w:t>
      </w:r>
      <w:r>
        <w:rPr>
          <w:rFonts w:hint="eastAsia" w:ascii="宋体" w:hAnsi="宋体" w:eastAsia="宋体" w:cs="宋体"/>
          <w:b/>
          <w:bCs/>
          <w:sz w:val="24"/>
          <w:szCs w:val="24"/>
          <w:lang w:eastAsia="zh-CN"/>
        </w:rPr>
        <w:t>服务</w:t>
      </w:r>
    </w:p>
    <w:p w14:paraId="7B823B68">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工作内容</w:t>
      </w:r>
    </w:p>
    <w:p w14:paraId="3577C3E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1.负责做好</w:t>
      </w:r>
      <w:r>
        <w:rPr>
          <w:rFonts w:hint="eastAsia" w:ascii="宋体" w:hAnsi="宋体" w:eastAsia="宋体" w:cs="宋体"/>
          <w:sz w:val="24"/>
          <w:szCs w:val="24"/>
          <w:lang w:val="en-US" w:eastAsia="zh-CN"/>
        </w:rPr>
        <w:t>展览馆、</w:t>
      </w:r>
      <w:r>
        <w:rPr>
          <w:rFonts w:hint="eastAsia" w:ascii="宋体" w:hAnsi="宋体" w:eastAsia="宋体" w:cs="宋体"/>
          <w:sz w:val="24"/>
          <w:szCs w:val="24"/>
          <w:lang w:eastAsia="zh-CN"/>
        </w:rPr>
        <w:t>图书馆、资料馆的全面管理工作。</w:t>
      </w:r>
    </w:p>
    <w:p w14:paraId="3769526F">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2.负责安排工作人员对</w:t>
      </w:r>
      <w:r>
        <w:rPr>
          <w:rFonts w:hint="eastAsia" w:ascii="宋体" w:hAnsi="宋体" w:eastAsia="宋体" w:cs="宋体"/>
          <w:sz w:val="24"/>
          <w:szCs w:val="24"/>
          <w:lang w:val="en-US" w:eastAsia="zh-CN"/>
        </w:rPr>
        <w:t>展览馆、</w:t>
      </w:r>
      <w:r>
        <w:rPr>
          <w:rFonts w:hint="eastAsia" w:ascii="宋体" w:hAnsi="宋体" w:eastAsia="宋体" w:cs="宋体"/>
          <w:sz w:val="24"/>
          <w:szCs w:val="24"/>
          <w:lang w:eastAsia="zh-CN"/>
        </w:rPr>
        <w:t>图书馆、资料馆进行定期打扫。</w:t>
      </w:r>
    </w:p>
    <w:p w14:paraId="08EEADC4">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3.安排图书管理员负责书籍租借、登记、整理工作。</w:t>
      </w:r>
    </w:p>
    <w:p w14:paraId="4C0256D4">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4.负责</w:t>
      </w:r>
      <w:r>
        <w:rPr>
          <w:rFonts w:hint="eastAsia" w:ascii="宋体" w:hAnsi="宋体" w:eastAsia="宋体" w:cs="宋体"/>
          <w:sz w:val="24"/>
          <w:szCs w:val="24"/>
          <w:lang w:val="en-US" w:eastAsia="zh-CN"/>
        </w:rPr>
        <w:t>展览馆、</w:t>
      </w:r>
      <w:r>
        <w:rPr>
          <w:rFonts w:hint="eastAsia" w:ascii="宋体" w:hAnsi="宋体" w:eastAsia="宋体" w:cs="宋体"/>
          <w:sz w:val="24"/>
          <w:szCs w:val="24"/>
          <w:lang w:eastAsia="zh-CN"/>
        </w:rPr>
        <w:t>图书馆、资料馆、朗读亭、有声读物</w:t>
      </w:r>
      <w:r>
        <w:rPr>
          <w:rFonts w:hint="eastAsia" w:ascii="宋体" w:hAnsi="宋体" w:eastAsia="宋体" w:cs="宋体"/>
          <w:sz w:val="24"/>
          <w:szCs w:val="24"/>
          <w:lang w:val="en-US" w:eastAsia="zh-CN"/>
        </w:rPr>
        <w:t>等</w:t>
      </w:r>
      <w:r>
        <w:rPr>
          <w:rFonts w:hint="eastAsia" w:ascii="宋体" w:hAnsi="宋体" w:eastAsia="宋体" w:cs="宋体"/>
          <w:sz w:val="24"/>
          <w:szCs w:val="24"/>
          <w:lang w:eastAsia="zh-CN"/>
        </w:rPr>
        <w:t>设备的常态化维护。</w:t>
      </w:r>
    </w:p>
    <w:p w14:paraId="37A6AA6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b/>
          <w:bCs/>
          <w:sz w:val="24"/>
          <w:szCs w:val="24"/>
          <w:lang w:eastAsia="zh-CN"/>
        </w:rPr>
      </w:pPr>
      <w:r>
        <w:rPr>
          <w:rFonts w:hint="eastAsia" w:ascii="宋体" w:hAnsi="宋体" w:eastAsia="宋体" w:cs="宋体"/>
          <w:sz w:val="24"/>
          <w:szCs w:val="24"/>
          <w:lang w:eastAsia="zh-CN"/>
        </w:rPr>
        <w:t>5.其他相关工作。</w:t>
      </w:r>
    </w:p>
    <w:p w14:paraId="0268825E">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工作要求</w:t>
      </w:r>
    </w:p>
    <w:p w14:paraId="51AFAA5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1.保证</w:t>
      </w:r>
      <w:r>
        <w:rPr>
          <w:rFonts w:hint="eastAsia" w:ascii="宋体" w:hAnsi="宋体" w:eastAsia="宋体" w:cs="宋体"/>
          <w:sz w:val="24"/>
          <w:szCs w:val="24"/>
          <w:lang w:val="en-US" w:eastAsia="zh-CN"/>
        </w:rPr>
        <w:t>展览馆、</w:t>
      </w:r>
      <w:r>
        <w:rPr>
          <w:rFonts w:hint="eastAsia" w:ascii="宋体" w:hAnsi="宋体" w:eastAsia="宋体" w:cs="宋体"/>
          <w:sz w:val="24"/>
          <w:szCs w:val="24"/>
          <w:lang w:eastAsia="zh-CN"/>
        </w:rPr>
        <w:t>图书馆、资料馆干净整洁，书籍资料不受潮、不发霉。</w:t>
      </w:r>
    </w:p>
    <w:p w14:paraId="4E63AF68">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2.及时督促租借书籍人员按时归还图书。</w:t>
      </w:r>
    </w:p>
    <w:p w14:paraId="4771251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3.对书籍、资料进行归纳整理。</w:t>
      </w:r>
    </w:p>
    <w:p w14:paraId="0EE6EB22">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4.熟练操作图书管理系统、</w:t>
      </w:r>
      <w:r>
        <w:rPr>
          <w:rFonts w:hint="eastAsia" w:ascii="宋体" w:hAnsi="宋体" w:eastAsia="宋体" w:cs="宋体"/>
          <w:sz w:val="24"/>
          <w:szCs w:val="24"/>
          <w:lang w:val="en-US" w:eastAsia="zh-CN"/>
        </w:rPr>
        <w:t>展览馆内相关设备等</w:t>
      </w:r>
      <w:r>
        <w:rPr>
          <w:rFonts w:hint="eastAsia" w:ascii="宋体" w:hAnsi="宋体" w:eastAsia="宋体" w:cs="宋体"/>
          <w:sz w:val="24"/>
          <w:szCs w:val="24"/>
          <w:lang w:eastAsia="zh-CN"/>
        </w:rPr>
        <w:t>。</w:t>
      </w:r>
    </w:p>
    <w:p w14:paraId="6FA7FD6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5.确保</w:t>
      </w:r>
      <w:r>
        <w:rPr>
          <w:rFonts w:hint="eastAsia" w:ascii="宋体" w:hAnsi="宋体" w:eastAsia="宋体" w:cs="宋体"/>
          <w:sz w:val="24"/>
          <w:szCs w:val="24"/>
          <w:lang w:val="en-US" w:eastAsia="zh-CN"/>
        </w:rPr>
        <w:t>展览馆、</w:t>
      </w:r>
      <w:r>
        <w:rPr>
          <w:rFonts w:hint="eastAsia" w:ascii="宋体" w:hAnsi="宋体" w:eastAsia="宋体" w:cs="宋体"/>
          <w:sz w:val="24"/>
          <w:szCs w:val="24"/>
          <w:lang w:eastAsia="zh-CN"/>
        </w:rPr>
        <w:t>图书馆、资料馆</w:t>
      </w:r>
      <w:r>
        <w:rPr>
          <w:rFonts w:hint="eastAsia" w:ascii="宋体" w:hAnsi="宋体" w:eastAsia="宋体" w:cs="宋体"/>
          <w:sz w:val="24"/>
          <w:szCs w:val="24"/>
          <w:lang w:val="en-US" w:eastAsia="zh-CN"/>
        </w:rPr>
        <w:t>内</w:t>
      </w:r>
      <w:r>
        <w:rPr>
          <w:rFonts w:hint="eastAsia" w:ascii="宋体" w:hAnsi="宋体" w:eastAsia="宋体" w:cs="宋体"/>
          <w:sz w:val="24"/>
          <w:szCs w:val="24"/>
          <w:lang w:eastAsia="zh-CN"/>
        </w:rPr>
        <w:t>照明、音像、</w:t>
      </w:r>
      <w:r>
        <w:rPr>
          <w:rFonts w:hint="eastAsia" w:ascii="宋体" w:hAnsi="宋体" w:eastAsia="宋体" w:cs="宋体"/>
          <w:sz w:val="24"/>
          <w:szCs w:val="24"/>
          <w:lang w:val="en-US" w:eastAsia="zh-CN"/>
        </w:rPr>
        <w:t>多媒体、网络等设备等</w:t>
      </w:r>
      <w:r>
        <w:rPr>
          <w:rFonts w:hint="eastAsia" w:ascii="宋体" w:hAnsi="宋体" w:eastAsia="宋体" w:cs="宋体"/>
          <w:sz w:val="24"/>
          <w:szCs w:val="24"/>
          <w:lang w:eastAsia="zh-CN"/>
        </w:rPr>
        <w:t>正常运行，发现问题及时报修。</w:t>
      </w:r>
    </w:p>
    <w:p w14:paraId="4EB3EA45">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七</w:t>
      </w:r>
      <w:r>
        <w:rPr>
          <w:rFonts w:hint="eastAsia" w:ascii="宋体" w:hAnsi="宋体" w:eastAsia="宋体" w:cs="宋体"/>
          <w:b/>
          <w:bCs/>
          <w:sz w:val="24"/>
          <w:szCs w:val="24"/>
          <w:lang w:eastAsia="zh-CN"/>
        </w:rPr>
        <w:t>）人力资源服务</w:t>
      </w:r>
    </w:p>
    <w:p w14:paraId="600A4382">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1、中标人委派的管理人员应要求服务人员工作时间要统一着装，衣帽整洁，佩带统一的工号牌，遵守采购人各项内部规章制度。</w:t>
      </w:r>
    </w:p>
    <w:p w14:paraId="0E0BF9B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2、中标人委派的管理人员负责服务人员的培训教育和业务素质的提高，以达到采购人的要求，并且合理安排服务人员的再培训。</w:t>
      </w:r>
    </w:p>
    <w:p w14:paraId="7AC93126">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3、中标人委派的管理人员应严格要求服务人员，做好各种防护措施，不得擅自挪用采购人的物品。</w:t>
      </w:r>
    </w:p>
    <w:p w14:paraId="35030F56">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4、中标人承担服务人员人身、财产的保管保险义务和责任。</w:t>
      </w:r>
    </w:p>
    <w:p w14:paraId="731A607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5、若中标人委派的管理人员在服务期间更换</w:t>
      </w:r>
      <w:r>
        <w:rPr>
          <w:rFonts w:hint="eastAsia" w:ascii="宋体" w:hAnsi="宋体" w:eastAsia="宋体" w:cs="宋体"/>
          <w:sz w:val="24"/>
          <w:szCs w:val="24"/>
          <w:lang w:eastAsia="zh-CN"/>
        </w:rPr>
        <w:t>的</w:t>
      </w:r>
      <w:r>
        <w:rPr>
          <w:rFonts w:hint="eastAsia" w:ascii="宋体" w:hAnsi="宋体" w:eastAsia="宋体" w:cs="宋体"/>
          <w:sz w:val="24"/>
          <w:szCs w:val="24"/>
        </w:rPr>
        <w:t>，须向采购人申报，在得到采购人同意时方可更换。</w:t>
      </w:r>
    </w:p>
    <w:p w14:paraId="7C5B6C3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6、采购人对中标人委派的管理人员在岗状况负责监督检查，发现问题中标人应及时整改，直至达到采购人要求。</w:t>
      </w:r>
    </w:p>
    <w:p w14:paraId="0B324667">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7</w:t>
      </w:r>
      <w:r>
        <w:rPr>
          <w:rFonts w:hint="eastAsia" w:ascii="宋体" w:hAnsi="宋体" w:eastAsia="宋体" w:cs="宋体"/>
          <w:sz w:val="24"/>
          <w:szCs w:val="24"/>
        </w:rPr>
        <w:t>、学院内作业使用的垃圾袋、拖把、扫把、洗衣粉、抹布、撮箕、胶手套等物品及劳保用品由采购人提供，由管理方列出采购清单，采购人核定按需购买。</w:t>
      </w:r>
    </w:p>
    <w:p w14:paraId="54AE91B2">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8</w:t>
      </w:r>
      <w:r>
        <w:rPr>
          <w:rFonts w:hint="eastAsia" w:ascii="宋体" w:hAnsi="宋体" w:eastAsia="宋体" w:cs="宋体"/>
          <w:sz w:val="24"/>
          <w:szCs w:val="24"/>
        </w:rPr>
        <w:t>、如因中标人委派的管理人员的失误对采购人造成损失，中标人应对损失作出赔偿。</w:t>
      </w:r>
    </w:p>
    <w:p w14:paraId="0887463B">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color w:val="FF0000"/>
          <w:sz w:val="24"/>
          <w:szCs w:val="24"/>
          <w:lang w:eastAsia="zh-CN"/>
        </w:rPr>
      </w:pPr>
      <w:r>
        <w:rPr>
          <w:rFonts w:hint="eastAsia" w:ascii="宋体" w:hAnsi="宋体" w:eastAsia="宋体" w:cs="宋体"/>
          <w:b/>
          <w:bCs/>
          <w:sz w:val="24"/>
          <w:szCs w:val="24"/>
        </w:rPr>
        <w:t>（</w:t>
      </w:r>
      <w:r>
        <w:rPr>
          <w:rFonts w:hint="eastAsia" w:ascii="宋体" w:hAnsi="宋体" w:eastAsia="宋体" w:cs="宋体"/>
          <w:b/>
          <w:bCs/>
          <w:sz w:val="24"/>
          <w:szCs w:val="24"/>
          <w:lang w:val="en-US" w:eastAsia="zh-CN"/>
        </w:rPr>
        <w:t>八</w:t>
      </w:r>
      <w:r>
        <w:rPr>
          <w:rFonts w:hint="eastAsia" w:ascii="宋体" w:hAnsi="宋体" w:eastAsia="宋体" w:cs="宋体"/>
          <w:b/>
          <w:bCs/>
          <w:sz w:val="24"/>
          <w:szCs w:val="24"/>
        </w:rPr>
        <w:t>）建筑物、设备的运行及维护管理</w:t>
      </w:r>
    </w:p>
    <w:p w14:paraId="7CDCC04F">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建筑物室内、外维护工作</w:t>
      </w:r>
      <w:r>
        <w:rPr>
          <w:rFonts w:hint="eastAsia" w:ascii="宋体" w:hAnsi="宋体" w:eastAsia="宋体" w:cs="宋体"/>
          <w:b/>
          <w:bCs/>
          <w:sz w:val="24"/>
          <w:szCs w:val="24"/>
          <w:lang w:val="en-US" w:eastAsia="zh-CN"/>
        </w:rPr>
        <w:t>内容</w:t>
      </w:r>
      <w:r>
        <w:rPr>
          <w:rFonts w:hint="eastAsia" w:ascii="宋体" w:hAnsi="宋体" w:eastAsia="宋体" w:cs="宋体"/>
          <w:sz w:val="24"/>
          <w:szCs w:val="24"/>
        </w:rPr>
        <w:t>（涉及到高空作业的部分由采购人负责）。</w:t>
      </w:r>
    </w:p>
    <w:p w14:paraId="0CA68D4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1、面砖、地砖、瓷砖损坏的更换，小面积的木质地板修理，木质门窗和铝合金窗的修理。负责对外联系，修配和更换及开启各种门锁。</w:t>
      </w:r>
    </w:p>
    <w:p w14:paraId="3901679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2、消防设施修理，电表箱、电话箱、总水闸的修理。</w:t>
      </w:r>
    </w:p>
    <w:p w14:paraId="0839A10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3、局部墙面松动有剥落现象时应及时铲除，并重新修补粉刷。</w:t>
      </w:r>
    </w:p>
    <w:p w14:paraId="2A1FE16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4、屋面局部有渗漏现象应立即找出原因，并及时针对损坏情况采取防水材料嵌补。</w:t>
      </w:r>
    </w:p>
    <w:p w14:paraId="5087966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5、负责大楼公共设施的维修、整改，门锁的更换。</w:t>
      </w:r>
    </w:p>
    <w:p w14:paraId="65782AD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6、其他修理服务。</w:t>
      </w:r>
    </w:p>
    <w:p w14:paraId="3EE23A5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sz w:val="24"/>
          <w:szCs w:val="24"/>
        </w:rPr>
        <w:t>7、上述维修、更换的物品、配件由采购人负责。</w:t>
      </w:r>
    </w:p>
    <w:p w14:paraId="454A3AAC">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强电弱电及相关设施、设备、电机电器的维护管理。其范围包括：发电机组、高压设施及线路、低压设施及线路的维保</w:t>
      </w:r>
      <w:r>
        <w:rPr>
          <w:rFonts w:hint="eastAsia" w:ascii="宋体" w:hAnsi="宋体" w:eastAsia="宋体" w:cs="宋体"/>
          <w:b/>
          <w:bCs/>
          <w:sz w:val="24"/>
          <w:szCs w:val="24"/>
          <w:lang w:val="en-US" w:eastAsia="zh-CN"/>
        </w:rPr>
        <w:t>等、网络设备、云电脑设备、多媒体设备、监控设备、物联网系统、校园广播的维保等。</w:t>
      </w:r>
    </w:p>
    <w:p w14:paraId="50E4B410">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工作内容</w:t>
      </w:r>
    </w:p>
    <w:p w14:paraId="7EDA658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1、强、弱电维护配备专业人员，并具有相应的资质。</w:t>
      </w:r>
    </w:p>
    <w:p w14:paraId="4B628EF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2、高、低压电室有强电维保人员24小时值班。</w:t>
      </w:r>
    </w:p>
    <w:p w14:paraId="6487142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3、负责供电中心及各种设备的保养及设备检修。</w:t>
      </w:r>
    </w:p>
    <w:p w14:paraId="512C616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4、收到电力部门的停电通知时，应立即报告，并书面通知采购人，并做好应急工作。</w:t>
      </w:r>
    </w:p>
    <w:p w14:paraId="44AF30E1">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工作要求</w:t>
      </w:r>
    </w:p>
    <w:p w14:paraId="49DF69B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1、保持供电中心及控制室的环境卫生。</w:t>
      </w:r>
    </w:p>
    <w:p w14:paraId="0C0582C0">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2、对供电中心及控制室进行防火安全检查。</w:t>
      </w:r>
    </w:p>
    <w:p w14:paraId="0CEEA5A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3、每月对发电机组试运行一次。</w:t>
      </w:r>
    </w:p>
    <w:p w14:paraId="6E28153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4、每班按规定将设备运行参数记录在供配电系统运行记录上；</w:t>
      </w:r>
    </w:p>
    <w:p w14:paraId="02356F0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5、按责任范围巡查责任设备。</w:t>
      </w:r>
    </w:p>
    <w:p w14:paraId="47F91FA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6、巡查湿式报警阀门的设备。</w:t>
      </w:r>
    </w:p>
    <w:p w14:paraId="553008F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7、巡查安防监控中心设备。</w:t>
      </w:r>
    </w:p>
    <w:p w14:paraId="3E4018C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8、巡查信息化机房、各个弱电间的设备。</w:t>
      </w:r>
    </w:p>
    <w:p w14:paraId="21034DFE">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工作标准</w:t>
      </w:r>
    </w:p>
    <w:p w14:paraId="4B78465C">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1、每班每二小时巡查一次高、低压电室。</w:t>
      </w:r>
    </w:p>
    <w:p w14:paraId="43972977">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2、每班每二小时巡查一次变压器及控制室。</w:t>
      </w:r>
    </w:p>
    <w:p w14:paraId="1693ED48">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3、每月一次巡视检查每层配电室并进行设备保养、维修。</w:t>
      </w:r>
    </w:p>
    <w:p w14:paraId="027CDE6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4、每天巡查信息化机房、各个弱电间的设备。</w:t>
      </w:r>
    </w:p>
    <w:p w14:paraId="4257601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、每班按时启、停外围、立面亮化灯饰、路灯。</w:t>
      </w:r>
    </w:p>
    <w:p w14:paraId="73CF85D1">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水务保障。其范围包括：4眼水井</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丹江水供水系统；饮水机设施维护管理；</w:t>
      </w:r>
      <w:r>
        <w:rPr>
          <w:rFonts w:hint="eastAsia" w:ascii="宋体" w:hAnsi="宋体" w:eastAsia="宋体" w:cs="宋体"/>
          <w:b/>
          <w:bCs/>
          <w:sz w:val="24"/>
          <w:szCs w:val="24"/>
        </w:rPr>
        <w:t>热水、开水供应；二次增压设备、水泵及其它设施维护管理、水池清洗；</w:t>
      </w:r>
      <w:r>
        <w:rPr>
          <w:rFonts w:hint="eastAsia" w:ascii="宋体" w:hAnsi="宋体" w:eastAsia="宋体" w:cs="宋体"/>
          <w:b/>
          <w:bCs/>
          <w:color w:val="auto"/>
          <w:sz w:val="24"/>
          <w:szCs w:val="24"/>
          <w:lang w:val="en-US" w:eastAsia="zh-CN"/>
        </w:rPr>
        <w:t>雨、污</w:t>
      </w:r>
      <w:r>
        <w:rPr>
          <w:rFonts w:hint="eastAsia" w:ascii="宋体" w:hAnsi="宋体" w:eastAsia="宋体" w:cs="宋体"/>
          <w:b/>
          <w:bCs/>
          <w:color w:val="auto"/>
          <w:sz w:val="24"/>
          <w:szCs w:val="24"/>
        </w:rPr>
        <w:t>水</w:t>
      </w:r>
      <w:r>
        <w:rPr>
          <w:rFonts w:hint="eastAsia" w:ascii="宋体" w:hAnsi="宋体" w:eastAsia="宋体" w:cs="宋体"/>
          <w:b/>
          <w:bCs/>
          <w:sz w:val="24"/>
          <w:szCs w:val="24"/>
        </w:rPr>
        <w:t>管网维护及疏捞等。</w:t>
      </w:r>
    </w:p>
    <w:p w14:paraId="7E078399">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工作内容</w:t>
      </w:r>
    </w:p>
    <w:p w14:paraId="6790CCA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1、对给、排水设备的维修及保养。</w:t>
      </w:r>
    </w:p>
    <w:p w14:paraId="3A07CF28">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2、对水池及水箱的清洗与保养。</w:t>
      </w:r>
    </w:p>
    <w:p w14:paraId="5C0D72B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3、每月对污水管网检查一次，</w:t>
      </w:r>
      <w:r>
        <w:rPr>
          <w:rFonts w:hint="eastAsia" w:ascii="宋体" w:hAnsi="宋体" w:eastAsia="宋体" w:cs="宋体"/>
          <w:color w:val="auto"/>
          <w:sz w:val="24"/>
          <w:szCs w:val="24"/>
        </w:rPr>
        <w:t>疏捞</w:t>
      </w:r>
      <w:r>
        <w:rPr>
          <w:rFonts w:hint="eastAsia" w:ascii="宋体" w:hAnsi="宋体" w:eastAsia="宋体" w:cs="宋体"/>
          <w:color w:val="auto"/>
          <w:sz w:val="24"/>
          <w:szCs w:val="24"/>
          <w:lang w:val="en-US" w:eastAsia="zh-CN"/>
        </w:rPr>
        <w:t>易堵塞杂物。</w:t>
      </w:r>
    </w:p>
    <w:p w14:paraId="2C5A79FE">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4.汛期前对雨水管网进行检查疏通。</w:t>
      </w:r>
    </w:p>
    <w:p w14:paraId="696DFD9A">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工作要求</w:t>
      </w:r>
    </w:p>
    <w:p w14:paraId="1712D88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1、给排水设备的故障应于5小时内修复，如无法解决应立即通知采购人。</w:t>
      </w:r>
    </w:p>
    <w:p w14:paraId="4250A9AA">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2、对各种水阀失灵及水阀渗水和损坏，应及时维修。</w:t>
      </w:r>
    </w:p>
    <w:p w14:paraId="576067C7">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3、对上、下水道的堵塞不畅应及时疏通。</w:t>
      </w:r>
    </w:p>
    <w:p w14:paraId="24AABADF">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4、保持水泵房清洁卫生，每年清洗蓄水池一次。</w:t>
      </w:r>
    </w:p>
    <w:p w14:paraId="1CA44422">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锅炉保障服务</w:t>
      </w:r>
    </w:p>
    <w:p w14:paraId="778D8E96">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工作内容：</w:t>
      </w:r>
      <w:r>
        <w:rPr>
          <w:rFonts w:hint="eastAsia" w:ascii="宋体" w:hAnsi="宋体" w:eastAsia="宋体" w:cs="宋体"/>
          <w:sz w:val="24"/>
          <w:szCs w:val="24"/>
        </w:rPr>
        <w:t>保证24小时正常运作。</w:t>
      </w:r>
    </w:p>
    <w:p w14:paraId="372EF3FE">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工作要求</w:t>
      </w:r>
    </w:p>
    <w:p w14:paraId="33B8C96F">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1、按要求及时供热水。</w:t>
      </w:r>
    </w:p>
    <w:p w14:paraId="50D3CB3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2、对设备进行维护、保养、年检。</w:t>
      </w:r>
    </w:p>
    <w:p w14:paraId="61374F4B">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3、常规8小时巡检一次。</w:t>
      </w:r>
    </w:p>
    <w:p w14:paraId="495683F8">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default" w:ascii="宋体" w:hAnsi="宋体" w:eastAsia="宋体" w:cs="宋体"/>
          <w:color w:val="FF0000"/>
          <w:sz w:val="24"/>
          <w:szCs w:val="24"/>
          <w:lang w:val="en-US" w:eastAsia="zh-CN"/>
        </w:rPr>
      </w:pPr>
      <w:r>
        <w:rPr>
          <w:rFonts w:hint="eastAsia" w:ascii="宋体" w:hAnsi="宋体" w:eastAsia="宋体" w:cs="宋体"/>
          <w:color w:val="auto"/>
          <w:sz w:val="24"/>
          <w:szCs w:val="24"/>
          <w:lang w:val="en-US" w:eastAsia="zh-CN"/>
        </w:rPr>
        <w:t>4.常态化监控锅炉燃油余量，及时向采购方报告燃油采购需求。</w:t>
      </w:r>
    </w:p>
    <w:p w14:paraId="65161838">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空调系统</w:t>
      </w:r>
    </w:p>
    <w:p w14:paraId="73EBB5D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1、空调系统开启时段，每班1-2人，每小时一次对中央空调进行巡查。</w:t>
      </w:r>
    </w:p>
    <w:p w14:paraId="17D15BF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2、当班工作人员在开机和关机时，必须严格按操作规程，开启或关闭相关的阀门和主机。</w:t>
      </w:r>
    </w:p>
    <w:p w14:paraId="228BBF3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3、当班工作人员要对空调各方面的运行情况定时进行检查，并按规定做好运行记录和交接班记录。</w:t>
      </w:r>
    </w:p>
    <w:p w14:paraId="3B8A1BC1">
      <w:pPr>
        <w:keepNext w:val="0"/>
        <w:keepLines w:val="0"/>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（九）其他</w:t>
      </w:r>
    </w:p>
    <w:p w14:paraId="6447CF4D">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_GB2312" w:eastAsia="仿宋_GB2312"/>
          <w:color w:val="000000"/>
          <w:sz w:val="28"/>
          <w:szCs w:val="28"/>
        </w:rPr>
      </w:pPr>
      <w:r>
        <w:rPr>
          <w:rFonts w:hint="eastAsia" w:ascii="宋体" w:hAnsi="宋体" w:eastAsia="宋体" w:cs="宋体"/>
          <w:color w:val="000000"/>
          <w:sz w:val="24"/>
          <w:szCs w:val="24"/>
        </w:rPr>
        <w:t>负责学院内其他建筑物、信息设备、污水处理中心、综合管沟等的运行及维护管理。</w:t>
      </w:r>
    </w:p>
    <w:p w14:paraId="29076EA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p>
    <w:p w14:paraId="533E0D9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default" w:asciiTheme="minorEastAsia" w:hAnsiTheme="minorEastAsia" w:eastAsiaTheme="minorEastAsia" w:cstheme="minorEastAsia"/>
          <w:b/>
          <w:bCs/>
          <w:spacing w:val="-1"/>
          <w:sz w:val="24"/>
          <w:szCs w:val="24"/>
          <w:lang w:val="en-US"/>
        </w:rPr>
      </w:pP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lang w:val="en-US" w:eastAsia="zh-CN"/>
        </w:rPr>
        <w:t>十</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lang w:val="en-US" w:eastAsia="zh-CN"/>
        </w:rPr>
        <w:t>服务人员要求</w:t>
      </w:r>
    </w:p>
    <w:p w14:paraId="7764D5B1">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中标人委派的管理人员应结合学院后勤实际情况提出定岗、定员、定责、定薪方案，经学院审核批准同意后，再确定配备相关岗位工作人员。在保证学院按规定要求正常运行前提下，基于“降低成本、节约开支”的原则，提倡后勤采用社会招聘和临时用工相结合的合理高效用人机制。</w:t>
      </w:r>
    </w:p>
    <w:p w14:paraId="7CE40F1C">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2、人员配备原则：应注重政治素质、业务素质及思想道德品质方面的要求。工作人员须着统一制服上岗。</w:t>
      </w:r>
    </w:p>
    <w:p w14:paraId="1E1151E0">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3、客房服务方面：年龄在35岁以下的女性，形象气质佳，身体健康，无传染性或潜在传染性疾病，持有有效的《服务行业从业人员健康证》，无违法犯罪记录史。</w:t>
      </w:r>
    </w:p>
    <w:p w14:paraId="069B50E8">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4、餐厅服务方面：厨师团队高级职称不低于3人，</w:t>
      </w:r>
      <w:r>
        <w:rPr>
          <w:rFonts w:hint="eastAsia" w:asciiTheme="minorEastAsia" w:hAnsiTheme="minorEastAsia" w:eastAsiaTheme="minorEastAsia" w:cstheme="minorEastAsia"/>
          <w:color w:val="auto"/>
          <w:spacing w:val="-1"/>
          <w:sz w:val="24"/>
          <w:szCs w:val="24"/>
          <w:lang w:val="en-US" w:eastAsia="zh-CN"/>
        </w:rPr>
        <w:t>人员配备需含厨师长、二厨、三厨，</w:t>
      </w:r>
      <w:r>
        <w:rPr>
          <w:rFonts w:hint="eastAsia" w:asciiTheme="minorEastAsia" w:hAnsiTheme="minorEastAsia" w:eastAsiaTheme="minorEastAsia" w:cstheme="minorEastAsia"/>
          <w:spacing w:val="-1"/>
          <w:sz w:val="24"/>
          <w:szCs w:val="24"/>
        </w:rPr>
        <w:t>前厅服务员为年龄在45岁以下的女性，仪表端庄，身体健康，无传染性或潜在传染性疾病，持有有效的《服务行业从业人员健康证》，无违法犯罪记录史。</w:t>
      </w:r>
    </w:p>
    <w:p w14:paraId="509F0FEE">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5、会务服务方面：年龄在35岁以下的女性，形象气质佳，身高160cm以上，身体健康，无传染性或潜在传染性疾病，持有有效的《服务行业从业人员健康证》，无违法犯罪记录史。</w:t>
      </w:r>
    </w:p>
    <w:p w14:paraId="0D796BBB">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6、工程人员方面：持相关专业上岗资格证，其中持有电工证不少于3人，网络运维人员须具备相关专业技能，IT行业相关资格认证不少于1人，</w:t>
      </w:r>
      <w:r>
        <w:rPr>
          <w:rFonts w:hint="eastAsia" w:asciiTheme="minorEastAsia" w:hAnsiTheme="minorEastAsia" w:eastAsiaTheme="minorEastAsia" w:cstheme="minorEastAsia"/>
          <w:color w:val="auto"/>
          <w:spacing w:val="-1"/>
          <w:sz w:val="24"/>
          <w:szCs w:val="24"/>
          <w:lang w:val="en-US" w:eastAsia="zh-CN"/>
        </w:rPr>
        <w:t>舞美灯光师不少于1人，</w:t>
      </w:r>
      <w:r>
        <w:rPr>
          <w:rFonts w:hint="eastAsia" w:asciiTheme="minorEastAsia" w:hAnsiTheme="minorEastAsia" w:eastAsiaTheme="minorEastAsia" w:cstheme="minorEastAsia"/>
          <w:spacing w:val="-1"/>
          <w:sz w:val="24"/>
          <w:szCs w:val="24"/>
        </w:rPr>
        <w:t>年龄在50岁以下，身体健康，专业技能过硬、业务素质高。配电运行人员必须持高压进网证；无违法犯罪记录史。</w:t>
      </w:r>
    </w:p>
    <w:p w14:paraId="0826A042">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7、保洁人员方面：年龄在50岁以下，身体健康，无传染性或潜在传染性疾病，持有有效的《服务行业从业人员健康证》，无违法犯罪记录史。</w:t>
      </w:r>
    </w:p>
    <w:p w14:paraId="74F5464F">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8、维保人员须具有《中华人民共和国特种作业操作证》，操作项目为：制冷维修、音响、安装、电工等。</w:t>
      </w:r>
    </w:p>
    <w:p w14:paraId="05EED616">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9、行政管理人员素质要求及工作职责（后附厨师长职责）</w:t>
      </w:r>
    </w:p>
    <w:tbl>
      <w:tblPr>
        <w:tblStyle w:val="18"/>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3550"/>
        <w:gridCol w:w="4027"/>
      </w:tblGrid>
      <w:tr w14:paraId="25B0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3" w:type="dxa"/>
            <w:noWrap w:val="0"/>
            <w:vAlign w:val="top"/>
          </w:tcPr>
          <w:p w14:paraId="536FDD1F">
            <w:pPr>
              <w:keepNext w:val="0"/>
              <w:keepLines w:val="0"/>
              <w:pageBreakBefore w:val="0"/>
              <w:widowControl w:val="0"/>
              <w:kinsoku/>
              <w:wordWrap/>
              <w:overflowPunct/>
              <w:topLinePunct w:val="0"/>
              <w:autoSpaceDE/>
              <w:autoSpaceDN/>
              <w:bidi w:val="0"/>
              <w:spacing w:before="100" w:beforeAutospacing="1" w:after="100" w:afterAutospacing="1"/>
              <w:jc w:val="center"/>
              <w:textAlignment w:val="auto"/>
              <w:rPr>
                <w:rFonts w:hint="eastAsia" w:ascii="宋体" w:hAnsi="宋体" w:eastAsia="宋体" w:cs="宋体"/>
                <w:b/>
              </w:rPr>
            </w:pPr>
            <w:r>
              <w:rPr>
                <w:rFonts w:hint="eastAsia" w:ascii="宋体" w:hAnsi="宋体" w:eastAsia="宋体" w:cs="宋体"/>
                <w:b/>
              </w:rPr>
              <w:t>岗位设置</w:t>
            </w:r>
          </w:p>
        </w:tc>
        <w:tc>
          <w:tcPr>
            <w:tcW w:w="3550" w:type="dxa"/>
            <w:noWrap w:val="0"/>
            <w:vAlign w:val="top"/>
          </w:tcPr>
          <w:p w14:paraId="727B3593">
            <w:pPr>
              <w:keepNext w:val="0"/>
              <w:keepLines w:val="0"/>
              <w:pageBreakBefore w:val="0"/>
              <w:widowControl w:val="0"/>
              <w:kinsoku/>
              <w:wordWrap/>
              <w:overflowPunct/>
              <w:topLinePunct w:val="0"/>
              <w:autoSpaceDE/>
              <w:autoSpaceDN/>
              <w:bidi w:val="0"/>
              <w:spacing w:before="100" w:beforeAutospacing="1" w:after="100" w:afterAutospacing="1"/>
              <w:jc w:val="center"/>
              <w:textAlignment w:val="auto"/>
              <w:rPr>
                <w:rFonts w:hint="eastAsia" w:ascii="宋体" w:hAnsi="宋体" w:eastAsia="宋体" w:cs="宋体"/>
                <w:b/>
              </w:rPr>
            </w:pPr>
            <w:r>
              <w:rPr>
                <w:rFonts w:hint="eastAsia" w:ascii="宋体" w:hAnsi="宋体" w:eastAsia="宋体" w:cs="宋体"/>
                <w:b/>
              </w:rPr>
              <w:t>素质要求</w:t>
            </w:r>
          </w:p>
        </w:tc>
        <w:tc>
          <w:tcPr>
            <w:tcW w:w="4027" w:type="dxa"/>
            <w:noWrap w:val="0"/>
            <w:vAlign w:val="top"/>
          </w:tcPr>
          <w:p w14:paraId="615B2B20">
            <w:pPr>
              <w:keepNext w:val="0"/>
              <w:keepLines w:val="0"/>
              <w:pageBreakBefore w:val="0"/>
              <w:widowControl w:val="0"/>
              <w:kinsoku/>
              <w:wordWrap/>
              <w:overflowPunct/>
              <w:topLinePunct w:val="0"/>
              <w:autoSpaceDE/>
              <w:autoSpaceDN/>
              <w:bidi w:val="0"/>
              <w:spacing w:before="100" w:beforeAutospacing="1" w:after="100" w:afterAutospacing="1"/>
              <w:jc w:val="center"/>
              <w:textAlignment w:val="auto"/>
              <w:rPr>
                <w:rFonts w:hint="eastAsia" w:ascii="宋体" w:hAnsi="宋体" w:eastAsia="宋体" w:cs="宋体"/>
                <w:b/>
              </w:rPr>
            </w:pPr>
            <w:r>
              <w:rPr>
                <w:rFonts w:hint="eastAsia" w:ascii="宋体" w:hAnsi="宋体" w:eastAsia="宋体" w:cs="宋体"/>
                <w:b/>
              </w:rPr>
              <w:t>工作职责</w:t>
            </w:r>
          </w:p>
        </w:tc>
      </w:tr>
      <w:tr w14:paraId="7238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3" w:type="dxa"/>
            <w:noWrap w:val="0"/>
            <w:vAlign w:val="top"/>
          </w:tcPr>
          <w:p w14:paraId="05943DFD">
            <w:pPr>
              <w:keepNext w:val="0"/>
              <w:keepLines w:val="0"/>
              <w:pageBreakBefore w:val="0"/>
              <w:widowControl w:val="0"/>
              <w:kinsoku/>
              <w:wordWrap/>
              <w:overflowPunct/>
              <w:topLinePunct w:val="0"/>
              <w:autoSpaceDE/>
              <w:autoSpaceDN/>
              <w:bidi w:val="0"/>
              <w:spacing w:before="100" w:beforeAutospacing="1" w:after="100" w:afterAutospacing="1"/>
              <w:jc w:val="center"/>
              <w:textAlignment w:val="auto"/>
              <w:rPr>
                <w:rFonts w:hint="eastAsia" w:ascii="宋体" w:hAnsi="宋体" w:eastAsia="宋体" w:cs="宋体"/>
              </w:rPr>
            </w:pPr>
            <w:r>
              <w:rPr>
                <w:rFonts w:hint="eastAsia" w:ascii="宋体" w:hAnsi="宋体" w:eastAsia="宋体" w:cs="宋体"/>
              </w:rPr>
              <w:t>执行总经理</w:t>
            </w:r>
          </w:p>
        </w:tc>
        <w:tc>
          <w:tcPr>
            <w:tcW w:w="3550" w:type="dxa"/>
            <w:noWrap w:val="0"/>
            <w:vAlign w:val="top"/>
          </w:tcPr>
          <w:p w14:paraId="57AF0276">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1、基本素质：有较高的政治素养和强烈的事业心、责任感，精通业务，经验丰富。作风正派、秉公办事，以高度的自信心和自己的行动带动全体员工。</w:t>
            </w:r>
          </w:p>
          <w:p w14:paraId="172DC1F5">
            <w:pPr>
              <w:keepNext w:val="0"/>
              <w:keepLines w:val="0"/>
              <w:pageBreakBefore w:val="0"/>
              <w:widowControl w:val="0"/>
              <w:kinsoku/>
              <w:wordWrap/>
              <w:overflowPunct/>
              <w:topLinePunct w:val="0"/>
              <w:autoSpaceDE/>
              <w:autoSpaceDN/>
              <w:bidi w:val="0"/>
              <w:spacing w:before="100" w:beforeAutospacing="1" w:after="100" w:afterAutospacing="1"/>
              <w:ind w:left="-130"/>
              <w:textAlignment w:val="auto"/>
              <w:rPr>
                <w:rFonts w:hint="eastAsia" w:ascii="宋体" w:hAnsi="宋体" w:eastAsia="宋体" w:cs="宋体"/>
              </w:rPr>
            </w:pPr>
            <w:r>
              <w:rPr>
                <w:rFonts w:hint="eastAsia" w:ascii="宋体" w:hAnsi="宋体" w:eastAsia="宋体" w:cs="宋体"/>
              </w:rPr>
              <w:t>2、自然条件：身体健康，仪表端庄大方，气质高雅，年龄30</w:t>
            </w:r>
            <w:r>
              <w:rPr>
                <w:rFonts w:hint="eastAsia" w:ascii="宋体" w:hAnsi="宋体" w:eastAsia="宋体" w:cs="宋体"/>
                <w:lang w:eastAsia="zh-CN"/>
              </w:rPr>
              <w:t>岁-60岁</w:t>
            </w:r>
            <w:r>
              <w:rPr>
                <w:rFonts w:hint="eastAsia" w:ascii="宋体" w:hAnsi="宋体" w:eastAsia="宋体" w:cs="宋体"/>
              </w:rPr>
              <w:t>。女性身高160cm以上,男性身高170cm以上。</w:t>
            </w:r>
          </w:p>
          <w:p w14:paraId="633A12A8">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3、文化程度：具有</w:t>
            </w:r>
            <w:r>
              <w:rPr>
                <w:rFonts w:hint="eastAsia" w:ascii="宋体" w:hAnsi="宋体" w:eastAsia="宋体" w:cs="宋体"/>
                <w:lang w:eastAsia="zh-CN"/>
              </w:rPr>
              <w:t>大专</w:t>
            </w:r>
            <w:r>
              <w:rPr>
                <w:rFonts w:hint="eastAsia" w:ascii="宋体" w:hAnsi="宋体" w:eastAsia="宋体" w:cs="宋体"/>
              </w:rPr>
              <w:t>以上的管理类专业学历或同等学力。掌握酒店或类似物业综合管理方面的系统知识。</w:t>
            </w:r>
          </w:p>
          <w:p w14:paraId="2F0A8C8B">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4、持有注册物业师或国家旅游局颁发的总经理岗位考核合格证书或高级经营师证书或高级经济师职称。</w:t>
            </w:r>
          </w:p>
          <w:p w14:paraId="24D05ACB">
            <w:pPr>
              <w:keepNext w:val="0"/>
              <w:keepLines w:val="0"/>
              <w:pageBreakBefore w:val="0"/>
              <w:widowControl w:val="0"/>
              <w:kinsoku/>
              <w:wordWrap/>
              <w:overflowPunct/>
              <w:topLinePunct w:val="0"/>
              <w:autoSpaceDE/>
              <w:autoSpaceDN/>
              <w:bidi w:val="0"/>
              <w:textAlignment w:val="auto"/>
              <w:rPr>
                <w:rFonts w:hint="eastAsia" w:ascii="宋体" w:hAnsi="宋体" w:eastAsia="宋体" w:cs="宋体"/>
                <w:highlight w:val="none"/>
                <w:lang w:eastAsia="zh-CN"/>
              </w:rPr>
            </w:pPr>
            <w:r>
              <w:rPr>
                <w:rFonts w:hint="eastAsia" w:ascii="宋体" w:hAnsi="宋体" w:eastAsia="宋体" w:cs="宋体"/>
                <w:highlight w:val="none"/>
              </w:rPr>
              <w:t>5、工作经验：具有物业管理十年以上或酒店副总经理三年以上工作经历</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提供劳动合同、聘书、社保证明、人事档案等证明材料</w:t>
            </w:r>
            <w:r>
              <w:rPr>
                <w:rFonts w:hint="eastAsia" w:ascii="宋体" w:hAnsi="宋体" w:eastAsia="宋体" w:cs="宋体"/>
                <w:highlight w:val="none"/>
                <w:lang w:eastAsia="zh-CN"/>
              </w:rPr>
              <w:t>）。</w:t>
            </w:r>
          </w:p>
          <w:p w14:paraId="757BB997">
            <w:pPr>
              <w:keepNext w:val="0"/>
              <w:keepLines w:val="0"/>
              <w:pageBreakBefore w:val="0"/>
              <w:widowControl w:val="0"/>
              <w:kinsoku/>
              <w:wordWrap/>
              <w:overflowPunct/>
              <w:topLinePunct w:val="0"/>
              <w:autoSpaceDE/>
              <w:autoSpaceDN/>
              <w:bidi w:val="0"/>
              <w:textAlignment w:val="auto"/>
              <w:rPr>
                <w:rFonts w:hint="eastAsia" w:ascii="宋体" w:hAnsi="宋体" w:eastAsia="宋体" w:cs="宋体"/>
                <w:lang w:eastAsia="zh-CN"/>
              </w:rPr>
            </w:pPr>
            <w:r>
              <w:rPr>
                <w:rFonts w:hint="eastAsia" w:ascii="宋体" w:hAnsi="宋体" w:eastAsia="宋体" w:cs="宋体"/>
              </w:rPr>
              <w:t>6、特殊要求：具有较好的语言表达能力、协调能力和沟通能力。具有较强的领导才能，能充分调动各级管理人员和全体员工的工作主动性、积极性</w:t>
            </w:r>
            <w:r>
              <w:rPr>
                <w:rFonts w:hint="eastAsia" w:ascii="宋体" w:hAnsi="宋体" w:eastAsia="宋体" w:cs="宋体"/>
                <w:lang w:eastAsia="zh-CN"/>
              </w:rPr>
              <w:t>。</w:t>
            </w:r>
          </w:p>
        </w:tc>
        <w:tc>
          <w:tcPr>
            <w:tcW w:w="4027" w:type="dxa"/>
            <w:noWrap w:val="0"/>
            <w:vAlign w:val="top"/>
          </w:tcPr>
          <w:p w14:paraId="2D7F9105">
            <w:pPr>
              <w:keepNext w:val="0"/>
              <w:keepLines w:val="0"/>
              <w:pageBreakBefore w:val="0"/>
              <w:widowControl w:val="0"/>
              <w:numPr>
                <w:ilvl w:val="0"/>
                <w:numId w:val="1"/>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结合实际制定学院后勤相关部门的一系列规章制度和服务操作规程，规定各级管理人员和员工的职责，并监督贯彻执行。</w:t>
            </w:r>
          </w:p>
          <w:p w14:paraId="3617B1C6">
            <w:pPr>
              <w:keepNext w:val="0"/>
              <w:keepLines w:val="0"/>
              <w:pageBreakBefore w:val="0"/>
              <w:widowControl w:val="0"/>
              <w:numPr>
                <w:ilvl w:val="0"/>
                <w:numId w:val="1"/>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传达学院领导的有关指示、文件、通知，协调各部门之间的关系，使学院后勤有一个高效率的工作系统。</w:t>
            </w:r>
          </w:p>
          <w:p w14:paraId="758055FA">
            <w:pPr>
              <w:keepNext w:val="0"/>
              <w:keepLines w:val="0"/>
              <w:pageBreakBefore w:val="0"/>
              <w:widowControl w:val="0"/>
              <w:numPr>
                <w:ilvl w:val="0"/>
                <w:numId w:val="1"/>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领导后勤的日常事务工作，对属下每个工作人员的工作范围、职责分工明确， 并做好思想工作。</w:t>
            </w:r>
          </w:p>
          <w:p w14:paraId="56D8E752">
            <w:pPr>
              <w:keepNext w:val="0"/>
              <w:keepLines w:val="0"/>
              <w:pageBreakBefore w:val="0"/>
              <w:widowControl w:val="0"/>
              <w:numPr>
                <w:ilvl w:val="0"/>
                <w:numId w:val="1"/>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根据学院的总体安排，全面统筹，合理安排，保证教学需要，健全后勤财务帐目管理。</w:t>
            </w:r>
          </w:p>
          <w:p w14:paraId="216AD033">
            <w:pPr>
              <w:keepNext w:val="0"/>
              <w:keepLines w:val="0"/>
              <w:pageBreakBefore w:val="0"/>
              <w:widowControl w:val="0"/>
              <w:numPr>
                <w:ilvl w:val="0"/>
                <w:numId w:val="1"/>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安排好全院的用餐、饮水工作和办公、学习所需的各种设备设施。</w:t>
            </w:r>
          </w:p>
          <w:p w14:paraId="0CC4EB8B">
            <w:pPr>
              <w:keepNext w:val="0"/>
              <w:keepLines w:val="0"/>
              <w:pageBreakBefore w:val="0"/>
              <w:widowControl w:val="0"/>
              <w:numPr>
                <w:ilvl w:val="0"/>
                <w:numId w:val="1"/>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全面管理学院的物业维修、场地设备保修，搞好学院环境卫生，并做好学院的美化、净化工作。 </w:t>
            </w:r>
          </w:p>
          <w:p w14:paraId="127913AA">
            <w:pPr>
              <w:keepNext w:val="0"/>
              <w:keepLines w:val="0"/>
              <w:pageBreakBefore w:val="0"/>
              <w:widowControl w:val="0"/>
              <w:numPr>
                <w:ilvl w:val="0"/>
                <w:numId w:val="1"/>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有重点的定期巡视公共场所及各部门工作情况，检查服务质量，并将巡视结果传达至有关部门。</w:t>
            </w:r>
          </w:p>
          <w:p w14:paraId="7607E8F6">
            <w:pPr>
              <w:keepNext w:val="0"/>
              <w:keepLines w:val="0"/>
              <w:pageBreakBefore w:val="0"/>
              <w:widowControl w:val="0"/>
              <w:numPr>
                <w:ilvl w:val="0"/>
                <w:numId w:val="1"/>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树立学院良好形象，代表学院领导或陪同学院领导接待重要贵宾。</w:t>
            </w:r>
          </w:p>
          <w:p w14:paraId="643DD4DF">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9、指导训导工作，培养人才，提高整个学院后勤的服务质量和员工素质。</w:t>
            </w:r>
          </w:p>
          <w:p w14:paraId="37FCF598">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10、以身作则，关心员工，奖罚分明，使学院后勤有高度的凝聚力，并要求员工以高度的热情和责任去完成好本职工作。</w:t>
            </w:r>
          </w:p>
        </w:tc>
      </w:tr>
      <w:tr w14:paraId="7A67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1273" w:type="dxa"/>
            <w:noWrap w:val="0"/>
            <w:vAlign w:val="top"/>
          </w:tcPr>
          <w:p w14:paraId="6D96E401">
            <w:pPr>
              <w:keepNext w:val="0"/>
              <w:keepLines w:val="0"/>
              <w:pageBreakBefore w:val="0"/>
              <w:widowControl w:val="0"/>
              <w:kinsoku/>
              <w:wordWrap/>
              <w:overflowPunct/>
              <w:topLinePunct w:val="0"/>
              <w:autoSpaceDE/>
              <w:autoSpaceDN/>
              <w:bidi w:val="0"/>
              <w:spacing w:before="100" w:beforeAutospacing="1" w:after="100" w:afterAutospacing="1"/>
              <w:jc w:val="both"/>
              <w:textAlignment w:val="auto"/>
              <w:rPr>
                <w:rFonts w:hint="eastAsia" w:ascii="宋体" w:hAnsi="宋体" w:eastAsia="宋体" w:cs="宋体"/>
                <w:lang w:eastAsia="zh-CN"/>
              </w:rPr>
            </w:pPr>
            <w:r>
              <w:rPr>
                <w:rFonts w:hint="eastAsia" w:ascii="宋体" w:hAnsi="宋体" w:eastAsia="宋体" w:cs="宋体"/>
              </w:rPr>
              <w:t>人力资源部经理</w:t>
            </w:r>
            <w:r>
              <w:rPr>
                <w:rFonts w:hint="eastAsia" w:ascii="宋体" w:hAnsi="宋体" w:eastAsia="宋体" w:cs="宋体"/>
                <w:color w:val="auto"/>
                <w:lang w:eastAsia="zh-CN"/>
              </w:rPr>
              <w:t>（</w:t>
            </w:r>
            <w:r>
              <w:rPr>
                <w:rFonts w:hint="eastAsia" w:ascii="宋体" w:hAnsi="宋体" w:eastAsia="宋体" w:cs="宋体"/>
                <w:color w:val="auto"/>
                <w:lang w:val="en-US" w:eastAsia="zh-CN"/>
              </w:rPr>
              <w:t>办公室主任</w:t>
            </w:r>
            <w:r>
              <w:rPr>
                <w:rFonts w:hint="eastAsia" w:ascii="宋体" w:hAnsi="宋体" w:eastAsia="宋体" w:cs="宋体"/>
                <w:color w:val="auto"/>
                <w:lang w:eastAsia="zh-CN"/>
              </w:rPr>
              <w:t>）</w:t>
            </w:r>
          </w:p>
        </w:tc>
        <w:tc>
          <w:tcPr>
            <w:tcW w:w="3550" w:type="dxa"/>
            <w:noWrap w:val="0"/>
            <w:vAlign w:val="top"/>
          </w:tcPr>
          <w:p w14:paraId="22DBF046">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1、素质要求：有感召力和凝聚力，有责任心、事业心和自信心。</w:t>
            </w:r>
          </w:p>
          <w:p w14:paraId="7BD59DE4">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2、自然条件：年龄30岁</w:t>
            </w:r>
            <w:r>
              <w:rPr>
                <w:rFonts w:hint="eastAsia" w:ascii="宋体" w:hAnsi="宋体" w:eastAsia="宋体" w:cs="宋体"/>
                <w:lang w:eastAsia="zh-CN"/>
              </w:rPr>
              <w:t>-60岁</w:t>
            </w:r>
            <w:r>
              <w:rPr>
                <w:rFonts w:hint="eastAsia" w:ascii="宋体" w:hAnsi="宋体" w:eastAsia="宋体" w:cs="宋体"/>
              </w:rPr>
              <w:t>，身体健康，仪表端庄，气质高雅。女性身高160cm以上,男性身高170cm以上。</w:t>
            </w:r>
          </w:p>
          <w:p w14:paraId="10F72857">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3、文化程度：大专以上或同等学历。</w:t>
            </w:r>
          </w:p>
          <w:p w14:paraId="76AE293B">
            <w:pPr>
              <w:keepNext w:val="0"/>
              <w:keepLines w:val="0"/>
              <w:pageBreakBefore w:val="0"/>
              <w:widowControl w:val="0"/>
              <w:kinsoku/>
              <w:wordWrap/>
              <w:overflowPunct/>
              <w:topLinePunct w:val="0"/>
              <w:autoSpaceDE/>
              <w:autoSpaceDN/>
              <w:bidi w:val="0"/>
              <w:textAlignment w:val="auto"/>
              <w:rPr>
                <w:rFonts w:hint="eastAsia" w:ascii="宋体" w:hAnsi="宋体" w:eastAsia="宋体" w:cs="宋体"/>
                <w:highlight w:val="none"/>
              </w:rPr>
            </w:pPr>
            <w:r>
              <w:rPr>
                <w:rFonts w:hint="eastAsia" w:ascii="宋体" w:hAnsi="宋体" w:eastAsia="宋体" w:cs="宋体"/>
                <w:highlight w:val="none"/>
              </w:rPr>
              <w:t>4、工作经验：在三星级（含三星级）以上酒店或综合物业管理部门担任过人力资源部经理或副经理</w:t>
            </w:r>
            <w:r>
              <w:rPr>
                <w:rFonts w:hint="eastAsia" w:ascii="宋体" w:hAnsi="宋体" w:eastAsia="宋体" w:cs="宋体"/>
                <w:highlight w:val="none"/>
                <w:lang w:eastAsia="zh-CN"/>
              </w:rPr>
              <w:t>应满</w:t>
            </w:r>
            <w:r>
              <w:rPr>
                <w:rFonts w:hint="eastAsia" w:ascii="宋体" w:hAnsi="宋体" w:eastAsia="宋体" w:cs="宋体"/>
                <w:highlight w:val="none"/>
              </w:rPr>
              <w:t>3年以上</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提供劳动合同、聘书、社保证明、人事档案等证明材料</w:t>
            </w:r>
            <w:r>
              <w:rPr>
                <w:rFonts w:hint="eastAsia" w:ascii="宋体" w:hAnsi="宋体" w:eastAsia="宋体" w:cs="宋体"/>
                <w:highlight w:val="none"/>
                <w:lang w:eastAsia="zh-CN"/>
              </w:rPr>
              <w:t>）</w:t>
            </w:r>
            <w:r>
              <w:rPr>
                <w:rFonts w:hint="eastAsia" w:ascii="宋体" w:hAnsi="宋体" w:eastAsia="宋体" w:cs="宋体"/>
                <w:highlight w:val="none"/>
              </w:rPr>
              <w:t>。具有5年以上类似人力资源工作经验。</w:t>
            </w:r>
          </w:p>
          <w:p w14:paraId="37308839">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highlight w:val="none"/>
              </w:rPr>
              <w:t>5、特殊要求</w:t>
            </w:r>
            <w:r>
              <w:rPr>
                <w:rFonts w:hint="eastAsia" w:ascii="宋体" w:hAnsi="宋体" w:eastAsia="宋体" w:cs="宋体"/>
              </w:rPr>
              <w:t>：熟练使用电脑及办公自动化设备，熟悉掌握政府部门的各项有关法律法规，有卓越的计划、组织、领导、协调、控制、督导和独立工作能力。</w:t>
            </w:r>
          </w:p>
        </w:tc>
        <w:tc>
          <w:tcPr>
            <w:tcW w:w="4027" w:type="dxa"/>
            <w:noWrap w:val="0"/>
            <w:vAlign w:val="top"/>
          </w:tcPr>
          <w:p w14:paraId="50EFA3F4">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1、及时了解与贯彻国家、地方有关人事、劳动、涉及学院后勤员工的各项方针政策、法律法规。</w:t>
            </w:r>
          </w:p>
          <w:p w14:paraId="10C82DE3">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2、结合学院后勤员工实际情况，制定有关人事和培训方面的方针政策与规章制度，在工作中不断改进和更新，确保其高效性。</w:t>
            </w:r>
          </w:p>
          <w:p w14:paraId="3AAC29DD">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3、参加学院后勤工作例会，认真执行会议决定，确保上情下达，下情上呈。</w:t>
            </w:r>
          </w:p>
          <w:p w14:paraId="1B7CF45D">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4、通过培训不断提升员工的工作绩效。</w:t>
            </w:r>
          </w:p>
          <w:p w14:paraId="1156A74B">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5、根据学院后勤的实际需要，合理定编，严格控制人力成本。</w:t>
            </w:r>
          </w:p>
          <w:p w14:paraId="31E18FF5">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6、依照各部门的用人需求，选定招聘渠道，设计招聘计划，确定选用标准，并及时补充缺编。</w:t>
            </w:r>
          </w:p>
          <w:p w14:paraId="5088DBDE">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7、优化学院后勤员工内部人才选拔和人员流动机制，确保员工职业发展的良性化。</w:t>
            </w:r>
          </w:p>
          <w:p w14:paraId="4A7CAF29">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p>
        </w:tc>
      </w:tr>
      <w:tr w14:paraId="6660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273" w:type="dxa"/>
            <w:noWrap w:val="0"/>
            <w:vAlign w:val="top"/>
          </w:tcPr>
          <w:p w14:paraId="27C84551">
            <w:pPr>
              <w:keepNext w:val="0"/>
              <w:keepLines w:val="0"/>
              <w:pageBreakBefore w:val="0"/>
              <w:widowControl w:val="0"/>
              <w:kinsoku/>
              <w:wordWrap/>
              <w:overflowPunct/>
              <w:topLinePunct w:val="0"/>
              <w:autoSpaceDE/>
              <w:autoSpaceDN/>
              <w:bidi w:val="0"/>
              <w:spacing w:before="100" w:beforeAutospacing="1" w:after="100" w:afterAutospacing="1"/>
              <w:jc w:val="center"/>
              <w:textAlignment w:val="auto"/>
              <w:rPr>
                <w:rFonts w:hint="eastAsia" w:ascii="宋体" w:hAnsi="宋体" w:eastAsia="宋体" w:cs="宋体"/>
              </w:rPr>
            </w:pPr>
            <w:r>
              <w:rPr>
                <w:rFonts w:hint="eastAsia" w:ascii="宋体" w:hAnsi="宋体" w:eastAsia="宋体" w:cs="宋体"/>
              </w:rPr>
              <w:t>餐</w:t>
            </w:r>
            <w:r>
              <w:rPr>
                <w:rFonts w:hint="eastAsia" w:ascii="宋体" w:hAnsi="宋体" w:eastAsia="宋体" w:cs="宋体"/>
                <w:bCs/>
              </w:rPr>
              <w:t>饮部</w:t>
            </w:r>
            <w:r>
              <w:rPr>
                <w:rFonts w:hint="eastAsia" w:ascii="宋体" w:hAnsi="宋体" w:eastAsia="宋体" w:cs="宋体"/>
              </w:rPr>
              <w:t>经理</w:t>
            </w:r>
          </w:p>
        </w:tc>
        <w:tc>
          <w:tcPr>
            <w:tcW w:w="3550" w:type="dxa"/>
            <w:noWrap w:val="0"/>
            <w:vAlign w:val="top"/>
          </w:tcPr>
          <w:p w14:paraId="49A6A588">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1、基本素质：具有强烈的事业心和责任感，高尚的职业道德。工作认真，讲究效率，坚持原则，不谋私利，知人善任。有牺牲精神，能够吃苦，能承受工作压力。具有较强的口头表达能力和撰写业务报告能力。</w:t>
            </w:r>
          </w:p>
          <w:p w14:paraId="1F20D1A2">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2、自然条件：身体健康，仪表端庄大方，气质高雅，</w:t>
            </w:r>
            <w:r>
              <w:rPr>
                <w:rFonts w:hint="eastAsia" w:ascii="宋体" w:hAnsi="宋体" w:eastAsia="宋体" w:cs="宋体"/>
                <w:color w:val="auto"/>
              </w:rPr>
              <w:t>年龄30岁</w:t>
            </w:r>
            <w:r>
              <w:rPr>
                <w:rFonts w:hint="eastAsia" w:ascii="宋体" w:hAnsi="宋体" w:eastAsia="宋体" w:cs="宋体"/>
                <w:color w:val="auto"/>
                <w:lang w:eastAsia="zh-CN"/>
              </w:rPr>
              <w:t>-</w:t>
            </w:r>
            <w:r>
              <w:rPr>
                <w:rFonts w:hint="eastAsia" w:ascii="宋体" w:hAnsi="宋体" w:eastAsia="宋体" w:cs="宋体"/>
                <w:color w:val="auto"/>
                <w:lang w:val="en-US" w:eastAsia="zh-CN"/>
              </w:rPr>
              <w:t>5</w:t>
            </w:r>
            <w:r>
              <w:rPr>
                <w:rFonts w:hint="eastAsia" w:ascii="宋体" w:hAnsi="宋体" w:eastAsia="宋体" w:cs="宋体"/>
                <w:color w:val="auto"/>
                <w:lang w:eastAsia="zh-CN"/>
              </w:rPr>
              <w:t>0</w:t>
            </w:r>
            <w:r>
              <w:rPr>
                <w:rFonts w:hint="eastAsia" w:ascii="宋体" w:hAnsi="宋体" w:eastAsia="宋体" w:cs="宋体"/>
                <w:lang w:eastAsia="zh-CN"/>
              </w:rPr>
              <w:t>岁</w:t>
            </w:r>
            <w:r>
              <w:rPr>
                <w:rFonts w:hint="eastAsia" w:ascii="宋体" w:hAnsi="宋体" w:eastAsia="宋体" w:cs="宋体"/>
              </w:rPr>
              <w:t>。女性身高160cm以上,男性身高170cm以上。</w:t>
            </w:r>
          </w:p>
          <w:p w14:paraId="2B8EA2DA">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3、文化程度：大专以上或同等学历。</w:t>
            </w:r>
          </w:p>
          <w:p w14:paraId="4A223563">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4、工作经验：在三星级（含三星级）以上酒店或综合物业管理部门担任过餐饮部经理或副经理</w:t>
            </w:r>
            <w:r>
              <w:rPr>
                <w:rFonts w:hint="eastAsia" w:ascii="宋体" w:hAnsi="宋体" w:eastAsia="宋体" w:cs="宋体"/>
                <w:lang w:eastAsia="zh-CN"/>
              </w:rPr>
              <w:t>应满</w:t>
            </w:r>
            <w:r>
              <w:rPr>
                <w:rFonts w:hint="eastAsia" w:ascii="宋体" w:hAnsi="宋体" w:eastAsia="宋体" w:cs="宋体"/>
              </w:rPr>
              <w:t>3年以上</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提供劳动合同、聘书、社保证明、人事档案等证明材料</w:t>
            </w:r>
            <w:r>
              <w:rPr>
                <w:rFonts w:hint="eastAsia" w:ascii="宋体" w:hAnsi="宋体" w:eastAsia="宋体" w:cs="宋体"/>
                <w:highlight w:val="none"/>
                <w:lang w:eastAsia="zh-CN"/>
              </w:rPr>
              <w:t>）</w:t>
            </w:r>
            <w:r>
              <w:rPr>
                <w:rFonts w:hint="eastAsia" w:ascii="宋体" w:hAnsi="宋体" w:eastAsia="宋体" w:cs="宋体"/>
              </w:rPr>
              <w:t>。具有5年以上类似餐饮工作经验。</w:t>
            </w:r>
          </w:p>
          <w:p w14:paraId="2D0646AD">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5、特殊要求:具有较强的组织能力，能科学地制定各项餐饮计划，有效地控制餐饮成本，合理地安排工作，能督导各种餐饮服务规范和菜肴质量标准的执行。了解和执行政府有关饮食经营的法规制度。</w:t>
            </w:r>
          </w:p>
        </w:tc>
        <w:tc>
          <w:tcPr>
            <w:tcW w:w="4027" w:type="dxa"/>
            <w:noWrap w:val="0"/>
            <w:vAlign w:val="top"/>
          </w:tcPr>
          <w:p w14:paraId="2ABD155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rPr>
              <w:t>1、组织、计划、控制、协调本部门的工作。</w:t>
            </w:r>
          </w:p>
          <w:p w14:paraId="4A60FE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rPr>
              <w:t>2、确保服务标准、出品质量和工作程序的应用。</w:t>
            </w:r>
          </w:p>
          <w:p w14:paraId="5CC0AA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rPr>
              <w:t>3、在人力资源部门的配合下，管理部门员工；招聘新员工、制定并实施培训计划，制定工作时间表及切实可行的规章制度。</w:t>
            </w:r>
          </w:p>
          <w:p w14:paraId="3537F13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rPr>
              <w:t>4、确保有关卫生、安全工作程序和规章制度的应用实施。</w:t>
            </w:r>
          </w:p>
          <w:p w14:paraId="7627C33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rPr>
              <w:t>5、组织并主持餐饮部会议，检查各厨房及餐厅的经营情况和完成结果，协调各餐厅、厨房的工作环节中存在的问题，提出改进措施，不断提高餐饮部经营水平。</w:t>
            </w:r>
          </w:p>
          <w:p w14:paraId="0239629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rPr>
              <w:t>6</w:t>
            </w:r>
            <w:r>
              <w:rPr>
                <w:rFonts w:hint="eastAsia" w:ascii="宋体" w:hAnsi="宋体" w:eastAsia="宋体" w:cs="宋体"/>
                <w:lang w:eastAsia="zh-CN"/>
              </w:rPr>
              <w:t>、</w:t>
            </w:r>
            <w:r>
              <w:rPr>
                <w:rFonts w:hint="eastAsia" w:ascii="宋体" w:hAnsi="宋体" w:eastAsia="宋体" w:cs="宋体"/>
              </w:rPr>
              <w:t>掌握和控制餐饮部门成本情况，审批、批准下属部门的采购申请报告，物品申请报告，食品</w:t>
            </w:r>
            <w:r>
              <w:rPr>
                <w:rFonts w:hint="eastAsia" w:ascii="宋体" w:hAnsi="宋体" w:eastAsia="宋体" w:cs="宋体"/>
                <w:lang w:val="en-US" w:eastAsia="zh-CN"/>
              </w:rPr>
              <w:t>等</w:t>
            </w:r>
            <w:r>
              <w:rPr>
                <w:rFonts w:hint="eastAsia" w:ascii="宋体" w:hAnsi="宋体" w:eastAsia="宋体" w:cs="宋体"/>
              </w:rPr>
              <w:t>申领报告，控制餐饮部门成本消耗水平和费用</w:t>
            </w:r>
            <w:r>
              <w:rPr>
                <w:rFonts w:hint="eastAsia" w:ascii="宋体" w:hAnsi="宋体" w:eastAsia="宋体" w:cs="宋体"/>
                <w:lang w:val="en-US" w:eastAsia="zh-CN"/>
              </w:rPr>
              <w:t>开支。</w:t>
            </w:r>
          </w:p>
          <w:p w14:paraId="2781F1F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rPr>
              <w:t>7、加强对餐厅财产的管理，掌握和控制好物品的使用情况，减少费用开支和物品损耗。</w:t>
            </w:r>
          </w:p>
          <w:p w14:paraId="7BDBA87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rPr>
              <w:t>8、与厨师长研究相关特式菜、时令菜等菜式的筹划与设计，指导并配合厨师长确保食品的出品质量与标准。</w:t>
            </w:r>
          </w:p>
          <w:p w14:paraId="4B6F350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rPr>
              <w:t>9、负责本部门设备、财产、家私保养及防损工作。</w:t>
            </w:r>
          </w:p>
          <w:p w14:paraId="35DFAE5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rPr>
            </w:pPr>
            <w:r>
              <w:rPr>
                <w:rFonts w:hint="eastAsia" w:ascii="宋体" w:hAnsi="宋体" w:eastAsia="宋体" w:cs="宋体"/>
              </w:rPr>
              <w:t xml:space="preserve">10、对学员或学院领导的反应和意见予以重视，并立即按照所要求的正确方式处理。                                                        </w:t>
            </w:r>
          </w:p>
        </w:tc>
      </w:tr>
      <w:tr w14:paraId="4A80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273" w:type="dxa"/>
            <w:noWrap w:val="0"/>
            <w:vAlign w:val="top"/>
          </w:tcPr>
          <w:p w14:paraId="4496E3E9">
            <w:pPr>
              <w:keepNext w:val="0"/>
              <w:keepLines w:val="0"/>
              <w:pageBreakBefore w:val="0"/>
              <w:widowControl w:val="0"/>
              <w:kinsoku/>
              <w:wordWrap/>
              <w:overflowPunct/>
              <w:topLinePunct w:val="0"/>
              <w:autoSpaceDE/>
              <w:autoSpaceDN/>
              <w:bidi w:val="0"/>
              <w:spacing w:before="100" w:beforeAutospacing="1" w:after="100" w:afterAutospacing="1"/>
              <w:jc w:val="center"/>
              <w:textAlignment w:val="auto"/>
              <w:rPr>
                <w:rFonts w:hint="eastAsia" w:ascii="宋体" w:hAnsi="宋体" w:eastAsia="宋体" w:cs="宋体"/>
              </w:rPr>
            </w:pPr>
            <w:r>
              <w:rPr>
                <w:rFonts w:hint="eastAsia" w:ascii="宋体" w:hAnsi="宋体" w:eastAsia="宋体" w:cs="宋体"/>
              </w:rPr>
              <w:t>房务部经理</w:t>
            </w:r>
          </w:p>
        </w:tc>
        <w:tc>
          <w:tcPr>
            <w:tcW w:w="3550" w:type="dxa"/>
            <w:noWrap w:val="0"/>
            <w:vAlign w:val="top"/>
          </w:tcPr>
          <w:p w14:paraId="4887262D">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1、素质要求：良好的敬业精神和职业道德操守，责任心、事业心强，具备较强的执行力，能够妥善处理各种关系及矛盾。</w:t>
            </w:r>
          </w:p>
          <w:p w14:paraId="3086C796">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2、自然条件：年龄在30岁</w:t>
            </w:r>
            <w:r>
              <w:rPr>
                <w:rFonts w:hint="eastAsia" w:ascii="宋体" w:hAnsi="宋体" w:eastAsia="宋体" w:cs="宋体"/>
                <w:lang w:eastAsia="zh-CN"/>
              </w:rPr>
              <w:t>-60岁</w:t>
            </w:r>
            <w:r>
              <w:rPr>
                <w:rFonts w:hint="eastAsia" w:ascii="宋体" w:hAnsi="宋体" w:eastAsia="宋体" w:cs="宋体"/>
              </w:rPr>
              <w:t>。身体健康，五官端正，气质高雅。女性身高160cm以上,男性身高170cm以上。</w:t>
            </w:r>
          </w:p>
          <w:p w14:paraId="72B3D8E9">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3、文化程度：大专以上或同等学历。</w:t>
            </w:r>
          </w:p>
          <w:p w14:paraId="7E973A75">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4、工作经验：在三星级（含三星级）以上酒店或综合物业管理部门担任过房务部经理或副经理</w:t>
            </w:r>
            <w:r>
              <w:rPr>
                <w:rFonts w:hint="eastAsia" w:ascii="宋体" w:hAnsi="宋体" w:eastAsia="宋体" w:cs="宋体"/>
                <w:lang w:eastAsia="zh-CN"/>
              </w:rPr>
              <w:t>应满</w:t>
            </w:r>
            <w:r>
              <w:rPr>
                <w:rFonts w:hint="eastAsia" w:ascii="宋体" w:hAnsi="宋体" w:eastAsia="宋体" w:cs="宋体"/>
              </w:rPr>
              <w:t>3年以上</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提供劳动合同、聘书、社保证明、人事档案等证明材料</w:t>
            </w:r>
            <w:r>
              <w:rPr>
                <w:rFonts w:hint="eastAsia" w:ascii="宋体" w:hAnsi="宋体" w:eastAsia="宋体" w:cs="宋体"/>
                <w:highlight w:val="none"/>
                <w:lang w:eastAsia="zh-CN"/>
              </w:rPr>
              <w:t>）</w:t>
            </w:r>
            <w:r>
              <w:rPr>
                <w:rFonts w:hint="eastAsia" w:ascii="宋体" w:hAnsi="宋体" w:eastAsia="宋体" w:cs="宋体"/>
              </w:rPr>
              <w:t>。具有5年以上类似房务工作经验。</w:t>
            </w:r>
          </w:p>
          <w:p w14:paraId="2B3E269B">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5、特殊要求：能熟练使用微软办公软件。具备完成工作的组织能力、协调能力、应变能力和交际能力。</w:t>
            </w:r>
          </w:p>
          <w:p w14:paraId="11A9B137">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p>
        </w:tc>
        <w:tc>
          <w:tcPr>
            <w:tcW w:w="4027" w:type="dxa"/>
            <w:noWrap w:val="0"/>
            <w:vAlign w:val="top"/>
          </w:tcPr>
          <w:p w14:paraId="1BE6DE02">
            <w:pPr>
              <w:keepNext w:val="0"/>
              <w:keepLines w:val="0"/>
              <w:pageBreakBefore w:val="0"/>
              <w:widowControl w:val="0"/>
              <w:numPr>
                <w:ilvl w:val="0"/>
                <w:numId w:val="2"/>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负责督促、指导前厅部、客房部、公共区域、会议等区域的员工严格遵守学院和部门各项规章制度，严格按照岗位工作流程和服务标准实施服务，保持客房部管理、服务及卫生等工作的最佳状态。</w:t>
            </w:r>
          </w:p>
          <w:p w14:paraId="0D8108ED">
            <w:pPr>
              <w:keepNext w:val="0"/>
              <w:keepLines w:val="0"/>
              <w:pageBreakBefore w:val="0"/>
              <w:widowControl w:val="0"/>
              <w:numPr>
                <w:ilvl w:val="0"/>
                <w:numId w:val="2"/>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督促、指导、检查前厅部和客房部的管理人员执行岗位责任制和落实各项政策与计划的情况，并定期向执行总经理提出管理人员任免和员工奖惩方面的意见或建议。</w:t>
            </w:r>
          </w:p>
          <w:p w14:paraId="7C61E7E4">
            <w:pPr>
              <w:keepNext w:val="0"/>
              <w:keepLines w:val="0"/>
              <w:pageBreakBefore w:val="0"/>
              <w:widowControl w:val="0"/>
              <w:numPr>
                <w:ilvl w:val="0"/>
                <w:numId w:val="2"/>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负责接受学员的投诉，努力消除可能产生的不良影响，树立好学院后勤的良好形象。</w:t>
            </w:r>
          </w:p>
          <w:p w14:paraId="749E0BEF">
            <w:pPr>
              <w:keepNext w:val="0"/>
              <w:keepLines w:val="0"/>
              <w:pageBreakBefore w:val="0"/>
              <w:widowControl w:val="0"/>
              <w:numPr>
                <w:ilvl w:val="0"/>
                <w:numId w:val="2"/>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定期巡视抽查前厅、客房、公共区域、会议等所负责管理的区域工作并做好有关记录，以便及时发现问题，不断改进，提高服务水准。</w:t>
            </w:r>
          </w:p>
          <w:p w14:paraId="5170AB21">
            <w:pPr>
              <w:keepNext w:val="0"/>
              <w:keepLines w:val="0"/>
              <w:pageBreakBefore w:val="0"/>
              <w:widowControl w:val="0"/>
              <w:numPr>
                <w:ilvl w:val="0"/>
                <w:numId w:val="2"/>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负责所管区域的安全防火工作，加强有关培训，确保本部门每位员工对消防应急措施的熟悉了解。</w:t>
            </w:r>
          </w:p>
          <w:p w14:paraId="482FD275">
            <w:pPr>
              <w:keepNext w:val="0"/>
              <w:keepLines w:val="0"/>
              <w:pageBreakBefore w:val="0"/>
              <w:widowControl w:val="0"/>
              <w:numPr>
                <w:ilvl w:val="0"/>
                <w:numId w:val="2"/>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协助工程部做好房务部各类设备设施的维修保养工作。</w:t>
            </w:r>
          </w:p>
          <w:p w14:paraId="44348957">
            <w:pPr>
              <w:keepNext w:val="0"/>
              <w:keepLines w:val="0"/>
              <w:pageBreakBefore w:val="0"/>
              <w:widowControl w:val="0"/>
              <w:numPr>
                <w:ilvl w:val="0"/>
                <w:numId w:val="2"/>
              </w:numPr>
              <w:kinsoku/>
              <w:wordWrap/>
              <w:overflowPunct/>
              <w:topLinePunct w:val="0"/>
              <w:autoSpaceDE/>
              <w:autoSpaceDN/>
              <w:bidi w:val="0"/>
              <w:ind w:left="0" w:firstLine="0"/>
              <w:textAlignment w:val="auto"/>
              <w:rPr>
                <w:rFonts w:hint="eastAsia" w:ascii="宋体" w:hAnsi="宋体" w:eastAsia="宋体" w:cs="宋体"/>
              </w:rPr>
            </w:pPr>
            <w:r>
              <w:rPr>
                <w:rFonts w:hint="eastAsia" w:ascii="宋体" w:hAnsi="宋体" w:eastAsia="宋体" w:cs="宋体"/>
              </w:rPr>
              <w:t>关心本部门员工的思想、生活和业务水平的提高，鼓励员工发挥工作主动性与积极性，积极参加各级各类培训，注意发现并提拔有潜质的员工。</w:t>
            </w:r>
          </w:p>
        </w:tc>
      </w:tr>
      <w:tr w14:paraId="5E3F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1273" w:type="dxa"/>
            <w:noWrap w:val="0"/>
            <w:vAlign w:val="top"/>
          </w:tcPr>
          <w:p w14:paraId="35C39631">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工程部经理</w:t>
            </w:r>
          </w:p>
        </w:tc>
        <w:tc>
          <w:tcPr>
            <w:tcW w:w="3550" w:type="dxa"/>
            <w:noWrap w:val="0"/>
            <w:vAlign w:val="top"/>
          </w:tcPr>
          <w:p w14:paraId="2E4A2880">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1、基本素质：具有工程管理的专业知识，责任心强，能协调上、下级与各部门的关系，有较强的组织管理能力。</w:t>
            </w:r>
          </w:p>
          <w:p w14:paraId="5B79D4FD">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2、自然条件：男性，30岁</w:t>
            </w:r>
            <w:r>
              <w:rPr>
                <w:rFonts w:hint="eastAsia" w:ascii="宋体" w:hAnsi="宋体" w:eastAsia="宋体" w:cs="宋体"/>
                <w:lang w:eastAsia="zh-CN"/>
              </w:rPr>
              <w:t>-60岁</w:t>
            </w:r>
            <w:r>
              <w:rPr>
                <w:rFonts w:hint="eastAsia" w:ascii="宋体" w:hAnsi="宋体" w:eastAsia="宋体" w:cs="宋体"/>
              </w:rPr>
              <w:t>，受过酒店管理培训，具有水电类</w:t>
            </w:r>
            <w:r>
              <w:rPr>
                <w:rFonts w:hint="eastAsia" w:ascii="宋体" w:hAnsi="宋体" w:eastAsia="宋体" w:cs="宋体"/>
                <w:lang w:val="en-US" w:eastAsia="zh-CN"/>
              </w:rPr>
              <w:t>资格证书等</w:t>
            </w:r>
            <w:r>
              <w:rPr>
                <w:rFonts w:hint="eastAsia" w:ascii="宋体" w:hAnsi="宋体" w:eastAsia="宋体" w:cs="宋体"/>
              </w:rPr>
              <w:t>。</w:t>
            </w:r>
          </w:p>
          <w:p w14:paraId="28C6929F">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3、文化程度：</w:t>
            </w:r>
            <w:r>
              <w:rPr>
                <w:rFonts w:hint="eastAsia" w:ascii="宋体" w:hAnsi="宋体" w:eastAsia="宋体" w:cs="宋体"/>
                <w:lang w:eastAsia="zh-CN"/>
              </w:rPr>
              <w:t>大专</w:t>
            </w:r>
            <w:r>
              <w:rPr>
                <w:rFonts w:hint="eastAsia" w:ascii="宋体" w:hAnsi="宋体" w:eastAsia="宋体" w:cs="宋体"/>
              </w:rPr>
              <w:t>以上或同等学历。</w:t>
            </w:r>
          </w:p>
          <w:p w14:paraId="43950CD4">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4、工作经验：在三星级（含三星级）以上酒店或综合物业管理部门担任过工程部经理或副经理</w:t>
            </w:r>
            <w:r>
              <w:rPr>
                <w:rFonts w:hint="eastAsia" w:ascii="宋体" w:hAnsi="宋体" w:eastAsia="宋体" w:cs="宋体"/>
                <w:lang w:eastAsia="zh-CN"/>
              </w:rPr>
              <w:t>应满</w:t>
            </w:r>
            <w:r>
              <w:rPr>
                <w:rFonts w:hint="eastAsia" w:ascii="宋体" w:hAnsi="宋体" w:eastAsia="宋体" w:cs="宋体"/>
              </w:rPr>
              <w:t>3年以上。具有5年以上类似工程技术工作经验。</w:t>
            </w:r>
          </w:p>
          <w:p w14:paraId="3B309EF8">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5、特殊要求：</w:t>
            </w:r>
            <w:r>
              <w:rPr>
                <w:rFonts w:hint="eastAsia" w:ascii="宋体" w:hAnsi="宋体" w:eastAsia="宋体" w:cs="宋体"/>
                <w:highlight w:val="none"/>
              </w:rPr>
              <w:t>对酒店或综合物业各专业技术有全面了解，具备其中1-2个专业的特长。</w:t>
            </w:r>
          </w:p>
        </w:tc>
        <w:tc>
          <w:tcPr>
            <w:tcW w:w="4027" w:type="dxa"/>
            <w:noWrap w:val="0"/>
            <w:vAlign w:val="top"/>
          </w:tcPr>
          <w:p w14:paraId="3D4AD718">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1、制定工程部工作计划，主持工程部日常运行、维修工作和管理工作。</w:t>
            </w:r>
          </w:p>
          <w:p w14:paraId="249CCF40">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2、负责审查本部门的各项规章制度，审定操作规程、安全规程并督导员工执行。</w:t>
            </w:r>
          </w:p>
          <w:p w14:paraId="06C95959">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3、制定设备的预防性维修计划，检查计划执行情况。</w:t>
            </w:r>
          </w:p>
          <w:p w14:paraId="06799CF0">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4、负责工程部设备的合理运行、有效保养、及时修理，采取有效的节能措施，降低能耗。根据维修记录，把握设备的使用状况和使用寿命。</w:t>
            </w:r>
          </w:p>
          <w:p w14:paraId="01741255">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5、加强安全管理，经常检查部门工作、消防、</w:t>
            </w:r>
            <w:r>
              <w:rPr>
                <w:rFonts w:hint="eastAsia" w:ascii="宋体" w:hAnsi="宋体" w:eastAsia="宋体" w:cs="宋体"/>
                <w:lang w:val="en-US" w:eastAsia="zh-CN"/>
              </w:rPr>
              <w:t>网络、</w:t>
            </w:r>
            <w:r>
              <w:rPr>
                <w:rFonts w:hint="eastAsia" w:ascii="宋体" w:hAnsi="宋体" w:eastAsia="宋体" w:cs="宋体"/>
              </w:rPr>
              <w:t>用电、卫生、人身和财产安全。</w:t>
            </w:r>
          </w:p>
          <w:p w14:paraId="63454549">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6、加强管理监督，严格控制能源成本和各种维修开支，杜绝跑、冒、滴、漏；防止贪污浪费。</w:t>
            </w:r>
          </w:p>
          <w:p w14:paraId="495C837A">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7、负责特种设备的年检手续。</w:t>
            </w:r>
          </w:p>
          <w:p w14:paraId="32A7ADE9">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8、与当地水电公司、通信公司、环保局、技术监督局、天然气公司、电梯维保公司等保持良好关系，争取他们支持工程部的相关工作。</w:t>
            </w:r>
          </w:p>
          <w:p w14:paraId="0D2B15E9">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9、负责本部员工各种培训、学习考核活动，不断增强员工的业务技能和知识水平，定期对员工进行业绩评估，审查奖惩方案，关心员工生活。</w:t>
            </w:r>
          </w:p>
        </w:tc>
      </w:tr>
      <w:tr w14:paraId="03F7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273" w:type="dxa"/>
            <w:noWrap w:val="0"/>
            <w:vAlign w:val="top"/>
          </w:tcPr>
          <w:p w14:paraId="4C55362E">
            <w:pPr>
              <w:keepNext w:val="0"/>
              <w:keepLines w:val="0"/>
              <w:pageBreakBefore w:val="0"/>
              <w:widowControl w:val="0"/>
              <w:kinsoku/>
              <w:wordWrap/>
              <w:overflowPunct/>
              <w:topLinePunct w:val="0"/>
              <w:autoSpaceDE/>
              <w:autoSpaceDN/>
              <w:bidi w:val="0"/>
              <w:spacing w:before="100" w:beforeAutospacing="1" w:after="100" w:afterAutospacing="1"/>
              <w:jc w:val="center"/>
              <w:textAlignment w:val="auto"/>
              <w:rPr>
                <w:rFonts w:hint="eastAsia" w:ascii="宋体" w:hAnsi="宋体" w:eastAsia="宋体" w:cs="宋体"/>
              </w:rPr>
            </w:pPr>
            <w:r>
              <w:rPr>
                <w:rFonts w:hint="eastAsia" w:ascii="宋体" w:hAnsi="宋体" w:eastAsia="宋体" w:cs="宋体"/>
              </w:rPr>
              <w:t>厨师长</w:t>
            </w:r>
          </w:p>
        </w:tc>
        <w:tc>
          <w:tcPr>
            <w:tcW w:w="3550" w:type="dxa"/>
            <w:noWrap w:val="0"/>
            <w:vAlign w:val="top"/>
          </w:tcPr>
          <w:p w14:paraId="39CAA9CC">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基本素质：</w:t>
            </w:r>
          </w:p>
          <w:p w14:paraId="2BBEBDFE">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1、年龄要求：30岁—60岁</w:t>
            </w:r>
          </w:p>
          <w:p w14:paraId="1F2CCF04">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2、</w:t>
            </w:r>
            <w:r>
              <w:rPr>
                <w:rFonts w:hint="eastAsia" w:ascii="宋体" w:hAnsi="宋体" w:eastAsia="宋体" w:cs="宋体"/>
                <w:color w:val="auto"/>
              </w:rPr>
              <w:t>3年以上（500人以上就餐）厨师长经验或三星级酒店、政府机关、事业单位食堂厨师长工作经验</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提供劳动合同、聘书、社保证明、人事档案等证明材料</w:t>
            </w:r>
            <w:r>
              <w:rPr>
                <w:rFonts w:hint="eastAsia" w:ascii="宋体" w:hAnsi="宋体" w:eastAsia="宋体" w:cs="宋体"/>
                <w:highlight w:val="none"/>
                <w:lang w:eastAsia="zh-CN"/>
              </w:rPr>
              <w:t>）</w:t>
            </w:r>
            <w:r>
              <w:rPr>
                <w:rFonts w:hint="eastAsia" w:ascii="宋体" w:hAnsi="宋体" w:eastAsia="宋体" w:cs="宋体"/>
                <w:color w:val="auto"/>
              </w:rPr>
              <w:t>；</w:t>
            </w:r>
          </w:p>
          <w:p w14:paraId="794C54B0">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3、具有强烈的责任心，作风干练；</w:t>
            </w:r>
          </w:p>
          <w:p w14:paraId="42774574">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4、具有较高的烹饪技术，了解和熟悉食品材料的产地、规格、质量、一般进货价；</w:t>
            </w:r>
          </w:p>
          <w:p w14:paraId="37C325A8">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5、对成本控制管理、厨房设备知识拥有相当的基础；</w:t>
            </w:r>
          </w:p>
          <w:p w14:paraId="4AA7C917">
            <w:pPr>
              <w:keepNext w:val="0"/>
              <w:keepLines w:val="0"/>
              <w:pageBreakBefore w:val="0"/>
              <w:widowControl w:val="0"/>
              <w:kinsoku/>
              <w:wordWrap/>
              <w:overflowPunct/>
              <w:topLinePunct w:val="0"/>
              <w:autoSpaceDE/>
              <w:autoSpaceDN/>
              <w:bidi w:val="0"/>
              <w:textAlignment w:val="auto"/>
              <w:rPr>
                <w:rFonts w:hint="eastAsia" w:ascii="宋体" w:hAnsi="宋体" w:eastAsia="宋体" w:cs="宋体"/>
                <w:lang w:eastAsia="zh-CN"/>
              </w:rPr>
            </w:pPr>
            <w:r>
              <w:rPr>
                <w:rFonts w:hint="eastAsia" w:ascii="宋体" w:hAnsi="宋体" w:eastAsia="宋体" w:cs="宋体"/>
              </w:rPr>
              <w:t>6、具有中式烹调师</w:t>
            </w:r>
            <w:r>
              <w:rPr>
                <w:rFonts w:hint="eastAsia" w:ascii="宋体" w:hAnsi="宋体" w:eastAsia="宋体" w:cs="宋体"/>
                <w:lang w:val="en-US" w:eastAsia="zh-CN"/>
              </w:rPr>
              <w:t>高级</w:t>
            </w:r>
            <w:r>
              <w:rPr>
                <w:rFonts w:hint="eastAsia" w:ascii="宋体" w:hAnsi="宋体" w:eastAsia="宋体" w:cs="宋体"/>
              </w:rPr>
              <w:t>资质证书</w:t>
            </w:r>
            <w:r>
              <w:rPr>
                <w:rFonts w:hint="eastAsia" w:ascii="宋体" w:hAnsi="宋体" w:eastAsia="宋体" w:cs="宋体"/>
                <w:lang w:eastAsia="zh-CN"/>
              </w:rPr>
              <w:t>。</w:t>
            </w:r>
          </w:p>
          <w:p w14:paraId="4BA5F6CA">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p>
        </w:tc>
        <w:tc>
          <w:tcPr>
            <w:tcW w:w="4027" w:type="dxa"/>
            <w:noWrap w:val="0"/>
            <w:vAlign w:val="top"/>
          </w:tcPr>
          <w:p w14:paraId="69757D98">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1、负责厨房全面工作，做好劳动及厨师调配，合理安排各大厨的技术岗位，制定各种工作计划；</w:t>
            </w:r>
          </w:p>
          <w:p w14:paraId="46B1B2B5">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2、按要求做好厨房环境、卫生工作；</w:t>
            </w:r>
          </w:p>
          <w:p w14:paraId="02C729BD">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3、积极配合上级交代的各项任务，执行餐饮部下达的各项工作，并把客人的有关意见及要求及时反馈，并改进和提高中厨部的菜品质量；</w:t>
            </w:r>
          </w:p>
          <w:p w14:paraId="20BA4E75">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4、熟悉和掌握货源情况，监督货源的请购计划，以及货源的保管，防止原料变质；</w:t>
            </w:r>
          </w:p>
          <w:p w14:paraId="2F47366F">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5、控制食品成本，合理使用各种原材料，减少浪费，做到物尽其用；</w:t>
            </w:r>
          </w:p>
          <w:p w14:paraId="583F3A15">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6、按工作程序和标准做好本岗位原料洗切、加工和烹饪等工作，严把食品质量关，经常检查，供应快捷，做到有条不紊，急顾客所急；</w:t>
            </w:r>
          </w:p>
          <w:p w14:paraId="13DB386C">
            <w:pPr>
              <w:keepNext w:val="0"/>
              <w:keepLines w:val="0"/>
              <w:pageBreakBefore w:val="0"/>
              <w:widowControl w:val="0"/>
              <w:kinsoku/>
              <w:wordWrap/>
              <w:overflowPunct/>
              <w:topLinePunct w:val="0"/>
              <w:autoSpaceDE/>
              <w:autoSpaceDN/>
              <w:bidi w:val="0"/>
              <w:textAlignment w:val="auto"/>
              <w:rPr>
                <w:rFonts w:hint="eastAsia" w:ascii="宋体" w:hAnsi="宋体" w:eastAsia="宋体" w:cs="宋体"/>
              </w:rPr>
            </w:pPr>
            <w:r>
              <w:rPr>
                <w:rFonts w:hint="eastAsia" w:ascii="宋体" w:hAnsi="宋体" w:eastAsia="宋体" w:cs="宋体"/>
              </w:rPr>
              <w:t>7、抓好厨师的管理和技术培训工作，保持地方菜的特色和风味，熟悉各种菜系和新菜系，增加花色品种，创造特色新菜系。</w:t>
            </w:r>
          </w:p>
        </w:tc>
      </w:tr>
    </w:tbl>
    <w:p w14:paraId="7D115CC1">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p>
    <w:p w14:paraId="3DF4B0A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1F9630F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14:paraId="63B3AA2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服务</w:t>
      </w:r>
      <w:r>
        <w:rPr>
          <w:rFonts w:hint="eastAsia" w:asciiTheme="minorEastAsia" w:hAnsiTheme="minorEastAsia" w:eastAsiaTheme="minorEastAsia" w:cstheme="minorEastAsia"/>
          <w:spacing w:val="-1"/>
          <w:sz w:val="24"/>
          <w:szCs w:val="24"/>
        </w:rPr>
        <w:t>期限</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一年</w:t>
      </w:r>
    </w:p>
    <w:p w14:paraId="311CABE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2.服务</w:t>
      </w:r>
      <w:r>
        <w:rPr>
          <w:rFonts w:hint="eastAsia" w:asciiTheme="minorEastAsia" w:hAnsiTheme="minorEastAsia" w:eastAsiaTheme="minorEastAsia" w:cstheme="minorEastAsia"/>
          <w:spacing w:val="-1"/>
          <w:sz w:val="24"/>
          <w:szCs w:val="24"/>
        </w:rPr>
        <w:t>地点</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河南南阳干部学院</w:t>
      </w:r>
    </w:p>
    <w:p w14:paraId="6C4D558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3.服务质量：符合相关法律法规及本文件要求</w:t>
      </w:r>
    </w:p>
    <w:p w14:paraId="7B8BABC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4.投标人须在预算控制范围内提供最优服务。报价应综合考虑学院硬件建设情况和人员服务接待量情况（本采购年度学员接待量暂按1.5万人/年预测），含人员工资、人员社保、服务、设备、税费等一切费用，采购人不再支付报价以外的任何费用。中标人应每月按时足额发放人员工资，不得挪用采购人支付的物业服务费用。</w:t>
      </w:r>
    </w:p>
    <w:p w14:paraId="07F13B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
          <w:sz w:val="24"/>
          <w:szCs w:val="24"/>
          <w:lang w:val="en-US" w:eastAsia="zh-CN"/>
        </w:rPr>
        <w:t>5.采购人提供工作需要的基本办公条件（包括委派管理人员和家住外地服务人员的有偿食宿），中标人高管须报采购人备案同意，采购人对成交投标人关键岗位人员有建议调整的权利，关键岗位技术人员须具有相应资质；中标人的人员招聘方案须提前报采购人，方可对外发布信息。</w:t>
      </w:r>
    </w:p>
    <w:p w14:paraId="3DCF581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6.投标人应在投标文件中明确参与本项目的</w:t>
      </w:r>
      <w:r>
        <w:rPr>
          <w:rFonts w:hint="eastAsia" w:asciiTheme="minorEastAsia" w:hAnsiTheme="minorEastAsia" w:eastAsiaTheme="minorEastAsia" w:cstheme="minorEastAsia"/>
          <w:spacing w:val="-2"/>
          <w:sz w:val="24"/>
          <w:szCs w:val="24"/>
          <w:highlight w:val="none"/>
          <w:lang w:val="en-US" w:eastAsia="zh-CN"/>
        </w:rPr>
        <w:t>各岗位人员人数分配情况，包括所有服务人员、管理人员，在投标文件中提供人员人数承诺书、相关证件证书等材料。</w:t>
      </w:r>
      <w:r>
        <w:rPr>
          <w:rFonts w:hint="eastAsia" w:asciiTheme="minorEastAsia" w:hAnsiTheme="minorEastAsia" w:eastAsiaTheme="minorEastAsia" w:cstheme="minorEastAsia"/>
          <w:spacing w:val="-2"/>
          <w:sz w:val="24"/>
          <w:szCs w:val="24"/>
          <w:lang w:val="en-US" w:eastAsia="zh-CN"/>
        </w:rPr>
        <w:t>：</w:t>
      </w:r>
    </w:p>
    <w:p w14:paraId="1FF7B16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.投标人必须提供</w:t>
      </w:r>
      <w:r>
        <w:rPr>
          <w:rFonts w:hint="eastAsia" w:asciiTheme="minorEastAsia" w:hAnsiTheme="minorEastAsia" w:eastAsiaTheme="minorEastAsia" w:cstheme="minorEastAsia"/>
          <w:spacing w:val="-2"/>
          <w:sz w:val="24"/>
          <w:szCs w:val="24"/>
          <w:highlight w:val="none"/>
        </w:rPr>
        <w:t>总体服务方案、客房服务方案、会务服务方案、餐饮服务方案、保洁服务方案、建筑物、设备的运行管理方案、文体服务方案、场馆服务方案、安全运维方案</w:t>
      </w:r>
      <w:r>
        <w:rPr>
          <w:rFonts w:hint="eastAsia" w:asciiTheme="minorEastAsia" w:hAnsiTheme="minorEastAsia" w:eastAsiaTheme="minorEastAsia" w:cstheme="minorEastAsia"/>
          <w:spacing w:val="-2"/>
          <w:sz w:val="24"/>
          <w:szCs w:val="24"/>
        </w:rPr>
        <w:t>等。</w:t>
      </w:r>
    </w:p>
    <w:p w14:paraId="4F97BED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48" w:firstLineChars="200"/>
        <w:jc w:val="both"/>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8</w:t>
      </w:r>
      <w:r>
        <w:rPr>
          <w:rFonts w:hint="eastAsia" w:asciiTheme="minorEastAsia" w:hAnsiTheme="minorEastAsia" w:eastAsiaTheme="minorEastAsia" w:cstheme="minorEastAsia"/>
          <w:spacing w:val="-8"/>
          <w:sz w:val="24"/>
          <w:szCs w:val="24"/>
        </w:rPr>
        <w:t>.投标人可针对采购人的特点提出合理、可行的特别服务条款。</w:t>
      </w:r>
    </w:p>
    <w:p w14:paraId="61355F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2"/>
          <w:sz w:val="24"/>
          <w:szCs w:val="24"/>
          <w:lang w:val="en-US" w:eastAsia="zh-CN"/>
        </w:rPr>
        <w:t>9</w:t>
      </w:r>
      <w:r>
        <w:rPr>
          <w:rFonts w:hint="eastAsia" w:asciiTheme="minorEastAsia" w:hAnsiTheme="minorEastAsia" w:eastAsiaTheme="minorEastAsia" w:cstheme="minorEastAsia"/>
          <w:spacing w:val="-2"/>
          <w:sz w:val="24"/>
          <w:szCs w:val="24"/>
        </w:rPr>
        <w:t>.院内设备、各项后勤服务档案资料是后勤服务的重要资源，档案资料要保证完整，各项运行记录、故障记录、统计分析等都应纳入档案管理，以便应用于指导实际工作。合同期间，涉及后勤管理服务的档案资料及时归档备份；合同期满后，如原服务单位未能续约，应将后勤管理服务的全部档案资料无条件移交采购人，并在采购人规定的时间期限内退场。中标人必须按照要求完成包括且不限于以上指出的后勤服务范围及内容，并承担全部责任。</w:t>
      </w:r>
    </w:p>
    <w:p w14:paraId="2D54244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outlineLvl w:val="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10.</w:t>
      </w:r>
      <w:r>
        <w:rPr>
          <w:rFonts w:hint="eastAsia" w:asciiTheme="minorEastAsia" w:hAnsiTheme="minorEastAsia" w:eastAsiaTheme="minorEastAsia" w:cstheme="minorEastAsia"/>
          <w:spacing w:val="-2"/>
          <w:sz w:val="24"/>
          <w:szCs w:val="24"/>
          <w:lang w:val="en-US" w:eastAsia="zh-CN"/>
        </w:rPr>
        <w:t>合同签订：中标人根据有关管理法规与采购人签订委托管理服务合同。该委托管理服务时间为壹年。投标人如不能完成招标文件承诺的服务指标，或不能遵守服务合同，采购人将根据考核情况以及合同约定，提出相应违约赔偿，并从委托管理费中直接扣除。投标人管理服务标准须达到招标文件及委托管理服务合同的有关约定要求，如果成交投标人没有履行合同中规定的委托管理服务承诺，采购人有权提前终止合同。如因投标人的错误（或管理失误）对采购人造成损失的还应对此做出赔偿。中标人应当履行委托管理服务合同，按照合同约定提供管理服务。</w:t>
      </w:r>
    </w:p>
    <w:p w14:paraId="04E3CE3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outlineLvl w:val="9"/>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rPr>
        <w:t>.付款方式：以季度为单位支付管理服务费。每季度提供服务人员（含管理人员）的相关信息包括工资表、考勤表、人员信息表及工资对账单，按实际出勤情况（因客观原因影响、培训班次安排疏密等原因所需服务人员数不等）经采购人考核后按季度支付相关的款项。投标人应准备必要的资金用于周转，若双方结束合同，则最后一季度费用需等待交接完毕后再给予支付。</w:t>
      </w:r>
    </w:p>
    <w:p w14:paraId="1A8CF0AE">
      <w:pPr>
        <w:pStyle w:val="6"/>
        <w:keepNext w:val="0"/>
        <w:keepLines w:val="0"/>
        <w:pageBreakBefore w:val="0"/>
        <w:numPr>
          <w:ilvl w:val="0"/>
          <w:numId w:val="0"/>
        </w:numPr>
        <w:kinsoku/>
        <w:wordWrap w:val="0"/>
        <w:overflowPunct/>
        <w:topLinePunct w:val="0"/>
        <w:bidi w:val="0"/>
        <w:spacing w:before="352" w:line="690" w:lineRule="exact"/>
        <w:jc w:val="both"/>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619B2101">
      <w:pPr>
        <w:pStyle w:val="6"/>
        <w:keepNext w:val="0"/>
        <w:keepLines w:val="0"/>
        <w:pageBreakBefore w:val="0"/>
        <w:numPr>
          <w:ilvl w:val="0"/>
          <w:numId w:val="0"/>
        </w:numPr>
        <w:kinsoku/>
        <w:wordWrap w:val="0"/>
        <w:overflowPunct/>
        <w:topLinePunct w:val="0"/>
        <w:bidi w:val="0"/>
        <w:spacing w:before="352" w:line="690" w:lineRule="exact"/>
        <w:jc w:val="cente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324060C4">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033AF87B">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0F5D7B57">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54AB952A">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7B49DB9B">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612354E3">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52B00D07">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10BB55FC">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7ECED27A">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44B51D3B">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1A211DA0">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7636EF4E">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2BDD229B">
      <w:pPr>
        <w:pStyle w:val="6"/>
        <w:keepNext w:val="0"/>
        <w:keepLines w:val="0"/>
        <w:pageBreakBefore w:val="0"/>
        <w:numPr>
          <w:ilvl w:val="0"/>
          <w:numId w:val="0"/>
        </w:numPr>
        <w:kinsoku/>
        <w:wordWrap w:val="0"/>
        <w:overflowPunct/>
        <w:topLinePunct w:val="0"/>
        <w:bidi w:val="0"/>
        <w:spacing w:before="352" w:line="690" w:lineRule="exact"/>
        <w:jc w:val="cente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14:paraId="578D9852">
      <w:pPr>
        <w:pStyle w:val="6"/>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18"/>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9"/>
        <w:gridCol w:w="7188"/>
      </w:tblGrid>
      <w:tr w14:paraId="391C2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12" w:space="0"/>
              <w:left w:val="single" w:color="auto" w:sz="12" w:space="0"/>
              <w:bottom w:val="single" w:color="auto" w:sz="6" w:space="0"/>
              <w:right w:val="single" w:color="auto" w:sz="6" w:space="0"/>
            </w:tcBorders>
            <w:noWrap w:val="0"/>
            <w:vAlign w:val="center"/>
          </w:tcPr>
          <w:p w14:paraId="560236B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188" w:type="dxa"/>
            <w:tcBorders>
              <w:top w:val="single" w:color="auto" w:sz="12" w:space="0"/>
              <w:left w:val="single" w:color="auto" w:sz="6" w:space="0"/>
              <w:bottom w:val="single" w:color="auto" w:sz="6" w:space="0"/>
              <w:right w:val="single" w:color="auto" w:sz="12" w:space="0"/>
            </w:tcBorders>
            <w:noWrap w:val="0"/>
            <w:vAlign w:val="center"/>
          </w:tcPr>
          <w:p w14:paraId="74763E9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42A8E3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9EFC4E2">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8B7005E">
            <w:pPr>
              <w:pStyle w:val="25"/>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3DD8738B">
            <w:pPr>
              <w:pStyle w:val="25"/>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14:paraId="210F01BE">
            <w:pPr>
              <w:pStyle w:val="25"/>
              <w:keepNext w:val="0"/>
              <w:keepLines w:val="0"/>
              <w:pageBreakBefore w:val="0"/>
              <w:kinsoku/>
              <w:wordWrap w:val="0"/>
              <w:overflowPunct/>
              <w:topLinePunct w:val="0"/>
              <w:bidi w:val="0"/>
              <w:spacing w:before="25" w:line="207" w:lineRule="auto"/>
              <w:ind w:left="126" w:leftChars="0"/>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lang w:eastAsia="zh-CN"/>
              </w:rPr>
              <w:t>【供应商对</w:t>
            </w:r>
            <w:r>
              <w:rPr>
                <w:rFonts w:hint="eastAsia" w:asciiTheme="minorEastAsia" w:hAnsiTheme="minorEastAsia" w:eastAsiaTheme="minorEastAsia" w:cstheme="minorEastAsia"/>
                <w:spacing w:val="19"/>
                <w:sz w:val="24"/>
                <w:szCs w:val="24"/>
                <w:lang w:val="en-US" w:eastAsia="zh-CN"/>
              </w:rPr>
              <w:t>其</w:t>
            </w:r>
            <w:r>
              <w:rPr>
                <w:rFonts w:hint="eastAsia" w:asciiTheme="minorEastAsia" w:hAnsiTheme="minorEastAsia" w:eastAsiaTheme="minorEastAsia" w:cstheme="minorEastAsia"/>
                <w:spacing w:val="19"/>
                <w:sz w:val="24"/>
                <w:szCs w:val="24"/>
                <w:lang w:eastAsia="zh-CN"/>
              </w:rPr>
              <w:t>提供的产品</w:t>
            </w:r>
            <w:r>
              <w:rPr>
                <w:rFonts w:hint="eastAsia" w:asciiTheme="minorEastAsia" w:hAnsiTheme="minorEastAsia" w:eastAsiaTheme="minorEastAsia" w:cstheme="minorEastAsia"/>
                <w:spacing w:val="19"/>
                <w:sz w:val="24"/>
                <w:szCs w:val="24"/>
                <w:lang w:val="en-US" w:eastAsia="zh-CN"/>
              </w:rPr>
              <w:t>应</w:t>
            </w:r>
            <w:r>
              <w:rPr>
                <w:rFonts w:hint="eastAsia" w:asciiTheme="minorEastAsia" w:hAnsiTheme="minorEastAsia" w:eastAsiaTheme="minorEastAsia" w:cstheme="minorEastAsia"/>
                <w:spacing w:val="19"/>
                <w:sz w:val="24"/>
                <w:szCs w:val="24"/>
                <w:lang w:eastAsia="zh-CN"/>
              </w:rPr>
              <w:t>出具《关于符合本国产品标准的声明函》（</w:t>
            </w:r>
            <w:r>
              <w:rPr>
                <w:rFonts w:hint="eastAsia" w:asciiTheme="minorEastAsia" w:hAnsiTheme="minorEastAsia" w:eastAsiaTheme="minorEastAsia" w:cstheme="minorEastAsia"/>
                <w:spacing w:val="19"/>
                <w:sz w:val="24"/>
                <w:szCs w:val="24"/>
                <w:lang w:val="en-US" w:eastAsia="zh-CN"/>
              </w:rPr>
              <w:t>后附</w:t>
            </w:r>
            <w:r>
              <w:rPr>
                <w:rFonts w:hint="eastAsia" w:asciiTheme="minorEastAsia" w:hAnsiTheme="minorEastAsia" w:eastAsiaTheme="minorEastAsia" w:cstheme="minorEastAsia"/>
                <w:spacing w:val="19"/>
                <w:sz w:val="24"/>
                <w:szCs w:val="24"/>
                <w:lang w:eastAsia="zh-CN"/>
              </w:rPr>
              <w:t>）或财政部会同有关部门规定的有关证明文件。】</w:t>
            </w:r>
          </w:p>
        </w:tc>
      </w:tr>
      <w:tr w14:paraId="7D59EE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05CA674">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60B6006C">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15A5C5E5">
            <w:pPr>
              <w:pStyle w:val="25"/>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363229E5">
            <w:pPr>
              <w:pStyle w:val="25"/>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5889C7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25A12A3">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3D75A19A">
            <w:pPr>
              <w:pStyle w:val="25"/>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tc>
      </w:tr>
      <w:tr w14:paraId="088B9C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CC48838">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75C646E2">
            <w:pPr>
              <w:pStyle w:val="2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tc>
      </w:tr>
      <w:tr w14:paraId="630AA9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0D6ABF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41B16A7F">
            <w:pPr>
              <w:pStyle w:val="25"/>
              <w:keepNext w:val="0"/>
              <w:keepLines w:val="0"/>
              <w:pageBreakBefore w:val="0"/>
              <w:widowControl/>
              <w:numPr>
                <w:ilvl w:val="0"/>
                <w:numId w:val="3"/>
              </w:numPr>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租赁和商务服务业 </w:t>
            </w:r>
          </w:p>
          <w:p w14:paraId="0073295C">
            <w:pPr>
              <w:pStyle w:val="25"/>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snapToGrid w:val="0"/>
                <w:color w:val="auto"/>
                <w:spacing w:val="14"/>
                <w:kern w:val="0"/>
                <w:sz w:val="24"/>
                <w:szCs w:val="24"/>
                <w:lang w:val="en-US" w:eastAsia="zh-CN" w:bidi="ar-SA"/>
              </w:rPr>
              <w:t>□本项目专门面向中小企业采购。</w:t>
            </w:r>
          </w:p>
          <w:p w14:paraId="469976D0">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color w:val="auto"/>
                <w:spacing w:val="-13"/>
                <w:sz w:val="24"/>
                <w:szCs w:val="24"/>
                <w:lang w:eastAsia="zh-CN"/>
              </w:rPr>
              <w:t>☑</w:t>
            </w:r>
            <w:r>
              <w:rPr>
                <w:rFonts w:hint="eastAsia" w:asciiTheme="minorEastAsia" w:hAnsiTheme="minorEastAsia" w:eastAsiaTheme="minorEastAsia" w:cstheme="minorEastAsia"/>
                <w:snapToGrid w:val="0"/>
                <w:color w:val="auto"/>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auto"/>
                <w:spacing w:val="29"/>
                <w:kern w:val="0"/>
                <w:sz w:val="24"/>
                <w:szCs w:val="24"/>
                <w:u w:val="single"/>
                <w:lang w:val="en-US" w:eastAsia="zh-CN" w:bidi="ar-SA"/>
              </w:rPr>
              <w:t xml:space="preserve"> 12 </w:t>
            </w:r>
            <w:r>
              <w:rPr>
                <w:rFonts w:hint="eastAsia" w:asciiTheme="minorEastAsia" w:hAnsiTheme="minorEastAsia" w:eastAsiaTheme="minorEastAsia" w:cstheme="minorEastAsia"/>
                <w:snapToGrid w:val="0"/>
                <w:color w:val="auto"/>
                <w:spacing w:val="29"/>
                <w:kern w:val="0"/>
                <w:sz w:val="24"/>
                <w:szCs w:val="24"/>
                <w:lang w:val="en-US" w:eastAsia="zh-CN" w:bidi="ar-SA"/>
              </w:rPr>
              <w:t>%。</w:t>
            </w:r>
          </w:p>
          <w:p w14:paraId="4467C04F">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2F8547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564A7879">
            <w:pPr>
              <w:pStyle w:val="25"/>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0C2CBA0E">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2F2FDDFB">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14:paraId="634EE804">
            <w:pPr>
              <w:pStyle w:val="25"/>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795D6E6B">
            <w:pPr>
              <w:pStyle w:val="25"/>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3F22523C">
            <w:pPr>
              <w:pStyle w:val="25"/>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5E5B73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0E655A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03DD32A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400 </w:t>
            </w:r>
            <w:r>
              <w:rPr>
                <w:rFonts w:hint="eastAsia" w:asciiTheme="minorEastAsia" w:hAnsiTheme="minorEastAsia" w:eastAsiaTheme="minorEastAsia" w:cstheme="minorEastAsia"/>
                <w:snapToGrid w:val="0"/>
                <w:color w:val="000000"/>
                <w:spacing w:val="29"/>
                <w:kern w:val="0"/>
                <w:sz w:val="24"/>
                <w:szCs w:val="24"/>
                <w:lang w:val="en-US" w:eastAsia="zh-CN" w:bidi="ar-SA"/>
              </w:rPr>
              <w:t>万元</w:t>
            </w:r>
          </w:p>
        </w:tc>
      </w:tr>
      <w:tr w14:paraId="23C394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E67505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9E8494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2967B9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0B07AC0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0EDE272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电子投标文件：1份</w:t>
            </w:r>
          </w:p>
        </w:tc>
      </w:tr>
      <w:tr w14:paraId="6676A5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4EFB28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7A6BA07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2026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highlight w:val="none"/>
                <w:u w:val="single"/>
                <w:lang w:val="en-US" w:eastAsia="zh-CN"/>
              </w:rPr>
              <w:t xml:space="preserve"> 8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18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4298CA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3C00CDA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开标时间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524E0C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2026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highlight w:val="none"/>
                <w:u w:val="single"/>
                <w:lang w:val="en-US" w:eastAsia="zh-CN"/>
              </w:rPr>
              <w:t xml:space="preserve"> 8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18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352923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35B0BE0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核心产品</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3347D800">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auto"/>
                <w:sz w:val="24"/>
                <w:szCs w:val="24"/>
                <w:lang w:val="en-US" w:eastAsia="zh-CN"/>
              </w:rPr>
              <w:t>本项目不适用</w:t>
            </w:r>
          </w:p>
        </w:tc>
      </w:tr>
      <w:tr w14:paraId="58150F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05232F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D2E36E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p>
        </w:tc>
      </w:tr>
      <w:tr w14:paraId="0F93BC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0409B1A">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是否采用“暗标”评审</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7F7202BD">
            <w:pPr>
              <w:pStyle w:val="25"/>
              <w:keepNext w:val="0"/>
              <w:keepLines w:val="0"/>
              <w:pageBreakBefore w:val="0"/>
              <w:kinsoku/>
              <w:wordWrap w:val="0"/>
              <w:overflowPunct/>
              <w:topLinePunct w:val="0"/>
              <w:bidi w:val="0"/>
              <w:spacing w:line="223"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 xml:space="preserve">否 </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是，具体要求详见投标人须知</w:t>
            </w:r>
          </w:p>
        </w:tc>
      </w:tr>
      <w:tr w14:paraId="40815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20D1EAF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3A8FC5F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是否委托评标委员会直接确定中标人：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tc>
      </w:tr>
      <w:tr w14:paraId="27652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6D7AF9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代理费</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28450553">
            <w:pPr>
              <w:pStyle w:val="25"/>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074FBFB0">
      <w:pPr>
        <w:pStyle w:val="6"/>
        <w:keepNext w:val="0"/>
        <w:keepLines w:val="0"/>
        <w:pageBreakBefore w:val="0"/>
        <w:kinsoku/>
        <w:wordWrap w:val="0"/>
        <w:overflowPunct/>
        <w:topLinePunct w:val="0"/>
        <w:bidi w:val="0"/>
        <w:spacing w:before="91" w:line="221" w:lineRule="auto"/>
        <w:jc w:val="both"/>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14:paraId="77FBD6C2">
      <w:pPr>
        <w:pStyle w:val="6"/>
        <w:keepNext w:val="0"/>
        <w:keepLines w:val="0"/>
        <w:pageBreakBefore w:val="0"/>
        <w:kinsoku/>
        <w:wordWrap w:val="0"/>
        <w:overflowPunct/>
        <w:topLinePunct w:val="0"/>
        <w:bidi w:val="0"/>
        <w:spacing w:before="91"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14:paraId="76CDBAA0">
      <w:pPr>
        <w:pStyle w:val="6"/>
        <w:keepNext w:val="0"/>
        <w:keepLines w:val="0"/>
        <w:pageBreakBefore w:val="0"/>
        <w:kinsoku/>
        <w:wordWrap w:val="0"/>
        <w:overflowPunct/>
        <w:topLinePunct w:val="0"/>
        <w:bidi w:val="0"/>
        <w:spacing w:before="268" w:line="360" w:lineRule="auto"/>
        <w:jc w:val="both"/>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4"/>
          <w:szCs w:val="24"/>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说明</w:t>
      </w:r>
    </w:p>
    <w:p w14:paraId="3FF9E46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采购人、采购代理机构、投标人、联合体</w:t>
      </w:r>
    </w:p>
    <w:p w14:paraId="29876AC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14:paraId="218A273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17044C0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1BA14CB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资金来源、项目属性、科研仪器设备采购、核心产品</w:t>
      </w:r>
    </w:p>
    <w:p w14:paraId="3A70CD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 xml:space="preserve"> 400 </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9"/>
          <w:sz w:val="24"/>
          <w:szCs w:val="24"/>
        </w:rPr>
        <w:t>。</w:t>
      </w:r>
    </w:p>
    <w:p w14:paraId="50A9D36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2.2</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项目属性见《</w:t>
      </w:r>
      <w:r>
        <w:rPr>
          <w:rFonts w:hint="eastAsia" w:asciiTheme="minorEastAsia" w:hAnsiTheme="minorEastAsia" w:eastAsiaTheme="minorEastAsia" w:cstheme="minorEastAsia"/>
          <w:spacing w:val="7"/>
          <w:sz w:val="24"/>
          <w:szCs w:val="24"/>
          <w:lang w:eastAsia="zh-CN"/>
        </w:rPr>
        <w:t>投标人须知表</w:t>
      </w:r>
      <w:r>
        <w:rPr>
          <w:rFonts w:hint="eastAsia" w:asciiTheme="minorEastAsia" w:hAnsiTheme="minorEastAsia" w:eastAsiaTheme="minorEastAsia" w:cstheme="minorEastAsia"/>
          <w:spacing w:val="7"/>
          <w:sz w:val="24"/>
          <w:szCs w:val="24"/>
        </w:rPr>
        <w:t>》。</w:t>
      </w:r>
    </w:p>
    <w:p w14:paraId="1CBA6EF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8"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rPr>
        <w:t>2.3</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lang w:val="en-US" w:eastAsia="zh-CN"/>
        </w:rPr>
        <w:t xml:space="preserve"> </w:t>
      </w:r>
    </w:p>
    <w:p w14:paraId="5FD391D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w:t>
      </w:r>
      <w:r>
        <w:rPr>
          <w:rFonts w:hint="eastAsia" w:asciiTheme="minorEastAsia" w:hAnsiTheme="minorEastAsia" w:eastAsiaTheme="minorEastAsia" w:cstheme="minorEastAsia"/>
          <w:spacing w:val="-4"/>
          <w:position w:val="17"/>
          <w:sz w:val="24"/>
          <w:szCs w:val="24"/>
          <w:lang w:val="en-US" w:eastAsia="zh-CN"/>
        </w:rPr>
        <w:t xml:space="preserve"> </w:t>
      </w:r>
      <w:r>
        <w:rPr>
          <w:rFonts w:hint="eastAsia" w:asciiTheme="minorEastAsia" w:hAnsiTheme="minorEastAsia" w:eastAsiaTheme="minorEastAsia" w:cstheme="minorEastAsia"/>
          <w:spacing w:val="-4"/>
          <w:position w:val="17"/>
          <w:sz w:val="24"/>
          <w:szCs w:val="24"/>
        </w:rPr>
        <w:t>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14:paraId="7A52BF8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14:paraId="1C5A67C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14:paraId="7249128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由于未参加现场考察或开标前答疑会而导致对项目实际情况不了解，影响投标文件编制、投标报价准确性、综合因素响应不全面等问题的，由投标人自行承担不利评审后果。</w:t>
      </w:r>
    </w:p>
    <w:p w14:paraId="73234C9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6FD0FE6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7EC244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670FAD6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物、工程、服务参与投标，则具体要求见第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6D7C368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0332BD4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7772AA1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6EA570B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0E328B4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1F2A4CD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7608F8C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2A2666F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3A09ADD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1E87A5E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4299668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529AC96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326A1CF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724C421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61EDD5A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321530D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04B5592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28F40E3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60D35F3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14:paraId="063C9EF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14:paraId="1B558A6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14:paraId="4B841A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14:paraId="2AFA0C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line="360" w:lineRule="auto"/>
        <w:ind w:left="0" w:right="0" w:firstLine="448" w:firstLineChars="200"/>
        <w:jc w:val="both"/>
        <w:textAlignment w:val="baseline"/>
        <w:rPr>
          <w:rFonts w:hint="eastAsia" w:asciiTheme="minorEastAsia" w:hAnsiTheme="minorEastAsia" w:eastAsiaTheme="minorEastAsia" w:cstheme="minorEastAsia"/>
          <w:b w:val="0"/>
          <w:snapToGrid w:val="0"/>
          <w:color w:val="000000"/>
          <w:spacing w:val="-8"/>
          <w:kern w:val="0"/>
          <w:sz w:val="24"/>
          <w:szCs w:val="24"/>
          <w:lang w:val="en-US" w:eastAsia="en-US" w:bidi="ar-SA"/>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.3.1</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en-US" w:bidi="ar-SA"/>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2EA621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.3.2</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采购人拟采购的产品属于品目清单范围的，采购人及其委托的采购代理机构依据</w:t>
      </w:r>
      <w:r>
        <w:rPr>
          <w:rFonts w:hint="eastAsia" w:asciiTheme="minorEastAsia" w:hAnsiTheme="minorEastAsia" w:eastAsiaTheme="minorEastAsia" w:cstheme="minorEastAsia"/>
          <w:spacing w:val="-8"/>
          <w:sz w:val="24"/>
          <w:szCs w:val="24"/>
        </w:rPr>
        <w:t>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5ED8A4A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14:paraId="2BA20B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评标程序、评标方法和评标标准》（如涉及）。</w:t>
      </w:r>
    </w:p>
    <w:p w14:paraId="35C8414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4 </w:t>
      </w:r>
      <w:r>
        <w:rPr>
          <w:rFonts w:hint="eastAsia" w:asciiTheme="minorEastAsia" w:hAnsiTheme="minorEastAsia" w:eastAsiaTheme="minorEastAsia" w:cstheme="minorEastAsia"/>
          <w:spacing w:val="2"/>
          <w:sz w:val="24"/>
          <w:szCs w:val="24"/>
        </w:rPr>
        <w:t>采购需求标准</w:t>
      </w:r>
    </w:p>
    <w:p w14:paraId="1722BDF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2D1DFF3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2"/>
          <w:sz w:val="24"/>
          <w:szCs w:val="24"/>
          <w:lang w:val="en-US" w:eastAsia="zh-CN"/>
        </w:rPr>
        <w:t xml:space="preserve">4.4.2 </w:t>
      </w:r>
      <w:r>
        <w:rPr>
          <w:rFonts w:hint="eastAsia" w:asciiTheme="minorEastAsia" w:hAnsiTheme="minorEastAsia" w:eastAsiaTheme="minorEastAsia" w:cstheme="minorEastAsia"/>
          <w:spacing w:val="-12"/>
          <w:sz w:val="24"/>
          <w:szCs w:val="24"/>
        </w:rPr>
        <w:t>绿色数据中心政府采购需求标准（试行）</w:t>
      </w:r>
    </w:p>
    <w:p w14:paraId="2DA9CFA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39B3BA0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14:paraId="0BE4363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527E7189">
      <w:pPr>
        <w:keepNext w:val="0"/>
        <w:keepLines w:val="0"/>
        <w:pageBreakBefore w:val="0"/>
        <w:kinsoku/>
        <w:wordWrap w:val="0"/>
        <w:overflowPunct/>
        <w:topLinePunct w:val="0"/>
        <w:bidi w:val="0"/>
        <w:spacing w:line="360" w:lineRule="auto"/>
        <w:ind w:firstLine="466" w:firstLineChars="200"/>
        <w:jc w:val="both"/>
        <w:rPr>
          <w:rFonts w:hint="eastAsia" w:asciiTheme="minorEastAsia" w:hAnsiTheme="minorEastAsia" w:eastAsiaTheme="minorEastAsia" w:cstheme="minorEastAsia"/>
          <w:b/>
          <w:bCs/>
          <w:snapToGrid w:val="0"/>
          <w:color w:val="auto"/>
          <w:spacing w:val="-4"/>
          <w:kern w:val="0"/>
          <w:sz w:val="24"/>
          <w:szCs w:val="24"/>
          <w:lang w:val="en-US" w:eastAsia="zh-CN" w:bidi="ar-SA"/>
        </w:rPr>
      </w:pPr>
      <w:r>
        <w:rPr>
          <w:rFonts w:hint="eastAsia" w:asciiTheme="minorEastAsia" w:hAnsiTheme="minorEastAsia" w:eastAsiaTheme="minorEastAsia" w:cstheme="minorEastAsia"/>
          <w:b/>
          <w:bCs/>
          <w:snapToGrid w:val="0"/>
          <w:color w:val="auto"/>
          <w:spacing w:val="-4"/>
          <w:kern w:val="0"/>
          <w:sz w:val="24"/>
          <w:szCs w:val="24"/>
          <w:lang w:val="en-US" w:eastAsia="zh-CN" w:bidi="ar-SA"/>
        </w:rPr>
        <w:t>6.采购范围及适用法律</w:t>
      </w:r>
    </w:p>
    <w:p w14:paraId="5054DBC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6.1 本次招标适用的法律、法规为《中华人民共和国政府采购法》《中华人民共和国政府采购法实施条例》《政府采购货物和服务招标投标管理办法》《中华人民共和国民法典》以及其他相关政府采购法律法规。</w:t>
      </w:r>
    </w:p>
    <w:p w14:paraId="5FB6911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6898415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6.3 “服务”指招标文件规定投标人应承担的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后勤委托管理 </w:t>
      </w:r>
      <w:r>
        <w:rPr>
          <w:rFonts w:hint="eastAsia" w:asciiTheme="minorEastAsia" w:hAnsiTheme="minorEastAsia" w:eastAsiaTheme="minorEastAsia" w:cstheme="minorEastAsia"/>
          <w:snapToGrid w:val="0"/>
          <w:color w:val="000000"/>
          <w:spacing w:val="-4"/>
          <w:kern w:val="0"/>
          <w:sz w:val="24"/>
          <w:szCs w:val="24"/>
          <w:lang w:val="en-US" w:eastAsia="zh-CN" w:bidi="ar-SA"/>
        </w:rPr>
        <w:t>服务。</w:t>
      </w:r>
    </w:p>
    <w:p w14:paraId="537E018C">
      <w:pPr>
        <w:pStyle w:val="23"/>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77FFF0D0">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7D99C914">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14:paraId="79C2363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4" w:firstLineChars="200"/>
        <w:jc w:val="both"/>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14:paraId="7698F387">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 招标文件包括以下部分：</w:t>
      </w:r>
    </w:p>
    <w:p w14:paraId="7C99C409">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14:paraId="6D05A809">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14:paraId="767EC70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 投标人须知</w:t>
      </w:r>
    </w:p>
    <w:p w14:paraId="51F61C97">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 开、评标程序、评标方法和评标标准</w:t>
      </w:r>
    </w:p>
    <w:p w14:paraId="597CF69F">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 政府采购合同（草案）</w:t>
      </w:r>
    </w:p>
    <w:p w14:paraId="677513D0">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 投标文件格式</w:t>
      </w:r>
    </w:p>
    <w:p w14:paraId="16D5D67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14:paraId="6738368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50"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14:paraId="3ADFB48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 采购人或采购代理机构对已发出的招标文件进行必要澄清或者修改的，将在原公告发布媒体上发布更正公告，不得改变采购标的和资格条件。</w:t>
      </w:r>
    </w:p>
    <w:p w14:paraId="49F9EF0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14:paraId="53C94BF1">
      <w:pPr>
        <w:keepNext w:val="0"/>
        <w:keepLines w:val="0"/>
        <w:pageBreakBefore w:val="0"/>
        <w:widowControl/>
        <w:overflowPunct/>
        <w:topLinePunct w:val="0"/>
        <w:autoSpaceDE w:val="0"/>
        <w:autoSpaceDN w:val="0"/>
        <w:bidi w:val="0"/>
        <w:adjustRightInd w:val="0"/>
        <w:snapToGrid w:val="0"/>
        <w:spacing w:line="400" w:lineRule="exact"/>
        <w:ind w:firstLine="450" w:firstLineChars="200"/>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w:t>
      </w:r>
      <w:r>
        <w:rPr>
          <w:rFonts w:hint="eastAsia" w:asciiTheme="minorEastAsia" w:hAnsiTheme="minorEastAsia" w:eastAsiaTheme="minorEastAsia" w:cstheme="minorEastAsia"/>
          <w:b/>
          <w:bCs/>
          <w:snapToGrid w:val="0"/>
          <w:color w:val="000000"/>
          <w:spacing w:val="-8"/>
          <w:kern w:val="0"/>
          <w:sz w:val="24"/>
          <w:szCs w:val="24"/>
          <w:lang w:val="en-US" w:eastAsia="zh-CN" w:bidi="ar-SA"/>
        </w:rPr>
        <w:t>全国公共资源交易平台(河南省·南阳市)</w:t>
      </w:r>
      <w:r>
        <w:rPr>
          <w:rFonts w:hint="eastAsia" w:asciiTheme="minorEastAsia" w:hAnsiTheme="minorEastAsia" w:eastAsiaTheme="minorEastAsia" w:cstheme="minorEastAsia"/>
          <w:b/>
          <w:bCs/>
          <w:spacing w:val="-8"/>
          <w:sz w:val="24"/>
          <w:szCs w:val="24"/>
          <w:lang w:val="en-US" w:eastAsia="zh-CN"/>
        </w:rPr>
        <w:t>”发布，请潜在投标供应商随时查询有关公告信息。若因潜在投标供应商没有及时查看到公告信息而造成的投标失误，责任自负。</w:t>
      </w:r>
    </w:p>
    <w:p w14:paraId="52C227D5">
      <w:pPr>
        <w:pStyle w:val="6"/>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 投标人应关注是否有发布最新的澄清更正公告和更正的最新招标文件（电子答疑文件），如有则需下载最新的招标文件，并在此基础上制作最新的投标文件并上传。</w:t>
      </w:r>
    </w:p>
    <w:p w14:paraId="07BA5AD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p>
    <w:p w14:paraId="2A1BEE9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14:paraId="68908491">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14:paraId="4FE889D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本项目如划分采购包，投标人可以对本项目的其中一个采购包进行投标，也可同时对多个采购包进行投标。投标人应当对所投采购包对应第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14:paraId="4C142B79">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除招标文件有特殊要求外，本项目投标所使用的计量单位，应采用中华人民共和国法定计量单位。</w:t>
      </w:r>
    </w:p>
    <w:p w14:paraId="315F350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624519F">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14:paraId="005151F4">
      <w:pPr>
        <w:keepNext w:val="0"/>
        <w:keepLines w:val="0"/>
        <w:pageBreakBefore w:val="0"/>
        <w:widowControl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技术文件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《商务</w:t>
      </w:r>
      <w:r>
        <w:rPr>
          <w:rFonts w:hint="eastAsia" w:asciiTheme="minorEastAsia" w:hAnsiTheme="minorEastAsia" w:eastAsiaTheme="minorEastAsia" w:cstheme="minorEastAsia"/>
          <w:sz w:val="24"/>
          <w:szCs w:val="24"/>
          <w:lang w:val="en-US" w:eastAsia="zh-CN"/>
        </w:rPr>
        <w:t>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rPr>
        <w:t>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14:paraId="035AB411">
      <w:pPr>
        <w:pStyle w:val="33"/>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14:paraId="1F440583">
      <w:pPr>
        <w:pStyle w:val="33"/>
        <w:snapToGrid w:val="0"/>
        <w:spacing w:line="360" w:lineRule="auto"/>
        <w:ind w:firstLine="480" w:firstLineChars="200"/>
        <w:textAlignment w:val="auto"/>
        <w:rPr>
          <w:rFonts w:hint="eastAsia" w:hAnsi="宋体" w:cs="宋体"/>
          <w:sz w:val="24"/>
          <w:szCs w:val="24"/>
        </w:rPr>
      </w:pPr>
      <w:r>
        <w:rPr>
          <w:rFonts w:hint="eastAsia" w:asciiTheme="minorEastAsia" w:hAnsiTheme="minorEastAsia" w:eastAsiaTheme="minorEastAsia" w:cstheme="minorEastAsia"/>
          <w:sz w:val="24"/>
          <w:szCs w:val="24"/>
          <w:lang w:val="en-US" w:eastAsia="zh-CN"/>
        </w:rPr>
        <w:t xml:space="preserve">10.3 </w:t>
      </w:r>
      <w:r>
        <w:rPr>
          <w:rFonts w:hint="eastAsia" w:hAnsi="宋体" w:cs="宋体"/>
          <w:sz w:val="24"/>
          <w:szCs w:val="24"/>
        </w:rPr>
        <w:t>投标文件应严格按照政府采购法律法规和招标文件要求，分开编制商务标和技术标，对能明显区分投标供应商的内容，应放入商务标；技术标中不能出现涉及投标供应商名称及相关提示内容的任何信息。</w:t>
      </w:r>
    </w:p>
    <w:p w14:paraId="0C8B0C64">
      <w:pPr>
        <w:pStyle w:val="33"/>
        <w:snapToGrid w:val="0"/>
        <w:spacing w:line="360" w:lineRule="auto"/>
        <w:ind w:firstLine="480" w:firstLine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10.4</w:t>
      </w:r>
      <w:r>
        <w:rPr>
          <w:rFonts w:hint="eastAsia" w:hAnsi="宋体" w:cs="宋体"/>
          <w:b/>
          <w:bCs/>
          <w:sz w:val="24"/>
          <w:szCs w:val="24"/>
          <w:lang w:val="en-US" w:eastAsia="zh-CN"/>
        </w:rPr>
        <w:t xml:space="preserve"> </w:t>
      </w:r>
      <w:r>
        <w:rPr>
          <w:rFonts w:hint="eastAsia" w:ascii="宋体" w:hAnsi="宋体" w:cs="宋体"/>
          <w:b/>
          <w:bCs/>
          <w:sz w:val="24"/>
          <w:szCs w:val="24"/>
          <w:lang w:val="en-US" w:eastAsia="zh-CN"/>
        </w:rPr>
        <w:t>技术标文件制作要求：</w:t>
      </w:r>
    </w:p>
    <w:p w14:paraId="4E6A4218">
      <w:pPr>
        <w:pStyle w:val="33"/>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10.4.1</w:t>
      </w:r>
      <w:r>
        <w:rPr>
          <w:rFonts w:hint="eastAsia" w:hAnsi="宋体" w:cs="宋体"/>
          <w:b/>
          <w:bCs/>
          <w:sz w:val="24"/>
          <w:szCs w:val="24"/>
        </w:rPr>
        <w:t>版面要求：A4纸张大小，纵向排版，不设置封面。</w:t>
      </w:r>
    </w:p>
    <w:p w14:paraId="60AE4BDD">
      <w:pPr>
        <w:pStyle w:val="33"/>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w:t>
      </w:r>
      <w:r>
        <w:rPr>
          <w:rFonts w:hint="eastAsia" w:hAnsi="宋体" w:cs="宋体"/>
          <w:b/>
          <w:bCs/>
          <w:sz w:val="24"/>
          <w:szCs w:val="24"/>
        </w:rPr>
        <w:t>2颜色要求：所有文字、图表均为黑色。</w:t>
      </w:r>
    </w:p>
    <w:p w14:paraId="377B7A3F">
      <w:pPr>
        <w:pStyle w:val="33"/>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w:t>
      </w:r>
      <w:r>
        <w:rPr>
          <w:rFonts w:hint="eastAsia" w:hAnsi="宋体" w:cs="宋体"/>
          <w:b/>
          <w:bCs/>
          <w:sz w:val="24"/>
          <w:szCs w:val="24"/>
        </w:rPr>
        <w:t>3字体要求：标题及正文部分所用文字均采用“宋体”四号“常规”字；图、表内的字体及字号不作要求；所有字体均不得出现加粗、加色、倾斜、下划线等标记。</w:t>
      </w:r>
    </w:p>
    <w:p w14:paraId="0F3C3B4B">
      <w:pPr>
        <w:pStyle w:val="33"/>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10.4.4</w:t>
      </w:r>
      <w:r>
        <w:rPr>
          <w:rFonts w:hint="eastAsia" w:hAnsi="宋体" w:cs="宋体"/>
          <w:b/>
          <w:bCs/>
          <w:sz w:val="24"/>
          <w:szCs w:val="24"/>
        </w:rPr>
        <w:t>排版要求：页边距要求上、下边距3厘米，左、右页边距2厘米；不得设置目录；段落格式对齐方式统一设为左对齐；正文首行缩进2字符；标题缩进量为0、不设置首行缩进；不得有空格；正文、标题行间距为固定值25磅；段前段后间距为0，且段落前后不得设置空行；不得设置页眉、页脚和页码；图、表部分对齐形式设为居中对齐；标题规则：一级“一、”二级“（一）”三级“1.”四级“（1）”五级“1）”六级“a.”七级“a)”。</w:t>
      </w:r>
    </w:p>
    <w:p w14:paraId="351C1EBD">
      <w:pPr>
        <w:pStyle w:val="33"/>
        <w:snapToGrid w:val="0"/>
        <w:spacing w:line="360" w:lineRule="auto"/>
        <w:ind w:firstLine="482" w:firstLineChars="200"/>
        <w:textAlignment w:val="auto"/>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hAnsi="宋体" w:eastAsia="宋体" w:cs="宋体"/>
          <w:b/>
          <w:bCs/>
          <w:sz w:val="24"/>
          <w:szCs w:val="24"/>
          <w:lang w:val="en-US" w:eastAsia="zh-CN"/>
        </w:rPr>
        <w:t>10.4.</w:t>
      </w:r>
      <w:r>
        <w:rPr>
          <w:rFonts w:hint="eastAsia" w:hAnsi="宋体" w:cs="宋体"/>
          <w:b/>
          <w:bCs/>
          <w:sz w:val="24"/>
          <w:szCs w:val="24"/>
        </w:rPr>
        <w:t>5除满足上述各项要求外，技术“暗标”中不得出现任何行间插字或删除痕迹，构成投标文件的“技术暗标”的正文中不得出现投标人的名称和其它可识别投标人身份的字符、徽标、人员名称以及其他特殊标记等。</w:t>
      </w:r>
    </w:p>
    <w:p w14:paraId="68BFF8C0">
      <w:pPr>
        <w:pStyle w:val="33"/>
        <w:snapToGrid w:val="0"/>
        <w:spacing w:line="360" w:lineRule="auto"/>
        <w:ind w:firstLine="490" w:firstLineChars="200"/>
        <w:textAlignment w:val="auto"/>
        <w:rPr>
          <w:rFonts w:hint="default" w:hAnsi="宋体" w:cs="宋体"/>
          <w:b/>
          <w:bCs/>
          <w:sz w:val="24"/>
          <w:szCs w:val="24"/>
          <w:lang w:val="en-US"/>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10.4.6编写软件及版本要求:MicrosoftWord2007或以上。</w:t>
      </w:r>
    </w:p>
    <w:p w14:paraId="2AC967A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14:paraId="530CF5A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14:paraId="3E951FA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7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486F95CC">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8 </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14:paraId="59EA0E17">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10.9 </w:t>
      </w:r>
      <w:r>
        <w:rPr>
          <w:rFonts w:hint="eastAsia" w:asciiTheme="minorEastAsia" w:hAnsiTheme="minorEastAsia" w:eastAsiaTheme="minorEastAsia" w:cstheme="minorEastAsia"/>
          <w:sz w:val="24"/>
          <w:szCs w:val="24"/>
          <w:lang w:eastAsia="zh-CN"/>
        </w:rPr>
        <w:t>投标人认为应附的其他材料。</w:t>
      </w:r>
    </w:p>
    <w:p w14:paraId="60FCF3EA">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投标报价</w:t>
      </w:r>
    </w:p>
    <w:p w14:paraId="3A221629">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所有投标均以人民币报价。</w:t>
      </w:r>
    </w:p>
    <w:p w14:paraId="605C563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投标人的报价应包括为完成本项目所发生的一切费用和税费，采购人将不再支付报价以外的任何费用。投标人的报价应包括但不限于下列内容，</w:t>
      </w:r>
      <w:r>
        <w:rPr>
          <w:rFonts w:hint="eastAsia" w:asciiTheme="minorEastAsia" w:hAnsiTheme="minorEastAsia" w:eastAsiaTheme="minorEastAsia" w:cstheme="minorEastAsia"/>
          <w:sz w:val="24"/>
          <w:szCs w:val="24"/>
          <w:lang w:val="en-US" w:eastAsia="zh-CN"/>
        </w:rPr>
        <w:t>招标文件</w:t>
      </w:r>
      <w:r>
        <w:rPr>
          <w:rFonts w:hint="eastAsia" w:asciiTheme="minorEastAsia" w:hAnsiTheme="minorEastAsia" w:eastAsiaTheme="minorEastAsia" w:cstheme="minorEastAsia"/>
          <w:sz w:val="24"/>
          <w:szCs w:val="24"/>
        </w:rPr>
        <w:t>中有特殊规定的，从其规定。</w:t>
      </w:r>
    </w:p>
    <w:p w14:paraId="3F29613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34AC192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按照招标文件要求完成本项目的全部相关费用。</w:t>
      </w:r>
    </w:p>
    <w:p w14:paraId="6FFB29D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427B6649">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14:paraId="5A80E455">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11.5 </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14:paraId="0139C593">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 xml:space="preserve">11.6 </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E092921">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14:paraId="4AD1A5D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14:paraId="6E3C227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14:paraId="6D270E4D">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14:paraId="7DC2E2D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14:paraId="3E4E934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招标文件要求盖章的内容，一般通过</w:t>
      </w:r>
      <w:r>
        <w:rPr>
          <w:rFonts w:hint="eastAsia" w:asciiTheme="minorEastAsia" w:hAnsiTheme="minorEastAsia" w:eastAsiaTheme="minorEastAsia" w:cstheme="minorEastAsia"/>
          <w:sz w:val="24"/>
          <w:szCs w:val="24"/>
          <w:lang w:val="en-US" w:eastAsia="zh-CN"/>
        </w:rPr>
        <w:t>CA</w:t>
      </w:r>
      <w:r>
        <w:rPr>
          <w:rFonts w:hint="eastAsia" w:asciiTheme="minorEastAsia" w:hAnsiTheme="minorEastAsia" w:eastAsiaTheme="minorEastAsia" w:cstheme="minorEastAsia"/>
          <w:sz w:val="24"/>
          <w:szCs w:val="24"/>
        </w:rPr>
        <w:t>加盖电子签章。</w:t>
      </w:r>
    </w:p>
    <w:p w14:paraId="07AC238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41B6154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14:paraId="0A5A4EF7">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86"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14:paraId="557C001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14:paraId="4D0C562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14:paraId="09A2A10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14:paraId="6FD1295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14:paraId="4AB2483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14:paraId="17430D3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14:paraId="7EA9C3B1">
      <w:pPr>
        <w:pStyle w:val="6"/>
        <w:keepNext w:val="0"/>
        <w:keepLines w:val="0"/>
        <w:pageBreakBefore w:val="0"/>
        <w:kinsoku/>
        <w:wordWrap w:val="0"/>
        <w:overflowPunct/>
        <w:topLinePunct w:val="0"/>
        <w:bidi w:val="0"/>
        <w:spacing w:before="353" w:line="219" w:lineRule="auto"/>
        <w:jc w:val="both"/>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CF1F8C7">
      <w:pPr>
        <w:pStyle w:val="13"/>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A3FE142">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C528360">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BFA6DD8">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7A0E5884">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7850DA33">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3EA0B1DE">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7E57943">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385CDB7C">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89F4573">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1582D90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4898764E">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 xml:space="preserve"> 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14:paraId="4AC40E87">
      <w:pPr>
        <w:pStyle w:val="6"/>
        <w:keepNext w:val="0"/>
        <w:keepLines w:val="0"/>
        <w:pageBreakBefore w:val="0"/>
        <w:kinsoku/>
        <w:wordWrap w:val="0"/>
        <w:overflowPunct/>
        <w:topLinePunct w:val="0"/>
        <w:bidi w:val="0"/>
        <w:spacing w:before="255" w:line="221" w:lineRule="auto"/>
        <w:ind w:left="3942"/>
        <w:jc w:val="both"/>
        <w:outlineLvl w:val="2"/>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14:paraId="56F54493">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14:paraId="14D4B552">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14:paraId="7EDD4E7F">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2.开标：</w:t>
      </w:r>
    </w:p>
    <w:p w14:paraId="299536B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 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14:paraId="18639A3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3C177BC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 宣布开标结束。</w:t>
      </w:r>
    </w:p>
    <w:p w14:paraId="1DFD1E7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p>
    <w:p w14:paraId="4C1B8AC9">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2"/>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14:paraId="009869BB">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14:paraId="2763BB6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14:paraId="40E6DD3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3.资格审查合格的投标人不足3家的，不进行评标。</w:t>
      </w:r>
    </w:p>
    <w:p w14:paraId="4D1DB8CF">
      <w:pPr>
        <w:pStyle w:val="23"/>
        <w:rPr>
          <w:rFonts w:hint="eastAsia"/>
          <w:lang w:val="en-US" w:eastAsia="zh-CN"/>
        </w:rPr>
      </w:pPr>
    </w:p>
    <w:p w14:paraId="27BCC665">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14:paraId="104BE9BB">
      <w:pPr>
        <w:keepNext w:val="0"/>
        <w:keepLines w:val="0"/>
        <w:pageBreakBefore w:val="0"/>
        <w:kinsoku/>
        <w:wordWrap w:val="0"/>
        <w:overflowPunct/>
        <w:topLinePunct w:val="0"/>
        <w:bidi w:val="0"/>
        <w:spacing w:line="146" w:lineRule="exact"/>
        <w:jc w:val="both"/>
        <w:rPr>
          <w:rFonts w:hint="eastAsia" w:asciiTheme="minorEastAsia" w:hAnsiTheme="minorEastAsia" w:eastAsiaTheme="minorEastAsia" w:cstheme="minorEastAsia"/>
        </w:rPr>
      </w:pPr>
    </w:p>
    <w:tbl>
      <w:tblPr>
        <w:tblStyle w:val="24"/>
        <w:tblW w:w="8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61"/>
        <w:gridCol w:w="3600"/>
        <w:gridCol w:w="2967"/>
      </w:tblGrid>
      <w:tr w14:paraId="45067B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vAlign w:val="top"/>
          </w:tcPr>
          <w:p w14:paraId="39DD36FA">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61" w:type="dxa"/>
            <w:vAlign w:val="top"/>
          </w:tcPr>
          <w:p w14:paraId="4D3233B6">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3600" w:type="dxa"/>
            <w:vAlign w:val="top"/>
          </w:tcPr>
          <w:p w14:paraId="79875504">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2967" w:type="dxa"/>
            <w:vAlign w:val="top"/>
          </w:tcPr>
          <w:p w14:paraId="1477F815">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76E44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29" w:type="dxa"/>
            <w:vAlign w:val="center"/>
          </w:tcPr>
          <w:p w14:paraId="61070C0A">
            <w:pPr>
              <w:pStyle w:val="25"/>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1E3621D3">
            <w:pPr>
              <w:pStyle w:val="25"/>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61" w:type="dxa"/>
            <w:vAlign w:val="center"/>
          </w:tcPr>
          <w:p w14:paraId="21B78BBF">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投标人具备的</w:t>
            </w:r>
            <w:r>
              <w:rPr>
                <w:rFonts w:hint="eastAsia" w:asciiTheme="minorEastAsia" w:hAnsiTheme="minorEastAsia" w:eastAsiaTheme="minorEastAsia" w:cstheme="minorEastAsia"/>
                <w:spacing w:val="-2"/>
                <w:sz w:val="24"/>
                <w:szCs w:val="24"/>
              </w:rPr>
              <w:t>资格要求</w:t>
            </w:r>
          </w:p>
        </w:tc>
        <w:tc>
          <w:tcPr>
            <w:tcW w:w="3600" w:type="dxa"/>
            <w:vAlign w:val="top"/>
          </w:tcPr>
          <w:p w14:paraId="11A44CB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14:paraId="039E821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14:paraId="1164C339">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14:paraId="16E81B69">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14:paraId="60BFBEB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14:paraId="5B0B110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412A40C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2967" w:type="dxa"/>
            <w:vAlign w:val="top"/>
          </w:tcPr>
          <w:p w14:paraId="4F776756">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投标人为企业（包括合伙企业、个体工商户）的，应提供有效的营业执照；</w:t>
            </w:r>
          </w:p>
          <w:p w14:paraId="44724EBD">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投标人为事业单位的，应提供有效的事业单位法人证书；</w:t>
            </w:r>
          </w:p>
          <w:p w14:paraId="6B81B4E9">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投标人是非企业机构的，应提供有效的执业许可证、登记证书等证明文件；</w:t>
            </w:r>
          </w:p>
          <w:p w14:paraId="70B7593B">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投标人是自然人的，应提供有效的自然人身份证明。</w:t>
            </w:r>
          </w:p>
          <w:p w14:paraId="1CA8150D">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5E0C7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9" w:type="dxa"/>
            <w:vAlign w:val="top"/>
          </w:tcPr>
          <w:p w14:paraId="0649D8A0">
            <w:pPr>
              <w:pStyle w:val="25"/>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061" w:type="dxa"/>
            <w:vAlign w:val="top"/>
          </w:tcPr>
          <w:p w14:paraId="26B03830">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600" w:type="dxa"/>
            <w:vAlign w:val="top"/>
          </w:tcPr>
          <w:p w14:paraId="5AB63DB1">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2967" w:type="dxa"/>
            <w:vAlign w:val="top"/>
          </w:tcPr>
          <w:p w14:paraId="62C5FBCB">
            <w:pPr>
              <w:pStyle w:val="25"/>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1C7EE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9" w:type="dxa"/>
            <w:vAlign w:val="top"/>
          </w:tcPr>
          <w:p w14:paraId="7377F91B">
            <w:pPr>
              <w:pStyle w:val="2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C2D0178">
            <w:pPr>
              <w:pStyle w:val="2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67C8081F">
            <w:pPr>
              <w:pStyle w:val="2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A18E535">
            <w:pPr>
              <w:pStyle w:val="2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1989DE21">
            <w:pPr>
              <w:pStyle w:val="2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664F6A2C">
            <w:pPr>
              <w:pStyle w:val="2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5D174CA5">
            <w:pPr>
              <w:pStyle w:val="2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6EEB7B73">
            <w:pPr>
              <w:pStyle w:val="2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0F12C48F">
            <w:pPr>
              <w:pStyle w:val="2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674E88FF">
            <w:pPr>
              <w:pStyle w:val="25"/>
              <w:keepNext w:val="0"/>
              <w:keepLines w:val="0"/>
              <w:pageBreakBefore w:val="0"/>
              <w:kinsoku/>
              <w:wordWrap w:val="0"/>
              <w:overflowPunct/>
              <w:topLinePunct w:val="0"/>
              <w:bidi w:val="0"/>
              <w:spacing w:before="49" w:line="19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61" w:type="dxa"/>
            <w:vAlign w:val="top"/>
          </w:tcPr>
          <w:p w14:paraId="118A3497">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713F85A">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E5674EA">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467CCCC">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0B8F960">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FDEB1C9">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67FD5B2">
            <w:pPr>
              <w:pStyle w:val="2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48575E9F">
            <w:pPr>
              <w:pStyle w:val="2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29530CE0">
            <w:pPr>
              <w:pStyle w:val="2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6C223342">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600" w:type="dxa"/>
            <w:vAlign w:val="top"/>
          </w:tcPr>
          <w:p w14:paraId="38EF4504">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2ACE1EFE">
            <w:pPr>
              <w:pStyle w:val="25"/>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1、投标人单独投标的，应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6B940BDE">
            <w:pPr>
              <w:pStyle w:val="25"/>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2、如招标文件要求以联合体形式参加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Theme="minorEastAsia" w:hAnsiTheme="minorEastAsia" w:eastAsiaTheme="minorEastAsia" w:cstheme="minorEastAsia"/>
                <w:spacing w:val="-4"/>
                <w:sz w:val="24"/>
                <w:szCs w:val="24"/>
              </w:rPr>
              <w:t>关于预留份额的要求。</w:t>
            </w:r>
          </w:p>
        </w:tc>
        <w:tc>
          <w:tcPr>
            <w:tcW w:w="2967" w:type="dxa"/>
            <w:vAlign w:val="top"/>
          </w:tcPr>
          <w:p w14:paraId="27D4255A">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D664EF1">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B27F22C">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778105B">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3C513C2">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CD52EC5">
            <w:pPr>
              <w:pStyle w:val="2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F830C76">
            <w:pPr>
              <w:pStyle w:val="2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416A47DE">
            <w:pPr>
              <w:pStyle w:val="2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08CE9EA">
            <w:pPr>
              <w:pStyle w:val="2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2AD2EF5A">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14:paraId="1A18D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9" w:type="dxa"/>
            <w:vAlign w:val="top"/>
          </w:tcPr>
          <w:p w14:paraId="2B6177A8">
            <w:pPr>
              <w:pStyle w:val="25"/>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61" w:type="dxa"/>
            <w:vAlign w:val="top"/>
          </w:tcPr>
          <w:p w14:paraId="68ADF83F">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求</w:t>
            </w:r>
          </w:p>
        </w:tc>
        <w:tc>
          <w:tcPr>
            <w:tcW w:w="3600" w:type="dxa"/>
            <w:vAlign w:val="top"/>
          </w:tcPr>
          <w:p w14:paraId="49226FD7">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2967" w:type="dxa"/>
            <w:vAlign w:val="top"/>
          </w:tcPr>
          <w:p w14:paraId="0295B985">
            <w:pPr>
              <w:pStyle w:val="25"/>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0BC01EBF">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42FABAFA">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p>
    <w:p w14:paraId="013B96C2">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14:paraId="484A768D">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14:paraId="0DCB6E51">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41F1E3D5">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14:paraId="657D7FBB">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14:paraId="18D508B7">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14:paraId="6372CE68">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83C2661">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14:paraId="288390E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（1）评标委员会组成不符合本办法规定的;</w:t>
      </w:r>
    </w:p>
    <w:p w14:paraId="3D528ED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（2）政府采购货物和服务招标投标管理办法（87号令）第六十二条第一至五项情形的;</w:t>
      </w:r>
    </w:p>
    <w:p w14:paraId="712CB6B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（3）评标委员会及其成员独立评标受到非法干预的;</w:t>
      </w:r>
    </w:p>
    <w:p w14:paraId="12A108D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（4）有政府采购法实施条例第七十五条规定的违法行为的。</w:t>
      </w:r>
    </w:p>
    <w:p w14:paraId="308B0F6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14:paraId="46C1708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8.评审活动结束，按照《河南省政府采购评审专家劳务报酬支付标准》的通知(豫财购〔2017〕9号)的规定，发放劳务报酬。</w:t>
      </w:r>
    </w:p>
    <w:p w14:paraId="5055EB7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4" w:firstLineChars="200"/>
        <w:jc w:val="both"/>
        <w:textAlignment w:val="baseline"/>
        <w:rPr>
          <w:rFonts w:hint="eastAsia" w:asciiTheme="minorEastAsia" w:hAnsiTheme="minorEastAsia" w:eastAsiaTheme="minorEastAsia" w:cstheme="minorEastAsia"/>
          <w:b/>
          <w:bCs/>
          <w:spacing w:val="3"/>
          <w:sz w:val="24"/>
          <w:szCs w:val="24"/>
          <w:lang w:val="en-US" w:eastAsia="zh-CN"/>
        </w:rPr>
      </w:pPr>
    </w:p>
    <w:p w14:paraId="17059730">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14:paraId="3CDB69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14:paraId="377E260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评标委员会对资格审查合格的投标人的投标文件进行符合性审查，以</w:t>
      </w:r>
    </w:p>
    <w:p w14:paraId="048F0325">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确定其</w:t>
      </w:r>
      <w:r>
        <w:rPr>
          <w:rFonts w:hint="eastAsia" w:asciiTheme="minorEastAsia" w:hAnsiTheme="minorEastAsia" w:eastAsiaTheme="minorEastAsia" w:cstheme="minorEastAsia"/>
          <w:spacing w:val="-3"/>
          <w:sz w:val="24"/>
          <w:szCs w:val="24"/>
        </w:rPr>
        <w:t>是否满足招标文件的实质性要求。</w:t>
      </w:r>
    </w:p>
    <w:p w14:paraId="227FC2C7">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14:paraId="395EE62E">
      <w:pPr>
        <w:pStyle w:val="6"/>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14:paraId="2E1B8CE8">
      <w:pPr>
        <w:keepNext w:val="0"/>
        <w:keepLines w:val="0"/>
        <w:pageBreakBefore w:val="0"/>
        <w:kinsoku/>
        <w:wordWrap w:val="0"/>
        <w:overflowPunct/>
        <w:topLinePunct w:val="0"/>
        <w:bidi w:val="0"/>
        <w:spacing w:line="145" w:lineRule="exact"/>
        <w:jc w:val="both"/>
        <w:rPr>
          <w:rFonts w:hint="eastAsia" w:asciiTheme="minorEastAsia" w:hAnsiTheme="minorEastAsia" w:eastAsiaTheme="minorEastAsia" w:cstheme="minorEastAsia"/>
        </w:rPr>
      </w:pPr>
    </w:p>
    <w:tbl>
      <w:tblPr>
        <w:tblStyle w:val="24"/>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6189F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vAlign w:val="top"/>
          </w:tcPr>
          <w:p w14:paraId="168D0C8D">
            <w:pPr>
              <w:keepNext w:val="0"/>
              <w:keepLines w:val="0"/>
              <w:pageBreakBefore w:val="0"/>
              <w:kinsoku/>
              <w:wordWrap w:val="0"/>
              <w:overflowPunct/>
              <w:topLinePunct w:val="0"/>
              <w:bidi w:val="0"/>
              <w:spacing w:before="41" w:line="207" w:lineRule="auto"/>
              <w:ind w:left="14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14:paraId="0AD959C3">
            <w:pPr>
              <w:keepNext w:val="0"/>
              <w:keepLines w:val="0"/>
              <w:pageBreakBefore w:val="0"/>
              <w:kinsoku/>
              <w:wordWrap w:val="0"/>
              <w:overflowPunct/>
              <w:topLinePunct w:val="0"/>
              <w:bidi w:val="0"/>
              <w:spacing w:before="41" w:line="207" w:lineRule="auto"/>
              <w:ind w:left="43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5791" w:type="dxa"/>
            <w:vAlign w:val="top"/>
          </w:tcPr>
          <w:p w14:paraId="2CE69F19">
            <w:pPr>
              <w:keepNext w:val="0"/>
              <w:keepLines w:val="0"/>
              <w:pageBreakBefore w:val="0"/>
              <w:kinsoku/>
              <w:wordWrap w:val="0"/>
              <w:overflowPunct/>
              <w:topLinePunct w:val="0"/>
              <w:bidi w:val="0"/>
              <w:spacing w:before="41" w:line="207" w:lineRule="auto"/>
              <w:ind w:left="289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14:paraId="24C32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13B8B765">
            <w:pPr>
              <w:pStyle w:val="25"/>
              <w:keepNext w:val="0"/>
              <w:keepLines w:val="0"/>
              <w:pageBreakBefore w:val="0"/>
              <w:kinsoku/>
              <w:wordWrap w:val="0"/>
              <w:overflowPunct/>
              <w:topLinePunct w:val="0"/>
              <w:bidi w:val="0"/>
              <w:spacing w:before="245" w:line="199" w:lineRule="auto"/>
              <w:ind w:left="32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14:paraId="4B6DFF64">
            <w:pPr>
              <w:keepNext w:val="0"/>
              <w:keepLines w:val="0"/>
              <w:pageBreakBefore w:val="0"/>
              <w:kinsoku/>
              <w:wordWrap w:val="0"/>
              <w:overflowPunct/>
              <w:topLinePunct w:val="0"/>
              <w:bidi w:val="0"/>
              <w:spacing w:before="222" w:line="219" w:lineRule="auto"/>
              <w:ind w:left="11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vAlign w:val="top"/>
          </w:tcPr>
          <w:p w14:paraId="1F82B5C6">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14:paraId="687E5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4ABBBF8A">
            <w:pPr>
              <w:pStyle w:val="25"/>
              <w:keepNext w:val="0"/>
              <w:keepLines w:val="0"/>
              <w:pageBreakBefore w:val="0"/>
              <w:kinsoku/>
              <w:wordWrap w:val="0"/>
              <w:overflowPunct/>
              <w:topLinePunct w:val="0"/>
              <w:bidi w:val="0"/>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14:paraId="48069772">
            <w:pPr>
              <w:keepNext w:val="0"/>
              <w:keepLines w:val="0"/>
              <w:pageBreakBefore w:val="0"/>
              <w:kinsoku/>
              <w:wordWrap w:val="0"/>
              <w:overflowPunct/>
              <w:topLinePunct w:val="0"/>
              <w:bidi w:val="0"/>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14:paraId="7874CFB6">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14:paraId="647B1C38">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14:paraId="1F27D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6C80B003">
            <w:pPr>
              <w:pStyle w:val="25"/>
              <w:keepNext w:val="0"/>
              <w:keepLines w:val="0"/>
              <w:pageBreakBefore w:val="0"/>
              <w:kinsoku/>
              <w:wordWrap w:val="0"/>
              <w:overflowPunct/>
              <w:topLinePunct w:val="0"/>
              <w:bidi w:val="0"/>
              <w:spacing w:before="245" w:line="201"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14:paraId="162DFF7B">
            <w:pPr>
              <w:keepNext w:val="0"/>
              <w:keepLines w:val="0"/>
              <w:pageBreakBefore w:val="0"/>
              <w:kinsoku/>
              <w:wordWrap w:val="0"/>
              <w:overflowPunct/>
              <w:topLinePunct w:val="0"/>
              <w:bidi w:val="0"/>
              <w:spacing w:before="221" w:line="219"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vAlign w:val="top"/>
          </w:tcPr>
          <w:p w14:paraId="2B723B37">
            <w:pPr>
              <w:pStyle w:val="25"/>
              <w:keepNext w:val="0"/>
              <w:keepLines w:val="0"/>
              <w:pageBreakBefore w:val="0"/>
              <w:kinsoku/>
              <w:wordWrap w:val="0"/>
              <w:overflowPunct/>
              <w:topLinePunct w:val="0"/>
              <w:bidi w:val="0"/>
              <w:spacing w:before="69" w:line="228" w:lineRule="auto"/>
              <w:ind w:left="117" w:right="29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14:paraId="21C00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02BC5691">
            <w:pPr>
              <w:pStyle w:val="25"/>
              <w:keepNext w:val="0"/>
              <w:keepLines w:val="0"/>
              <w:pageBreakBefore w:val="0"/>
              <w:kinsoku/>
              <w:wordWrap w:val="0"/>
              <w:overflowPunct/>
              <w:topLinePunct w:val="0"/>
              <w:bidi w:val="0"/>
              <w:spacing w:before="247" w:line="199" w:lineRule="auto"/>
              <w:ind w:left="30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14:paraId="5C67DC66">
            <w:pPr>
              <w:keepNext w:val="0"/>
              <w:keepLines w:val="0"/>
              <w:pageBreakBefore w:val="0"/>
              <w:kinsoku/>
              <w:wordWrap w:val="0"/>
              <w:overflowPunct/>
              <w:topLinePunct w:val="0"/>
              <w:bidi w:val="0"/>
              <w:spacing w:before="223"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vAlign w:val="top"/>
          </w:tcPr>
          <w:p w14:paraId="320F8272">
            <w:pPr>
              <w:keepNext w:val="0"/>
              <w:keepLines w:val="0"/>
              <w:pageBreakBefore w:val="0"/>
              <w:kinsoku/>
              <w:wordWrap w:val="0"/>
              <w:overflowPunct/>
              <w:topLinePunct w:val="0"/>
              <w:bidi w:val="0"/>
              <w:spacing w:before="68" w:line="230" w:lineRule="auto"/>
              <w:ind w:left="133" w:right="136" w:hanging="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14:paraId="4EDCF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3FE03373">
            <w:pPr>
              <w:pStyle w:val="25"/>
              <w:keepNext w:val="0"/>
              <w:keepLines w:val="0"/>
              <w:pageBreakBefore w:val="0"/>
              <w:kinsoku/>
              <w:wordWrap w:val="0"/>
              <w:overflowPunct/>
              <w:topLinePunct w:val="0"/>
              <w:bidi w:val="0"/>
              <w:spacing w:before="248" w:line="199"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14:paraId="15DE9A7C">
            <w:pPr>
              <w:keepNext w:val="0"/>
              <w:keepLines w:val="0"/>
              <w:pageBreakBefore w:val="0"/>
              <w:kinsoku/>
              <w:wordWrap w:val="0"/>
              <w:overflowPunct/>
              <w:topLinePunct w:val="0"/>
              <w:bidi w:val="0"/>
              <w:spacing w:before="222" w:line="221"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vAlign w:val="top"/>
          </w:tcPr>
          <w:p w14:paraId="7428D941">
            <w:pPr>
              <w:keepNext w:val="0"/>
              <w:keepLines w:val="0"/>
              <w:pageBreakBefore w:val="0"/>
              <w:kinsoku/>
              <w:wordWrap w:val="0"/>
              <w:overflowPunct/>
              <w:topLinePunct w:val="0"/>
              <w:bidi w:val="0"/>
              <w:spacing w:before="70" w:line="229" w:lineRule="auto"/>
              <w:ind w:left="117"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14:paraId="54E17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4C8A29C0">
            <w:pPr>
              <w:pStyle w:val="25"/>
              <w:keepNext w:val="0"/>
              <w:keepLines w:val="0"/>
              <w:pageBreakBefore w:val="0"/>
              <w:kinsoku/>
              <w:wordWrap w:val="0"/>
              <w:overflowPunct/>
              <w:topLinePunct w:val="0"/>
              <w:bidi w:val="0"/>
              <w:spacing w:before="244" w:line="202" w:lineRule="auto"/>
              <w:ind w:left="3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14:paraId="3A670216">
            <w:pPr>
              <w:keepNext w:val="0"/>
              <w:keepLines w:val="0"/>
              <w:pageBreakBefore w:val="0"/>
              <w:kinsoku/>
              <w:wordWrap w:val="0"/>
              <w:overflowPunct/>
              <w:topLinePunct w:val="0"/>
              <w:bidi w:val="0"/>
              <w:spacing w:before="224" w:line="220"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vAlign w:val="top"/>
          </w:tcPr>
          <w:p w14:paraId="46C709B9">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14:paraId="031AA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53F8F989">
            <w:pPr>
              <w:pStyle w:val="25"/>
              <w:keepNext w:val="0"/>
              <w:keepLines w:val="0"/>
              <w:pageBreakBefore w:val="0"/>
              <w:kinsoku/>
              <w:wordWrap w:val="0"/>
              <w:overflowPunct/>
              <w:topLinePunct w:val="0"/>
              <w:bidi w:val="0"/>
              <w:spacing w:before="247"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14:paraId="766CCC69">
            <w:pPr>
              <w:keepNext w:val="0"/>
              <w:keepLines w:val="0"/>
              <w:pageBreakBefore w:val="0"/>
              <w:kinsoku/>
              <w:wordWrap w:val="0"/>
              <w:overflowPunct/>
              <w:topLinePunct w:val="0"/>
              <w:bidi w:val="0"/>
              <w:spacing w:before="72" w:line="230" w:lineRule="auto"/>
              <w:ind w:left="112" w:right="123" w:hanging="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vAlign w:val="top"/>
          </w:tcPr>
          <w:p w14:paraId="0A6D0427">
            <w:pPr>
              <w:keepNext w:val="0"/>
              <w:keepLines w:val="0"/>
              <w:pageBreakBefore w:val="0"/>
              <w:kinsoku/>
              <w:wordWrap w:val="0"/>
              <w:overflowPunct/>
              <w:topLinePunct w:val="0"/>
              <w:bidi w:val="0"/>
              <w:spacing w:before="72" w:line="229" w:lineRule="auto"/>
              <w:ind w:left="114" w:right="136"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不涉及报价修正，或投标文件报价出现前后不一致时，投标人</w:t>
            </w:r>
            <w:r>
              <w:rPr>
                <w:rFonts w:hint="eastAsia" w:asciiTheme="minorEastAsia" w:hAnsiTheme="minorEastAsia" w:eastAsiaTheme="minorEastAsia" w:cstheme="minorEastAsia"/>
                <w:spacing w:val="-2"/>
                <w:sz w:val="24"/>
                <w:szCs w:val="24"/>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14:paraId="5232B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14:paraId="1AEC28BD">
            <w:pPr>
              <w:pStyle w:val="25"/>
              <w:keepNext w:val="0"/>
              <w:keepLines w:val="0"/>
              <w:pageBreakBefore w:val="0"/>
              <w:kinsoku/>
              <w:wordWrap w:val="0"/>
              <w:overflowPunct/>
              <w:topLinePunct w:val="0"/>
              <w:bidi w:val="0"/>
              <w:spacing w:line="304" w:lineRule="auto"/>
              <w:jc w:val="center"/>
              <w:rPr>
                <w:rFonts w:hint="eastAsia" w:asciiTheme="minorEastAsia" w:hAnsiTheme="minorEastAsia" w:eastAsiaTheme="minorEastAsia" w:cstheme="minorEastAsia"/>
              </w:rPr>
            </w:pPr>
          </w:p>
          <w:p w14:paraId="1F119847">
            <w:pPr>
              <w:pStyle w:val="25"/>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14:paraId="632FF2DD">
            <w:pPr>
              <w:pStyle w:val="25"/>
              <w:keepNext w:val="0"/>
              <w:keepLines w:val="0"/>
              <w:pageBreakBefore w:val="0"/>
              <w:kinsoku/>
              <w:wordWrap w:val="0"/>
              <w:overflowPunct/>
              <w:topLinePunct w:val="0"/>
              <w:bidi w:val="0"/>
              <w:spacing w:line="271" w:lineRule="auto"/>
              <w:jc w:val="both"/>
              <w:rPr>
                <w:rFonts w:hint="eastAsia" w:asciiTheme="minorEastAsia" w:hAnsiTheme="minorEastAsia" w:eastAsiaTheme="minorEastAsia" w:cstheme="minorEastAsia"/>
              </w:rPr>
            </w:pPr>
          </w:p>
          <w:p w14:paraId="25C14A21">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vAlign w:val="top"/>
          </w:tcPr>
          <w:p w14:paraId="59D75389">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14:paraId="4EC79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center"/>
          </w:tcPr>
          <w:p w14:paraId="1C321564">
            <w:pPr>
              <w:pStyle w:val="2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center"/>
          </w:tcPr>
          <w:p w14:paraId="20BDE7E7">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5791" w:type="dxa"/>
            <w:vAlign w:val="center"/>
          </w:tcPr>
          <w:p w14:paraId="2512D1CF">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504BB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6DED775D">
            <w:pPr>
              <w:pStyle w:val="2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center"/>
          </w:tcPr>
          <w:p w14:paraId="6D621457">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服务质量</w:t>
            </w:r>
          </w:p>
        </w:tc>
        <w:tc>
          <w:tcPr>
            <w:tcW w:w="5791" w:type="dxa"/>
            <w:vAlign w:val="center"/>
          </w:tcPr>
          <w:p w14:paraId="62C9F2E7">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2F255A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14:paraId="6F1B215B">
            <w:pPr>
              <w:pStyle w:val="25"/>
              <w:keepNext w:val="0"/>
              <w:keepLines w:val="0"/>
              <w:pageBreakBefore w:val="0"/>
              <w:kinsoku/>
              <w:wordWrap w:val="0"/>
              <w:overflowPunct/>
              <w:topLinePunct w:val="0"/>
              <w:bidi w:val="0"/>
              <w:spacing w:line="301" w:lineRule="auto"/>
              <w:jc w:val="center"/>
              <w:rPr>
                <w:rFonts w:hint="eastAsia" w:asciiTheme="minorEastAsia" w:hAnsiTheme="minorEastAsia" w:eastAsiaTheme="minorEastAsia" w:cstheme="minorEastAsia"/>
              </w:rPr>
            </w:pPr>
          </w:p>
          <w:p w14:paraId="4F1E8B33">
            <w:pPr>
              <w:pStyle w:val="2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14:paraId="0C75D6D8">
            <w:pPr>
              <w:pStyle w:val="25"/>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51BDD5F0">
            <w:pPr>
              <w:keepNext w:val="0"/>
              <w:keepLines w:val="0"/>
              <w:pageBreakBefore w:val="0"/>
              <w:kinsoku/>
              <w:wordWrap w:val="0"/>
              <w:overflowPunct/>
              <w:topLinePunct w:val="0"/>
              <w:bidi w:val="0"/>
              <w:spacing w:before="78" w:line="220" w:lineRule="auto"/>
              <w:ind w:left="12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vAlign w:val="top"/>
          </w:tcPr>
          <w:p w14:paraId="1522C2A1">
            <w:pPr>
              <w:keepNext w:val="0"/>
              <w:keepLines w:val="0"/>
              <w:pageBreakBefore w:val="0"/>
              <w:kinsoku/>
              <w:wordWrap w:val="0"/>
              <w:overflowPunct/>
              <w:topLinePunct w:val="0"/>
              <w:bidi w:val="0"/>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14:paraId="6DFFB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229F6A6D">
            <w:pPr>
              <w:pStyle w:val="25"/>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3D0892ED">
            <w:pPr>
              <w:pStyle w:val="25"/>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03C195C0">
            <w:pPr>
              <w:pStyle w:val="25"/>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71DEE443">
            <w:pPr>
              <w:pStyle w:val="2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12</w:t>
            </w:r>
          </w:p>
        </w:tc>
        <w:tc>
          <w:tcPr>
            <w:tcW w:w="1812" w:type="dxa"/>
            <w:vAlign w:val="top"/>
          </w:tcPr>
          <w:p w14:paraId="4D8C2CDF">
            <w:pPr>
              <w:pStyle w:val="25"/>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17A63A4C">
            <w:pPr>
              <w:pStyle w:val="25"/>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5F75363B">
            <w:pPr>
              <w:pStyle w:val="25"/>
              <w:keepNext w:val="0"/>
              <w:keepLines w:val="0"/>
              <w:pageBreakBefore w:val="0"/>
              <w:kinsoku/>
              <w:wordWrap w:val="0"/>
              <w:overflowPunct/>
              <w:topLinePunct w:val="0"/>
              <w:bidi w:val="0"/>
              <w:spacing w:line="297" w:lineRule="auto"/>
              <w:jc w:val="both"/>
              <w:rPr>
                <w:rFonts w:hint="eastAsia" w:asciiTheme="minorEastAsia" w:hAnsiTheme="minorEastAsia" w:eastAsiaTheme="minorEastAsia" w:cstheme="minorEastAsia"/>
              </w:rPr>
            </w:pPr>
          </w:p>
          <w:p w14:paraId="2AF5C095">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vMerge w:val="restart"/>
            <w:vAlign w:val="top"/>
          </w:tcPr>
          <w:p w14:paraId="34E06A5E">
            <w:pPr>
              <w:keepNext w:val="0"/>
              <w:keepLines w:val="0"/>
              <w:pageBreakBefore w:val="0"/>
              <w:kinsoku/>
              <w:wordWrap w:val="0"/>
              <w:overflowPunct/>
              <w:topLinePunct w:val="0"/>
              <w:bidi w:val="0"/>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三）不同投标人的投标文件载明的项目管理成员或者联系人员为同一人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不同投标人的投标保证金从同一单位或者个人的账户转出；</w:t>
            </w: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14:paraId="7193D909">
            <w:pPr>
              <w:keepNext w:val="0"/>
              <w:keepLines w:val="0"/>
              <w:pageBreakBefore w:val="0"/>
              <w:widowControl/>
              <w:kinsoku/>
              <w:wordWrap w:val="0"/>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14:paraId="79074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5EC27CB6">
            <w:pPr>
              <w:pStyle w:val="25"/>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pacing w:val="5"/>
                <w:sz w:val="24"/>
                <w:szCs w:val="24"/>
                <w:lang w:val="en-US" w:eastAsia="zh-CN"/>
              </w:rPr>
            </w:pPr>
          </w:p>
        </w:tc>
        <w:tc>
          <w:tcPr>
            <w:tcW w:w="1812" w:type="dxa"/>
            <w:vAlign w:val="top"/>
          </w:tcPr>
          <w:p w14:paraId="4B442EF2">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pacing w:val="-6"/>
                <w:sz w:val="24"/>
                <w:szCs w:val="24"/>
              </w:rPr>
            </w:pPr>
          </w:p>
        </w:tc>
        <w:tc>
          <w:tcPr>
            <w:tcW w:w="5791" w:type="dxa"/>
            <w:vMerge w:val="continue"/>
            <w:vAlign w:val="top"/>
          </w:tcPr>
          <w:p w14:paraId="055D575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ind w:left="0" w:right="0" w:firstLine="0"/>
              <w:jc w:val="both"/>
              <w:textAlignment w:val="baseline"/>
              <w:rPr>
                <w:rFonts w:hint="eastAsia" w:asciiTheme="minorEastAsia" w:hAnsiTheme="minorEastAsia" w:eastAsiaTheme="minorEastAsia" w:cstheme="minorEastAsia"/>
                <w:spacing w:val="-1"/>
                <w:sz w:val="24"/>
                <w:szCs w:val="24"/>
              </w:rPr>
            </w:pPr>
          </w:p>
        </w:tc>
      </w:tr>
      <w:tr w14:paraId="61581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62172FC0">
            <w:pPr>
              <w:pStyle w:val="25"/>
              <w:keepNext w:val="0"/>
              <w:keepLines w:val="0"/>
              <w:pageBreakBefore w:val="0"/>
              <w:kinsoku/>
              <w:wordWrap w:val="0"/>
              <w:overflowPunct/>
              <w:topLinePunct w:val="0"/>
              <w:bidi w:val="0"/>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14:paraId="11D352C7">
            <w:pPr>
              <w:keepNext w:val="0"/>
              <w:keepLines w:val="0"/>
              <w:pageBreakBefore w:val="0"/>
              <w:kinsoku/>
              <w:wordWrap w:val="0"/>
              <w:overflowPunct/>
              <w:topLinePunct w:val="0"/>
              <w:bidi w:val="0"/>
              <w:spacing w:before="228" w:line="219" w:lineRule="auto"/>
              <w:ind w:left="13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vAlign w:val="top"/>
          </w:tcPr>
          <w:p w14:paraId="7A65CD9F">
            <w:pPr>
              <w:keepNext w:val="0"/>
              <w:keepLines w:val="0"/>
              <w:pageBreakBefore w:val="0"/>
              <w:kinsoku/>
              <w:wordWrap w:val="0"/>
              <w:overflowPunct/>
              <w:topLinePunct w:val="0"/>
              <w:bidi w:val="0"/>
              <w:spacing w:before="228" w:line="219" w:lineRule="auto"/>
              <w:ind w:left="11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14:paraId="3CD828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14:paraId="50422593">
            <w:pPr>
              <w:pStyle w:val="25"/>
              <w:keepNext w:val="0"/>
              <w:keepLines w:val="0"/>
              <w:pageBreakBefore w:val="0"/>
              <w:kinsoku/>
              <w:wordWrap w:val="0"/>
              <w:overflowPunct/>
              <w:topLinePunct w:val="0"/>
              <w:bidi w:val="0"/>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4</w:t>
            </w:r>
          </w:p>
        </w:tc>
        <w:tc>
          <w:tcPr>
            <w:tcW w:w="1812" w:type="dxa"/>
            <w:vAlign w:val="top"/>
          </w:tcPr>
          <w:p w14:paraId="34019483">
            <w:pPr>
              <w:keepNext w:val="0"/>
              <w:keepLines w:val="0"/>
              <w:pageBreakBefore w:val="0"/>
              <w:kinsoku/>
              <w:wordWrap w:val="0"/>
              <w:overflowPunct/>
              <w:topLinePunct w:val="0"/>
              <w:bidi w:val="0"/>
              <w:spacing w:before="226" w:line="221" w:lineRule="auto"/>
              <w:ind w:left="11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vAlign w:val="top"/>
          </w:tcPr>
          <w:p w14:paraId="07612F3F">
            <w:pPr>
              <w:keepNext w:val="0"/>
              <w:keepLines w:val="0"/>
              <w:pageBreakBefore w:val="0"/>
              <w:kinsoku/>
              <w:wordWrap w:val="0"/>
              <w:overflowPunct/>
              <w:topLinePunct w:val="0"/>
              <w:bidi w:val="0"/>
              <w:spacing w:before="74" w:line="229" w:lineRule="auto"/>
              <w:ind w:left="115" w:right="136"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6"/>
                <w:sz w:val="24"/>
                <w:szCs w:val="24"/>
              </w:rPr>
              <w:t>其他无效情形。</w:t>
            </w:r>
          </w:p>
        </w:tc>
      </w:tr>
    </w:tbl>
    <w:p w14:paraId="40826A13">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2.技术审查</w:t>
      </w:r>
    </w:p>
    <w:p w14:paraId="1F307464">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☑服务类，审查</w:t>
      </w:r>
      <w:r>
        <w:rPr>
          <w:rFonts w:hint="eastAsia" w:asciiTheme="minorEastAsia" w:hAnsiTheme="minorEastAsia" w:eastAsiaTheme="minorEastAsia" w:cstheme="minorEastAsia"/>
          <w:spacing w:val="2"/>
          <w:position w:val="17"/>
          <w:sz w:val="24"/>
          <w:szCs w:val="24"/>
          <w:highlight w:val="none"/>
          <w:lang w:val="en-US" w:eastAsia="zh-CN"/>
        </w:rPr>
        <w:t>总体服务方案、客房服务方案、会务服务方案、餐饮服务方案、保洁服务方案、建筑物设备的运行管理方案、文体服务方案、场馆服务方案、安全运维方案</w:t>
      </w:r>
      <w:r>
        <w:rPr>
          <w:rFonts w:hint="eastAsia" w:asciiTheme="minorEastAsia" w:hAnsiTheme="minorEastAsia" w:eastAsiaTheme="minorEastAsia" w:cstheme="minorEastAsia"/>
          <w:spacing w:val="2"/>
          <w:position w:val="17"/>
          <w:sz w:val="24"/>
          <w:szCs w:val="24"/>
          <w:lang w:val="en-US" w:eastAsia="zh-CN"/>
        </w:rPr>
        <w:t>等是否符合招标要求。</w:t>
      </w:r>
    </w:p>
    <w:p w14:paraId="591D1263">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w:t>
      </w:r>
    </w:p>
    <w:p w14:paraId="2B8A077E">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4A3F8DC4">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14:paraId="5A99B6D4">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58F3B7A6">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421AD62D">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 投标人的澄清、说明或补正文件是投标文件的组成部分，并取代投标文件中被澄清、说明或补正的部分。</w:t>
      </w:r>
    </w:p>
    <w:p w14:paraId="1B459621">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3DDC55DC">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14:paraId="69CE335A">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14:paraId="4AE5B11E">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1952022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08088CDA">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最低评标价法，指投标文件满足招标文件全部实质性要求，且投标报价最低的投标人为中标候选人的评标方法。</w:t>
      </w:r>
    </w:p>
    <w:p w14:paraId="6DFA9F4D">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6A7098CA">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w:t>
      </w:r>
    </w:p>
    <w:p w14:paraId="6B70B19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2.非政府强制采购的节能产品或环境标志产品，依据品目清单和认证证书实施政府优先采购。优先采购的具体规定（如涉及）。</w:t>
      </w:r>
    </w:p>
    <w:p w14:paraId="656BA27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关于无线局域网认证产品政府采购清单中的产品，优先采购的具体规定（如涉及）</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4F8AB275">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14:paraId="5BE8585D">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74A3B77A">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随机抽取</w:t>
      </w:r>
    </w:p>
    <w:p w14:paraId="5D0DD67E">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优先选择报价低的 。</w:t>
      </w:r>
    </w:p>
    <w:p w14:paraId="3A0E32F6">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投标人的排名按得分顺序从高到低排列；得分相同的，按投标报价由低到高顺序排列；得分且投标报价相同的，按技术指标优劣顺序排列。</w:t>
      </w:r>
    </w:p>
    <w:p w14:paraId="565BCDDC">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采用最低评标价法时，评标结果</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按照</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投标报价由低到高顺序排列。投标报价相同的并列。投标文件满足招标文件全部实质性要求且投标报价最低的投标人为排名第一的中标候选人。</w:t>
      </w:r>
    </w:p>
    <w:p w14:paraId="1906015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 xml:space="preserve">4.4 </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评标委员会要对评分汇总情况进行复核，特别是对排名第一的、报价最低的、投标文件被认定为无效的情形进行重点复核。</w:t>
      </w:r>
    </w:p>
    <w:p w14:paraId="43D23E8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5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评标委员会将根据各投标人的评标排序，依次推荐本项目（各采购包）的中标候选人，起草并签署评标报告。本项目（采购包）评标委</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员会共推荐</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3 </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名中标</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候选人。</w:t>
      </w:r>
    </w:p>
    <w:p w14:paraId="6977AE0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14:paraId="3D189CC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14:paraId="5BB8E7F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6.确定中标人</w:t>
      </w:r>
    </w:p>
    <w:p w14:paraId="551884D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☑采购人应当在收到评标报告之日起5个工作日内，在评标报告确定的中标候选人名单中按顺序确定中标人。</w:t>
      </w:r>
    </w:p>
    <w:p w14:paraId="6975078B">
      <w:pPr>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7.投标人存在下列情况之一的，投标无效：</w:t>
      </w:r>
    </w:p>
    <w:p w14:paraId="0D1A01E4">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（1）投标文件未按招标文件要求签署、盖章的；</w:t>
      </w:r>
    </w:p>
    <w:p w14:paraId="3DEDE112">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（2）不具备招标文件中规定的资格要求的；</w:t>
      </w:r>
    </w:p>
    <w:p w14:paraId="79BC7C0D">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（3）报价超过招标文件中规定的预算金额或者最高限价的；</w:t>
      </w:r>
    </w:p>
    <w:p w14:paraId="24CFFB60">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（4）投标文件含有采购人不能接受的附加条件的；</w:t>
      </w:r>
    </w:p>
    <w:p w14:paraId="589723A6">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（5）不符合应提交投标文件资料数量要求的；</w:t>
      </w:r>
    </w:p>
    <w:p w14:paraId="5E340167">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（6）开标解密时未在规定时间（30分钟）内进行解密成功的视为撤销其投标文件（因电子开标系统原因除外）；</w:t>
      </w:r>
    </w:p>
    <w:p w14:paraId="2BB05719">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（7）电子投标文件未使用CA</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334C85DF">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（8）未在投标截止时间前完成上传的；</w:t>
      </w:r>
    </w:p>
    <w:p w14:paraId="07B2AFE7">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（9）法律、法规和招标文件规定的其他无效情形。</w:t>
      </w:r>
    </w:p>
    <w:p w14:paraId="761CEE77">
      <w:pPr>
        <w:pStyle w:val="13"/>
        <w:ind w:firstLine="490" w:firstLineChars="200"/>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未按</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暗标</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要求编写技术或方案部分的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7692054B">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8.在招标采购中，出现下列情形之一的，应予废标：</w:t>
      </w:r>
    </w:p>
    <w:p w14:paraId="161B3C95">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（1）符合专业条件的供应商或者对招标文件作实质性响应的供应商不足三家的；</w:t>
      </w:r>
    </w:p>
    <w:p w14:paraId="0936CBE1">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（2）出现影响采购公正的违法、违规行为的；</w:t>
      </w:r>
    </w:p>
    <w:p w14:paraId="3BE0B54F">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（3）投标人的报价均超过了预算金额，采购人不能支付的；</w:t>
      </w:r>
    </w:p>
    <w:p w14:paraId="5071B639">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（4）因重大变故，采购任务取消的。</w:t>
      </w:r>
    </w:p>
    <w:p w14:paraId="069249FA">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14:paraId="7C7A3CFF">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66A84969">
      <w:pPr>
        <w:pStyle w:val="6"/>
        <w:keepNext w:val="0"/>
        <w:keepLines w:val="0"/>
        <w:pageBreakBefore w:val="0"/>
        <w:kinsoku/>
        <w:wordWrap w:val="0"/>
        <w:overflowPunct/>
        <w:topLinePunct w:val="0"/>
        <w:bidi w:val="0"/>
        <w:spacing w:before="78" w:line="221" w:lineRule="auto"/>
        <w:jc w:val="center"/>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分</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标准</w:t>
      </w:r>
    </w:p>
    <w:p w14:paraId="32FD05B5">
      <w:pPr>
        <w:keepNext w:val="0"/>
        <w:keepLines w:val="0"/>
        <w:pageBreakBefore w:val="0"/>
        <w:kinsoku/>
        <w:wordWrap w:val="0"/>
        <w:overflowPunct/>
        <w:topLinePunct w:val="0"/>
        <w:bidi w:val="0"/>
        <w:spacing w:before="39"/>
        <w:jc w:val="center"/>
        <w:rPr>
          <w:rFonts w:hint="eastAsia" w:asciiTheme="minorEastAsia" w:hAnsiTheme="minorEastAsia" w:eastAsiaTheme="minorEastAsia" w:cstheme="minorEastAsia"/>
        </w:rPr>
      </w:pPr>
    </w:p>
    <w:tbl>
      <w:tblPr>
        <w:tblStyle w:val="24"/>
        <w:tblW w:w="83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6"/>
        <w:gridCol w:w="1467"/>
        <w:gridCol w:w="883"/>
        <w:gridCol w:w="5389"/>
      </w:tblGrid>
      <w:tr w14:paraId="4D914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96" w:type="dxa"/>
            <w:vAlign w:val="top"/>
          </w:tcPr>
          <w:p w14:paraId="787C81F7">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467" w:type="dxa"/>
            <w:vAlign w:val="top"/>
          </w:tcPr>
          <w:p w14:paraId="33C4AAAC">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评分因素</w:t>
            </w:r>
          </w:p>
        </w:tc>
        <w:tc>
          <w:tcPr>
            <w:tcW w:w="883" w:type="dxa"/>
            <w:vAlign w:val="top"/>
          </w:tcPr>
          <w:p w14:paraId="7A86F258">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分值</w:t>
            </w:r>
          </w:p>
        </w:tc>
        <w:tc>
          <w:tcPr>
            <w:tcW w:w="5389" w:type="dxa"/>
            <w:vAlign w:val="top"/>
          </w:tcPr>
          <w:p w14:paraId="26D5CB93">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细则</w:t>
            </w:r>
          </w:p>
        </w:tc>
      </w:tr>
      <w:tr w14:paraId="6E781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6" w:type="dxa"/>
            <w:vAlign w:val="center"/>
          </w:tcPr>
          <w:p w14:paraId="1730E6E9">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467" w:type="dxa"/>
            <w:vAlign w:val="center"/>
          </w:tcPr>
          <w:p w14:paraId="4B2B9A80">
            <w:pPr>
              <w:keepNext w:val="0"/>
              <w:keepLines w:val="0"/>
              <w:pageBreakBefore w:val="0"/>
              <w:kinsoku/>
              <w:wordWrap w:val="0"/>
              <w:overflowPunct/>
              <w:topLinePunct w:val="0"/>
              <w:bidi w:val="0"/>
              <w:spacing w:before="78" w:line="219" w:lineRule="auto"/>
              <w:jc w:val="center"/>
              <w:rPr>
                <w:rFonts w:hint="default"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报</w:t>
            </w:r>
            <w:r>
              <w:rPr>
                <w:rFonts w:hint="eastAsia" w:asciiTheme="minorEastAsia" w:hAnsiTheme="minorEastAsia" w:eastAsiaTheme="minorEastAsia" w:cstheme="minorEastAsia"/>
                <w:spacing w:val="-3"/>
                <w:sz w:val="24"/>
                <w:szCs w:val="24"/>
                <w:lang w:val="en-US" w:eastAsia="zh-CN"/>
              </w:rPr>
              <w:t>价部分</w:t>
            </w:r>
          </w:p>
          <w:p w14:paraId="12A103D7">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spacing w:val="-3"/>
                <w:sz w:val="24"/>
                <w:szCs w:val="24"/>
                <w:lang w:val="en-US" w:eastAsia="zh-CN"/>
              </w:rPr>
              <w:t>满分20分</w:t>
            </w:r>
            <w:r>
              <w:rPr>
                <w:rFonts w:hint="eastAsia" w:asciiTheme="minorEastAsia" w:hAnsiTheme="minorEastAsia" w:eastAsiaTheme="minorEastAsia" w:cstheme="minorEastAsia"/>
                <w:spacing w:val="-3"/>
                <w:sz w:val="24"/>
                <w:szCs w:val="24"/>
                <w:lang w:eastAsia="zh-CN"/>
              </w:rPr>
              <w:t>）</w:t>
            </w:r>
          </w:p>
        </w:tc>
        <w:tc>
          <w:tcPr>
            <w:tcW w:w="883" w:type="dxa"/>
            <w:vAlign w:val="center"/>
          </w:tcPr>
          <w:p w14:paraId="29C74E5F">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投标报价</w:t>
            </w:r>
          </w:p>
          <w:p w14:paraId="4643559B">
            <w:pPr>
              <w:pStyle w:val="25"/>
              <w:keepNext w:val="0"/>
              <w:keepLines w:val="0"/>
              <w:pageBreakBefore w:val="0"/>
              <w:kinsoku/>
              <w:wordWrap w:val="0"/>
              <w:overflowPunct/>
              <w:topLinePunct w:val="0"/>
              <w:bidi w:val="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（20分）</w:t>
            </w:r>
          </w:p>
        </w:tc>
        <w:tc>
          <w:tcPr>
            <w:tcW w:w="5389" w:type="dxa"/>
            <w:vAlign w:val="top"/>
          </w:tcPr>
          <w:p w14:paraId="285F4B16">
            <w:pPr>
              <w:keepNext w:val="0"/>
              <w:keepLines w:val="0"/>
              <w:pageBreakBefore w:val="0"/>
              <w:kinsoku/>
              <w:wordWrap w:val="0"/>
              <w:overflowPunct/>
              <w:topLinePunct w:val="0"/>
              <w:bidi w:val="0"/>
              <w:spacing w:before="191" w:line="235" w:lineRule="auto"/>
              <w:ind w:left="113" w:right="10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满足招标文件要求且投标价格最低</w:t>
            </w:r>
            <w:r>
              <w:rPr>
                <w:rFonts w:hint="eastAsia" w:asciiTheme="minorEastAsia" w:hAnsiTheme="minorEastAsia" w:eastAsiaTheme="minorEastAsia" w:cstheme="minorEastAsia"/>
                <w:spacing w:val="-13"/>
                <w:sz w:val="24"/>
                <w:szCs w:val="24"/>
              </w:rPr>
              <w:t>的投标报价为评标基准价，其价格分</w:t>
            </w:r>
            <w:r>
              <w:rPr>
                <w:rFonts w:hint="eastAsia" w:asciiTheme="minorEastAsia" w:hAnsiTheme="minorEastAsia" w:eastAsiaTheme="minorEastAsia" w:cstheme="minorEastAsia"/>
                <w:spacing w:val="-6"/>
                <w:sz w:val="24"/>
                <w:szCs w:val="24"/>
              </w:rPr>
              <w:t>为满分。其他投标人的价格分统一按</w:t>
            </w:r>
            <w:r>
              <w:rPr>
                <w:rFonts w:hint="eastAsia" w:asciiTheme="minorEastAsia" w:hAnsiTheme="minorEastAsia" w:eastAsiaTheme="minorEastAsia" w:cstheme="minorEastAsia"/>
                <w:spacing w:val="-8"/>
                <w:sz w:val="24"/>
                <w:szCs w:val="24"/>
              </w:rPr>
              <w:t>照下列公式计算：</w:t>
            </w:r>
          </w:p>
          <w:p w14:paraId="7008B024">
            <w:pPr>
              <w:pStyle w:val="25"/>
              <w:keepNext w:val="0"/>
              <w:keepLines w:val="0"/>
              <w:pageBreakBefore w:val="0"/>
              <w:kinsoku/>
              <w:wordWrap w:val="0"/>
              <w:overflowPunct/>
              <w:topLinePunct w:val="0"/>
              <w:bidi w:val="0"/>
              <w:spacing w:before="26" w:line="228" w:lineRule="auto"/>
              <w:ind w:left="111" w:right="103"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投标报价得分</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7"/>
                <w:sz w:val="24"/>
                <w:szCs w:val="24"/>
              </w:rPr>
              <w:t>评标基准价/投标</w:t>
            </w:r>
            <w:r>
              <w:rPr>
                <w:rFonts w:hint="eastAsia" w:asciiTheme="minorEastAsia" w:hAnsiTheme="minorEastAsia" w:eastAsiaTheme="minorEastAsia" w:cstheme="minorEastAsia"/>
                <w:spacing w:val="-12"/>
                <w:sz w:val="24"/>
                <w:szCs w:val="24"/>
              </w:rPr>
              <w:t>报价）×</w:t>
            </w:r>
            <w:r>
              <w:rPr>
                <w:rFonts w:hint="eastAsia" w:asciiTheme="minorEastAsia" w:hAnsiTheme="minorEastAsia" w:eastAsiaTheme="minorEastAsia" w:cstheme="minorEastAsia"/>
                <w:spacing w:val="-12"/>
                <w:sz w:val="24"/>
                <w:szCs w:val="24"/>
                <w:lang w:val="en-US" w:eastAsia="zh-CN"/>
              </w:rPr>
              <w:t>20分</w:t>
            </w:r>
            <w:r>
              <w:rPr>
                <w:rFonts w:hint="eastAsia" w:asciiTheme="minorEastAsia" w:hAnsiTheme="minorEastAsia" w:eastAsiaTheme="minorEastAsia" w:cstheme="minorEastAsia"/>
                <w:spacing w:val="-12"/>
                <w:sz w:val="24"/>
                <w:szCs w:val="24"/>
              </w:rPr>
              <w:t>。</w:t>
            </w:r>
          </w:p>
          <w:p w14:paraId="24AF2742">
            <w:pPr>
              <w:keepNext w:val="0"/>
              <w:keepLines w:val="0"/>
              <w:pageBreakBefore w:val="0"/>
              <w:kinsoku/>
              <w:wordWrap w:val="0"/>
              <w:overflowPunct/>
              <w:topLinePunct w:val="0"/>
              <w:bidi w:val="0"/>
              <w:spacing w:before="191" w:line="235" w:lineRule="auto"/>
              <w:ind w:left="113" w:right="10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w:t>
            </w:r>
            <w:r>
              <w:rPr>
                <w:rFonts w:hint="eastAsia" w:asciiTheme="minorEastAsia" w:hAnsiTheme="minorEastAsia" w:eastAsiaTheme="minorEastAsia" w:cstheme="minorEastAsia"/>
                <w:color w:val="auto"/>
                <w:spacing w:val="-13"/>
                <w:sz w:val="24"/>
                <w:szCs w:val="24"/>
                <w:lang w:eastAsia="zh-CN"/>
              </w:rPr>
              <w:t>扣除</w:t>
            </w:r>
            <w:r>
              <w:rPr>
                <w:rFonts w:hint="eastAsia" w:asciiTheme="minorEastAsia" w:hAnsiTheme="minorEastAsia" w:eastAsiaTheme="minorEastAsia" w:cstheme="minorEastAsia"/>
                <w:color w:val="auto"/>
                <w:spacing w:val="-13"/>
                <w:sz w:val="24"/>
                <w:szCs w:val="24"/>
                <w:u w:val="single"/>
                <w:lang w:val="en-US" w:eastAsia="zh-CN"/>
              </w:rPr>
              <w:t xml:space="preserve"> 12 </w:t>
            </w:r>
            <w:r>
              <w:rPr>
                <w:rFonts w:hint="eastAsia" w:asciiTheme="minorEastAsia" w:hAnsiTheme="minorEastAsia" w:eastAsiaTheme="minorEastAsia" w:cstheme="minorEastAsia"/>
                <w:color w:val="auto"/>
                <w:spacing w:val="-13"/>
                <w:sz w:val="24"/>
                <w:szCs w:val="24"/>
                <w:lang w:eastAsia="zh-CN"/>
              </w:rPr>
              <w:t>%后参与评</w:t>
            </w:r>
            <w:r>
              <w:rPr>
                <w:rFonts w:hint="eastAsia" w:asciiTheme="minorEastAsia" w:hAnsiTheme="minorEastAsia" w:eastAsiaTheme="minorEastAsia" w:cstheme="minorEastAsia"/>
                <w:spacing w:val="-13"/>
                <w:sz w:val="24"/>
                <w:szCs w:val="24"/>
                <w:lang w:eastAsia="zh-CN"/>
              </w:rPr>
              <w:t>审，</w:t>
            </w:r>
            <w:r>
              <w:rPr>
                <w:rFonts w:hint="eastAsia" w:asciiTheme="minorEastAsia" w:hAnsiTheme="minorEastAsia" w:eastAsiaTheme="minorEastAsia" w:cstheme="minorEastAsia"/>
                <w:color w:val="auto"/>
                <w:spacing w:val="-13"/>
                <w:sz w:val="24"/>
                <w:szCs w:val="24"/>
                <w:lang w:eastAsia="zh-CN"/>
              </w:rPr>
              <w:t>参与优惠企业的报价=投标报价*（1-</w:t>
            </w:r>
            <w:r>
              <w:rPr>
                <w:rFonts w:hint="eastAsia" w:asciiTheme="minorEastAsia" w:hAnsiTheme="minorEastAsia" w:eastAsiaTheme="minorEastAsia" w:cstheme="minorEastAsia"/>
                <w:color w:val="auto"/>
                <w:spacing w:val="-13"/>
                <w:sz w:val="24"/>
                <w:szCs w:val="24"/>
                <w:lang w:val="en-US" w:eastAsia="zh-CN"/>
              </w:rPr>
              <w:t xml:space="preserve"> 12</w:t>
            </w:r>
            <w:r>
              <w:rPr>
                <w:rFonts w:hint="eastAsia" w:asciiTheme="minorEastAsia" w:hAnsiTheme="minorEastAsia" w:eastAsiaTheme="minorEastAsia" w:cstheme="minorEastAsia"/>
                <w:color w:val="auto"/>
                <w:spacing w:val="-13"/>
                <w:sz w:val="24"/>
                <w:szCs w:val="24"/>
                <w:lang w:eastAsia="zh-CN"/>
              </w:rPr>
              <w:t>%）</w:t>
            </w:r>
            <w:r>
              <w:rPr>
                <w:rFonts w:hint="eastAsia" w:asciiTheme="minorEastAsia" w:hAnsiTheme="minorEastAsia" w:eastAsiaTheme="minorEastAsia" w:cstheme="minorEastAsia"/>
                <w:spacing w:val="-13"/>
                <w:sz w:val="24"/>
                <w:szCs w:val="24"/>
                <w:lang w:eastAsia="zh-CN"/>
              </w:rPr>
              <w:t>。对于同时属于小微企业、监狱企业或残疾人福利性单位的，不重复进行投标报价扣除。（</w:t>
            </w:r>
            <w:r>
              <w:rPr>
                <w:rFonts w:hint="eastAsia" w:asciiTheme="minorEastAsia" w:hAnsiTheme="minorEastAsia" w:eastAsiaTheme="minorEastAsia" w:cstheme="minorEastAsia"/>
                <w:spacing w:val="-13"/>
                <w:sz w:val="24"/>
                <w:szCs w:val="24"/>
                <w:lang w:val="en-US" w:eastAsia="zh-CN"/>
              </w:rPr>
              <w:t>专门面向中小企业的项目除外</w:t>
            </w:r>
            <w:r>
              <w:rPr>
                <w:rFonts w:hint="eastAsia" w:asciiTheme="minorEastAsia" w:hAnsiTheme="minorEastAsia" w:eastAsiaTheme="minorEastAsia" w:cstheme="minorEastAsia"/>
                <w:spacing w:val="-13"/>
                <w:sz w:val="24"/>
                <w:szCs w:val="24"/>
                <w:lang w:eastAsia="zh-CN"/>
              </w:rPr>
              <w:t>）</w:t>
            </w:r>
          </w:p>
        </w:tc>
      </w:tr>
      <w:tr w14:paraId="0CE94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96" w:type="dxa"/>
            <w:vMerge w:val="restart"/>
            <w:vAlign w:val="center"/>
          </w:tcPr>
          <w:p w14:paraId="24762CF9">
            <w:pPr>
              <w:pStyle w:val="25"/>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w:t>
            </w:r>
          </w:p>
        </w:tc>
        <w:tc>
          <w:tcPr>
            <w:tcW w:w="1467" w:type="dxa"/>
            <w:vMerge w:val="restart"/>
            <w:vAlign w:val="center"/>
          </w:tcPr>
          <w:p w14:paraId="4700EB94">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技术部分</w:t>
            </w:r>
          </w:p>
          <w:p w14:paraId="152E7CF2">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（满分60分）</w:t>
            </w:r>
            <w:r>
              <w:rPr>
                <w:rFonts w:hint="eastAsia" w:asciiTheme="minorEastAsia" w:hAnsiTheme="minorEastAsia" w:eastAsiaTheme="minorEastAsia" w:cstheme="minorEastAsia"/>
                <w:b/>
                <w:bCs/>
                <w:snapToGrid w:val="0"/>
                <w:color w:val="000000"/>
                <w:spacing w:val="-13"/>
                <w:kern w:val="0"/>
                <w:sz w:val="24"/>
                <w:szCs w:val="24"/>
                <w:lang w:val="en-US" w:eastAsia="zh-CN" w:bidi="ar-SA"/>
              </w:rPr>
              <w:t>“暗标”</w:t>
            </w:r>
          </w:p>
        </w:tc>
        <w:tc>
          <w:tcPr>
            <w:tcW w:w="883" w:type="dxa"/>
            <w:vAlign w:val="center"/>
          </w:tcPr>
          <w:p w14:paraId="060ED228">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总体服务方案</w:t>
            </w:r>
          </w:p>
          <w:p w14:paraId="1CE2D14F">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（10分）</w:t>
            </w:r>
          </w:p>
        </w:tc>
        <w:tc>
          <w:tcPr>
            <w:tcW w:w="5389" w:type="dxa"/>
            <w:vAlign w:val="top"/>
          </w:tcPr>
          <w:p w14:paraId="513007E7">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针对投标人提供的后勤管理服务总体方案进行评审。</w:t>
            </w:r>
          </w:p>
          <w:p w14:paraId="012710C9">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总体方案</w:t>
            </w:r>
            <w:r>
              <w:rPr>
                <w:rFonts w:hint="eastAsia" w:asciiTheme="minorEastAsia" w:hAnsiTheme="minorEastAsia" w:eastAsiaTheme="minorEastAsia" w:cstheme="minorEastAsia"/>
                <w:snapToGrid w:val="0"/>
                <w:color w:val="000000"/>
                <w:spacing w:val="-13"/>
                <w:kern w:val="0"/>
                <w:sz w:val="24"/>
                <w:szCs w:val="24"/>
                <w:lang w:val="en-US" w:eastAsia="zh-CN" w:bidi="ar-SA"/>
              </w:rPr>
              <w:t>制定科学合理</w:t>
            </w:r>
            <w:r>
              <w:rPr>
                <w:rFonts w:hint="eastAsia" w:asciiTheme="minorEastAsia" w:hAnsiTheme="minorEastAsia" w:eastAsiaTheme="minorEastAsia" w:cstheme="minorEastAsia"/>
                <w:snapToGrid w:val="0"/>
                <w:color w:val="000000"/>
                <w:spacing w:val="-13"/>
                <w:kern w:val="0"/>
                <w:sz w:val="24"/>
                <w:szCs w:val="24"/>
                <w:lang w:val="en-US" w:eastAsia="en-US" w:bidi="ar-SA"/>
              </w:rPr>
              <w:t>，涵盖</w:t>
            </w:r>
            <w:r>
              <w:rPr>
                <w:rFonts w:hint="eastAsia" w:asciiTheme="minorEastAsia" w:hAnsiTheme="minorEastAsia" w:eastAsiaTheme="minorEastAsia" w:cstheme="minorEastAsia"/>
                <w:snapToGrid w:val="0"/>
                <w:color w:val="000000"/>
                <w:spacing w:val="-13"/>
                <w:kern w:val="0"/>
                <w:sz w:val="24"/>
                <w:szCs w:val="24"/>
                <w:lang w:val="en-US" w:eastAsia="zh-CN" w:bidi="ar-SA"/>
              </w:rPr>
              <w:t>服务各个</w:t>
            </w:r>
            <w:r>
              <w:rPr>
                <w:rFonts w:hint="eastAsia" w:asciiTheme="minorEastAsia" w:hAnsiTheme="minorEastAsia" w:eastAsiaTheme="minorEastAsia" w:cstheme="minorEastAsia"/>
                <w:snapToGrid w:val="0"/>
                <w:color w:val="000000"/>
                <w:spacing w:val="-13"/>
                <w:kern w:val="0"/>
                <w:sz w:val="24"/>
                <w:szCs w:val="24"/>
                <w:lang w:val="en-US" w:eastAsia="en-US" w:bidi="ar-SA"/>
              </w:rPr>
              <w:t>方面，有很强执行性的得10分；</w:t>
            </w:r>
          </w:p>
          <w:p w14:paraId="16698F1A">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方案包含所有方面，基本体现科学性、有效性，有较强执行性的得7分；</w:t>
            </w:r>
          </w:p>
          <w:p w14:paraId="43AE0BE6">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方案简单，条目设置不全，科学性、可执行性欠缺的，得4分；</w:t>
            </w:r>
          </w:p>
          <w:p w14:paraId="2C45DD3B">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缺项不得分。</w:t>
            </w:r>
          </w:p>
        </w:tc>
      </w:tr>
      <w:tr w14:paraId="7BF38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96" w:type="dxa"/>
            <w:vMerge w:val="continue"/>
            <w:vAlign w:val="center"/>
          </w:tcPr>
          <w:p w14:paraId="1B98B86B">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67" w:type="dxa"/>
            <w:vMerge w:val="continue"/>
            <w:vAlign w:val="center"/>
          </w:tcPr>
          <w:p w14:paraId="7EC2C597">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shd w:val="clear" w:color="auto" w:fill="auto"/>
            <w:vAlign w:val="center"/>
          </w:tcPr>
          <w:p w14:paraId="18079743">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客房服务</w:t>
            </w:r>
            <w:r>
              <w:rPr>
                <w:rFonts w:hint="eastAsia" w:asciiTheme="minorEastAsia" w:hAnsiTheme="minorEastAsia" w:eastAsiaTheme="minorEastAsia" w:cstheme="minorEastAsia"/>
                <w:snapToGrid w:val="0"/>
                <w:color w:val="000000"/>
                <w:spacing w:val="-13"/>
                <w:kern w:val="0"/>
                <w:sz w:val="24"/>
                <w:szCs w:val="24"/>
                <w:lang w:val="en-US" w:eastAsia="zh-CN" w:bidi="ar-SA"/>
              </w:rPr>
              <w:t>方案</w:t>
            </w:r>
          </w:p>
          <w:p w14:paraId="5BD2FC8F">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（6分）</w:t>
            </w:r>
          </w:p>
        </w:tc>
        <w:tc>
          <w:tcPr>
            <w:tcW w:w="5389" w:type="dxa"/>
            <w:shd w:val="clear" w:color="auto" w:fill="auto"/>
            <w:vAlign w:val="top"/>
          </w:tcPr>
          <w:p w14:paraId="0C392374">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针对投标人提供的客房服务方案进行评审。</w:t>
            </w:r>
          </w:p>
          <w:p w14:paraId="4C15CCD5">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方案周全详尽，有具体、科学的操作规范和考核措施，能针对性的满足采购需求的，得</w:t>
            </w: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6分；</w:t>
            </w:r>
          </w:p>
          <w:p w14:paraId="3DB91289">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方案详细，设定有基本合理的操作和考核规范，基本能满足采购需求的，得4分；</w:t>
            </w:r>
          </w:p>
          <w:p w14:paraId="087AE7F0">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方案简单、内容不全面、没有或随意设置操作考核规范，导致无法满足采购需求的，得2分；</w:t>
            </w:r>
          </w:p>
          <w:p w14:paraId="6238AC92">
            <w:pPr>
              <w:pStyle w:val="25"/>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缺项不得分。</w:t>
            </w:r>
          </w:p>
        </w:tc>
      </w:tr>
      <w:tr w14:paraId="6749A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96" w:type="dxa"/>
            <w:vMerge w:val="continue"/>
            <w:vAlign w:val="center"/>
          </w:tcPr>
          <w:p w14:paraId="4B43D72C">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67" w:type="dxa"/>
            <w:vMerge w:val="continue"/>
            <w:vAlign w:val="center"/>
          </w:tcPr>
          <w:p w14:paraId="22EEC949">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shd w:val="clear" w:color="auto" w:fill="auto"/>
            <w:vAlign w:val="center"/>
          </w:tcPr>
          <w:p w14:paraId="00ADA587">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会务服务方案</w:t>
            </w:r>
            <w:r>
              <w:rPr>
                <w:rFonts w:hint="eastAsia" w:asciiTheme="minorEastAsia" w:hAnsiTheme="minorEastAsia" w:eastAsiaTheme="minorEastAsia" w:cstheme="minorEastAsia"/>
                <w:snapToGrid w:val="0"/>
                <w:color w:val="000000"/>
                <w:spacing w:val="-13"/>
                <w:kern w:val="0"/>
                <w:sz w:val="24"/>
                <w:szCs w:val="24"/>
                <w:lang w:val="en-US" w:eastAsia="zh-CN" w:bidi="ar-SA"/>
              </w:rPr>
              <w:t>（6分）</w:t>
            </w:r>
          </w:p>
        </w:tc>
        <w:tc>
          <w:tcPr>
            <w:tcW w:w="5389" w:type="dxa"/>
            <w:shd w:val="clear" w:color="auto" w:fill="auto"/>
            <w:vAlign w:val="top"/>
          </w:tcPr>
          <w:p w14:paraId="24FDCA1D">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针对投标人提供的会务服务方案进行评审。</w:t>
            </w:r>
          </w:p>
          <w:p w14:paraId="58DA1051">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方案科学合理、内容周全、执行性强，能针对、高效的完成各类会务服务的，得6分；</w:t>
            </w:r>
          </w:p>
          <w:p w14:paraId="184ED36D">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方案基本涵盖各种场景，会务接待、人员分配基本合理，能够基本保障完成任务的，得4分；</w:t>
            </w:r>
          </w:p>
          <w:p w14:paraId="03F57D31">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方案内容简略、笼统，不能针对性的提供服务方案，明显无法满足采购需求的，得2分；</w:t>
            </w:r>
          </w:p>
          <w:p w14:paraId="47BBBBCF">
            <w:pPr>
              <w:pStyle w:val="25"/>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缺项不得分。</w:t>
            </w:r>
          </w:p>
        </w:tc>
      </w:tr>
      <w:tr w14:paraId="2EE27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96" w:type="dxa"/>
            <w:vMerge w:val="continue"/>
            <w:vAlign w:val="center"/>
          </w:tcPr>
          <w:p w14:paraId="14560256">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67" w:type="dxa"/>
            <w:vMerge w:val="continue"/>
            <w:vAlign w:val="center"/>
          </w:tcPr>
          <w:p w14:paraId="1C5FF7EE">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shd w:val="clear" w:color="auto" w:fill="auto"/>
            <w:vAlign w:val="center"/>
          </w:tcPr>
          <w:p w14:paraId="0EBE68A3">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餐饮服务方案</w:t>
            </w: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（6分）</w:t>
            </w:r>
          </w:p>
        </w:tc>
        <w:tc>
          <w:tcPr>
            <w:tcW w:w="5389" w:type="dxa"/>
            <w:shd w:val="clear" w:color="auto" w:fill="auto"/>
            <w:vAlign w:val="top"/>
          </w:tcPr>
          <w:p w14:paraId="06ABF671">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针对投标人提供的餐饮服务方案进行评审。</w:t>
            </w:r>
          </w:p>
          <w:p w14:paraId="4530A2FC">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方案提供科学详尽的餐厅管理方法，并能对加工、备餐、卫生、存储等方面分别提供详细可行的执行和考核措施的，</w:t>
            </w: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得6分；</w:t>
            </w:r>
          </w:p>
          <w:p w14:paraId="31E826A7">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方案有一定条理性，基本涵盖餐饮各个流程，能相对较好的提供餐饮服务的，得4分；</w:t>
            </w:r>
          </w:p>
          <w:p w14:paraId="2961F004">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方案简略粗糙，缺乏科学性、条理性，或内容缺失，无法满足餐饮服务要求的，得2分；</w:t>
            </w:r>
          </w:p>
          <w:p w14:paraId="3FA1A423">
            <w:pPr>
              <w:pStyle w:val="25"/>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缺项不得分。</w:t>
            </w:r>
          </w:p>
        </w:tc>
      </w:tr>
      <w:tr w14:paraId="2ACC4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96" w:type="dxa"/>
            <w:vMerge w:val="continue"/>
            <w:vAlign w:val="center"/>
          </w:tcPr>
          <w:p w14:paraId="3E9EE6B9">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67" w:type="dxa"/>
            <w:vMerge w:val="continue"/>
            <w:vAlign w:val="center"/>
          </w:tcPr>
          <w:p w14:paraId="7755B3E6">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shd w:val="clear" w:color="auto" w:fill="auto"/>
            <w:vAlign w:val="center"/>
          </w:tcPr>
          <w:p w14:paraId="6CA11535">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保洁服务方案</w:t>
            </w: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（6分）</w:t>
            </w:r>
          </w:p>
        </w:tc>
        <w:tc>
          <w:tcPr>
            <w:tcW w:w="5389" w:type="dxa"/>
            <w:shd w:val="clear" w:color="auto" w:fill="auto"/>
            <w:vAlign w:val="top"/>
          </w:tcPr>
          <w:p w14:paraId="19681B56">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针对投标人提供的保洁服务方案进行评审。</w:t>
            </w:r>
          </w:p>
          <w:p w14:paraId="073B94D5">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方案内容详细，能够有针对性的对各区域设置保洁方法</w:t>
            </w: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和考核规范，且明显具有科学性、合理性、可执行性的，得6分；</w:t>
            </w:r>
          </w:p>
          <w:p w14:paraId="0D3C7F75">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方案内容较为详细，基本具有条理性和可执行性，能够较好满足环境卫生服务需求的，得4分；</w:t>
            </w:r>
          </w:p>
          <w:p w14:paraId="454910BF">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方案内容不科学、不合理或有明显缺失，基本无法满足要求的环境卫生需求的，得2分；</w:t>
            </w:r>
          </w:p>
          <w:p w14:paraId="670AA44A">
            <w:pPr>
              <w:pStyle w:val="25"/>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缺项不得分。</w:t>
            </w:r>
          </w:p>
        </w:tc>
      </w:tr>
      <w:tr w14:paraId="0E823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96" w:type="dxa"/>
            <w:vMerge w:val="continue"/>
            <w:vAlign w:val="center"/>
          </w:tcPr>
          <w:p w14:paraId="1B04E8E7">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67" w:type="dxa"/>
            <w:vMerge w:val="continue"/>
            <w:vAlign w:val="center"/>
          </w:tcPr>
          <w:p w14:paraId="1ED3EE77">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shd w:val="clear" w:color="auto" w:fill="auto"/>
            <w:vAlign w:val="center"/>
          </w:tcPr>
          <w:p w14:paraId="2D2C9ACF">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建筑物、设备的运行管理方案</w:t>
            </w:r>
          </w:p>
          <w:p w14:paraId="64FC7451">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（6分）</w:t>
            </w:r>
          </w:p>
        </w:tc>
        <w:tc>
          <w:tcPr>
            <w:tcW w:w="5389" w:type="dxa"/>
            <w:shd w:val="clear" w:color="auto" w:fill="auto"/>
            <w:vAlign w:val="top"/>
          </w:tcPr>
          <w:p w14:paraId="0F8BC0E6">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针对投标人提供的建筑物、设备的运行管理方案进行评审。</w:t>
            </w:r>
          </w:p>
          <w:p w14:paraId="0067201C">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方案内容详尽，能够对不同区域、类型分别有针对性的提出管理方法，且方法科学、思虑周全、标准严格，完全满足管理需求的，得6分；</w:t>
            </w:r>
          </w:p>
          <w:p w14:paraId="3605CF10">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方案思路基本清晰，能够针对不同方面提供不同措施，且方案整体较为科学、合理，可执行性较强的，得4分；</w:t>
            </w:r>
          </w:p>
          <w:p w14:paraId="6AC26D7A">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方案笼统，明显存在不足或者缺失，基本无法满足采购需求的，得2分；</w:t>
            </w:r>
          </w:p>
          <w:p w14:paraId="5DC4198E">
            <w:pPr>
              <w:pStyle w:val="25"/>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缺项不得分。</w:t>
            </w:r>
          </w:p>
        </w:tc>
      </w:tr>
      <w:tr w14:paraId="29F76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1" w:hRule="atLeast"/>
        </w:trPr>
        <w:tc>
          <w:tcPr>
            <w:tcW w:w="596" w:type="dxa"/>
            <w:vMerge w:val="continue"/>
            <w:vAlign w:val="center"/>
          </w:tcPr>
          <w:p w14:paraId="50D239E3">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67" w:type="dxa"/>
            <w:vMerge w:val="continue"/>
            <w:vAlign w:val="center"/>
          </w:tcPr>
          <w:p w14:paraId="2387E5E1">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shd w:val="clear" w:color="auto" w:fill="auto"/>
            <w:vAlign w:val="center"/>
          </w:tcPr>
          <w:p w14:paraId="6535F20F">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文体服务方案</w:t>
            </w: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（6分）</w:t>
            </w:r>
          </w:p>
        </w:tc>
        <w:tc>
          <w:tcPr>
            <w:tcW w:w="5389" w:type="dxa"/>
            <w:shd w:val="clear" w:color="auto" w:fill="auto"/>
            <w:vAlign w:val="top"/>
          </w:tcPr>
          <w:p w14:paraId="3456A9F8">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针对投标人提供的文体服务方案进行评审。</w:t>
            </w:r>
          </w:p>
          <w:p w14:paraId="42F7E689">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方案详细，能提供科学的工作规范和优质的服务，能针对性的满足采购需求的，</w:t>
            </w: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得6分；</w:t>
            </w:r>
          </w:p>
          <w:p w14:paraId="078517A9">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方案较为详细合理，能提供较好的服务，基本能满足采购需求的，得4分；</w:t>
            </w:r>
          </w:p>
          <w:p w14:paraId="2DA1A0DF">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方案简单、内容不全，缺乏服务意识，导致无法满足采购需求的，得2分；</w:t>
            </w:r>
          </w:p>
          <w:p w14:paraId="542D2429">
            <w:pPr>
              <w:pStyle w:val="25"/>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缺项不得分。</w:t>
            </w:r>
          </w:p>
        </w:tc>
      </w:tr>
      <w:tr w14:paraId="754E1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96" w:type="dxa"/>
            <w:vMerge w:val="continue"/>
            <w:vAlign w:val="center"/>
          </w:tcPr>
          <w:p w14:paraId="0B6DA202">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67" w:type="dxa"/>
            <w:vMerge w:val="continue"/>
            <w:vAlign w:val="center"/>
          </w:tcPr>
          <w:p w14:paraId="2D6D9FDB">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shd w:val="clear" w:color="auto" w:fill="auto"/>
            <w:vAlign w:val="center"/>
          </w:tcPr>
          <w:p w14:paraId="47FC73A2">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themeColor="text1"/>
                <w:spacing w:val="-13"/>
                <w:kern w:val="0"/>
                <w:sz w:val="24"/>
                <w:szCs w:val="24"/>
                <w:highlight w:val="none"/>
                <w:lang w:val="en-US" w:eastAsia="en-US" w:bidi="ar-SA"/>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场馆服务方案（6分）</w:t>
            </w:r>
          </w:p>
        </w:tc>
        <w:tc>
          <w:tcPr>
            <w:tcW w:w="5389" w:type="dxa"/>
            <w:shd w:val="clear" w:color="auto" w:fill="auto"/>
            <w:vAlign w:val="top"/>
          </w:tcPr>
          <w:p w14:paraId="7B161617">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针对投标人提供的场馆服务方案进行评审。</w:t>
            </w:r>
          </w:p>
          <w:p w14:paraId="0DF57550">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方案详细科学，能有效地对展览馆、图书馆、资料馆进行管理，针对性的满足采购需求的，得6分；</w:t>
            </w:r>
          </w:p>
          <w:p w14:paraId="1EFDD154">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方案较为详细合理，能提供较好的服务，基本能满足采购需求的，得4分；</w:t>
            </w:r>
          </w:p>
          <w:p w14:paraId="4BB0E949">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方案简单、内容不全，管理意识混乱，导致无法满足采购需求的，得2分；</w:t>
            </w:r>
          </w:p>
          <w:p w14:paraId="3500F9F0">
            <w:pPr>
              <w:pStyle w:val="25"/>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Theme="minorEastAsia" w:hAnsiTheme="minorEastAsia" w:eastAsiaTheme="minorEastAsia" w:cstheme="minorEastAsia"/>
                <w:snapToGrid w:val="0"/>
                <w:color w:val="000000" w:themeColor="text1"/>
                <w:spacing w:val="-13"/>
                <w:kern w:val="0"/>
                <w:sz w:val="24"/>
                <w:szCs w:val="24"/>
                <w:highlight w:val="none"/>
                <w:lang w:val="en-US" w:eastAsia="en-US" w:bidi="ar-SA"/>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13"/>
                <w:kern w:val="0"/>
                <w:sz w:val="24"/>
                <w:szCs w:val="24"/>
                <w:highlight w:val="none"/>
                <w:lang w:val="en-US" w:eastAsia="zh-CN" w:bidi="ar-SA"/>
                <w14:textFill>
                  <w14:solidFill>
                    <w14:schemeClr w14:val="tx1"/>
                  </w14:solidFill>
                </w14:textFill>
              </w:rPr>
              <w:t>缺项不得分。</w:t>
            </w:r>
          </w:p>
        </w:tc>
      </w:tr>
      <w:tr w14:paraId="74D05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96" w:type="dxa"/>
            <w:vMerge w:val="continue"/>
            <w:vAlign w:val="center"/>
          </w:tcPr>
          <w:p w14:paraId="607DEDED">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67" w:type="dxa"/>
            <w:vMerge w:val="continue"/>
            <w:vAlign w:val="center"/>
          </w:tcPr>
          <w:p w14:paraId="3054A4B5">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shd w:val="clear" w:color="auto" w:fill="auto"/>
            <w:vAlign w:val="center"/>
          </w:tcPr>
          <w:p w14:paraId="42198024">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b w:val="0"/>
                <w:bCs w:val="0"/>
                <w:snapToGrid w:val="0"/>
                <w:color w:val="000000"/>
                <w:spacing w:val="-13"/>
                <w:kern w:val="0"/>
                <w:sz w:val="24"/>
                <w:szCs w:val="24"/>
                <w:lang w:val="en-US" w:eastAsia="en-US"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安全运维方</w:t>
            </w:r>
            <w:r>
              <w:rPr>
                <w:rFonts w:hint="eastAsia" w:asciiTheme="minorEastAsia" w:hAnsiTheme="minorEastAsia" w:eastAsiaTheme="minorEastAsia" w:cstheme="minorEastAsia"/>
                <w:b w:val="0"/>
                <w:bCs w:val="0"/>
                <w:snapToGrid w:val="0"/>
                <w:color w:val="000000"/>
                <w:spacing w:val="-13"/>
                <w:kern w:val="0"/>
                <w:sz w:val="24"/>
                <w:szCs w:val="24"/>
                <w:lang w:val="en-US" w:eastAsia="en-US" w:bidi="ar-SA"/>
              </w:rPr>
              <w:t>案</w:t>
            </w:r>
          </w:p>
          <w:p w14:paraId="084CBD8C">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b w:val="0"/>
                <w:bCs w:val="0"/>
                <w:snapToGrid w:val="0"/>
                <w:color w:val="000000"/>
                <w:spacing w:val="-13"/>
                <w:kern w:val="0"/>
                <w:sz w:val="24"/>
                <w:szCs w:val="24"/>
                <w:lang w:val="en-US" w:eastAsia="en-US"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（8分）</w:t>
            </w:r>
          </w:p>
        </w:tc>
        <w:tc>
          <w:tcPr>
            <w:tcW w:w="5389" w:type="dxa"/>
            <w:shd w:val="clear" w:color="auto" w:fill="auto"/>
            <w:vAlign w:val="top"/>
          </w:tcPr>
          <w:p w14:paraId="607ACFCA">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针对投标人提供的油库、网络、供水、电、气及电梯安全运行等制定安全运维方案进行评审。</w:t>
            </w:r>
          </w:p>
          <w:p w14:paraId="06592D93">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方案内容科学详实，思虑周全，能对安全与运维各种情况提出针对性、可行性措施的，得8分；</w:t>
            </w:r>
          </w:p>
          <w:p w14:paraId="4A0C6C9B">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方案比较详细，对各种安全运维情况有一定见解，能给出较为有效的应对方案，基本能应对各种情况的，得5分；</w:t>
            </w:r>
          </w:p>
          <w:p w14:paraId="2C0DEA92">
            <w:pPr>
              <w:pStyle w:val="25"/>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方案内容简单粗略，考虑不周全，敷衍应对，拿不出行之有效的应对方案的，得2分；</w:t>
            </w:r>
          </w:p>
          <w:p w14:paraId="47914B28">
            <w:pPr>
              <w:pStyle w:val="25"/>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eastAsia" w:asciiTheme="minorEastAsia" w:hAnsiTheme="minorEastAsia" w:eastAsiaTheme="minorEastAsia" w:cstheme="minorEastAsia"/>
                <w:b w:val="0"/>
                <w:bCs w:val="0"/>
                <w:snapToGrid w:val="0"/>
                <w:color w:val="000000"/>
                <w:spacing w:val="-13"/>
                <w:kern w:val="0"/>
                <w:sz w:val="24"/>
                <w:szCs w:val="24"/>
                <w:lang w:val="en-US" w:eastAsia="en-US"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缺项不得分。</w:t>
            </w:r>
          </w:p>
        </w:tc>
      </w:tr>
      <w:tr w14:paraId="31DD7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96" w:type="dxa"/>
            <w:vMerge w:val="restart"/>
            <w:vAlign w:val="center"/>
          </w:tcPr>
          <w:p w14:paraId="2B6AAF49">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3</w:t>
            </w:r>
          </w:p>
        </w:tc>
        <w:tc>
          <w:tcPr>
            <w:tcW w:w="1467" w:type="dxa"/>
            <w:vMerge w:val="restart"/>
            <w:vAlign w:val="center"/>
          </w:tcPr>
          <w:p w14:paraId="6F00BB8C">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综合实力</w:t>
            </w:r>
          </w:p>
          <w:p w14:paraId="7D36E258">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
                <w:sz w:val="24"/>
                <w:szCs w:val="24"/>
                <w:lang w:val="en-US" w:eastAsia="zh-CN"/>
              </w:rPr>
              <w:t>（满分20分）</w:t>
            </w:r>
          </w:p>
        </w:tc>
        <w:tc>
          <w:tcPr>
            <w:tcW w:w="883" w:type="dxa"/>
            <w:vAlign w:val="center"/>
          </w:tcPr>
          <w:p w14:paraId="5312CE85">
            <w:pPr>
              <w:pStyle w:val="25"/>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auto"/>
                <w:spacing w:val="-13"/>
                <w:kern w:val="0"/>
                <w:sz w:val="24"/>
                <w:szCs w:val="24"/>
                <w:lang w:val="en-US" w:eastAsia="zh-CN" w:bidi="ar-SA"/>
              </w:rPr>
            </w:pPr>
            <w:r>
              <w:rPr>
                <w:rFonts w:hint="eastAsia" w:asciiTheme="minorEastAsia" w:hAnsiTheme="minorEastAsia" w:eastAsiaTheme="minorEastAsia" w:cstheme="minorEastAsia"/>
                <w:snapToGrid w:val="0"/>
                <w:color w:val="auto"/>
                <w:spacing w:val="-13"/>
                <w:kern w:val="0"/>
                <w:sz w:val="24"/>
                <w:szCs w:val="24"/>
                <w:lang w:val="en-US" w:eastAsia="zh-CN" w:bidi="ar-SA"/>
              </w:rPr>
              <w:t>人员配备及管理方案（10分）</w:t>
            </w:r>
          </w:p>
        </w:tc>
        <w:tc>
          <w:tcPr>
            <w:tcW w:w="5389" w:type="dxa"/>
            <w:vAlign w:val="top"/>
          </w:tcPr>
          <w:p w14:paraId="27A71ADE">
            <w:pPr>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根据本项目需求及特点制定人员配备、管理方案（包括拟派项目总经理、管理团队、厨师团队、工程团队等成员）；</w:t>
            </w:r>
          </w:p>
          <w:p w14:paraId="0F4F2CE4">
            <w:pPr>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方案人员配备合理</w:t>
            </w:r>
            <w:r>
              <w:rPr>
                <w:rFonts w:hint="eastAsia" w:ascii="宋体" w:hAnsi="宋体" w:eastAsia="宋体" w:cs="宋体"/>
                <w:b w:val="0"/>
                <w:bCs w:val="0"/>
                <w:color w:val="auto"/>
                <w:sz w:val="24"/>
                <w:szCs w:val="24"/>
                <w:lang w:val="en-US" w:eastAsia="zh-CN"/>
              </w:rPr>
              <w:t>稳定</w:t>
            </w:r>
            <w:r>
              <w:rPr>
                <w:rFonts w:hint="eastAsia" w:ascii="宋体" w:hAnsi="宋体" w:eastAsia="宋体" w:cs="宋体"/>
                <w:color w:val="auto"/>
                <w:sz w:val="24"/>
                <w:szCs w:val="24"/>
                <w:lang w:val="en-US" w:eastAsia="zh-CN"/>
              </w:rPr>
              <w:t xml:space="preserve">、人员管理制度科学完整、针对性强的，贴合项目实际情况，完全满足项目需求的得10分； </w:t>
            </w:r>
          </w:p>
          <w:p w14:paraId="1ECE749B">
            <w:pPr>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投标人人员配备较为合理，编制的管理制度具备一定的针对性，能从项目实际情况出发，基本满足项目需求的得7分； </w:t>
            </w:r>
          </w:p>
          <w:p w14:paraId="77471E0C">
            <w:pPr>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投标人编制的方案不完整、缺乏针对性，与实际情况偏离较大，无法满足项目需求的得4分；</w:t>
            </w:r>
          </w:p>
          <w:p w14:paraId="308AAFE6">
            <w:pPr>
              <w:ind w:firstLine="480" w:firstLineChars="200"/>
              <w:rPr>
                <w:rFonts w:hint="default" w:asciiTheme="minorEastAsia" w:hAnsiTheme="minorEastAsia" w:eastAsiaTheme="minorEastAsia" w:cstheme="minorEastAsia"/>
                <w:snapToGrid w:val="0"/>
                <w:color w:val="auto"/>
                <w:spacing w:val="-13"/>
                <w:kern w:val="0"/>
                <w:sz w:val="24"/>
                <w:szCs w:val="24"/>
                <w:lang w:val="en-US" w:eastAsia="zh-CN" w:bidi="ar-SA"/>
              </w:rPr>
            </w:pPr>
            <w:r>
              <w:rPr>
                <w:rFonts w:hint="eastAsia" w:ascii="宋体" w:hAnsi="宋体" w:eastAsia="宋体" w:cs="宋体"/>
                <w:color w:val="auto"/>
                <w:sz w:val="24"/>
                <w:szCs w:val="24"/>
                <w:lang w:val="en-US" w:eastAsia="zh-CN"/>
              </w:rPr>
              <w:t>未提供不得分。</w:t>
            </w:r>
          </w:p>
        </w:tc>
      </w:tr>
      <w:tr w14:paraId="40863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96" w:type="dxa"/>
            <w:vMerge w:val="continue"/>
            <w:vAlign w:val="center"/>
          </w:tcPr>
          <w:p w14:paraId="521F01D7">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p>
        </w:tc>
        <w:tc>
          <w:tcPr>
            <w:tcW w:w="1467" w:type="dxa"/>
            <w:vMerge w:val="continue"/>
            <w:vAlign w:val="center"/>
          </w:tcPr>
          <w:p w14:paraId="11BF185A">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883" w:type="dxa"/>
            <w:vAlign w:val="center"/>
          </w:tcPr>
          <w:p w14:paraId="74BBAB3B">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auto"/>
                <w:spacing w:val="-13"/>
                <w:kern w:val="0"/>
                <w:sz w:val="24"/>
                <w:szCs w:val="24"/>
                <w:lang w:val="en-US" w:eastAsia="zh-CN" w:bidi="ar-SA"/>
              </w:rPr>
            </w:pPr>
            <w:r>
              <w:rPr>
                <w:rFonts w:hint="eastAsia" w:asciiTheme="minorEastAsia" w:hAnsiTheme="minorEastAsia" w:eastAsiaTheme="minorEastAsia" w:cstheme="minorEastAsia"/>
                <w:snapToGrid w:val="0"/>
                <w:color w:val="auto"/>
                <w:spacing w:val="-13"/>
                <w:kern w:val="0"/>
                <w:sz w:val="24"/>
                <w:szCs w:val="24"/>
                <w:lang w:val="en-US" w:eastAsia="zh-CN" w:bidi="ar-SA"/>
              </w:rPr>
              <w:t>团队职称</w:t>
            </w:r>
          </w:p>
          <w:p w14:paraId="60F064F1">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auto"/>
                <w:spacing w:val="-13"/>
                <w:kern w:val="0"/>
                <w:sz w:val="24"/>
                <w:szCs w:val="24"/>
                <w:lang w:val="en-US" w:eastAsia="zh-CN" w:bidi="ar-SA"/>
              </w:rPr>
            </w:pPr>
            <w:r>
              <w:rPr>
                <w:rFonts w:hint="eastAsia" w:asciiTheme="minorEastAsia" w:hAnsiTheme="minorEastAsia" w:eastAsiaTheme="minorEastAsia" w:cstheme="minorEastAsia"/>
                <w:snapToGrid w:val="0"/>
                <w:color w:val="auto"/>
                <w:spacing w:val="-13"/>
                <w:kern w:val="0"/>
                <w:sz w:val="24"/>
                <w:szCs w:val="24"/>
                <w:lang w:val="en-US" w:eastAsia="zh-CN" w:bidi="ar-SA"/>
              </w:rPr>
              <w:t>（2分）</w:t>
            </w:r>
          </w:p>
        </w:tc>
        <w:tc>
          <w:tcPr>
            <w:tcW w:w="5389" w:type="dxa"/>
            <w:vAlign w:val="top"/>
          </w:tcPr>
          <w:p w14:paraId="1A8FAE05">
            <w:pPr>
              <w:pStyle w:val="2"/>
              <w:keepNext w:val="0"/>
              <w:keepLines w:val="0"/>
              <w:widowControl/>
              <w:suppressLineNumbers w:val="0"/>
              <w:spacing w:before="0" w:beforeAutospacing="0" w:after="0" w:afterAutospacing="0"/>
              <w:ind w:left="0" w:right="0" w:firstLine="428" w:firstLineChars="200"/>
              <w:rPr>
                <w:rFonts w:hint="default" w:asciiTheme="minorEastAsia" w:hAnsiTheme="minorEastAsia" w:eastAsiaTheme="minorEastAsia" w:cstheme="minorEastAsia"/>
                <w:b w:val="0"/>
                <w:bCs w:val="0"/>
                <w:snapToGrid w:val="0"/>
                <w:color w:val="auto"/>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auto"/>
                <w:spacing w:val="-13"/>
                <w:kern w:val="0"/>
                <w:sz w:val="24"/>
                <w:szCs w:val="24"/>
                <w:lang w:val="en-US" w:eastAsia="zh-CN" w:bidi="ar-SA"/>
              </w:rPr>
              <w:t>在技术职称满足学院要求（厨师团队高级职称3人，工程团队电工证3人、IT行业相关证书1人）的基础上，每多证书1人次得0.5分；最多得2分。</w:t>
            </w:r>
          </w:p>
        </w:tc>
      </w:tr>
      <w:tr w14:paraId="391DB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96" w:type="dxa"/>
            <w:vMerge w:val="continue"/>
            <w:vAlign w:val="center"/>
          </w:tcPr>
          <w:p w14:paraId="6F255D47">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p>
        </w:tc>
        <w:tc>
          <w:tcPr>
            <w:tcW w:w="1467" w:type="dxa"/>
            <w:vMerge w:val="continue"/>
            <w:vAlign w:val="center"/>
          </w:tcPr>
          <w:p w14:paraId="2C0AB300">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883" w:type="dxa"/>
            <w:vAlign w:val="center"/>
          </w:tcPr>
          <w:p w14:paraId="7357D7D9">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auto"/>
                <w:spacing w:val="-13"/>
                <w:kern w:val="0"/>
                <w:sz w:val="24"/>
                <w:szCs w:val="24"/>
                <w:lang w:val="en-US" w:eastAsia="zh-CN" w:bidi="ar-SA"/>
              </w:rPr>
            </w:pPr>
            <w:r>
              <w:rPr>
                <w:rFonts w:hint="eastAsia" w:asciiTheme="minorEastAsia" w:hAnsiTheme="minorEastAsia" w:eastAsiaTheme="minorEastAsia" w:cstheme="minorEastAsia"/>
                <w:snapToGrid w:val="0"/>
                <w:color w:val="auto"/>
                <w:spacing w:val="-13"/>
                <w:kern w:val="0"/>
                <w:sz w:val="24"/>
                <w:szCs w:val="24"/>
                <w:lang w:val="en-US" w:eastAsia="zh-CN" w:bidi="ar-SA"/>
              </w:rPr>
              <w:t>业绩</w:t>
            </w:r>
          </w:p>
          <w:p w14:paraId="3F1CE495">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auto"/>
                <w:spacing w:val="-13"/>
                <w:kern w:val="0"/>
                <w:sz w:val="24"/>
                <w:szCs w:val="24"/>
                <w:lang w:val="en-US" w:eastAsia="zh-CN" w:bidi="ar-SA"/>
              </w:rPr>
            </w:pPr>
            <w:r>
              <w:rPr>
                <w:rFonts w:hint="eastAsia" w:asciiTheme="minorEastAsia" w:hAnsiTheme="minorEastAsia" w:eastAsiaTheme="minorEastAsia" w:cstheme="minorEastAsia"/>
                <w:snapToGrid w:val="0"/>
                <w:color w:val="auto"/>
                <w:spacing w:val="-13"/>
                <w:kern w:val="0"/>
                <w:sz w:val="24"/>
                <w:szCs w:val="24"/>
                <w:lang w:val="en-US" w:eastAsia="zh-CN" w:bidi="ar-SA"/>
              </w:rPr>
              <w:t>（6分）</w:t>
            </w:r>
          </w:p>
        </w:tc>
        <w:tc>
          <w:tcPr>
            <w:tcW w:w="5389" w:type="dxa"/>
            <w:vAlign w:val="top"/>
          </w:tcPr>
          <w:p w14:paraId="6B7C69D1">
            <w:pPr>
              <w:pStyle w:val="2"/>
              <w:keepNext w:val="0"/>
              <w:keepLines w:val="0"/>
              <w:widowControl/>
              <w:suppressLineNumbers w:val="0"/>
              <w:spacing w:before="0" w:beforeAutospacing="0" w:after="0" w:afterAutospacing="0"/>
              <w:ind w:left="0" w:right="0" w:firstLine="428" w:firstLineChars="200"/>
              <w:rPr>
                <w:rFonts w:hint="eastAsia" w:asciiTheme="minorEastAsia" w:hAnsiTheme="minorEastAsia" w:eastAsiaTheme="minorEastAsia" w:cstheme="minorEastAsia"/>
                <w:b w:val="0"/>
                <w:bCs w:val="0"/>
                <w:snapToGrid w:val="0"/>
                <w:color w:val="auto"/>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auto"/>
                <w:spacing w:val="-13"/>
                <w:kern w:val="0"/>
                <w:sz w:val="24"/>
                <w:szCs w:val="24"/>
                <w:lang w:val="en-US" w:eastAsia="zh-CN" w:bidi="ar-SA"/>
              </w:rPr>
              <w:t>投标人提供2023年以来同类项目业绩合同，每份得2分，最多得6分（提供合同原件扫描件）。</w:t>
            </w:r>
          </w:p>
        </w:tc>
      </w:tr>
      <w:tr w14:paraId="75A56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96" w:type="dxa"/>
            <w:vMerge w:val="continue"/>
            <w:vAlign w:val="center"/>
          </w:tcPr>
          <w:p w14:paraId="1A004397">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p>
        </w:tc>
        <w:tc>
          <w:tcPr>
            <w:tcW w:w="1467" w:type="dxa"/>
            <w:vMerge w:val="continue"/>
            <w:vAlign w:val="center"/>
          </w:tcPr>
          <w:p w14:paraId="5EB7FBE7">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883" w:type="dxa"/>
            <w:vAlign w:val="center"/>
          </w:tcPr>
          <w:p w14:paraId="39D6F3C8">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信用评价</w:t>
            </w:r>
          </w:p>
          <w:p w14:paraId="6CCDB4B3">
            <w:pPr>
              <w:pStyle w:val="25"/>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（2分）</w:t>
            </w:r>
          </w:p>
        </w:tc>
        <w:tc>
          <w:tcPr>
            <w:tcW w:w="5389" w:type="dxa"/>
            <w:vAlign w:val="top"/>
          </w:tcPr>
          <w:p w14:paraId="4B3795EC">
            <w:pPr>
              <w:pStyle w:val="2"/>
              <w:keepNext w:val="0"/>
              <w:keepLines w:val="0"/>
              <w:widowControl/>
              <w:suppressLineNumbers w:val="0"/>
              <w:spacing w:before="0" w:beforeAutospacing="0" w:after="0" w:afterAutospacing="0"/>
              <w:ind w:left="0" w:right="0" w:firstLine="428" w:firstLineChars="200"/>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投标人在参加南阳市本级的政府采购活动时，享受政策支持，在采用综合评分法的项目中，诚信评价为满分的得2分，90～99分（不含90分）之间得1分，90分以下的不得分。投标人可在公告发布之日到投标截止期间，登录“南阳市政府采购信用管理系统”在线打印《南阳市政府采购供应商信用记录表》，作为投标（响应）文件的组成部分提交，评审时作为享受政策。</w:t>
            </w:r>
          </w:p>
        </w:tc>
      </w:tr>
      <w:tr w14:paraId="2D0C7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063" w:type="dxa"/>
            <w:gridSpan w:val="2"/>
            <w:vAlign w:val="top"/>
          </w:tcPr>
          <w:p w14:paraId="7AFE78B8">
            <w:pPr>
              <w:keepNext w:val="0"/>
              <w:keepLines w:val="0"/>
              <w:pageBreakBefore w:val="0"/>
              <w:kinsoku/>
              <w:wordWrap w:val="0"/>
              <w:overflowPunct/>
              <w:topLinePunct w:val="0"/>
              <w:bidi w:val="0"/>
              <w:spacing w:before="42" w:line="206" w:lineRule="auto"/>
              <w:ind w:left="93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合计</w:t>
            </w:r>
          </w:p>
        </w:tc>
        <w:tc>
          <w:tcPr>
            <w:tcW w:w="883" w:type="dxa"/>
            <w:vAlign w:val="top"/>
          </w:tcPr>
          <w:p w14:paraId="4D6570AC">
            <w:pPr>
              <w:pStyle w:val="25"/>
              <w:keepNext w:val="0"/>
              <w:keepLines w:val="0"/>
              <w:pageBreakBefore w:val="0"/>
              <w:kinsoku/>
              <w:wordWrap w:val="0"/>
              <w:overflowPunct/>
              <w:topLinePunct w:val="0"/>
              <w:bidi w:val="0"/>
              <w:spacing w:before="59" w:line="202" w:lineRule="auto"/>
              <w:ind w:left="26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100</w:t>
            </w:r>
          </w:p>
        </w:tc>
        <w:tc>
          <w:tcPr>
            <w:tcW w:w="5389" w:type="dxa"/>
            <w:vAlign w:val="top"/>
          </w:tcPr>
          <w:p w14:paraId="2C3D3CC9">
            <w:pPr>
              <w:pStyle w:val="25"/>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3DEF39F9">
      <w:pPr>
        <w:pStyle w:val="13"/>
        <w:rPr>
          <w:rFonts w:hint="default"/>
          <w:lang w:val="en-US" w:eastAsia="zh-CN"/>
        </w:rPr>
      </w:pPr>
    </w:p>
    <w:p w14:paraId="783F661E">
      <w:pPr>
        <w:keepNext w:val="0"/>
        <w:keepLines w:val="0"/>
        <w:pageBreakBefore w:val="0"/>
        <w:widowControl/>
        <w:kinsoku/>
        <w:wordWrap w:val="0"/>
        <w:overflowPunct/>
        <w:topLinePunct w:val="0"/>
        <w:autoSpaceDE w:val="0"/>
        <w:autoSpaceDN w:val="0"/>
        <w:bidi w:val="0"/>
        <w:adjustRightInd w:val="0"/>
        <w:snapToGrid w:val="0"/>
        <w:spacing w:line="360" w:lineRule="auto"/>
        <w:ind w:firstLine="420" w:firstLineChars="200"/>
        <w:jc w:val="both"/>
        <w:textAlignment w:val="baseline"/>
        <w:rPr>
          <w:rFonts w:hint="eastAsia" w:asciiTheme="minorEastAsia" w:hAnsiTheme="minorEastAsia" w:eastAsiaTheme="minorEastAsia" w:cstheme="minorEastAsia"/>
          <w:sz w:val="21"/>
          <w:szCs w:val="21"/>
        </w:rPr>
      </w:pPr>
    </w:p>
    <w:p w14:paraId="5A9836C5">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14:paraId="11C874C3">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14:paraId="1A0DBBA4">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 中标人被正式确定后，将在“河南省政府采购网”和“全国公共资源交易平台（河南省</w:t>
      </w:r>
      <w:r>
        <w:rPr>
          <w:rFonts w:hint="eastAsia" w:ascii="微软雅黑" w:hAnsi="微软雅黑" w:eastAsia="微软雅黑" w:cs="微软雅黑"/>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南阳市）”上公告中标结果，同时向中标人发出《中标通知书》。</w:t>
      </w:r>
    </w:p>
    <w:p w14:paraId="64CE523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 《中标通知书》将作为签订合同的依据之一。</w:t>
      </w:r>
    </w:p>
    <w:p w14:paraId="506D05E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 《中标通知书》发放办法：政府采购项目通过“南阳市公共资源交易中心公共服务平台”向中标人发出电子《中标通知书》后，中标供应商可登录南阳市公共资源交易平台会员系统，自行打印加盖电子签章的《中标通知书》。</w:t>
      </w:r>
    </w:p>
    <w:p w14:paraId="774610C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2.签订合同</w:t>
      </w:r>
    </w:p>
    <w:p w14:paraId="1CCE1BB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2.1中标供应商打印《中标通知书》后及时与采购人签订政府采购合同。合同签订后，采购人应通过“河南省电子化政府采购系统”(www.hngp.gov.cn)合同管理栏目上传合同原件扫描件完成备案。</w:t>
      </w:r>
    </w:p>
    <w:p w14:paraId="6FB2BE74">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2.2招标文件、投标文件、答疑及澄清文件，均为签订合同的依据。</w:t>
      </w:r>
    </w:p>
    <w:p w14:paraId="2DE0F0D4">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0ED0A623">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14:paraId="50046CB2">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21156107">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5B353D5C">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118046B5">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14:paraId="19153B6D">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0528BF6D">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4A8DD39C">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17E94B76">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14:paraId="290C6CC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1.开标及询标时，投标人法定代表人（负责人）或授权代表务必携带有效的身份证明，否则产生的不利后果由投标人自行承担。</w:t>
      </w:r>
    </w:p>
    <w:p w14:paraId="28240119">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2.各投标人应保证：投标文件中涉及到的所有内容，不会出现因第三方提出侵权而引发法律及经济纠纷，不论何种情况下若发生此类情况，其相应责任由投标人自行承担。</w:t>
      </w:r>
    </w:p>
    <w:p w14:paraId="06356E96">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3.3开标、评标期间，投标人不得向评委询问评标情况，不得进行旨在影响评标结果的活动。</w:t>
      </w:r>
    </w:p>
    <w:p w14:paraId="23B8F233">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4.为了保证评标的公正性，除询标外，评委不得与投标人交换意见。无论评标工作结束与否，参与评标的任何人均不得私下向外透露评标中的任何情况。</w:t>
      </w:r>
    </w:p>
    <w:p w14:paraId="15811D3C">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5.投标人应本着公平竞争的原则参与投标，不得用任何方式对其它投标人恶意攻击。</w:t>
      </w:r>
    </w:p>
    <w:p w14:paraId="72B3EFD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6.投标人如有违反上述要求或违反国家法律、法规的行为，无论评标结果如何，其投标资格将被取消。</w:t>
      </w:r>
    </w:p>
    <w:p w14:paraId="2DC90F3B">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8BD2C65">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0B135E1">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10FD762">
      <w:pPr>
        <w:pStyle w:val="13"/>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7DA04E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0CB4567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14:paraId="22ABA22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4E51F846">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173B5C10">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04F7F9F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19625ED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30" w:firstLineChars="200"/>
        <w:jc w:val="both"/>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001FFBC3">
      <w:pPr>
        <w:pStyle w:val="23"/>
        <w:keepNext w:val="0"/>
        <w:keepLines w:val="0"/>
        <w:pageBreakBefore w:val="0"/>
        <w:kinsoku/>
        <w:wordWrap w:val="0"/>
        <w:overflowPunct/>
        <w:topLinePunct w:val="0"/>
        <w:bidi w:val="0"/>
        <w:jc w:val="both"/>
        <w:rPr>
          <w:rFonts w:hint="eastAsia"/>
          <w:lang w:val="en-US" w:eastAsia="zh-CN"/>
        </w:rPr>
        <w:sectPr>
          <w:footerReference r:id="rId7" w:type="default"/>
          <w:pgSz w:w="11907" w:h="16840"/>
          <w:pgMar w:top="1440" w:right="1800" w:bottom="1440" w:left="1800" w:header="878" w:footer="886" w:gutter="0"/>
          <w:pgNumType w:fmt="decimal" w:start="1"/>
          <w:cols w:space="720" w:num="1"/>
        </w:sectPr>
      </w:pPr>
    </w:p>
    <w:p w14:paraId="1667603F">
      <w:pPr>
        <w:pStyle w:val="6"/>
        <w:keepNext w:val="0"/>
        <w:keepLines w:val="0"/>
        <w:pageBreakBefore w:val="0"/>
        <w:kinsoku/>
        <w:wordWrap w:val="0"/>
        <w:overflowPunct/>
        <w:topLinePunct w:val="0"/>
        <w:bidi w:val="0"/>
        <w:spacing w:before="353" w:line="219" w:lineRule="auto"/>
        <w:ind w:left="2294"/>
        <w:jc w:val="both"/>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政府采购合同（草案）</w:t>
      </w:r>
    </w:p>
    <w:p w14:paraId="76C2CE67">
      <w:pPr>
        <w:pStyle w:val="23"/>
        <w:jc w:val="both"/>
        <w:rPr>
          <w:rFonts w:hint="eastAsia"/>
        </w:rPr>
      </w:pPr>
    </w:p>
    <w:p w14:paraId="593DF1A0">
      <w:pPr>
        <w:spacing w:line="360" w:lineRule="auto"/>
        <w:ind w:firstLine="2249" w:firstLineChars="800"/>
        <w:rPr>
          <w:rFonts w:hint="eastAsia" w:ascii="仿宋_GB2312" w:hAnsi="宋体" w:eastAsia="仿宋_GB2312"/>
          <w:b/>
          <w:bCs/>
          <w:sz w:val="28"/>
          <w:szCs w:val="28"/>
          <w:lang w:eastAsia="zh-CN"/>
        </w:rPr>
      </w:pPr>
      <w:r>
        <w:rPr>
          <w:rFonts w:hint="eastAsia" w:ascii="仿宋_GB2312" w:hAnsi="宋体" w:eastAsia="仿宋_GB2312"/>
          <w:b/>
          <w:bCs/>
          <w:sz w:val="28"/>
          <w:szCs w:val="28"/>
          <w:lang w:eastAsia="zh-CN"/>
        </w:rPr>
        <w:t>政府采购合同（样本）</w:t>
      </w:r>
    </w:p>
    <w:p w14:paraId="1683AB7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 xml:space="preserve">采购人（甲方）：                      </w:t>
      </w:r>
    </w:p>
    <w:p w14:paraId="1B372AC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 xml:space="preserve">投标人（乙方）：                      </w:t>
      </w:r>
    </w:p>
    <w:p w14:paraId="1792992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 xml:space="preserve">签订时间：                           </w:t>
      </w:r>
    </w:p>
    <w:p w14:paraId="1BF3C78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 xml:space="preserve">签订地点：                           </w:t>
      </w:r>
    </w:p>
    <w:p w14:paraId="1C221CA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本项目经南阳市政府采购监督管理办公室(以下简称“市采购办”）批准,采用          方式由南阳市</w:t>
      </w:r>
      <w:r>
        <w:rPr>
          <w:rFonts w:hint="eastAsia" w:ascii="仿宋_GB2312" w:hAnsi="宋体" w:eastAsia="仿宋_GB2312"/>
          <w:sz w:val="28"/>
          <w:szCs w:val="28"/>
          <w:lang w:val="en-US" w:eastAsia="zh-CN"/>
        </w:rPr>
        <w:t>公共资源交易中心</w:t>
      </w:r>
      <w:r>
        <w:rPr>
          <w:rFonts w:hint="eastAsia" w:ascii="仿宋_GB2312" w:hAnsi="宋体" w:eastAsia="仿宋_GB2312"/>
          <w:sz w:val="28"/>
          <w:szCs w:val="28"/>
          <w:lang w:eastAsia="zh-CN"/>
        </w:rPr>
        <w:t>（以下简称“市</w:t>
      </w:r>
      <w:r>
        <w:rPr>
          <w:rFonts w:hint="eastAsia" w:ascii="仿宋_GB2312" w:hAnsi="宋体" w:eastAsia="仿宋_GB2312"/>
          <w:sz w:val="28"/>
          <w:szCs w:val="28"/>
          <w:lang w:val="en-US" w:eastAsia="zh-CN"/>
        </w:rPr>
        <w:t>交易中心</w:t>
      </w:r>
      <w:r>
        <w:rPr>
          <w:rFonts w:hint="eastAsia" w:ascii="仿宋_GB2312" w:hAnsi="宋体" w:eastAsia="仿宋_GB2312"/>
          <w:sz w:val="28"/>
          <w:szCs w:val="28"/>
          <w:lang w:eastAsia="zh-CN"/>
        </w:rPr>
        <w:t>”）依法组织采购，经评审委员会评审，决定将政府采购合同授予乙方。为进一步明确甲乙双方的责任，确保合同顺利履行，根据《中华人民共和国政府采购法》及其实施条例、《中华人民共和国合同法》以及本项目中标（成交）结果，甲乙双方充分协商，订立合同，共同遵守。</w:t>
      </w:r>
    </w:p>
    <w:p w14:paraId="1367471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第一条  服务对象基本情况</w:t>
      </w:r>
    </w:p>
    <w:p w14:paraId="2F79D33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 xml:space="preserve">服务类型：＿＿＿＿＿　　座落位置： </w:t>
      </w:r>
      <w:r>
        <w:rPr>
          <w:rFonts w:hint="eastAsia" w:ascii="仿宋_GB2312" w:hAnsi="宋体" w:eastAsia="仿宋_GB2312"/>
          <w:sz w:val="28"/>
          <w:szCs w:val="28"/>
          <w:lang w:eastAsia="zh-CN"/>
        </w:rPr>
        <w:softHyphen/>
      </w:r>
      <w:r>
        <w:rPr>
          <w:rFonts w:hint="eastAsia" w:ascii="仿宋_GB2312" w:hAnsi="宋体" w:eastAsia="仿宋_GB2312"/>
          <w:sz w:val="28"/>
          <w:szCs w:val="28"/>
          <w:lang w:eastAsia="zh-CN"/>
        </w:rPr>
        <w:softHyphen/>
      </w:r>
      <w:r>
        <w:rPr>
          <w:rFonts w:hint="eastAsia" w:ascii="仿宋_GB2312" w:hAnsi="宋体" w:eastAsia="仿宋_GB2312"/>
          <w:sz w:val="28"/>
          <w:szCs w:val="28"/>
          <w:lang w:eastAsia="zh-CN"/>
        </w:rPr>
        <w:t>________</w:t>
      </w:r>
    </w:p>
    <w:p w14:paraId="5D3A599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占地面积：＿＿＿＿平方米　　建筑面积：＿＿＿＿平方米</w:t>
      </w:r>
    </w:p>
    <w:p w14:paraId="591EB15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其他必要内容  ＿＿＿＿</w:t>
      </w:r>
    </w:p>
    <w:p w14:paraId="25F268A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第二条  具体服务事项</w:t>
      </w:r>
    </w:p>
    <w:p w14:paraId="4B983D4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1、</w:t>
      </w:r>
    </w:p>
    <w:p w14:paraId="457FE22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2、</w:t>
      </w:r>
    </w:p>
    <w:p w14:paraId="0D89353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p>
    <w:p w14:paraId="0DDFDBC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第三条  服务期限为＿＿＿＿年。自＿＿＿年＿＿＿月＿＿＿＿＿＿时起至＿＿＿＿年＿＿＿＿月＿＿＿＿日＿＿＿＿时止。</w:t>
      </w:r>
    </w:p>
    <w:p w14:paraId="512948B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第四条  甲方权利义务</w:t>
      </w:r>
    </w:p>
    <w:p w14:paraId="56964F0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1、甲方有对乙方提出改进服务意见的权利，监督乙方工作。</w:t>
      </w:r>
    </w:p>
    <w:p w14:paraId="5C46D16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2、甲方负责协助乙方做好一切外部事物的处理与协调工作。</w:t>
      </w:r>
    </w:p>
    <w:p w14:paraId="3355195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3、乙方在工作中需要甲方工作人员协助的，甲方应积极配合。</w:t>
      </w:r>
    </w:p>
    <w:p w14:paraId="1CC385E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p>
    <w:p w14:paraId="43D0438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第五条  乙方权利义务</w:t>
      </w:r>
    </w:p>
    <w:p w14:paraId="798A7F5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1、乙方应根据有关法律法规及本合同约定，制定具体服务管理制度。</w:t>
      </w:r>
    </w:p>
    <w:p w14:paraId="2998943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2、乙方应接受甲方的监督和考核，遵守甲方的规章制度，根据合同约定，服从甲方安排。</w:t>
      </w:r>
    </w:p>
    <w:p w14:paraId="2462600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3、在工作区域内乙方人员提供管理服务过程中，因乙方人员的故意或过失，造成甲乙双方或任何第三方的人身损害或财产损失，乙方承担一切法律责任与赔偿。</w:t>
      </w:r>
    </w:p>
    <w:p w14:paraId="288883B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p>
    <w:p w14:paraId="782A69A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第六条   服务目标</w:t>
      </w:r>
    </w:p>
    <w:p w14:paraId="6CC14CC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乙方根据甲方的具体服务事项及要求制定出服务工作标准和考核标准。经与甲方协商同意后，乙方须按此工作标准和考核标准，实现服务目标。</w:t>
      </w:r>
    </w:p>
    <w:p w14:paraId="6641115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1、   ：＿＿＿＿＿＿＿＿＿</w:t>
      </w:r>
    </w:p>
    <w:p w14:paraId="091BEA7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2、   ：＿＿＿＿＿＿＿＿＿</w:t>
      </w:r>
    </w:p>
    <w:p w14:paraId="0E512C5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3、   ：＿＿＿＿＿＿＿＿＿</w:t>
      </w:r>
    </w:p>
    <w:p w14:paraId="2E5BD4B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p>
    <w:p w14:paraId="6AB0951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第七条 服务费用</w:t>
      </w:r>
    </w:p>
    <w:p w14:paraId="49DEC03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1、费用结算</w:t>
      </w:r>
    </w:p>
    <w:p w14:paraId="006F0AF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本合同以人民币付款，总计            万元。</w:t>
      </w:r>
    </w:p>
    <w:p w14:paraId="50E2058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 xml:space="preserve">付款方式：                         </w:t>
      </w:r>
    </w:p>
    <w:p w14:paraId="5F347A1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2、费用构成</w:t>
      </w:r>
    </w:p>
    <w:p w14:paraId="2128EAA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（1）</w:t>
      </w:r>
    </w:p>
    <w:p w14:paraId="5D49466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（2）</w:t>
      </w:r>
    </w:p>
    <w:p w14:paraId="5AC9528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p>
    <w:p w14:paraId="0582A52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第八条  验收方法</w:t>
      </w:r>
    </w:p>
    <w:p w14:paraId="1DF3CFF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甲方应当按照政府采购合同规定的技术、服务、安全标准组织对乙方履约情况进行验收，并出具验收书。验收书应当包括每一项技术、服务、安全标准的履约情况。验收不合格的，乙方应负责重新提供达到本合同约定的质量要求的标准；验收合格的,验收书作为支付货款的重要依据。</w:t>
      </w:r>
    </w:p>
    <w:p w14:paraId="344FB6D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政府向社会公众提供的公共服务项目，验收时应当邀请服务对象参与并出具意见，验收结果应当向社会公告。</w:t>
      </w:r>
    </w:p>
    <w:p w14:paraId="7F931CF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第九条 违约责任</w:t>
      </w:r>
    </w:p>
    <w:p w14:paraId="3E3BA49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1、甲方违反本合同的约定，使乙方不能完成服务目标，乙方有权要求甲方在一定期限内解决，逾期未解决的乙方有权终止合同；造成乙方经济损失的，甲方应给予乙方经济赔偿。</w:t>
      </w:r>
    </w:p>
    <w:p w14:paraId="5B3F792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2、乙方违反本合同的约定，不能完成服务目标，甲方有权要求乙方限期整改，逾期未整改的，甲方有权终止合同；造成甲方经济损失的，乙方应给予甲方经济赔偿。</w:t>
      </w:r>
    </w:p>
    <w:p w14:paraId="1946B0C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3、乙方违反本合同的约定，擅自提高收费标准的，甲方有权要求乙方清退；造成甲方经济损失的，乙方应给予甲方经济赔偿。</w:t>
      </w:r>
    </w:p>
    <w:p w14:paraId="2C7BAAE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4、甲乙双方任何一方无法律依据提前终止本合同的，违约方应赔偿对方＿＿元的违约金；造成对方经济损失的，应给予经济赔偿。</w:t>
      </w:r>
    </w:p>
    <w:p w14:paraId="3AC774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5、其他。</w:t>
      </w:r>
    </w:p>
    <w:p w14:paraId="3ABA98D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第十条 其他事项</w:t>
      </w:r>
    </w:p>
    <w:p w14:paraId="2130D8C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1、本合同自甲乙双方签字盖章后生效。</w:t>
      </w:r>
    </w:p>
    <w:p w14:paraId="05887C4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2、合同执行期内，甲乙双方均不得随意变更或解除合同。合同如有未尽事宜，须经双方共同协商，做出补充规定，补充规定与本合同具有同等效力，也可按照《中华人民共和国民法典》的规定执行。</w:t>
      </w:r>
    </w:p>
    <w:p w14:paraId="3212687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3、本合同执行期间，如遇不可抗力，致使合同无法履行时，双方按有关法律规定及时协商处理。</w:t>
      </w:r>
    </w:p>
    <w:p w14:paraId="5C48005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4、本合同如发生纠纷，当事人双方应当及时协商解决，协商不成时，任何一方均可请政府采购监督管理机关调解，调解不成，按以下第（ ）项方式处理：（1）根据《中华人民共和国仲裁法》的规定向南阳市仲裁委员会申请仲裁。（2）向合同签订地有管辖权的人民法院起诉。</w:t>
      </w:r>
    </w:p>
    <w:p w14:paraId="097BBA2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5、采购双方必须严格按照招标文件、投标文件及有关承诺签订采购合同，不得擅自变更。对任何因双方擅自变更合同引起的问题市政府采购中心概不负责，合同风险由双方自行承担。</w:t>
      </w:r>
    </w:p>
    <w:p w14:paraId="6A238CD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6、本合同一式 份，甲乙双方各执  份；由乙方报送市</w:t>
      </w:r>
      <w:r>
        <w:rPr>
          <w:rFonts w:hint="eastAsia" w:ascii="仿宋_GB2312" w:hAnsi="宋体" w:eastAsia="仿宋_GB2312"/>
          <w:sz w:val="28"/>
          <w:szCs w:val="28"/>
          <w:lang w:val="en-US" w:eastAsia="zh-CN"/>
        </w:rPr>
        <w:t>交易</w:t>
      </w:r>
      <w:r>
        <w:rPr>
          <w:rFonts w:hint="eastAsia" w:ascii="仿宋_GB2312" w:hAnsi="宋体" w:eastAsia="仿宋_GB2312"/>
          <w:sz w:val="28"/>
          <w:szCs w:val="28"/>
          <w:lang w:eastAsia="zh-CN"/>
        </w:rPr>
        <w:t>中心一份;由甲方报送市采购办一份。</w:t>
      </w:r>
    </w:p>
    <w:p w14:paraId="14A29F8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第十一条  下列关于市采购中心项目编号   号的采购文件及有关附件是本合同不可分割的组成部分，与本合同具有同等法律效力，这些文件包括但不限于：（1）招标文件（2）乙方提供的投标文件（3）服务承诺；（4）甲乙双方商定的其他文件。以上附件顺序在前的具有优先解释权。</w:t>
      </w:r>
    </w:p>
    <w:p w14:paraId="5C5F4E7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 xml:space="preserve">采购人（甲方）：    （公章）   投标人（乙方）： （公章）  </w:t>
      </w:r>
    </w:p>
    <w:p w14:paraId="2B11C26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地址：                         地址：</w:t>
      </w:r>
    </w:p>
    <w:p w14:paraId="18E270F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法定代表人：                   法定代表人：</w:t>
      </w:r>
    </w:p>
    <w:p w14:paraId="24D8FCB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委托代理人：                   委托代理人：</w:t>
      </w:r>
    </w:p>
    <w:p w14:paraId="1D1797F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电话：                         电话：</w:t>
      </w:r>
    </w:p>
    <w:p w14:paraId="508AC79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开户银行：                     开户银行：</w:t>
      </w:r>
    </w:p>
    <w:p w14:paraId="5DA7C84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账号：                         账号：</w:t>
      </w:r>
    </w:p>
    <w:p w14:paraId="2EDACFB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宋体" w:eastAsia="仿宋_GB2312"/>
          <w:sz w:val="28"/>
          <w:szCs w:val="28"/>
          <w:lang w:eastAsia="zh-CN"/>
        </w:rPr>
      </w:pPr>
      <w:r>
        <w:rPr>
          <w:rFonts w:hint="eastAsia" w:ascii="仿宋_GB2312" w:hAnsi="宋体" w:eastAsia="仿宋_GB2312"/>
          <w:sz w:val="28"/>
          <w:szCs w:val="28"/>
          <w:lang w:eastAsia="zh-CN"/>
        </w:rPr>
        <w:t xml:space="preserve">   年    月    日               年    月    日</w:t>
      </w:r>
    </w:p>
    <w:p w14:paraId="5AEECAEC">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14:paraId="39661171">
      <w:pPr>
        <w:pStyle w:val="6"/>
        <w:keepNext w:val="0"/>
        <w:keepLines w:val="0"/>
        <w:pageBreakBefore w:val="0"/>
        <w:kinsoku/>
        <w:wordWrap w:val="0"/>
        <w:overflowPunct/>
        <w:topLinePunct w:val="0"/>
        <w:bidi w:val="0"/>
        <w:spacing w:before="353" w:line="219" w:lineRule="auto"/>
        <w:ind w:left="2654"/>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14:paraId="0ABA1F70">
      <w:pPr>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sz w:val="21"/>
        </w:rPr>
      </w:pPr>
    </w:p>
    <w:p w14:paraId="4FB6C7F4">
      <w:pPr>
        <w:pStyle w:val="6"/>
        <w:keepNext w:val="0"/>
        <w:keepLines w:val="0"/>
        <w:pageBreakBefore w:val="0"/>
        <w:widowControl/>
        <w:kinsoku/>
        <w:wordWrap w:val="0"/>
        <w:overflowPunct/>
        <w:topLinePunct w:val="0"/>
        <w:autoSpaceDE w:val="0"/>
        <w:autoSpaceDN w:val="0"/>
        <w:bidi w:val="0"/>
        <w:adjustRightInd w:val="0"/>
        <w:snapToGrid w:val="0"/>
        <w:spacing w:before="78" w:line="360" w:lineRule="auto"/>
        <w:ind w:left="154"/>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14:paraId="282336E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w:t>
      </w:r>
      <w:r>
        <w:rPr>
          <w:rFonts w:hint="eastAsia" w:asciiTheme="minorEastAsia" w:hAnsiTheme="minorEastAsia" w:eastAsiaTheme="minorEastAsia" w:cstheme="minorEastAsia"/>
          <w:spacing w:val="-3"/>
          <w:sz w:val="24"/>
          <w:szCs w:val="24"/>
        </w:rPr>
        <w:t>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049149C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14:paraId="477A0EAB">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sectPr>
          <w:headerReference r:id="rId8" w:type="default"/>
          <w:footerReference r:id="rId9" w:type="default"/>
          <w:pgSz w:w="11907" w:h="16840"/>
          <w:pgMar w:top="1440" w:right="1800" w:bottom="1440" w:left="1800" w:header="878" w:footer="886" w:gutter="0"/>
          <w:pgNumType w:fmt="decimal"/>
          <w:cols w:space="720" w:num="1"/>
        </w:sectPr>
      </w:pPr>
    </w:p>
    <w:p w14:paraId="75A26C50">
      <w:pPr>
        <w:pStyle w:val="6"/>
        <w:keepNext w:val="0"/>
        <w:keepLines w:val="0"/>
        <w:pageBreakBefore w:val="0"/>
        <w:kinsoku/>
        <w:wordWrap w:val="0"/>
        <w:overflowPunct/>
        <w:topLinePunct w:val="0"/>
        <w:bidi w:val="0"/>
        <w:spacing w:before="78" w:line="360" w:lineRule="auto"/>
        <w:ind w:left="13"/>
        <w:jc w:val="both"/>
        <w:outlineLvl w:val="2"/>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一、资格证明文件格式</w:t>
      </w:r>
    </w:p>
    <w:p w14:paraId="66EB15D1">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1.开标一览表</w:t>
      </w:r>
    </w:p>
    <w:p w14:paraId="5A869B9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003D3DCB">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tbl>
      <w:tblPr>
        <w:tblStyle w:val="18"/>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14:paraId="7C5F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58F394E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40C9D3E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473A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2238D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614356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1F59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C17D60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511F1D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1BD1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33050C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02EE5D8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w:t>
            </w:r>
          </w:p>
        </w:tc>
      </w:tr>
      <w:tr w14:paraId="6AEB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58A9C96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服务期限</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7579E6C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5DAB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CA3018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服务质量</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693FA83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35E7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381D9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5C1A0AD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1E7940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bl>
    <w:p w14:paraId="6D11D45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注：“开标一览表”报总价。</w:t>
      </w:r>
    </w:p>
    <w:p w14:paraId="0B0D79B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投标人（公章）：法定代表人（负责人）或授权代表（签字）：</w:t>
      </w:r>
    </w:p>
    <w:p w14:paraId="5494091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4323AA6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71350E2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366BB1E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29EAF2C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4102E25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2612E35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28F53C8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14:paraId="0082FF5C">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b/>
          <w:sz w:val="24"/>
          <w:szCs w:val="24"/>
          <w:lang w:eastAsia="zh-CN"/>
        </w:rPr>
      </w:pPr>
    </w:p>
    <w:p w14:paraId="5D571A02">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14:paraId="59A2D7B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4C1C2E8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14:paraId="42FF450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14:paraId="04924E8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14:paraId="0D4851C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14:paraId="216579C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14:paraId="71F9534F">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14:paraId="0372488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14:paraId="3A0C190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14:paraId="6C8311E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14:paraId="314CDE8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14:paraId="051D507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14:paraId="0D9A4609">
      <w:pPr>
        <w:pStyle w:val="17"/>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lang w:eastAsia="zh-CN"/>
        </w:rPr>
      </w:pPr>
    </w:p>
    <w:p w14:paraId="792C430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14:paraId="5A676CE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14:paraId="27FC4FA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14:paraId="42AF934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0C7B14E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0D06D17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14:paraId="2C90DE7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647AFDA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263CAE9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616E107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0FF77F8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5E9B448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0E3F916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0000C13C">
      <w:pPr>
        <w:keepNext w:val="0"/>
        <w:keepLines w:val="0"/>
        <w:pageBreakBefore w:val="0"/>
        <w:kinsoku/>
        <w:wordWrap w:val="0"/>
        <w:overflowPunct/>
        <w:topLinePunct w:val="0"/>
        <w:bidi w:val="0"/>
        <w:spacing w:line="360" w:lineRule="auto"/>
        <w:jc w:val="both"/>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资格声明函格式</w:t>
      </w:r>
    </w:p>
    <w:p w14:paraId="2AE2B118">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16F2DABF">
      <w:pPr>
        <w:keepNext w:val="0"/>
        <w:keepLines w:val="0"/>
        <w:pageBreakBefore w:val="0"/>
        <w:kinsoku/>
        <w:wordWrap w:val="0"/>
        <w:overflowPunct/>
        <w:topLinePunct w:val="0"/>
        <w:bidi w:val="0"/>
        <w:spacing w:line="360" w:lineRule="auto"/>
        <w:jc w:val="center"/>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14:paraId="398069D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192834D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5C977AF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14:paraId="301C7B5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14:paraId="7388DF7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14:paraId="6266459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14:paraId="1895AA2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14:paraId="7398271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14:paraId="6A84F5B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14:paraId="74C432A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14:paraId="0FE920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5383CC6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70A90AC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p>
    <w:p w14:paraId="5E1991C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06E5DA7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日期</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1500D30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rPr>
      </w:pPr>
    </w:p>
    <w:p w14:paraId="3EF2FFB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0" w:firstLineChars="200"/>
        <w:jc w:val="both"/>
        <w:textAlignment w:val="baseline"/>
        <w:rPr>
          <w:rFonts w:hint="eastAsia" w:asciiTheme="minorEastAsia" w:hAnsiTheme="minorEastAsia" w:eastAsiaTheme="minorEastAsia" w:cstheme="minorEastAsia"/>
          <w:sz w:val="24"/>
          <w:szCs w:val="24"/>
          <w:lang w:val="en-US" w:eastAsia="zh-CN"/>
        </w:rPr>
        <w:sectPr>
          <w:headerReference r:id="rId10" w:type="default"/>
          <w:footerReference r:id="rId11"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7"/>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w:t>
      </w:r>
      <w:r>
        <w:rPr>
          <w:rFonts w:hint="eastAsia" w:asciiTheme="minorEastAsia" w:hAnsiTheme="minorEastAsia" w:eastAsiaTheme="minorEastAsia" w:cstheme="minorEastAsia"/>
          <w:b/>
          <w:bCs/>
          <w:spacing w:val="-4"/>
          <w:sz w:val="24"/>
          <w:szCs w:val="24"/>
          <w:lang w:val="en-US" w:eastAsia="zh-CN"/>
        </w:rPr>
        <w:t>处理。</w:t>
      </w:r>
    </w:p>
    <w:p w14:paraId="55B8171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14:paraId="4C3BECF3">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val="en-US" w:eastAsia="zh-CN"/>
        </w:rPr>
      </w:pPr>
    </w:p>
    <w:p w14:paraId="7505CB2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14:paraId="54B3C7B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3FF05AC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15DC622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14:paraId="264B113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14:paraId="78D663B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14:paraId="5076261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14:paraId="02D2073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14:paraId="45CA90F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14:paraId="3B46F26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14:paraId="36316C2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14:paraId="19BE7B8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p>
    <w:p w14:paraId="6087C22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14:paraId="4E1EEE21">
      <w:pPr>
        <w:keepNext w:val="0"/>
        <w:keepLines w:val="0"/>
        <w:pageBreakBefore w:val="0"/>
        <w:kinsoku/>
        <w:wordWrap w:val="0"/>
        <w:overflowPunct/>
        <w:topLinePunct w:val="0"/>
        <w:bidi w:val="0"/>
        <w:spacing w:line="360" w:lineRule="auto"/>
        <w:ind w:firstLine="720" w:firstLineChars="3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9D120C0">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60A8558F">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6EE28283">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70965BC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84600F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231896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ADA5394">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14:paraId="1A298FF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14:paraId="53ADF98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14:paraId="49A0796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14:paraId="358AAEA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说明：</w:t>
      </w: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）投标人提供企业有关财务会计制度。</w:t>
      </w:r>
    </w:p>
    <w:p w14:paraId="107C211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投标人出具参加政府采购活动前三年内，</w:t>
      </w:r>
      <w:r>
        <w:rPr>
          <w:rFonts w:hint="eastAsia" w:asciiTheme="minorEastAsia" w:hAnsiTheme="minorEastAsia" w:eastAsiaTheme="minorEastAsia" w:cstheme="minorEastAsia"/>
          <w:b/>
          <w:bCs/>
          <w:snapToGrid w:val="0"/>
          <w:color w:val="000000"/>
          <w:kern w:val="0"/>
          <w:sz w:val="24"/>
          <w:szCs w:val="24"/>
          <w:lang w:val="en-US" w:eastAsia="zh-CN" w:bidi="ar-SA"/>
        </w:rPr>
        <w:t>在经营活动中没有重大违法记录</w:t>
      </w:r>
      <w:r>
        <w:rPr>
          <w:rFonts w:hint="eastAsia" w:asciiTheme="minorEastAsia" w:hAnsiTheme="minorEastAsia" w:eastAsiaTheme="minorEastAsia" w:cstheme="minorEastAsia"/>
          <w:b/>
          <w:bCs/>
          <w:sz w:val="24"/>
          <w:szCs w:val="24"/>
          <w:lang w:eastAsia="zh-CN"/>
        </w:rPr>
        <w:t>的书面声明（加盖单位公章）</w:t>
      </w:r>
    </w:p>
    <w:p w14:paraId="4D7F5B4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3D98CE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C56F3F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2FF0E8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857B23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EA27D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7C4F87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009B5A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41FD8C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91D57D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F4CEF3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DB3FF6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5F40BD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186C71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6D2A09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704BA7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52FB61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C2279D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D4F9B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EABFA8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14:paraId="5709A9B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p>
    <w:p w14:paraId="0E15DFAB">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14:paraId="434B702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352FB5A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66EA37A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6D4ACD7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434BF7B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1B520D1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2AB147C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承诺人法定地址：</w:t>
      </w:r>
    </w:p>
    <w:p w14:paraId="6D36AE9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授权代表（签字或盖章）：</w:t>
      </w:r>
    </w:p>
    <w:p w14:paraId="5CD6101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w:t>
      </w:r>
    </w:p>
    <w:p w14:paraId="04FAA890">
      <w:pPr>
        <w:keepNext w:val="0"/>
        <w:keepLines w:val="0"/>
        <w:pageBreakBefore w:val="0"/>
        <w:kinsoku/>
        <w:wordWrap w:val="0"/>
        <w:overflowPunct/>
        <w:topLinePunct w:val="0"/>
        <w:bidi w:val="0"/>
        <w:spacing w:line="360" w:lineRule="auto"/>
        <w:ind w:firstLine="672" w:firstLineChars="3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160DA653">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7B763C61">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2890AA0F">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14:paraId="4503D44D">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12.其他资格证明</w:t>
      </w:r>
    </w:p>
    <w:p w14:paraId="549AD9E3">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896CFC8">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对于市本级政府采购项目，全部实施供应商资格信用承诺，投标人</w:t>
      </w:r>
      <w:r>
        <w:rPr>
          <w:rFonts w:hint="eastAsia" w:asciiTheme="minorEastAsia" w:hAnsiTheme="minorEastAsia" w:eastAsiaTheme="minorEastAsia" w:cstheme="minorEastAsia"/>
          <w:b/>
          <w:bCs/>
          <w:sz w:val="24"/>
          <w:szCs w:val="24"/>
          <w:lang w:eastAsia="zh-CN"/>
        </w:rPr>
        <w:t>在投标时，按照规定提供“南阳市政府采购供应商信用承诺函”（详见附件）的，无需再提交上述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2FAA8496">
      <w:pPr>
        <w:pStyle w:val="6"/>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t>南阳市政府采购供应商信用承诺函</w:t>
      </w:r>
    </w:p>
    <w:p w14:paraId="66F29638">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6756132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7723835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6E0D02B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14F2EFE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3C05B65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103B12B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36BCDF0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17E19FC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736AF10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3C30BBB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2312C0E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02C0DB9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10FA754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17438EF8">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452C255C">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62185210">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3D5B05C5">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74BDF7A7">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404ABC55">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7CD72B9D">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1E3740FA">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14:paraId="0B85B524">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t>二、技术格式（暗标）</w:t>
      </w:r>
    </w:p>
    <w:p w14:paraId="6C235A23">
      <w:pPr>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1.总体服务方案</w:t>
      </w:r>
    </w:p>
    <w:p w14:paraId="442AC7A5">
      <w:pPr>
        <w:rPr>
          <w:rFonts w:hint="eastAsia" w:asciiTheme="minorEastAsia" w:hAnsiTheme="minorEastAsia" w:eastAsiaTheme="minorEastAsia" w:cstheme="minorEastAsia"/>
          <w:b/>
          <w:bCs w:val="0"/>
          <w:sz w:val="24"/>
          <w:szCs w:val="24"/>
          <w:lang w:val="en-US" w:eastAsia="en-US"/>
        </w:rPr>
      </w:pPr>
      <w:r>
        <w:rPr>
          <w:rFonts w:hint="eastAsia" w:asciiTheme="minorEastAsia" w:hAnsiTheme="minorEastAsia" w:eastAsiaTheme="minorEastAsia" w:cstheme="minorEastAsia"/>
          <w:b/>
          <w:bCs w:val="0"/>
          <w:sz w:val="24"/>
          <w:szCs w:val="24"/>
          <w:lang w:val="en-US" w:eastAsia="zh-CN"/>
        </w:rPr>
        <w:t>2.</w:t>
      </w:r>
      <w:r>
        <w:rPr>
          <w:rFonts w:hint="eastAsia" w:asciiTheme="minorEastAsia" w:hAnsiTheme="minorEastAsia" w:eastAsiaTheme="minorEastAsia" w:cstheme="minorEastAsia"/>
          <w:b/>
          <w:bCs w:val="0"/>
          <w:sz w:val="24"/>
          <w:szCs w:val="24"/>
          <w:lang w:val="en-US" w:eastAsia="en-US"/>
        </w:rPr>
        <w:t>客房服务方案</w:t>
      </w:r>
    </w:p>
    <w:p w14:paraId="4465D7B9">
      <w:pPr>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3.会务服务方案</w:t>
      </w:r>
    </w:p>
    <w:p w14:paraId="29EA0C02">
      <w:pPr>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4.餐饮服务方案</w:t>
      </w:r>
    </w:p>
    <w:p w14:paraId="6C9A1137">
      <w:pPr>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5.保洁服务方案</w:t>
      </w:r>
    </w:p>
    <w:p w14:paraId="4D5373AA">
      <w:pPr>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6.建筑物、设备的运行管理方案</w:t>
      </w:r>
    </w:p>
    <w:p w14:paraId="1E79F45F">
      <w:pPr>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7.文体服务方案</w:t>
      </w:r>
    </w:p>
    <w:p w14:paraId="35200EC6">
      <w:pPr>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8.场馆服务方案</w:t>
      </w:r>
    </w:p>
    <w:p w14:paraId="71793B25">
      <w:pPr>
        <w:rPr>
          <w:rFonts w:hint="default"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9.安全运维方案</w:t>
      </w:r>
    </w:p>
    <w:p w14:paraId="4C8E404E">
      <w:pPr>
        <w:rPr>
          <w:rFonts w:hint="eastAsia" w:asciiTheme="minorEastAsia" w:hAnsiTheme="minorEastAsia" w:eastAsiaTheme="minorEastAsia" w:cstheme="minorEastAsia"/>
          <w:b/>
          <w:bCs w:val="0"/>
          <w:sz w:val="24"/>
          <w:szCs w:val="24"/>
          <w:lang w:val="en-US" w:eastAsia="zh-CN"/>
        </w:rPr>
      </w:pPr>
    </w:p>
    <w:p w14:paraId="0BC06F25">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93B54A6">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B83520D">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F0F7A4A">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A313D8A">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DC3B473">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73C45D5">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0CB12F4">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9DAB3EF">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B9B4EA1">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56E3865">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221078F">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B6E9CDE">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B129489">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FD8353C">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71D89D7">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331FD8E">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DC42510">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90CD2CB">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BCE9FB6">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F9341CA">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917A71E">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698597C">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456EF8F">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57E2267">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085D20D">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3FC7BBA">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21BD22E">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3839C82">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7B64632">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B3B9FBA">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C1CB1B1">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4343731">
      <w:pPr>
        <w:pStyle w:val="13"/>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32C2DC6">
      <w:pPr>
        <w:pStyle w:val="13"/>
        <w:rPr>
          <w:rFonts w:hint="default"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t>三、商务文件格式</w:t>
      </w:r>
    </w:p>
    <w:p w14:paraId="0CA0663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1.投标书格式</w:t>
      </w:r>
    </w:p>
    <w:p w14:paraId="52E210A6">
      <w:pPr>
        <w:keepNext w:val="0"/>
        <w:keepLines w:val="0"/>
        <w:pageBreakBefore w:val="0"/>
        <w:kinsoku/>
        <w:wordWrap w:val="0"/>
        <w:overflowPunct/>
        <w:topLinePunct w:val="0"/>
        <w:bidi w:val="0"/>
        <w:spacing w:line="360" w:lineRule="auto"/>
        <w:ind w:firstLine="607" w:firstLineChars="252"/>
        <w:jc w:val="cente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bCs/>
          <w:sz w:val="24"/>
          <w:szCs w:val="24"/>
          <w:lang w:eastAsia="zh-CN"/>
        </w:rPr>
        <w:t>投标书</w:t>
      </w:r>
    </w:p>
    <w:p w14:paraId="751465B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1F61114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14:paraId="1AE6F61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根据贵方招标编号为（）的公开招标公告，签字代表（全名、职务）经正式授权并代表投标人（投标人名称、地址）提交电子投标文件一份，并对之负法律责任。</w:t>
      </w:r>
    </w:p>
    <w:p w14:paraId="2B96A64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技术文件第1至</w:t>
      </w:r>
      <w:r>
        <w:rPr>
          <w:rFonts w:hint="eastAsia" w:asciiTheme="minorEastAsia" w:hAnsiTheme="minorEastAsia" w:eastAsiaTheme="minorEastAsia" w:cstheme="minorEastAsia"/>
          <w:b w:val="0"/>
          <w:bCs w:val="0"/>
          <w:sz w:val="24"/>
          <w:szCs w:val="24"/>
          <w:u w:val="single"/>
          <w:lang w:val="en-US" w:eastAsia="zh-CN"/>
        </w:rPr>
        <w:t xml:space="preserve">   项</w:t>
      </w:r>
      <w:r>
        <w:rPr>
          <w:rFonts w:hint="eastAsia" w:asciiTheme="minorEastAsia" w:hAnsiTheme="minorEastAsia" w:eastAsiaTheme="minorEastAsia" w:cstheme="minorEastAsia"/>
          <w:b w:val="0"/>
          <w:bCs w:val="0"/>
          <w:sz w:val="24"/>
          <w:szCs w:val="24"/>
          <w:u w:val="none"/>
          <w:lang w:val="en-US" w:eastAsia="zh-CN"/>
        </w:rPr>
        <w:t>，</w:t>
      </w:r>
      <w:r>
        <w:rPr>
          <w:rFonts w:hint="eastAsia" w:asciiTheme="minorEastAsia" w:hAnsiTheme="minorEastAsia" w:eastAsiaTheme="minorEastAsia" w:cstheme="minorEastAsia"/>
          <w:b w:val="0"/>
          <w:bCs w:val="0"/>
          <w:sz w:val="24"/>
          <w:szCs w:val="24"/>
          <w:lang w:eastAsia="zh-CN"/>
        </w:rPr>
        <w:t>商务文件第1</w:t>
      </w:r>
      <w:r>
        <w:rPr>
          <w:rFonts w:hint="eastAsia" w:asciiTheme="minorEastAsia" w:hAnsiTheme="minorEastAsia" w:eastAsiaTheme="minorEastAsia" w:cstheme="minorEastAsia"/>
          <w:b w:val="0"/>
          <w:bCs w:val="0"/>
          <w:color w:val="auto"/>
          <w:sz w:val="24"/>
          <w:szCs w:val="24"/>
          <w:lang w:eastAsia="zh-CN"/>
        </w:rPr>
        <w:t>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p>
    <w:p w14:paraId="4AE97A1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14:paraId="39BBF51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14:paraId="19059F4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14:paraId="681F078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14:paraId="289BE82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14:paraId="09D03F6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14:paraId="16B2DE4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地址：</w:t>
      </w:r>
    </w:p>
    <w:p w14:paraId="4EDE714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电话（传真）：</w:t>
      </w:r>
    </w:p>
    <w:p w14:paraId="4D74FFC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14:paraId="69B585B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14:paraId="7400733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sectPr>
          <w:headerReference r:id="rId12" w:type="default"/>
          <w:footerReference r:id="rId13"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p>
    <w:p w14:paraId="2F3D8F1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商务偏差表格式</w:t>
      </w:r>
    </w:p>
    <w:p w14:paraId="1ED52C1A">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z w:val="24"/>
          <w:szCs w:val="24"/>
          <w:lang w:eastAsia="zh-CN"/>
        </w:rPr>
      </w:pPr>
    </w:p>
    <w:p w14:paraId="1E73E298">
      <w:pPr>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14:paraId="354E50E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5B78D9C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6492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14:paraId="7CA1EFB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5B779B7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14:paraId="41969D6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265BEFE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3C6CA09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945C38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4DA4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6E4662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47A5A9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B1A3AC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3C6FC6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E0D839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FC1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433046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9EFA3D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669517F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5B22267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D155EB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4148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0AC3CF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B409CF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6F2ADB4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04B719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DED9FA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DC3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09AA290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746043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030B35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79BBA1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D79636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0AA7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3D1200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5EA16D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6C39A9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98186C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C165F2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800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593184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1C3A31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8D6D07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61C441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51FC94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2AE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0025BD1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5F1AEA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223343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ACDFA1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04E7D0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042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80AD85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1677928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26C91D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3558E7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D38CFF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467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DC0717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DBC088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664C92E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240093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317711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94D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3AD449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AE0CE2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CDFB9F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51C6F43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91DCBC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947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D01004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6980F3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670F2E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7206D4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CC81E5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0D3D761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14:paraId="1988B94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48A10DAE">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2C053B2A">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0FB39DF9">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5868E115">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75030E36">
      <w:pPr>
        <w:keepNext w:val="0"/>
        <w:keepLines w:val="0"/>
        <w:pageBreakBefore w:val="0"/>
        <w:numPr>
          <w:ilvl w:val="0"/>
          <w:numId w:val="0"/>
        </w:numPr>
        <w:kinsoku/>
        <w:wordWrap w:val="0"/>
        <w:overflowPunct/>
        <w:topLinePunct w:val="0"/>
        <w:bidi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3.人员配备及管理方案</w:t>
      </w:r>
    </w:p>
    <w:p w14:paraId="64FF7AF9">
      <w:pPr>
        <w:keepNext w:val="0"/>
        <w:keepLines w:val="0"/>
        <w:pageBreakBefore w:val="0"/>
        <w:numPr>
          <w:ilvl w:val="0"/>
          <w:numId w:val="0"/>
        </w:numPr>
        <w:kinsoku/>
        <w:wordWrap w:val="0"/>
        <w:overflowPunct/>
        <w:topLinePunct w:val="0"/>
        <w:bidi w:val="0"/>
        <w:spacing w:line="360" w:lineRule="auto"/>
        <w:jc w:val="both"/>
        <w:rPr>
          <w:rFonts w:hint="default" w:ascii="宋体" w:hAnsi="宋体"/>
          <w:b/>
          <w:sz w:val="24"/>
          <w:szCs w:val="24"/>
          <w:lang w:val="en-US" w:eastAsia="zh-CN"/>
        </w:rPr>
      </w:pPr>
      <w:r>
        <w:rPr>
          <w:rFonts w:hint="eastAsia" w:ascii="宋体" w:hAnsi="宋体"/>
          <w:b/>
          <w:sz w:val="24"/>
          <w:szCs w:val="24"/>
          <w:lang w:val="en-US" w:eastAsia="zh-CN"/>
        </w:rPr>
        <w:t>4.团队职称</w:t>
      </w:r>
    </w:p>
    <w:p w14:paraId="5A600546">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lang w:eastAsia="zh-CN"/>
        </w:rPr>
        <w:t>投标人业绩</w:t>
      </w:r>
    </w:p>
    <w:p w14:paraId="37273263">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1"/>
        </w:rPr>
      </w:pPr>
      <w:r>
        <w:rPr>
          <w:rFonts w:hint="eastAsia" w:eastAsia="Arial" w:cs="Arial"/>
          <w:b/>
          <w:snapToGrid w:val="0"/>
          <w:color w:val="000000"/>
          <w:kern w:val="0"/>
          <w:sz w:val="24"/>
          <w:szCs w:val="24"/>
          <w:lang w:val="en-US" w:eastAsia="zh-CN" w:bidi="ar-SA"/>
        </w:rPr>
        <w:t>6</w:t>
      </w:r>
      <w:r>
        <w:rPr>
          <w:rFonts w:hint="eastAsia" w:ascii="宋体" w:hAnsi="宋体" w:eastAsia="Arial" w:cs="Arial"/>
          <w:b/>
          <w:snapToGrid w:val="0"/>
          <w:color w:val="000000"/>
          <w:kern w:val="0"/>
          <w:sz w:val="24"/>
          <w:szCs w:val="24"/>
          <w:lang w:val="en-US" w:eastAsia="zh-CN" w:bidi="ar-SA"/>
        </w:rPr>
        <w:t>.中小企业、监狱企业或残疾人福利性单位声明函</w:t>
      </w:r>
      <w:r>
        <w:rPr>
          <w:rFonts w:hint="eastAsia" w:eastAsia="Arial" w:cs="Arial"/>
          <w:b/>
          <w:snapToGrid w:val="0"/>
          <w:color w:val="000000"/>
          <w:kern w:val="0"/>
          <w:sz w:val="24"/>
          <w:szCs w:val="24"/>
          <w:lang w:val="en-US" w:eastAsia="zh-CN" w:bidi="ar-SA"/>
        </w:rPr>
        <w:t>（对于专门面向中小企业采购的项目必须提供，不专门面向的项目可选择提供）</w:t>
      </w:r>
    </w:p>
    <w:p w14:paraId="14C65F1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中小企业声明函（服务）格式</w:t>
      </w:r>
    </w:p>
    <w:p w14:paraId="0A551FF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12AFB16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14:paraId="147D0E5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14:paraId="1418FF1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14:paraId="0A9865E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14:paraId="59A551B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F4C9B1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60F51FA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24" w:firstLineChars="200"/>
        <w:jc w:val="both"/>
        <w:textAlignment w:val="baseline"/>
        <w:rPr>
          <w:rFonts w:hint="eastAsia" w:asciiTheme="minorEastAsia" w:hAnsiTheme="minorEastAsia" w:eastAsiaTheme="minorEastAsia" w:cstheme="minorEastAsia"/>
          <w:spacing w:val="11"/>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w:t>
      </w:r>
      <w:r>
        <w:rPr>
          <w:rFonts w:hint="eastAsia" w:asciiTheme="minorEastAsia" w:hAnsiTheme="minorEastAsia" w:eastAsiaTheme="minorEastAsia" w:cstheme="minorEastAsia"/>
          <w:spacing w:val="10"/>
          <w:position w:val="17"/>
          <w:sz w:val="24"/>
          <w:szCs w:val="24"/>
          <w:lang w:val="en-US" w:eastAsia="zh-CN"/>
        </w:rPr>
        <w:t>不存在与大企业的负责人为同一人的情形。</w:t>
      </w:r>
    </w:p>
    <w:p w14:paraId="5FC22BC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14:paraId="595040A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29901AE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24ECD5C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14:paraId="0C252210">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1ABCD52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14:paraId="7EBD4D9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14:paraId="0E44A6D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14:paraId="3DB3224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54C5F5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51589B3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772A434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6118C88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6E0CD45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461308A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479582F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24D6A69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07006272">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2D43FE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4622A49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74512BB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3154B77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3C44DBD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4EB41CB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51FF0F7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3879C4A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3CEDEC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367F95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4B60606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14:paraId="242D821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63A3C7F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275F85D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70A5B483">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14:paraId="14E476ED">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14:paraId="476753E4">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3C3789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7.招标文件要求的其它材料及投标人认为有必要提供的材料</w:t>
      </w:r>
    </w:p>
    <w:sectPr>
      <w:headerReference r:id="rId14" w:type="default"/>
      <w:footerReference r:id="rId15"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ˎ̥">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ED413">
    <w:pPr>
      <w:spacing w:line="189" w:lineRule="auto"/>
      <w:rPr>
        <w:rFonts w:ascii="Arial" w:hAnsi="Arial" w:eastAsia="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64A8C">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4626CE">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4626CE">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96ED9">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A3F57">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83A3F57">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F875D">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BDCF4">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90BDCF4">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87E5">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D887E">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73D887E">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FFE16">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C9E760">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AC9E760">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7317C">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BEAC7">
    <w:pPr>
      <w:pStyle w:val="1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0854E">
    <w:pPr>
      <w:pStyle w:val="1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6C068">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80CBE">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500508"/>
    <w:multiLevelType w:val="multilevel"/>
    <w:tmpl w:val="2250050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C543D0"/>
    <w:multiLevelType w:val="multilevel"/>
    <w:tmpl w:val="42C543D0"/>
    <w:lvl w:ilvl="0" w:tentative="0">
      <w:start w:val="1"/>
      <w:numFmt w:val="decimal"/>
      <w:lvlText w:val="%1、"/>
      <w:lvlJc w:val="left"/>
      <w:pPr>
        <w:ind w:left="360" w:hanging="360"/>
      </w:pPr>
      <w:rPr>
        <w:rFonts w:ascii="宋体" w:hAnsi="宋体"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BE5FA"/>
    <w:multiLevelType w:val="singleLevel"/>
    <w:tmpl w:val="5D7BE5FA"/>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ZDU5ODFjOGEyNWRlYTNkMjA0OTNkYmM2YTBlNjc3YTEifQ=="/>
  </w:docVars>
  <w:rsids>
    <w:rsidRoot w:val="00000000"/>
    <w:rsid w:val="00621C19"/>
    <w:rsid w:val="0096273C"/>
    <w:rsid w:val="00D24FF0"/>
    <w:rsid w:val="01323CE1"/>
    <w:rsid w:val="014E35A1"/>
    <w:rsid w:val="01C02D71"/>
    <w:rsid w:val="023E759B"/>
    <w:rsid w:val="027730B6"/>
    <w:rsid w:val="02FA03F5"/>
    <w:rsid w:val="031427D0"/>
    <w:rsid w:val="03217B69"/>
    <w:rsid w:val="03A02C82"/>
    <w:rsid w:val="03C26B83"/>
    <w:rsid w:val="03CC315E"/>
    <w:rsid w:val="03DF5A69"/>
    <w:rsid w:val="044921B6"/>
    <w:rsid w:val="046E59EF"/>
    <w:rsid w:val="050D556D"/>
    <w:rsid w:val="05234F67"/>
    <w:rsid w:val="05545C1C"/>
    <w:rsid w:val="055748A3"/>
    <w:rsid w:val="059A3EA8"/>
    <w:rsid w:val="06593C39"/>
    <w:rsid w:val="06787E06"/>
    <w:rsid w:val="06AF4861"/>
    <w:rsid w:val="06B0495B"/>
    <w:rsid w:val="06C93A28"/>
    <w:rsid w:val="06E37C8B"/>
    <w:rsid w:val="076721B4"/>
    <w:rsid w:val="08AA23AF"/>
    <w:rsid w:val="08CB596A"/>
    <w:rsid w:val="092D385C"/>
    <w:rsid w:val="09684744"/>
    <w:rsid w:val="09A129E2"/>
    <w:rsid w:val="09CC6764"/>
    <w:rsid w:val="09E3271C"/>
    <w:rsid w:val="0A29644D"/>
    <w:rsid w:val="0A437032"/>
    <w:rsid w:val="0A633B33"/>
    <w:rsid w:val="0AB46C2A"/>
    <w:rsid w:val="0ABC7CF1"/>
    <w:rsid w:val="0ABE6FC5"/>
    <w:rsid w:val="0AD86A92"/>
    <w:rsid w:val="0B3B7AF5"/>
    <w:rsid w:val="0B3C24F6"/>
    <w:rsid w:val="0BC76E66"/>
    <w:rsid w:val="0BD44A33"/>
    <w:rsid w:val="0BF0521B"/>
    <w:rsid w:val="0CB101B0"/>
    <w:rsid w:val="0CBD4DA7"/>
    <w:rsid w:val="0CF900A3"/>
    <w:rsid w:val="0D9A718E"/>
    <w:rsid w:val="0DA859D3"/>
    <w:rsid w:val="0DC1671D"/>
    <w:rsid w:val="0DD30B7C"/>
    <w:rsid w:val="0E307EEE"/>
    <w:rsid w:val="0EE83F9D"/>
    <w:rsid w:val="0F0D035A"/>
    <w:rsid w:val="0F452E31"/>
    <w:rsid w:val="0FB87AA7"/>
    <w:rsid w:val="0FE34B24"/>
    <w:rsid w:val="102C0845"/>
    <w:rsid w:val="104F3F68"/>
    <w:rsid w:val="108B0D18"/>
    <w:rsid w:val="10B145AD"/>
    <w:rsid w:val="10EA5061"/>
    <w:rsid w:val="111E5570"/>
    <w:rsid w:val="115A7068"/>
    <w:rsid w:val="11620280"/>
    <w:rsid w:val="117D2D56"/>
    <w:rsid w:val="11B43A6A"/>
    <w:rsid w:val="11B5429E"/>
    <w:rsid w:val="121A79BB"/>
    <w:rsid w:val="122675E2"/>
    <w:rsid w:val="12417927"/>
    <w:rsid w:val="126E021D"/>
    <w:rsid w:val="126F5143"/>
    <w:rsid w:val="12C549DA"/>
    <w:rsid w:val="12D9220E"/>
    <w:rsid w:val="12FD5FFB"/>
    <w:rsid w:val="1380268A"/>
    <w:rsid w:val="13BD08D7"/>
    <w:rsid w:val="13C5707D"/>
    <w:rsid w:val="13F07810"/>
    <w:rsid w:val="1446371A"/>
    <w:rsid w:val="146A5814"/>
    <w:rsid w:val="14EC3DCF"/>
    <w:rsid w:val="15037E2D"/>
    <w:rsid w:val="156B2323"/>
    <w:rsid w:val="15AC3C0A"/>
    <w:rsid w:val="15B05882"/>
    <w:rsid w:val="15E04F64"/>
    <w:rsid w:val="164A7458"/>
    <w:rsid w:val="166242C9"/>
    <w:rsid w:val="16F45CE8"/>
    <w:rsid w:val="16FC049F"/>
    <w:rsid w:val="174C193E"/>
    <w:rsid w:val="179B0D80"/>
    <w:rsid w:val="17B27393"/>
    <w:rsid w:val="17E20058"/>
    <w:rsid w:val="183D23CB"/>
    <w:rsid w:val="18510AEB"/>
    <w:rsid w:val="18610CDC"/>
    <w:rsid w:val="19161B44"/>
    <w:rsid w:val="19D46BD3"/>
    <w:rsid w:val="19E260C0"/>
    <w:rsid w:val="1A464AA0"/>
    <w:rsid w:val="1A6B22E0"/>
    <w:rsid w:val="1A7D2A17"/>
    <w:rsid w:val="1A9F789A"/>
    <w:rsid w:val="1AAC0209"/>
    <w:rsid w:val="1ABC669E"/>
    <w:rsid w:val="1AC47924"/>
    <w:rsid w:val="1AF57E02"/>
    <w:rsid w:val="1B4F168F"/>
    <w:rsid w:val="1B6F0841"/>
    <w:rsid w:val="1C8651B5"/>
    <w:rsid w:val="1D391455"/>
    <w:rsid w:val="1D72498F"/>
    <w:rsid w:val="1D9D7C75"/>
    <w:rsid w:val="1E0754FF"/>
    <w:rsid w:val="1E2712E1"/>
    <w:rsid w:val="1E7249AF"/>
    <w:rsid w:val="1F6D4511"/>
    <w:rsid w:val="1F8737CC"/>
    <w:rsid w:val="1FE61854"/>
    <w:rsid w:val="1FF31541"/>
    <w:rsid w:val="20F10837"/>
    <w:rsid w:val="210939CE"/>
    <w:rsid w:val="212D6A29"/>
    <w:rsid w:val="217E2260"/>
    <w:rsid w:val="21DC7625"/>
    <w:rsid w:val="21E33D7D"/>
    <w:rsid w:val="222C19DE"/>
    <w:rsid w:val="22937C80"/>
    <w:rsid w:val="22E737AC"/>
    <w:rsid w:val="23B24569"/>
    <w:rsid w:val="23C6058D"/>
    <w:rsid w:val="23D34A58"/>
    <w:rsid w:val="24C8734D"/>
    <w:rsid w:val="24E94D19"/>
    <w:rsid w:val="25052271"/>
    <w:rsid w:val="255045B2"/>
    <w:rsid w:val="25583467"/>
    <w:rsid w:val="256253DA"/>
    <w:rsid w:val="25722260"/>
    <w:rsid w:val="257A4289"/>
    <w:rsid w:val="25A83616"/>
    <w:rsid w:val="25D07317"/>
    <w:rsid w:val="25D73832"/>
    <w:rsid w:val="260373D2"/>
    <w:rsid w:val="263A5FE5"/>
    <w:rsid w:val="265713EE"/>
    <w:rsid w:val="266177F8"/>
    <w:rsid w:val="26734FA1"/>
    <w:rsid w:val="267811A0"/>
    <w:rsid w:val="26F62F37"/>
    <w:rsid w:val="2710714F"/>
    <w:rsid w:val="27EF7E63"/>
    <w:rsid w:val="27F6032D"/>
    <w:rsid w:val="28942A08"/>
    <w:rsid w:val="2944096C"/>
    <w:rsid w:val="29462E99"/>
    <w:rsid w:val="29C94933"/>
    <w:rsid w:val="29EF5E58"/>
    <w:rsid w:val="2A3224D8"/>
    <w:rsid w:val="2A5E573D"/>
    <w:rsid w:val="2A870159"/>
    <w:rsid w:val="2ABA04F6"/>
    <w:rsid w:val="2AD7512C"/>
    <w:rsid w:val="2B296C36"/>
    <w:rsid w:val="2B32017A"/>
    <w:rsid w:val="2B4C1378"/>
    <w:rsid w:val="2BCF1FA9"/>
    <w:rsid w:val="2BD35370"/>
    <w:rsid w:val="2CA1464D"/>
    <w:rsid w:val="2CB368C6"/>
    <w:rsid w:val="2CE542E8"/>
    <w:rsid w:val="2D4C797B"/>
    <w:rsid w:val="2D854259"/>
    <w:rsid w:val="2DD5743D"/>
    <w:rsid w:val="2DF6291A"/>
    <w:rsid w:val="2E037ECE"/>
    <w:rsid w:val="2E123636"/>
    <w:rsid w:val="2EB21E3A"/>
    <w:rsid w:val="2EC1207D"/>
    <w:rsid w:val="2EDE4089"/>
    <w:rsid w:val="2F795793"/>
    <w:rsid w:val="2F7E5B21"/>
    <w:rsid w:val="2FAF3423"/>
    <w:rsid w:val="305F18E8"/>
    <w:rsid w:val="311741D6"/>
    <w:rsid w:val="3119309A"/>
    <w:rsid w:val="312A5594"/>
    <w:rsid w:val="312C625F"/>
    <w:rsid w:val="31C81974"/>
    <w:rsid w:val="31EC2C18"/>
    <w:rsid w:val="32230959"/>
    <w:rsid w:val="3322495F"/>
    <w:rsid w:val="337450B5"/>
    <w:rsid w:val="344C700B"/>
    <w:rsid w:val="34C22FEC"/>
    <w:rsid w:val="34EB0670"/>
    <w:rsid w:val="34F86C33"/>
    <w:rsid w:val="350C1B78"/>
    <w:rsid w:val="352E1AEE"/>
    <w:rsid w:val="357D65D2"/>
    <w:rsid w:val="36266C69"/>
    <w:rsid w:val="36B765C5"/>
    <w:rsid w:val="372E5DD5"/>
    <w:rsid w:val="374E72FE"/>
    <w:rsid w:val="37512649"/>
    <w:rsid w:val="37AB5678"/>
    <w:rsid w:val="37C036A0"/>
    <w:rsid w:val="37D664EB"/>
    <w:rsid w:val="37E776C2"/>
    <w:rsid w:val="37F92887"/>
    <w:rsid w:val="383C09C6"/>
    <w:rsid w:val="38704382"/>
    <w:rsid w:val="38860F79"/>
    <w:rsid w:val="388B2F38"/>
    <w:rsid w:val="38CC58A6"/>
    <w:rsid w:val="399D1B1E"/>
    <w:rsid w:val="3A046503"/>
    <w:rsid w:val="3A386160"/>
    <w:rsid w:val="3B35724B"/>
    <w:rsid w:val="3BB63ADA"/>
    <w:rsid w:val="3BDC4EDA"/>
    <w:rsid w:val="3C37498E"/>
    <w:rsid w:val="3C860462"/>
    <w:rsid w:val="3C94450B"/>
    <w:rsid w:val="3CD83A9C"/>
    <w:rsid w:val="3D051AB3"/>
    <w:rsid w:val="3D13022E"/>
    <w:rsid w:val="3D9C0E9C"/>
    <w:rsid w:val="3DDE7B24"/>
    <w:rsid w:val="3E233D5C"/>
    <w:rsid w:val="3E353902"/>
    <w:rsid w:val="3E60285C"/>
    <w:rsid w:val="3E7A6E5F"/>
    <w:rsid w:val="3E807399"/>
    <w:rsid w:val="3E923BF9"/>
    <w:rsid w:val="3ED454B4"/>
    <w:rsid w:val="3F0A4EA1"/>
    <w:rsid w:val="3F487C50"/>
    <w:rsid w:val="3F814E1B"/>
    <w:rsid w:val="3FC65745"/>
    <w:rsid w:val="3FCC0881"/>
    <w:rsid w:val="3FCE3BC4"/>
    <w:rsid w:val="40063D93"/>
    <w:rsid w:val="40274071"/>
    <w:rsid w:val="405D1A2A"/>
    <w:rsid w:val="407F405E"/>
    <w:rsid w:val="409370B0"/>
    <w:rsid w:val="40D41902"/>
    <w:rsid w:val="410F0A26"/>
    <w:rsid w:val="412255BE"/>
    <w:rsid w:val="41884B35"/>
    <w:rsid w:val="423849B8"/>
    <w:rsid w:val="435F746A"/>
    <w:rsid w:val="4372309F"/>
    <w:rsid w:val="44093E52"/>
    <w:rsid w:val="444E5D13"/>
    <w:rsid w:val="446F3136"/>
    <w:rsid w:val="44790C24"/>
    <w:rsid w:val="453A628D"/>
    <w:rsid w:val="45561726"/>
    <w:rsid w:val="45660E30"/>
    <w:rsid w:val="45CF0C25"/>
    <w:rsid w:val="45DD7715"/>
    <w:rsid w:val="462C61EF"/>
    <w:rsid w:val="47503B46"/>
    <w:rsid w:val="476F2CBE"/>
    <w:rsid w:val="47C562E2"/>
    <w:rsid w:val="47C81344"/>
    <w:rsid w:val="480A1F47"/>
    <w:rsid w:val="483B0352"/>
    <w:rsid w:val="488A3088"/>
    <w:rsid w:val="48DF1625"/>
    <w:rsid w:val="48F078C5"/>
    <w:rsid w:val="49320965"/>
    <w:rsid w:val="49AC2E6D"/>
    <w:rsid w:val="4A3F3154"/>
    <w:rsid w:val="4A4562D3"/>
    <w:rsid w:val="4A52328E"/>
    <w:rsid w:val="4B050440"/>
    <w:rsid w:val="4B227F62"/>
    <w:rsid w:val="4B6545C2"/>
    <w:rsid w:val="4BBC369E"/>
    <w:rsid w:val="4C327CBE"/>
    <w:rsid w:val="4CD956F9"/>
    <w:rsid w:val="4CEC4659"/>
    <w:rsid w:val="4D493511"/>
    <w:rsid w:val="4D610F0D"/>
    <w:rsid w:val="4DF21FC2"/>
    <w:rsid w:val="4DF932EA"/>
    <w:rsid w:val="4E201C1D"/>
    <w:rsid w:val="4E3B35B6"/>
    <w:rsid w:val="4E473770"/>
    <w:rsid w:val="4E6F56D4"/>
    <w:rsid w:val="4E7A34EC"/>
    <w:rsid w:val="4E861641"/>
    <w:rsid w:val="4FAB04B3"/>
    <w:rsid w:val="4FB426AD"/>
    <w:rsid w:val="4FEE2DC9"/>
    <w:rsid w:val="50A52BFA"/>
    <w:rsid w:val="51346287"/>
    <w:rsid w:val="51850890"/>
    <w:rsid w:val="5191084A"/>
    <w:rsid w:val="519F1DA4"/>
    <w:rsid w:val="525210BA"/>
    <w:rsid w:val="52A90328"/>
    <w:rsid w:val="52DC3333"/>
    <w:rsid w:val="53036690"/>
    <w:rsid w:val="53376A7B"/>
    <w:rsid w:val="533D001D"/>
    <w:rsid w:val="537441A1"/>
    <w:rsid w:val="53B1020C"/>
    <w:rsid w:val="54065481"/>
    <w:rsid w:val="557169CF"/>
    <w:rsid w:val="557D5D2A"/>
    <w:rsid w:val="55A41C2D"/>
    <w:rsid w:val="55E93AE3"/>
    <w:rsid w:val="56682D63"/>
    <w:rsid w:val="56905D0D"/>
    <w:rsid w:val="56FB4C08"/>
    <w:rsid w:val="573F7298"/>
    <w:rsid w:val="574153BB"/>
    <w:rsid w:val="589A668A"/>
    <w:rsid w:val="58AC00F0"/>
    <w:rsid w:val="58C46E3D"/>
    <w:rsid w:val="58D971B2"/>
    <w:rsid w:val="59042C0B"/>
    <w:rsid w:val="59272568"/>
    <w:rsid w:val="594A2AEB"/>
    <w:rsid w:val="59576FB6"/>
    <w:rsid w:val="59BC1D1A"/>
    <w:rsid w:val="59C142A0"/>
    <w:rsid w:val="59C641E6"/>
    <w:rsid w:val="59D65347"/>
    <w:rsid w:val="5A2E3043"/>
    <w:rsid w:val="5A9763C3"/>
    <w:rsid w:val="5A9920D7"/>
    <w:rsid w:val="5AEA63E6"/>
    <w:rsid w:val="5B2C7B17"/>
    <w:rsid w:val="5BCB0AF4"/>
    <w:rsid w:val="5C2D5181"/>
    <w:rsid w:val="5C9B1B86"/>
    <w:rsid w:val="5C9B37C4"/>
    <w:rsid w:val="5CA02E79"/>
    <w:rsid w:val="5CEA5B79"/>
    <w:rsid w:val="5D150553"/>
    <w:rsid w:val="5D3550FB"/>
    <w:rsid w:val="5D5C103F"/>
    <w:rsid w:val="5D902A97"/>
    <w:rsid w:val="5E3606EF"/>
    <w:rsid w:val="5EDA32DC"/>
    <w:rsid w:val="5F321771"/>
    <w:rsid w:val="5F3A0F0C"/>
    <w:rsid w:val="5F412CC2"/>
    <w:rsid w:val="5FDE4B0A"/>
    <w:rsid w:val="5FE2771E"/>
    <w:rsid w:val="600E6D7C"/>
    <w:rsid w:val="607F1E09"/>
    <w:rsid w:val="60BD2923"/>
    <w:rsid w:val="618C2692"/>
    <w:rsid w:val="622D31D4"/>
    <w:rsid w:val="62A74B0A"/>
    <w:rsid w:val="62E015B0"/>
    <w:rsid w:val="63510510"/>
    <w:rsid w:val="639D4CC6"/>
    <w:rsid w:val="642053CC"/>
    <w:rsid w:val="64602DD3"/>
    <w:rsid w:val="646A5DEF"/>
    <w:rsid w:val="646F5EF6"/>
    <w:rsid w:val="65785E0F"/>
    <w:rsid w:val="658A75F4"/>
    <w:rsid w:val="65CF7A95"/>
    <w:rsid w:val="66A23F66"/>
    <w:rsid w:val="672526A7"/>
    <w:rsid w:val="680D3662"/>
    <w:rsid w:val="68222C97"/>
    <w:rsid w:val="68333F9A"/>
    <w:rsid w:val="683858D3"/>
    <w:rsid w:val="68645FE7"/>
    <w:rsid w:val="69413090"/>
    <w:rsid w:val="69855FCD"/>
    <w:rsid w:val="69BC17E8"/>
    <w:rsid w:val="69DD77FF"/>
    <w:rsid w:val="6AE37CE3"/>
    <w:rsid w:val="6B0625EA"/>
    <w:rsid w:val="6B5442BA"/>
    <w:rsid w:val="6C593408"/>
    <w:rsid w:val="6C68544B"/>
    <w:rsid w:val="6C785167"/>
    <w:rsid w:val="6CED5810"/>
    <w:rsid w:val="6D0715D4"/>
    <w:rsid w:val="6D0D5EB2"/>
    <w:rsid w:val="6DA14C2B"/>
    <w:rsid w:val="6DDB2C74"/>
    <w:rsid w:val="6E0E0C0F"/>
    <w:rsid w:val="6E8E7670"/>
    <w:rsid w:val="6EEB0447"/>
    <w:rsid w:val="6FAF3250"/>
    <w:rsid w:val="6FC71762"/>
    <w:rsid w:val="70312E6C"/>
    <w:rsid w:val="703F6560"/>
    <w:rsid w:val="70447D0C"/>
    <w:rsid w:val="70725ED5"/>
    <w:rsid w:val="70B362F9"/>
    <w:rsid w:val="70FC3328"/>
    <w:rsid w:val="71653340"/>
    <w:rsid w:val="71F347D3"/>
    <w:rsid w:val="71FC098F"/>
    <w:rsid w:val="723F6B0D"/>
    <w:rsid w:val="72415D05"/>
    <w:rsid w:val="7296241B"/>
    <w:rsid w:val="732A300A"/>
    <w:rsid w:val="73803FEB"/>
    <w:rsid w:val="73A66718"/>
    <w:rsid w:val="73CE2CA8"/>
    <w:rsid w:val="73DC65DE"/>
    <w:rsid w:val="743A4414"/>
    <w:rsid w:val="747F7695"/>
    <w:rsid w:val="748C5DD6"/>
    <w:rsid w:val="752D5343"/>
    <w:rsid w:val="754A398B"/>
    <w:rsid w:val="75857AA3"/>
    <w:rsid w:val="758D5DE2"/>
    <w:rsid w:val="75943299"/>
    <w:rsid w:val="75C13CDD"/>
    <w:rsid w:val="75E874BC"/>
    <w:rsid w:val="76017BAF"/>
    <w:rsid w:val="767A5F36"/>
    <w:rsid w:val="76837B47"/>
    <w:rsid w:val="76B97261"/>
    <w:rsid w:val="772D4414"/>
    <w:rsid w:val="7744228A"/>
    <w:rsid w:val="77846D70"/>
    <w:rsid w:val="781E668F"/>
    <w:rsid w:val="788C166D"/>
    <w:rsid w:val="78AC0934"/>
    <w:rsid w:val="78BD4DDD"/>
    <w:rsid w:val="78E700F4"/>
    <w:rsid w:val="78EA5294"/>
    <w:rsid w:val="78EE7B24"/>
    <w:rsid w:val="7907377A"/>
    <w:rsid w:val="792E7F96"/>
    <w:rsid w:val="793B1352"/>
    <w:rsid w:val="79AB21E7"/>
    <w:rsid w:val="79CC501C"/>
    <w:rsid w:val="79F12DE4"/>
    <w:rsid w:val="7B0354CD"/>
    <w:rsid w:val="7B0E17E2"/>
    <w:rsid w:val="7B3E48AE"/>
    <w:rsid w:val="7BC47E86"/>
    <w:rsid w:val="7C2E19A1"/>
    <w:rsid w:val="7C6203C7"/>
    <w:rsid w:val="7CB47DAA"/>
    <w:rsid w:val="7D076A17"/>
    <w:rsid w:val="7D462131"/>
    <w:rsid w:val="7DA772E2"/>
    <w:rsid w:val="7DC974CD"/>
    <w:rsid w:val="7E4454AB"/>
    <w:rsid w:val="7E4B00B1"/>
    <w:rsid w:val="7EA62275"/>
    <w:rsid w:val="7F034C8E"/>
    <w:rsid w:val="7F235328"/>
    <w:rsid w:val="7F640382"/>
    <w:rsid w:val="7FB30C7B"/>
    <w:rsid w:val="7FB346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33"/>
      <w:szCs w:val="33"/>
      <w:lang w:val="en-US" w:eastAsia="zh-CN" w:bidi="ar"/>
    </w:rPr>
  </w:style>
  <w:style w:type="paragraph" w:styleId="3">
    <w:name w:val="heading 2"/>
    <w:basedOn w:val="1"/>
    <w:next w:val="1"/>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9">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w:basedOn w:val="1"/>
    <w:next w:val="1"/>
    <w:autoRedefine/>
    <w:qFormat/>
    <w:uiPriority w:val="0"/>
    <w:rPr>
      <w:rFonts w:ascii="宋体" w:hAnsi="宋体" w:eastAsia="宋体" w:cs="宋体"/>
      <w:sz w:val="31"/>
      <w:szCs w:val="31"/>
      <w:lang w:val="en-US" w:eastAsia="en-US" w:bidi="ar-SA"/>
    </w:rPr>
  </w:style>
  <w:style w:type="paragraph" w:styleId="7">
    <w:name w:val="Body Text Indent"/>
    <w:basedOn w:val="1"/>
    <w:autoRedefine/>
    <w:qFormat/>
    <w:uiPriority w:val="99"/>
    <w:pPr>
      <w:spacing w:after="120" w:afterLines="0"/>
      <w:ind w:left="420" w:leftChars="200"/>
    </w:pPr>
    <w:rPr>
      <w:kern w:val="2"/>
      <w:sz w:val="21"/>
      <w:lang w:eastAsia="zh-CN" w:bidi="ar-SA"/>
    </w:rPr>
  </w:style>
  <w:style w:type="paragraph" w:styleId="8">
    <w:name w:val="Plain Text"/>
    <w:basedOn w:val="1"/>
    <w:autoRedefine/>
    <w:qFormat/>
    <w:uiPriority w:val="0"/>
    <w:rPr>
      <w:rFonts w:ascii="宋体" w:hAnsi="Courier New" w:cs="Courier New"/>
      <w:szCs w:val="21"/>
    </w:rPr>
  </w:style>
  <w:style w:type="paragraph" w:styleId="9">
    <w:name w:val="Date"/>
    <w:basedOn w:val="1"/>
    <w:next w:val="1"/>
    <w:autoRedefine/>
    <w:qFormat/>
    <w:uiPriority w:val="0"/>
    <w:rPr>
      <w:kern w:val="2"/>
      <w:sz w:val="21"/>
      <w:lang w:eastAsia="zh-CN" w:bidi="ar-SA"/>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envelope return"/>
    <w:basedOn w:val="1"/>
    <w:autoRedefine/>
    <w:qFormat/>
    <w:uiPriority w:val="0"/>
    <w:pPr>
      <w:snapToGrid w:val="0"/>
    </w:pPr>
    <w:rPr>
      <w:rFonts w:ascii="Arial" w:hAnsi="Arial"/>
    </w:r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footnote text"/>
    <w:basedOn w:val="1"/>
    <w:qFormat/>
    <w:uiPriority w:val="0"/>
    <w:pPr>
      <w:snapToGrid w:val="0"/>
      <w:jc w:val="left"/>
    </w:pPr>
    <w:rPr>
      <w:sz w:val="18"/>
      <w:szCs w:val="18"/>
    </w:rPr>
  </w:style>
  <w:style w:type="paragraph" w:styleId="14">
    <w:name w:val="Body Text 2"/>
    <w:basedOn w:val="1"/>
    <w:autoRedefine/>
    <w:qFormat/>
    <w:uiPriority w:val="0"/>
    <w:pPr>
      <w:spacing w:after="120" w:line="480" w:lineRule="auto"/>
    </w:pPr>
    <w:rPr>
      <w:rFonts w:ascii="Tahoma" w:hAnsi="Tahoma"/>
    </w:rPr>
  </w:style>
  <w:style w:type="paragraph" w:styleId="15">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7">
    <w:name w:val="Body Text First Indent 2"/>
    <w:basedOn w:val="7"/>
    <w:next w:val="1"/>
    <w:autoRedefine/>
    <w:qFormat/>
    <w:uiPriority w:val="0"/>
    <w:pPr>
      <w:ind w:firstLine="200" w:firstLineChars="200"/>
    </w:pPr>
    <w:rPr>
      <w:kern w:val="2"/>
      <w:sz w:val="28"/>
      <w:lang w:eastAsia="zh-CN" w:bidi="ar-SA"/>
    </w:rPr>
  </w:style>
  <w:style w:type="character" w:styleId="20">
    <w:name w:val="FollowedHyperlink"/>
    <w:basedOn w:val="19"/>
    <w:autoRedefine/>
    <w:qFormat/>
    <w:uiPriority w:val="0"/>
    <w:rPr>
      <w:color w:val="444444"/>
      <w:sz w:val="16"/>
      <w:szCs w:val="16"/>
      <w:u w:val="none"/>
    </w:rPr>
  </w:style>
  <w:style w:type="character" w:styleId="21">
    <w:name w:val="Hyperlink"/>
    <w:basedOn w:val="19"/>
    <w:autoRedefine/>
    <w:qFormat/>
    <w:uiPriority w:val="0"/>
    <w:rPr>
      <w:color w:val="0000FF"/>
      <w:u w:val="single"/>
    </w:rPr>
  </w:style>
  <w:style w:type="paragraph" w:customStyle="1" w:styleId="2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3">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4">
    <w:name w:val="Table Normal"/>
    <w:autoRedefine/>
    <w:semiHidden/>
    <w:unhideWhenUsed/>
    <w:qFormat/>
    <w:uiPriority w:val="0"/>
    <w:tblPr>
      <w:tblCellMar>
        <w:top w:w="0" w:type="dxa"/>
        <w:left w:w="0" w:type="dxa"/>
        <w:bottom w:w="0" w:type="dxa"/>
        <w:right w:w="0" w:type="dxa"/>
      </w:tblCellMar>
    </w:tblPr>
  </w:style>
  <w:style w:type="paragraph" w:customStyle="1" w:styleId="25">
    <w:name w:val="Table Text"/>
    <w:basedOn w:val="1"/>
    <w:autoRedefine/>
    <w:semiHidden/>
    <w:qFormat/>
    <w:uiPriority w:val="0"/>
    <w:rPr>
      <w:rFonts w:ascii="Arial" w:hAnsi="Arial" w:eastAsia="Arial" w:cs="Arial"/>
      <w:sz w:val="21"/>
      <w:szCs w:val="21"/>
      <w:lang w:val="en-US" w:eastAsia="en-US" w:bidi="ar-SA"/>
    </w:rPr>
  </w:style>
  <w:style w:type="paragraph" w:customStyle="1" w:styleId="26">
    <w:name w:val="Default"/>
    <w:next w:val="1"/>
    <w:autoRedefine/>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27">
    <w:name w:val="Char Char10 Char Char Char Char"/>
    <w:basedOn w:val="1"/>
    <w:next w:val="28"/>
    <w:autoRedefine/>
    <w:qFormat/>
    <w:uiPriority w:val="99"/>
    <w:pPr>
      <w:autoSpaceDE w:val="0"/>
      <w:autoSpaceDN w:val="0"/>
      <w:jc w:val="left"/>
    </w:pPr>
    <w:rPr>
      <w:rFonts w:ascii="宋体" w:hAnsi="宋体" w:cs="宋体"/>
      <w:lang w:val="zh-CN" w:bidi="zh-CN"/>
    </w:rPr>
  </w:style>
  <w:style w:type="paragraph" w:customStyle="1" w:styleId="28">
    <w:name w:val="xl87"/>
    <w:basedOn w:val="1"/>
    <w:next w:val="29"/>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29">
    <w:name w:val="xl72"/>
    <w:basedOn w:val="1"/>
    <w:next w:val="9"/>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customStyle="1" w:styleId="30">
    <w:name w:val="MessageHeader"/>
    <w:basedOn w:val="1"/>
    <w:autoRedefine/>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character" w:customStyle="1" w:styleId="31">
    <w:name w:val="hover18"/>
    <w:basedOn w:val="19"/>
    <w:autoRedefine/>
    <w:qFormat/>
    <w:uiPriority w:val="0"/>
  </w:style>
  <w:style w:type="paragraph" w:customStyle="1" w:styleId="32">
    <w:name w:val="列出段落1"/>
    <w:basedOn w:val="1"/>
    <w:autoRedefine/>
    <w:qFormat/>
    <w:uiPriority w:val="0"/>
    <w:pPr>
      <w:ind w:firstLine="420" w:firstLineChars="200"/>
    </w:pPr>
    <w:rPr>
      <w:szCs w:val="21"/>
    </w:rPr>
  </w:style>
  <w:style w:type="paragraph" w:customStyle="1" w:styleId="33">
    <w:name w:val="样式1"/>
    <w:basedOn w:val="1"/>
    <w:qFormat/>
    <w:uiPriority w:val="0"/>
    <w:pPr>
      <w:spacing w:line="240" w:lineRule="auto"/>
      <w:jc w:val="both"/>
    </w:pPr>
    <w:rPr>
      <w:rFonts w:ascii="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73</Pages>
  <Words>8787</Words>
  <Characters>9473</Characters>
  <TotalTime>38</TotalTime>
  <ScaleCrop>false</ScaleCrop>
  <LinksUpToDate>false</LinksUpToDate>
  <CharactersWithSpaces>9625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NTKO</cp:lastModifiedBy>
  <cp:lastPrinted>2024-04-07T03:01:00Z</cp:lastPrinted>
  <dcterms:modified xsi:type="dcterms:W3CDTF">2026-07-28T07:25:41Z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2052-12.1.0.26895</vt:lpwstr>
  </property>
  <property fmtid="{D5CDD505-2E9C-101B-9397-08002B2CF9AE}" pid="5" name="ICV">
    <vt:lpwstr>2AD198B7CD164D43AD7BECCBAFF0EA18_13</vt:lpwstr>
  </property>
  <property fmtid="{D5CDD505-2E9C-101B-9397-08002B2CF9AE}" pid="6" name="KSOTemplateDocerSaveRecord">
    <vt:lpwstr>eyJoZGlkIjoiYTUyM2UwYjBmYzc3YmM3ZjI1ODg2NTk3ZGJhZGNiNGIiLCJ1c2VySWQiOiI0MTY3MTE2MDgifQ==</vt:lpwstr>
  </property>
</Properties>
</file>