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0C890">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pPr>
    </w:p>
    <w:p w14:paraId="2C448625">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pPr>
    </w:p>
    <w:p w14:paraId="39AABDC4">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14:textOutline w14:w="3844" w14:cap="flat" w14:cmpd="sng">
            <w14:solidFill>
              <w14:srgbClr w14:val="000000"/>
            </w14:solidFill>
            <w14:prstDash w14:val="solid"/>
            <w14:miter w14:val="0"/>
          </w14:textOutline>
        </w:rPr>
        <w:t>南阳市</w:t>
      </w:r>
      <w:r>
        <w:rPr>
          <w:rFonts w:hint="eastAsia" w:asciiTheme="minorEastAsia" w:hAnsiTheme="minorEastAsia" w:eastAsiaTheme="minorEastAsia" w:cstheme="minorEastAsia"/>
          <w:spacing w:val="-2"/>
          <w:sz w:val="52"/>
          <w:szCs w:val="52"/>
          <w14:textOutline w14:w="3844" w14:cap="flat" w14:cmpd="sng">
            <w14:solidFill>
              <w14:srgbClr w14:val="000000"/>
            </w14:solidFill>
            <w14:prstDash w14:val="solid"/>
            <w14:miter w14:val="0"/>
          </w14:textOutline>
        </w:rPr>
        <w:t>政府采购项目</w:t>
      </w:r>
    </w:p>
    <w:p w14:paraId="22BB6B06">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z w:val="60"/>
          <w:szCs w:val="60"/>
        </w:rPr>
      </w:pPr>
      <w:r>
        <w:rPr>
          <w:rFonts w:hint="eastAsia" w:asciiTheme="minorEastAsia" w:hAnsiTheme="minorEastAsia" w:eastAsiaTheme="minorEastAsia" w:cstheme="minorEastAsia"/>
          <w:spacing w:val="-3"/>
          <w:sz w:val="52"/>
          <w:szCs w:val="52"/>
          <w14:textOutline w14:w="3844" w14:cap="flat" w14:cmpd="sng">
            <w14:solidFill>
              <w14:srgbClr w14:val="000000"/>
            </w14:solidFill>
            <w14:prstDash w14:val="solid"/>
            <w14:miter w14:val="0"/>
          </w14:textOutline>
        </w:rPr>
        <w:t>公开招标文件</w:t>
      </w:r>
    </w:p>
    <w:p w14:paraId="6E17D836">
      <w:pPr>
        <w:keepNext w:val="0"/>
        <w:keepLines w:val="0"/>
        <w:pageBreakBefore w:val="0"/>
        <w:kinsoku/>
        <w:wordWrap w:val="0"/>
        <w:overflowPunct/>
        <w:topLinePunct w:val="0"/>
        <w:bidi w:val="0"/>
        <w:spacing w:line="316" w:lineRule="auto"/>
        <w:jc w:val="both"/>
        <w:rPr>
          <w:rFonts w:hint="eastAsia" w:asciiTheme="minorEastAsia" w:hAnsiTheme="minorEastAsia" w:eastAsiaTheme="minorEastAsia" w:cstheme="minorEastAsia"/>
          <w:sz w:val="21"/>
        </w:rPr>
      </w:pPr>
    </w:p>
    <w:p w14:paraId="41F6B0FB">
      <w:pPr>
        <w:keepNext w:val="0"/>
        <w:keepLines w:val="0"/>
        <w:pageBreakBefore w:val="0"/>
        <w:kinsoku/>
        <w:wordWrap w:val="0"/>
        <w:overflowPunct/>
        <w:topLinePunct w:val="0"/>
        <w:bidi w:val="0"/>
        <w:spacing w:line="316" w:lineRule="auto"/>
        <w:jc w:val="both"/>
        <w:rPr>
          <w:rFonts w:hint="eastAsia" w:asciiTheme="minorEastAsia" w:hAnsiTheme="minorEastAsia" w:eastAsiaTheme="minorEastAsia" w:cstheme="minorEastAsia"/>
          <w:sz w:val="21"/>
        </w:rPr>
      </w:pPr>
    </w:p>
    <w:p w14:paraId="63A432D9">
      <w:pPr>
        <w:keepNext w:val="0"/>
        <w:keepLines w:val="0"/>
        <w:pageBreakBefore w:val="0"/>
        <w:kinsoku/>
        <w:wordWrap w:val="0"/>
        <w:overflowPunct/>
        <w:topLinePunct w:val="0"/>
        <w:bidi w:val="0"/>
        <w:spacing w:line="317" w:lineRule="auto"/>
        <w:jc w:val="both"/>
        <w:rPr>
          <w:rFonts w:hint="eastAsia" w:asciiTheme="minorEastAsia" w:hAnsiTheme="minorEastAsia" w:eastAsiaTheme="minorEastAsia" w:cstheme="minorEastAsia"/>
          <w:sz w:val="21"/>
        </w:rPr>
      </w:pPr>
    </w:p>
    <w:p w14:paraId="713AE2BA">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6"/>
          <w:szCs w:val="36"/>
        </w:rPr>
      </w:pPr>
    </w:p>
    <w:p w14:paraId="7D859A89">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6"/>
          <w:szCs w:val="36"/>
        </w:rPr>
      </w:pPr>
    </w:p>
    <w:p w14:paraId="2E93D436">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   南阳市行政审批和政务信息管理局   </w:t>
      </w:r>
    </w:p>
    <w:p w14:paraId="409B1FFA">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u w:val="none"/>
          <w:lang w:val="en-US" w:eastAsia="zh-CN"/>
        </w:rPr>
        <w:t xml:space="preserve">          </w:t>
      </w:r>
      <w:r>
        <w:rPr>
          <w:rFonts w:hint="eastAsia" w:asciiTheme="minorEastAsia" w:hAnsiTheme="minorEastAsia" w:eastAsiaTheme="minorEastAsia" w:cstheme="minorEastAsia"/>
          <w:b/>
          <w:bCs/>
          <w:spacing w:val="-17"/>
          <w:sz w:val="32"/>
          <w:szCs w:val="32"/>
          <w:u w:val="single"/>
          <w:lang w:val="en-US" w:eastAsia="zh-CN"/>
        </w:rPr>
        <w:t xml:space="preserve">    南阳市信创云政府购买服务项目   </w:t>
      </w:r>
    </w:p>
    <w:p w14:paraId="22E826B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南阳政采公开-2026-29         </w:t>
      </w:r>
    </w:p>
    <w:p w14:paraId="60B8A1BC">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 xml:space="preserve">      南阳政采公开-2026-29-1         </w:t>
      </w:r>
    </w:p>
    <w:p w14:paraId="6B105093">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南阳市行政审批和政务信息管理局    </w:t>
      </w:r>
    </w:p>
    <w:p w14:paraId="250DEACD">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南阳市公共资源交易中心     </w:t>
      </w:r>
    </w:p>
    <w:p w14:paraId="6CCE08AE">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p>
    <w:p w14:paraId="441C4378">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657AC544">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6F42F246">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69029999">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4B9F3D02">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b/>
          <w:bCs/>
          <w:spacing w:val="-17"/>
          <w:sz w:val="32"/>
          <w:szCs w:val="32"/>
        </w:rPr>
      </w:pPr>
    </w:p>
    <w:p w14:paraId="16BB5644">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p w14:paraId="342BAC87">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lang w:val="en-US"/>
        </w:rPr>
      </w:sdtEndPr>
      <w:sdtContent>
        <w:p w14:paraId="284E06B5">
          <w:pPr>
            <w:pStyle w:val="3"/>
            <w:keepNext w:val="0"/>
            <w:keepLines w:val="0"/>
            <w:pageBreakBefore w:val="0"/>
            <w:kinsoku/>
            <w:wordWrap w:val="0"/>
            <w:overflowPunct/>
            <w:topLinePunct w:val="0"/>
            <w:bidi w:val="0"/>
            <w:spacing w:before="353" w:line="222" w:lineRule="auto"/>
            <w:ind w:left="3716"/>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42"/>
              <w:sz w:val="44"/>
              <w:szCs w:val="44"/>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录</w:t>
          </w:r>
        </w:p>
        <w:p w14:paraId="63D9AE22">
          <w:pPr>
            <w:pStyle w:val="3"/>
            <w:keepNext w:val="0"/>
            <w:keepLines w:val="0"/>
            <w:pageBreakBefore w:val="0"/>
            <w:kinsoku/>
            <w:wordWrap w:val="0"/>
            <w:overflowPunct/>
            <w:topLinePunct w:val="0"/>
            <w:bidi w:val="0"/>
            <w:jc w:val="both"/>
            <w:rPr>
              <w:rFonts w:hint="eastAsia"/>
              <w:shd w:val="clear" w:color="FFFFFF" w:fill="D9D9D9"/>
            </w:rPr>
          </w:pPr>
        </w:p>
        <w:p w14:paraId="530AE44F">
          <w:pPr>
            <w:pStyle w:val="3"/>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第一章</w:t>
          </w:r>
          <w:r>
            <w:rPr>
              <w:rFonts w:hint="eastAsia"/>
              <w:sz w:val="28"/>
              <w:szCs w:val="28"/>
              <w:lang w:val="en-US" w:eastAsia="zh-CN"/>
            </w:rPr>
            <w:t xml:space="preserve"> </w:t>
          </w:r>
          <w:r>
            <w:rPr>
              <w:rFonts w:hint="eastAsia"/>
              <w:sz w:val="28"/>
              <w:szCs w:val="28"/>
              <w:lang w:eastAsia="zh-CN"/>
            </w:rPr>
            <w:t>公开招标公告</w:t>
          </w:r>
        </w:p>
        <w:p w14:paraId="5A465DF3">
          <w:pPr>
            <w:pStyle w:val="3"/>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二</w:t>
          </w:r>
          <w:r>
            <w:rPr>
              <w:rFonts w:hint="eastAsia"/>
              <w:sz w:val="28"/>
              <w:szCs w:val="28"/>
            </w:rPr>
            <w:t>章</w:t>
          </w:r>
          <w:r>
            <w:rPr>
              <w:rFonts w:hint="eastAsia"/>
              <w:sz w:val="28"/>
              <w:szCs w:val="28"/>
              <w:lang w:val="en-US" w:eastAsia="zh-CN"/>
            </w:rPr>
            <w:t xml:space="preserve"> </w:t>
          </w:r>
          <w:r>
            <w:rPr>
              <w:rFonts w:hint="eastAsia"/>
              <w:sz w:val="28"/>
              <w:szCs w:val="28"/>
            </w:rPr>
            <w:t>采购需求</w:t>
          </w:r>
        </w:p>
        <w:p w14:paraId="67BF36FF">
          <w:pPr>
            <w:pStyle w:val="3"/>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三</w:t>
          </w:r>
          <w:r>
            <w:rPr>
              <w:rFonts w:hint="eastAsia"/>
              <w:sz w:val="28"/>
              <w:szCs w:val="28"/>
            </w:rPr>
            <w:t>章</w:t>
          </w:r>
          <w:r>
            <w:rPr>
              <w:rFonts w:hint="eastAsia"/>
              <w:sz w:val="28"/>
              <w:szCs w:val="28"/>
              <w:lang w:val="en-US" w:eastAsia="zh-CN"/>
            </w:rPr>
            <w:t xml:space="preserve"> </w:t>
          </w:r>
          <w:r>
            <w:rPr>
              <w:rFonts w:hint="eastAsia"/>
              <w:sz w:val="28"/>
              <w:szCs w:val="28"/>
            </w:rPr>
            <w:t>投标人须知</w:t>
          </w:r>
        </w:p>
        <w:p w14:paraId="785E81C9">
          <w:pPr>
            <w:pStyle w:val="3"/>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四</w:t>
          </w:r>
          <w:r>
            <w:rPr>
              <w:rFonts w:hint="eastAsia"/>
              <w:sz w:val="28"/>
              <w:szCs w:val="28"/>
            </w:rPr>
            <w:t>章</w:t>
          </w:r>
          <w:r>
            <w:rPr>
              <w:rFonts w:hint="eastAsia"/>
              <w:sz w:val="28"/>
              <w:szCs w:val="28"/>
              <w:lang w:val="en-US" w:eastAsia="zh-CN"/>
            </w:rPr>
            <w:t xml:space="preserve"> 开、</w:t>
          </w:r>
          <w:r>
            <w:rPr>
              <w:rFonts w:hint="eastAsia"/>
              <w:sz w:val="28"/>
              <w:szCs w:val="28"/>
            </w:rPr>
            <w:t>评标程序、评标方法和评标标准</w:t>
          </w:r>
        </w:p>
        <w:p w14:paraId="53A887FE">
          <w:pPr>
            <w:pStyle w:val="3"/>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五</w:t>
          </w:r>
          <w:r>
            <w:rPr>
              <w:rFonts w:hint="eastAsia"/>
              <w:sz w:val="28"/>
              <w:szCs w:val="28"/>
            </w:rPr>
            <w:t>章</w:t>
          </w:r>
          <w:r>
            <w:rPr>
              <w:rFonts w:hint="eastAsia"/>
              <w:sz w:val="28"/>
              <w:szCs w:val="28"/>
              <w:lang w:val="en-US" w:eastAsia="zh-CN"/>
            </w:rPr>
            <w:t xml:space="preserve"> </w:t>
          </w:r>
          <w:r>
            <w:rPr>
              <w:rFonts w:hint="eastAsia"/>
              <w:sz w:val="28"/>
              <w:szCs w:val="28"/>
              <w:lang w:eastAsia="zh-CN"/>
            </w:rPr>
            <w:t>政府采购合同（草案）</w:t>
          </w:r>
        </w:p>
        <w:p w14:paraId="15E194F0">
          <w:pPr>
            <w:pStyle w:val="3"/>
            <w:keepNext w:val="0"/>
            <w:keepLines w:val="0"/>
            <w:pageBreakBefore w:val="0"/>
            <w:kinsoku/>
            <w:wordWrap w:val="0"/>
            <w:overflowPunct/>
            <w:topLinePunct w:val="0"/>
            <w:bidi w:val="0"/>
            <w:spacing w:line="360" w:lineRule="auto"/>
            <w:jc w:val="both"/>
            <w:rPr>
              <w:rFonts w:hint="eastAsia"/>
              <w:sz w:val="28"/>
              <w:szCs w:val="28"/>
            </w:rPr>
          </w:pPr>
          <w:r>
            <w:rPr>
              <w:rFonts w:hint="eastAsia"/>
              <w:sz w:val="28"/>
              <w:szCs w:val="28"/>
            </w:rPr>
            <w:t>第</w:t>
          </w:r>
          <w:r>
            <w:rPr>
              <w:rFonts w:hint="eastAsia"/>
              <w:sz w:val="28"/>
              <w:szCs w:val="28"/>
              <w:lang w:val="en-US" w:eastAsia="zh-CN"/>
            </w:rPr>
            <w:t>六</w:t>
          </w:r>
          <w:r>
            <w:rPr>
              <w:rFonts w:hint="eastAsia"/>
              <w:sz w:val="28"/>
              <w:szCs w:val="28"/>
            </w:rPr>
            <w:t>章</w:t>
          </w:r>
          <w:r>
            <w:rPr>
              <w:rFonts w:hint="eastAsia"/>
              <w:sz w:val="28"/>
              <w:szCs w:val="28"/>
              <w:lang w:val="en-US" w:eastAsia="zh-CN"/>
            </w:rPr>
            <w:t xml:space="preserve"> </w:t>
          </w:r>
          <w:r>
            <w:rPr>
              <w:rFonts w:hint="eastAsia"/>
              <w:sz w:val="28"/>
              <w:szCs w:val="28"/>
            </w:rPr>
            <w:t>投标文件格式</w:t>
          </w:r>
        </w:p>
      </w:sdtContent>
    </w:sdt>
    <w:p w14:paraId="62966523">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4BB64B87">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71AAB9F9">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2DC7820E">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15E4680A">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4C92517A">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ECA79A7">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40BF80DB">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9514C9D">
      <w:pPr>
        <w:pStyle w:val="3"/>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5B3EB35">
      <w:pPr>
        <w:pStyle w:val="3"/>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DED72AA">
      <w:pPr>
        <w:pStyle w:val="3"/>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8C1E3D2">
      <w:pPr>
        <w:pStyle w:val="3"/>
        <w:keepNext w:val="0"/>
        <w:keepLines w:val="0"/>
        <w:pageBreakBefore w:val="0"/>
        <w:kinsoku/>
        <w:wordWrap w:val="0"/>
        <w:overflowPunct/>
        <w:topLinePunct w:val="0"/>
        <w:bidi w:val="0"/>
        <w:spacing w:before="353" w:line="360" w:lineRule="auto"/>
        <w:jc w:val="cente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5166A86">
      <w:pPr>
        <w:pStyle w:val="3"/>
        <w:keepNext w:val="0"/>
        <w:keepLines w:val="0"/>
        <w:pageBreakBefore w:val="0"/>
        <w:kinsoku/>
        <w:wordWrap w:val="0"/>
        <w:overflowPunct/>
        <w:topLinePunct w:val="0"/>
        <w:bidi w:val="0"/>
        <w:spacing w:before="353" w:line="360" w:lineRule="auto"/>
        <w:jc w:val="cente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4149EAD">
      <w:pPr>
        <w:pStyle w:val="3"/>
        <w:keepNext w:val="0"/>
        <w:keepLines w:val="0"/>
        <w:pageBreakBefore w:val="0"/>
        <w:kinsoku/>
        <w:wordWrap w:val="0"/>
        <w:overflowPunct/>
        <w:topLinePunct w:val="0"/>
        <w:bidi w:val="0"/>
        <w:spacing w:before="353" w:line="360" w:lineRule="auto"/>
        <w:jc w:val="cente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B35036B">
      <w:pPr>
        <w:pStyle w:val="3"/>
        <w:keepNext w:val="0"/>
        <w:keepLines w:val="0"/>
        <w:pageBreakBefore w:val="0"/>
        <w:kinsoku/>
        <w:wordWrap w:val="0"/>
        <w:overflowPunct/>
        <w:topLinePunct w:val="0"/>
        <w:bidi w:val="0"/>
        <w:spacing w:before="353" w:line="360" w:lineRule="auto"/>
        <w:jc w:val="center"/>
        <w:rPr>
          <w:spacing w:val="-6"/>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14:paraId="7DEE1E8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p>
    <w:p w14:paraId="4FD4DAD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14:paraId="58658006">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14:paraId="0156DE8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5"/>
          <w:sz w:val="24"/>
          <w:szCs w:val="24"/>
        </w:rPr>
        <w:t>1.项目编号：</w:t>
      </w:r>
      <w:r>
        <w:rPr>
          <w:rFonts w:hint="eastAsia" w:asciiTheme="minorEastAsia" w:hAnsiTheme="minorEastAsia" w:eastAsiaTheme="minorEastAsia" w:cstheme="minorEastAsia"/>
          <w:spacing w:val="-25"/>
          <w:sz w:val="24"/>
          <w:szCs w:val="24"/>
          <w:lang w:val="en-US" w:eastAsia="zh-CN"/>
        </w:rPr>
        <w:t>南阳政采公开-2026-29</w:t>
      </w:r>
    </w:p>
    <w:p w14:paraId="02B84EE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2.项目名称：南阳市行政审批和政务信息管理局南阳市信创云政府购买服务项目</w:t>
      </w:r>
    </w:p>
    <w:p w14:paraId="3A27A40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450 </w:t>
      </w:r>
      <w:r>
        <w:rPr>
          <w:rFonts w:hint="eastAsia" w:asciiTheme="minorEastAsia" w:hAnsiTheme="minorEastAsia" w:eastAsiaTheme="minorEastAsia" w:cstheme="minorEastAsia"/>
          <w:spacing w:val="-14"/>
          <w:sz w:val="24"/>
          <w:szCs w:val="24"/>
        </w:rPr>
        <w:t>万元、项目最高限价</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val="en-US" w:eastAsia="zh-CN"/>
        </w:rPr>
        <w:t xml:space="preserve"> 450 </w:t>
      </w:r>
      <w:r>
        <w:rPr>
          <w:rFonts w:hint="eastAsia" w:asciiTheme="minorEastAsia" w:hAnsiTheme="minorEastAsia" w:eastAsiaTheme="minorEastAsia" w:cstheme="minorEastAsia"/>
          <w:spacing w:val="-14"/>
          <w:sz w:val="24"/>
          <w:szCs w:val="24"/>
        </w:rPr>
        <w:t>万元</w:t>
      </w: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pacing w:val="-14"/>
          <w:sz w:val="24"/>
          <w:szCs w:val="24"/>
          <w:highlight w:val="none"/>
          <w:lang w:val="en-US" w:eastAsia="zh-CN"/>
        </w:rPr>
        <w:t>三年，每年不超过150万元</w:t>
      </w:r>
      <w:r>
        <w:rPr>
          <w:rFonts w:hint="eastAsia" w:asciiTheme="minorEastAsia" w:hAnsiTheme="minorEastAsia" w:eastAsiaTheme="minorEastAsia" w:cstheme="minorEastAsia"/>
          <w:spacing w:val="-14"/>
          <w:sz w:val="24"/>
          <w:szCs w:val="24"/>
          <w:highlight w:val="none"/>
          <w:lang w:eastAsia="zh-CN"/>
        </w:rPr>
        <w:t>）</w:t>
      </w:r>
    </w:p>
    <w:p w14:paraId="70D87F6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26"/>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57C14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3BA36D38">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14:paraId="0E0BE45D">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14:paraId="213611B6">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14:paraId="2FBBE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center"/>
          </w:tcPr>
          <w:p w14:paraId="6D0F743E">
            <w:pPr>
              <w:pStyle w:val="2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val="en-US" w:eastAsia="zh-CN"/>
              </w:rPr>
              <w:t>南阳政采公开-2026-29-</w:t>
            </w:r>
            <w:r>
              <w:rPr>
                <w:rFonts w:hint="eastAsia" w:asciiTheme="minorEastAsia" w:hAnsiTheme="minorEastAsia" w:eastAsiaTheme="minorEastAsia" w:cstheme="minorEastAsia"/>
                <w:spacing w:val="14"/>
                <w:sz w:val="24"/>
                <w:szCs w:val="24"/>
              </w:rPr>
              <w:t>1</w:t>
            </w:r>
          </w:p>
        </w:tc>
        <w:tc>
          <w:tcPr>
            <w:tcW w:w="4215" w:type="dxa"/>
            <w:vAlign w:val="center"/>
          </w:tcPr>
          <w:p w14:paraId="5D8536A6">
            <w:pPr>
              <w:pStyle w:val="2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南阳市行政审批和政务信息管理局</w:t>
            </w:r>
          </w:p>
          <w:p w14:paraId="5F9D1D59">
            <w:pPr>
              <w:pStyle w:val="2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南阳市</w:t>
            </w:r>
            <w:r>
              <w:rPr>
                <w:rFonts w:hint="eastAsia" w:asciiTheme="minorEastAsia" w:hAnsiTheme="minorEastAsia" w:eastAsiaTheme="minorEastAsia" w:cstheme="minorEastAsia"/>
                <w:sz w:val="24"/>
                <w:szCs w:val="24"/>
                <w:lang w:eastAsia="zh-CN"/>
              </w:rPr>
              <w:t>信创</w:t>
            </w:r>
            <w:r>
              <w:rPr>
                <w:rFonts w:hint="eastAsia" w:asciiTheme="minorEastAsia" w:hAnsiTheme="minorEastAsia" w:eastAsiaTheme="minorEastAsia" w:cstheme="minorEastAsia"/>
                <w:sz w:val="24"/>
                <w:szCs w:val="24"/>
              </w:rPr>
              <w:t>云政府购买服务项目</w:t>
            </w:r>
          </w:p>
        </w:tc>
        <w:tc>
          <w:tcPr>
            <w:tcW w:w="2321" w:type="dxa"/>
            <w:vAlign w:val="center"/>
          </w:tcPr>
          <w:p w14:paraId="31F9BCC2">
            <w:pPr>
              <w:pStyle w:val="2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4500000</w:t>
            </w:r>
          </w:p>
        </w:tc>
      </w:tr>
    </w:tbl>
    <w:p w14:paraId="79F7AA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5.服务要求</w:t>
      </w:r>
    </w:p>
    <w:p w14:paraId="77B64944">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根据南阳市推进信创政务云（以下简称信创云）平台建设的相关要求，南阳市行政审批和政务信息管理局组织进行信创云服务采购，主要为全市各部门提供信创云服务，为各政务信息系统提供基础环境支撑。</w:t>
      </w:r>
    </w:p>
    <w:p w14:paraId="7C6CDD3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Theme="minorEastAsia" w:hAnsiTheme="minorEastAsia" w:eastAsiaTheme="minorEastAsia" w:cstheme="minorEastAsia"/>
          <w:spacing w:val="-5"/>
          <w:sz w:val="24"/>
          <w:szCs w:val="24"/>
          <w:lang w:val="en-US" w:eastAsia="zh-CN"/>
        </w:rPr>
        <w:t>三年</w:t>
      </w:r>
    </w:p>
    <w:p w14:paraId="33783A7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.本项目是否接受联合体投标：</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14:paraId="71D41E9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03F9188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14:paraId="0F8DE895">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7B119848">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2F80E188">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093FF7C9">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4FF8C3CD">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02DD97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0490D31E">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5E711BD7">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8.单位负责人为同一人或者存在直接控股、管理关系的不同投标人，不得同时参加本项目同一标段投标。供应商自行承诺并承担后果（提供承诺书，格式自拟），声明函不实的，按《中华人民共和国政府采购法》有关提供虚假材料的有关规定给予处罚；</w:t>
      </w:r>
    </w:p>
    <w:p w14:paraId="21FF0BD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697B51C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083C15B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14:paraId="5C64E320">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rPr>
        <w:t>本项目不专门面向中小企业预留采购份额。</w:t>
      </w:r>
    </w:p>
    <w:p w14:paraId="7F8134F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spacing w:val="-2"/>
          <w:position w:val="17"/>
          <w:sz w:val="24"/>
          <w:szCs w:val="24"/>
          <w:highlight w:val="none"/>
        </w:rPr>
      </w:pPr>
      <w:r>
        <w:rPr>
          <w:rFonts w:hint="eastAsia" w:asciiTheme="minorEastAsia" w:hAnsiTheme="minorEastAsia" w:eastAsiaTheme="minorEastAsia" w:cstheme="minorEastAsia"/>
          <w:spacing w:val="12"/>
          <w:position w:val="17"/>
          <w:sz w:val="24"/>
          <w:szCs w:val="24"/>
          <w:highlight w:val="none"/>
          <w:lang w:eastAsia="zh-CN"/>
        </w:rPr>
        <w:t>□</w:t>
      </w:r>
      <w:r>
        <w:rPr>
          <w:rFonts w:hint="eastAsia" w:asciiTheme="minorEastAsia" w:hAnsiTheme="minorEastAsia" w:eastAsiaTheme="minorEastAsia" w:cstheme="minorEastAsia"/>
          <w:spacing w:val="12"/>
          <w:position w:val="17"/>
          <w:sz w:val="24"/>
          <w:szCs w:val="24"/>
          <w:highlight w:val="none"/>
        </w:rPr>
        <w:t>本项目专门面向中小企业采购。</w:t>
      </w:r>
      <w:r>
        <w:rPr>
          <w:rFonts w:hint="eastAsia" w:asciiTheme="minorEastAsia" w:hAnsiTheme="minorEastAsia" w:eastAsiaTheme="minorEastAsia" w:cstheme="minorEastAsia"/>
          <w:spacing w:val="-2"/>
          <w:position w:val="17"/>
          <w:sz w:val="24"/>
          <w:szCs w:val="24"/>
          <w:highlight w:val="none"/>
        </w:rPr>
        <w:t>即：</w:t>
      </w:r>
      <w:r>
        <w:rPr>
          <w:rFonts w:hint="eastAsia" w:asciiTheme="minorEastAsia" w:hAnsiTheme="minorEastAsia" w:eastAsiaTheme="minorEastAsia" w:cstheme="minorEastAsia"/>
          <w:spacing w:val="-2"/>
          <w:position w:val="17"/>
          <w:sz w:val="24"/>
          <w:szCs w:val="24"/>
          <w:highlight w:val="none"/>
          <w:lang w:val="en-US" w:eastAsia="zh-CN"/>
        </w:rPr>
        <w:t>提</w:t>
      </w:r>
      <w:r>
        <w:rPr>
          <w:rFonts w:hint="eastAsia" w:asciiTheme="minorEastAsia" w:hAnsiTheme="minorEastAsia" w:eastAsiaTheme="minorEastAsia" w:cstheme="minorEastAsia"/>
          <w:spacing w:val="-2"/>
          <w:position w:val="17"/>
          <w:sz w:val="24"/>
          <w:szCs w:val="24"/>
          <w:highlight w:val="none"/>
        </w:rPr>
        <w:t>供的货物全部由符合政策要求的中小</w:t>
      </w:r>
      <w:r>
        <w:rPr>
          <w:rFonts w:hint="eastAsia" w:asciiTheme="minorEastAsia" w:hAnsiTheme="minorEastAsia" w:eastAsiaTheme="minorEastAsia" w:cstheme="minorEastAsia"/>
          <w:spacing w:val="12"/>
          <w:position w:val="17"/>
          <w:sz w:val="24"/>
          <w:szCs w:val="24"/>
          <w:highlight w:val="none"/>
          <w:lang w:val="en-US" w:eastAsia="zh-CN"/>
        </w:rPr>
        <w:t>/微</w:t>
      </w:r>
      <w:r>
        <w:rPr>
          <w:rFonts w:hint="eastAsia" w:asciiTheme="minorEastAsia" w:hAnsiTheme="minorEastAsia" w:eastAsiaTheme="minorEastAsia" w:cstheme="minorEastAsia"/>
          <w:spacing w:val="-2"/>
          <w:position w:val="17"/>
          <w:sz w:val="24"/>
          <w:szCs w:val="24"/>
          <w:highlight w:val="none"/>
        </w:rPr>
        <w:t>企业制造、服务全部由符合政策要求的中小</w:t>
      </w:r>
      <w:r>
        <w:rPr>
          <w:rFonts w:hint="eastAsia" w:asciiTheme="minorEastAsia" w:hAnsiTheme="minorEastAsia" w:eastAsiaTheme="minorEastAsia" w:cstheme="minorEastAsia"/>
          <w:spacing w:val="-2"/>
          <w:position w:val="17"/>
          <w:sz w:val="24"/>
          <w:szCs w:val="24"/>
          <w:highlight w:val="none"/>
          <w:lang w:val="en-US" w:eastAsia="zh-CN"/>
        </w:rPr>
        <w:t>/微</w:t>
      </w:r>
      <w:r>
        <w:rPr>
          <w:rFonts w:hint="eastAsia" w:asciiTheme="minorEastAsia" w:hAnsiTheme="minorEastAsia" w:eastAsiaTheme="minorEastAsia" w:cstheme="minorEastAsia"/>
          <w:spacing w:val="-2"/>
          <w:position w:val="17"/>
          <w:sz w:val="24"/>
          <w:szCs w:val="24"/>
          <w:highlight w:val="none"/>
        </w:rPr>
        <w:t>企业承接。</w:t>
      </w:r>
    </w:p>
    <w:p w14:paraId="7711B1D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highlight w:val="none"/>
          <w:lang w:eastAsia="zh-CN"/>
        </w:rPr>
        <w:t>□</w:t>
      </w:r>
      <w:r>
        <w:rPr>
          <w:rFonts w:hint="eastAsia" w:asciiTheme="minorEastAsia" w:hAnsiTheme="minorEastAsia" w:eastAsiaTheme="minorEastAsia" w:cstheme="minorEastAsia"/>
          <w:spacing w:val="-2"/>
          <w:position w:val="17"/>
          <w:sz w:val="24"/>
          <w:szCs w:val="24"/>
          <w:highlight w:val="none"/>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highlight w:val="none"/>
          <w:lang w:val="en-US" w:eastAsia="zh-CN"/>
        </w:rPr>
        <w:t>提</w:t>
      </w:r>
      <w:r>
        <w:rPr>
          <w:rFonts w:hint="eastAsia" w:asciiTheme="minorEastAsia" w:hAnsiTheme="minorEastAsia" w:eastAsiaTheme="minorEastAsia" w:cstheme="minorEastAsia"/>
          <w:spacing w:val="-2"/>
          <w:position w:val="17"/>
          <w:sz w:val="24"/>
          <w:szCs w:val="24"/>
          <w:highlight w:val="none"/>
        </w:rPr>
        <w:t>供的货物由符合政策要求的中小</w:t>
      </w:r>
      <w:r>
        <w:rPr>
          <w:rFonts w:hint="eastAsia" w:asciiTheme="minorEastAsia" w:hAnsiTheme="minorEastAsia" w:eastAsiaTheme="minorEastAsia" w:cstheme="minorEastAsia"/>
          <w:spacing w:val="-2"/>
          <w:position w:val="17"/>
          <w:sz w:val="24"/>
          <w:szCs w:val="24"/>
          <w:highlight w:val="none"/>
          <w:lang w:val="en-US" w:eastAsia="zh-CN"/>
        </w:rPr>
        <w:t>/微</w:t>
      </w:r>
      <w:r>
        <w:rPr>
          <w:rFonts w:hint="eastAsia" w:asciiTheme="minorEastAsia" w:hAnsiTheme="minorEastAsia" w:eastAsiaTheme="minorEastAsia" w:cstheme="minorEastAsia"/>
          <w:spacing w:val="-2"/>
          <w:position w:val="17"/>
          <w:sz w:val="24"/>
          <w:szCs w:val="24"/>
          <w:highlight w:val="none"/>
        </w:rPr>
        <w:t>企业制造、服务由符合政策要求的中小</w:t>
      </w:r>
      <w:r>
        <w:rPr>
          <w:rFonts w:hint="eastAsia" w:asciiTheme="minorEastAsia" w:hAnsiTheme="minorEastAsia" w:eastAsiaTheme="minorEastAsia" w:cstheme="minorEastAsia"/>
          <w:spacing w:val="-2"/>
          <w:position w:val="17"/>
          <w:sz w:val="24"/>
          <w:szCs w:val="24"/>
          <w:highlight w:val="none"/>
          <w:lang w:val="en-US" w:eastAsia="zh-CN"/>
        </w:rPr>
        <w:t>/微</w:t>
      </w:r>
      <w:r>
        <w:rPr>
          <w:rFonts w:hint="eastAsia" w:asciiTheme="minorEastAsia" w:hAnsiTheme="minorEastAsia" w:eastAsiaTheme="minorEastAsia" w:cstheme="minorEastAsia"/>
          <w:spacing w:val="-2"/>
          <w:position w:val="17"/>
          <w:sz w:val="24"/>
          <w:szCs w:val="24"/>
          <w:highlight w:val="none"/>
        </w:rPr>
        <w:t>企业承接。预留份额通过以下措施进行：</w:t>
      </w:r>
      <w:r>
        <w:rPr>
          <w:rFonts w:hint="eastAsia" w:asciiTheme="minorEastAsia" w:hAnsiTheme="minorEastAsia" w:eastAsiaTheme="minorEastAsia" w:cstheme="minorEastAsia"/>
          <w:spacing w:val="-2"/>
          <w:position w:val="17"/>
          <w:sz w:val="24"/>
          <w:szCs w:val="24"/>
          <w:highlight w:val="none"/>
          <w:lang w:val="en-US" w:eastAsia="zh-CN"/>
        </w:rPr>
        <w:t>预留金额</w:t>
      </w:r>
      <w:r>
        <w:rPr>
          <w:rFonts w:hint="eastAsia" w:asciiTheme="minorEastAsia" w:hAnsiTheme="minorEastAsia" w:eastAsiaTheme="minorEastAsia" w:cstheme="minorEastAsia"/>
          <w:spacing w:val="-2"/>
          <w:position w:val="17"/>
          <w:sz w:val="24"/>
          <w:szCs w:val="24"/>
          <w:highlight w:val="none"/>
          <w:u w:val="single"/>
          <w:lang w:val="en-US" w:eastAsia="zh-CN"/>
        </w:rPr>
        <w:t xml:space="preserve">   </w:t>
      </w:r>
      <w:r>
        <w:rPr>
          <w:rFonts w:hint="eastAsia" w:asciiTheme="minorEastAsia" w:hAnsiTheme="minorEastAsia" w:eastAsiaTheme="minorEastAsia" w:cstheme="minorEastAsia"/>
          <w:spacing w:val="-2"/>
          <w:position w:val="17"/>
          <w:sz w:val="24"/>
          <w:szCs w:val="24"/>
          <w:highlight w:val="none"/>
          <w:lang w:val="en-US" w:eastAsia="zh-CN"/>
        </w:rPr>
        <w:t>万元或预留</w:t>
      </w:r>
      <w:r>
        <w:rPr>
          <w:rFonts w:hint="eastAsia" w:asciiTheme="minorEastAsia" w:hAnsiTheme="minorEastAsia" w:eastAsiaTheme="minorEastAsia" w:cstheme="minorEastAsia"/>
          <w:spacing w:val="-2"/>
          <w:position w:val="17"/>
          <w:sz w:val="24"/>
          <w:szCs w:val="24"/>
          <w:highlight w:val="none"/>
          <w:u w:val="single"/>
          <w:lang w:val="en-US" w:eastAsia="zh-CN"/>
        </w:rPr>
        <w:t xml:space="preserve">   </w:t>
      </w:r>
      <w:r>
        <w:rPr>
          <w:rFonts w:hint="eastAsia" w:asciiTheme="minorEastAsia" w:hAnsiTheme="minorEastAsia" w:eastAsiaTheme="minorEastAsia" w:cstheme="minorEastAsia"/>
          <w:spacing w:val="-2"/>
          <w:position w:val="17"/>
          <w:sz w:val="24"/>
          <w:szCs w:val="24"/>
          <w:highlight w:val="none"/>
          <w:lang w:val="en-US" w:eastAsia="zh-CN"/>
        </w:rPr>
        <w:t>%份额</w:t>
      </w:r>
      <w:r>
        <w:rPr>
          <w:rFonts w:hint="eastAsia" w:asciiTheme="minorEastAsia" w:hAnsiTheme="minorEastAsia" w:eastAsiaTheme="minorEastAsia" w:cstheme="minorEastAsia"/>
          <w:spacing w:val="-2"/>
          <w:position w:val="17"/>
          <w:sz w:val="24"/>
          <w:szCs w:val="24"/>
          <w:highlight w:val="none"/>
        </w:rPr>
        <w:t>。</w:t>
      </w:r>
    </w:p>
    <w:p w14:paraId="7653A41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2D812D2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3D33E11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14:paraId="773366A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14:paraId="6F3EFD1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0A4347C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7B4A78E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14:paraId="2A442F30">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5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11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0:00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23:59 </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14:paraId="21E8A06B">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w:t>
      </w:r>
      <w:r>
        <w:rPr>
          <w:rFonts w:hint="eastAsia" w:ascii="宋体" w:hAnsi="宋体" w:eastAsia="宋体" w:cs="宋体"/>
          <w:sz w:val="24"/>
          <w:szCs w:val="24"/>
        </w:rPr>
        <w:t>全国公共资源交易平台(河南省·南阳市)</w:t>
      </w:r>
      <w:r>
        <w:rPr>
          <w:rFonts w:hint="eastAsia" w:ascii="宋体" w:hAnsi="宋体" w:eastAsia="宋体" w:cs="宋体"/>
          <w:sz w:val="24"/>
          <w:szCs w:val="24"/>
          <w:lang w:eastAsia="zh-CN"/>
        </w:rPr>
        <w:t>（</w:t>
      </w:r>
      <w:r>
        <w:rPr>
          <w:rFonts w:hint="eastAsia" w:ascii="宋体" w:hAnsi="宋体" w:eastAsia="宋体" w:cs="宋体"/>
          <w:sz w:val="24"/>
          <w:szCs w:val="24"/>
        </w:rPr>
        <w:t>https://ggzyjy.nanyang.gov.cn</w:t>
      </w:r>
      <w:r>
        <w:rPr>
          <w:rFonts w:hint="eastAsia" w:ascii="宋体" w:hAnsi="宋体" w:eastAsia="宋体" w:cs="宋体"/>
          <w:sz w:val="24"/>
          <w:szCs w:val="24"/>
          <w:lang w:eastAsia="zh-CN"/>
        </w:rPr>
        <w:t>）</w:t>
      </w:r>
    </w:p>
    <w:p w14:paraId="02D7A08B">
      <w:pPr>
        <w:ind w:firstLine="464" w:firstLineChars="200"/>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宋体" w:hAnsi="宋体" w:eastAsia="宋体" w:cs="宋体"/>
          <w:spacing w:val="-4"/>
          <w:sz w:val="24"/>
          <w:szCs w:val="24"/>
          <w:lang w:val="en-US" w:eastAsia="zh-CN"/>
        </w:rPr>
        <w:t>使用普通电子交易系统，</w:t>
      </w:r>
      <w:r>
        <w:rPr>
          <w:rFonts w:hint="eastAsia" w:ascii="宋体" w:hAnsi="宋体" w:eastAsia="宋体" w:cs="宋体"/>
          <w:spacing w:val="-4"/>
          <w:sz w:val="24"/>
          <w:szCs w:val="24"/>
          <w:lang w:eastAsia="zh-CN"/>
        </w:rPr>
        <w:t>登录</w:t>
      </w:r>
      <w:r>
        <w:rPr>
          <w:rFonts w:hint="eastAsia" w:ascii="宋体" w:hAnsi="宋体" w:eastAsia="宋体" w:cs="宋体"/>
          <w:sz w:val="24"/>
          <w:szCs w:val="24"/>
        </w:rPr>
        <w:t>全国公共资源交易平台(河南省·南阳市)</w:t>
      </w:r>
      <w:r>
        <w:rPr>
          <w:rFonts w:hint="eastAsia" w:ascii="宋体" w:hAnsi="宋体" w:eastAsia="宋体" w:cs="宋体"/>
          <w:spacing w:val="-4"/>
          <w:sz w:val="24"/>
          <w:szCs w:val="24"/>
          <w:lang w:eastAsia="zh-CN"/>
        </w:rPr>
        <w:t>（https://ggzyjy.nanyang.gov.cn），注册后凭办理的企业身份认证锁（CA数字证书）登录会员系统按网上提示下载招标文件(*.nyzf格式)及资料（操作程序详见</w:t>
      </w:r>
      <w:r>
        <w:rPr>
          <w:rFonts w:hint="eastAsia" w:ascii="宋体" w:hAnsi="宋体" w:eastAsia="宋体" w:cs="宋体"/>
          <w:sz w:val="24"/>
          <w:szCs w:val="24"/>
        </w:rPr>
        <w:t>全国公共资源交易平台(河南省·南阳市)</w:t>
      </w:r>
      <w:r>
        <w:rPr>
          <w:rFonts w:hint="eastAsia" w:ascii="宋体" w:hAnsi="宋体" w:eastAsia="宋体" w:cs="宋体"/>
          <w:spacing w:val="-4"/>
          <w:sz w:val="24"/>
          <w:szCs w:val="24"/>
          <w:lang w:eastAsia="zh-CN"/>
        </w:rPr>
        <w:t>网站下载专区）</w:t>
      </w:r>
      <w:r>
        <w:rPr>
          <w:rFonts w:hint="eastAsia" w:ascii="宋体" w:hAnsi="宋体" w:eastAsia="宋体" w:cs="宋体"/>
          <w:snapToGrid w:val="0"/>
          <w:color w:val="000000"/>
          <w:kern w:val="0"/>
          <w:sz w:val="24"/>
          <w:szCs w:val="24"/>
          <w:lang w:val="en-US" w:eastAsia="zh-CN" w:bidi="ar-SA"/>
        </w:rPr>
        <w:t>，电子交易系统技术支持电话：0512-58188538，</w:t>
      </w:r>
      <w:r>
        <w:rPr>
          <w:rFonts w:hint="eastAsia" w:ascii="宋体" w:hAnsi="宋体" w:eastAsia="宋体" w:cs="宋体"/>
          <w:spacing w:val="-4"/>
          <w:sz w:val="24"/>
          <w:szCs w:val="24"/>
          <w:lang w:eastAsia="zh-CN"/>
        </w:rPr>
        <w:t>CA数字证书技术支持：</w:t>
      </w:r>
      <w:r>
        <w:rPr>
          <w:rFonts w:hint="eastAsia" w:asciiTheme="minorEastAsia" w:hAnsiTheme="minorEastAsia" w:eastAsiaTheme="minorEastAsia" w:cstheme="minorEastAsia"/>
          <w:spacing w:val="-4"/>
          <w:sz w:val="24"/>
          <w:szCs w:val="24"/>
          <w:lang w:eastAsia="zh-CN"/>
        </w:rPr>
        <w:t>https://ggzyjy.nanyang.gov.cn/ptdl/011009/single.html。</w:t>
      </w:r>
    </w:p>
    <w:p w14:paraId="3FE832E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14:paraId="0CECBE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62D45777">
      <w:pPr>
        <w:pStyle w:val="3"/>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14:paraId="15B8E393">
      <w:pPr>
        <w:keepNext w:val="0"/>
        <w:keepLines w:val="0"/>
        <w:pageBreakBefore w:val="0"/>
        <w:widowControl/>
        <w:overflowPunct/>
        <w:topLinePunct w:val="0"/>
        <w:autoSpaceDE w:val="0"/>
        <w:autoSpaceDN w:val="0"/>
        <w:bidi w:val="0"/>
        <w:adjustRightInd w:val="0"/>
        <w:snapToGrid w:val="0"/>
        <w:spacing w:line="400" w:lineRule="exact"/>
        <w:ind w:firstLine="464" w:firstLineChars="200"/>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。投标人须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电子投标文件，电子投标文件需要使用投标文件制作工具制作，制作工具及操作手册可在</w:t>
      </w:r>
      <w:r>
        <w:rPr>
          <w:rFonts w:hint="eastAsia"/>
        </w:rPr>
        <w:t>全国公共资源交易平台(河南省·南阳市)</w:t>
      </w:r>
      <w:r>
        <w:rPr>
          <w:rFonts w:hint="eastAsia" w:asciiTheme="minorEastAsia" w:hAnsiTheme="minorEastAsia" w:eastAsiaTheme="minorEastAsia" w:cstheme="minorEastAsia"/>
          <w:spacing w:val="-4"/>
          <w:sz w:val="24"/>
          <w:szCs w:val="24"/>
          <w:lang w:eastAsia="zh-CN"/>
        </w:rPr>
        <w:t>“下载专区”中下载。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电子投标文件应在招标文件规定的投标截止时间前到达交易系统。逾期到达交易系统的电子投标文件视为放弃本次投标。</w:t>
      </w:r>
    </w:p>
    <w:p w14:paraId="2BCB5B03">
      <w:pPr>
        <w:keepNext w:val="0"/>
        <w:keepLines w:val="0"/>
        <w:pageBreakBefore w:val="0"/>
        <w:widowControl/>
        <w:shd w:val="clear" w:color="auto" w:fill="FFFFFF"/>
        <w:kinsoku/>
        <w:wordWrap w:val="0"/>
        <w:overflowPunct/>
        <w:topLinePunct w:val="0"/>
        <w:autoSpaceDE w:val="0"/>
        <w:autoSpaceDN w:val="0"/>
        <w:bidi w:val="0"/>
        <w:adjustRightInd w:val="0"/>
        <w:snapToGrid w:val="0"/>
        <w:spacing w:line="400" w:lineRule="exact"/>
        <w:ind w:firstLine="464" w:firstLineChars="200"/>
        <w:jc w:val="both"/>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因投标人无需现场参与开标，所有准备工作需要自行到位。开标过程中如遇到紧急事项，可在不见面开标大厅中进行提出异议或文字交流，严重问题可拨打技术支持电话0377-61176137。不见面开标过程中，如</w:t>
      </w:r>
      <w:r>
        <w:rPr>
          <w:rFonts w:hint="eastAsia" w:asciiTheme="minorEastAsia" w:hAnsiTheme="minorEastAsia" w:eastAsiaTheme="minorEastAsia" w:cstheme="minorEastAsia"/>
          <w:spacing w:val="-4"/>
          <w:sz w:val="24"/>
          <w:szCs w:val="24"/>
          <w:lang w:val="en-US" w:eastAsia="zh-CN"/>
        </w:rPr>
        <w:t>因</w:t>
      </w:r>
      <w:r>
        <w:rPr>
          <w:rFonts w:hint="eastAsia" w:asciiTheme="minorEastAsia" w:hAnsiTheme="minorEastAsia" w:eastAsiaTheme="minorEastAsia" w:cstheme="minorEastAsia"/>
          <w:spacing w:val="-4"/>
          <w:sz w:val="24"/>
          <w:szCs w:val="24"/>
          <w:lang w:eastAsia="zh-CN"/>
        </w:rPr>
        <w:t>投标人准备不到位、网络问题等情况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造成开标无法继续的，视为该投标人自动放弃投标，将被退回投标文件”。电子交易系统技术支持电话：0512-58188538。</w:t>
      </w:r>
    </w:p>
    <w:p w14:paraId="5A8E625A">
      <w:pPr>
        <w:pStyle w:val="25"/>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p>
    <w:p w14:paraId="74A22CC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14:paraId="467959D4">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投标截止时间、开标时间：</w:t>
      </w:r>
      <w:r>
        <w:rPr>
          <w:rFonts w:hint="eastAsia" w:asciiTheme="minorEastAsia" w:hAnsiTheme="minorEastAsia" w:eastAsiaTheme="minorEastAsia" w:cstheme="minorEastAsia"/>
          <w:spacing w:val="-14"/>
          <w:sz w:val="24"/>
          <w:szCs w:val="24"/>
          <w:u w:val="single"/>
          <w:lang w:val="en-US" w:eastAsia="zh-CN"/>
        </w:rPr>
        <w:t xml:space="preserve"> 2026 </w:t>
      </w:r>
      <w:r>
        <w:rPr>
          <w:rFonts w:hint="eastAsia" w:asciiTheme="minorEastAsia" w:hAnsiTheme="minorEastAsia" w:eastAsiaTheme="minorEastAsia" w:cstheme="minorEastAsia"/>
          <w:snapToGrid w:val="0"/>
          <w:color w:val="000000"/>
          <w:spacing w:val="-4"/>
          <w:kern w:val="0"/>
          <w:sz w:val="24"/>
          <w:szCs w:val="24"/>
          <w:lang w:val="en-US" w:eastAsia="zh-CN" w:bidi="ar-SA"/>
        </w:rPr>
        <w:t>年</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8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25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lang w:val="en-US" w:eastAsia="zh-CN" w:bidi="ar-SA"/>
        </w:rPr>
        <w:t>点</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lang w:val="en-US" w:eastAsia="zh-CN" w:bidi="ar-SA"/>
        </w:rPr>
        <w:t>分（北</w:t>
      </w:r>
      <w:r>
        <w:rPr>
          <w:rFonts w:hint="eastAsia" w:asciiTheme="minorEastAsia" w:hAnsiTheme="minorEastAsia" w:eastAsiaTheme="minorEastAsia" w:cstheme="minorEastAsia"/>
          <w:spacing w:val="-15"/>
          <w:sz w:val="24"/>
          <w:szCs w:val="24"/>
        </w:rPr>
        <w:t>京时间）。</w:t>
      </w:r>
    </w:p>
    <w:p w14:paraId="15FC7FE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7"/>
          <w:sz w:val="24"/>
          <w:szCs w:val="24"/>
          <w:lang w:val="en-US" w:eastAsia="zh-CN"/>
        </w:rPr>
      </w:pPr>
      <w:r>
        <w:rPr>
          <w:rFonts w:hint="eastAsia" w:asciiTheme="minorEastAsia" w:hAnsiTheme="minorEastAsia" w:eastAsiaTheme="minorEastAsia" w:cstheme="minorEastAsia"/>
          <w:spacing w:val="-17"/>
          <w:sz w:val="24"/>
          <w:szCs w:val="24"/>
          <w:lang w:val="en-US" w:eastAsia="zh-CN"/>
        </w:rPr>
        <w:t>开标方式：不见面开标</w:t>
      </w:r>
    </w:p>
    <w:p w14:paraId="0F3CF9D4">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Arial" w:hAnsi="Arial" w:eastAsia="宋体" w:cs="Arial"/>
          <w:position w:val="5"/>
          <w:sz w:val="24"/>
          <w:szCs w:val="24"/>
          <w:lang w:val="en-US" w:eastAsia="zh-CN"/>
        </w:rPr>
        <w:t>地点：</w:t>
      </w:r>
      <w:r>
        <w:rPr>
          <w:rFonts w:hint="eastAsia" w:ascii="Arial" w:hAnsi="Arial" w:eastAsia="Arial" w:cs="Arial"/>
          <w:position w:val="5"/>
          <w:sz w:val="24"/>
          <w:szCs w:val="24"/>
        </w:rPr>
        <w:t>全国公共资源交易平台（河南省·南阳市）https://ggzyjy.nanyang.gov.cn</w:t>
      </w:r>
      <w:r>
        <w:rPr>
          <w:rFonts w:hint="eastAsia" w:asciiTheme="minorEastAsia" w:hAnsiTheme="minorEastAsia" w:eastAsiaTheme="minorEastAsia" w:cstheme="minorEastAsia"/>
          <w:spacing w:val="-17"/>
          <w:sz w:val="24"/>
          <w:szCs w:val="24"/>
        </w:rPr>
        <w:t>。</w:t>
      </w:r>
    </w:p>
    <w:p w14:paraId="7CA224C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10C40B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、公告期限</w:t>
      </w:r>
    </w:p>
    <w:p w14:paraId="791610E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5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11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lang w:eastAsia="zh-CN"/>
        </w:rPr>
        <w:t>。</w:t>
      </w:r>
    </w:p>
    <w:p w14:paraId="6610CE8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rPr>
      </w:pPr>
    </w:p>
    <w:p w14:paraId="6F139DD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14:paraId="44AE5B2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cs="宋体"/>
          <w:sz w:val="24"/>
          <w:szCs w:val="24"/>
        </w:rPr>
        <w:t>本项目采用</w:t>
      </w:r>
      <w:r>
        <w:rPr>
          <w:rFonts w:hint="eastAsia" w:ascii="宋体" w:hAnsi="宋体" w:cs="宋体"/>
          <w:b/>
          <w:bCs/>
          <w:sz w:val="24"/>
          <w:szCs w:val="24"/>
        </w:rPr>
        <w:t>“暗标”</w:t>
      </w:r>
      <w:r>
        <w:rPr>
          <w:rFonts w:hint="eastAsia" w:ascii="宋体" w:hAnsi="宋体" w:cs="宋体"/>
          <w:sz w:val="24"/>
          <w:szCs w:val="24"/>
        </w:rPr>
        <w:t>评审。供应商应按照</w:t>
      </w:r>
      <w:r>
        <w:rPr>
          <w:rFonts w:hint="eastAsia" w:cs="宋体"/>
          <w:sz w:val="24"/>
          <w:szCs w:val="24"/>
          <w:lang w:val="en-US" w:eastAsia="zh-CN"/>
        </w:rPr>
        <w:t>招标</w:t>
      </w:r>
      <w:r>
        <w:rPr>
          <w:rFonts w:hint="eastAsia" w:ascii="宋体" w:hAnsi="宋体" w:cs="宋体"/>
          <w:sz w:val="24"/>
          <w:szCs w:val="24"/>
        </w:rPr>
        <w:t>文件要求制作投标文件。</w:t>
      </w:r>
    </w:p>
    <w:p w14:paraId="30DC937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6CAEA74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14:paraId="0051CDA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pacing w:val="-15"/>
          <w:sz w:val="24"/>
          <w:szCs w:val="24"/>
        </w:rPr>
      </w:pPr>
      <w:r>
        <w:rPr>
          <w:rFonts w:hint="eastAsia" w:asciiTheme="minorEastAsia" w:hAnsiTheme="minorEastAsia" w:eastAsiaTheme="minorEastAsia" w:cstheme="minorEastAsia"/>
          <w:color w:val="auto"/>
          <w:spacing w:val="-15"/>
          <w:sz w:val="24"/>
          <w:szCs w:val="24"/>
        </w:rPr>
        <w:t>名称：南阳市行政审批和政务信息管理局</w:t>
      </w:r>
    </w:p>
    <w:p w14:paraId="2AD8925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rPr>
        <w:t>地址：南阳市范蠡东路与南都路交叉口市民服务中心</w:t>
      </w:r>
      <w:r>
        <w:rPr>
          <w:rFonts w:hint="eastAsia" w:asciiTheme="minorEastAsia" w:hAnsiTheme="minorEastAsia" w:eastAsiaTheme="minorEastAsia" w:cstheme="minorEastAsia"/>
          <w:color w:val="auto"/>
          <w:spacing w:val="-15"/>
          <w:sz w:val="24"/>
          <w:szCs w:val="24"/>
          <w:lang w:val="en-US" w:eastAsia="zh-CN"/>
        </w:rPr>
        <w:t>北区1号楼1楼</w:t>
      </w:r>
    </w:p>
    <w:p w14:paraId="07D638D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联系人：0377-63137698</w:t>
      </w:r>
    </w:p>
    <w:p w14:paraId="3614249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color w:val="auto"/>
          <w:spacing w:val="4"/>
          <w:sz w:val="24"/>
          <w:szCs w:val="24"/>
          <w:lang w:val="en-US" w:eastAsia="zh-CN"/>
        </w:rPr>
      </w:pPr>
      <w:r>
        <w:rPr>
          <w:rFonts w:hint="eastAsia" w:asciiTheme="minorEastAsia" w:hAnsiTheme="minorEastAsia" w:eastAsiaTheme="minorEastAsia" w:cstheme="minorEastAsia"/>
          <w:color w:val="auto"/>
          <w:spacing w:val="-15"/>
          <w:sz w:val="24"/>
          <w:szCs w:val="24"/>
        </w:rPr>
        <w:t>联系方式：</w:t>
      </w:r>
      <w:r>
        <w:rPr>
          <w:rFonts w:hint="eastAsia" w:asciiTheme="minorEastAsia" w:hAnsiTheme="minorEastAsia" w:eastAsiaTheme="minorEastAsia" w:cstheme="minorEastAsia"/>
          <w:color w:val="auto"/>
          <w:spacing w:val="-15"/>
          <w:sz w:val="24"/>
          <w:szCs w:val="24"/>
          <w:lang w:val="en-US" w:eastAsia="zh-CN"/>
        </w:rPr>
        <w:t>贺先生</w:t>
      </w:r>
    </w:p>
    <w:p w14:paraId="00C31FA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61F8967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名称：南阳市公共资源交易中心</w:t>
      </w:r>
    </w:p>
    <w:p w14:paraId="55B1580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地址：南阳市范蠡东路与南都路交叉口市民服务中心中区3号楼5楼</w:t>
      </w:r>
    </w:p>
    <w:p w14:paraId="7B7924B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联系人：黄先生</w:t>
      </w:r>
    </w:p>
    <w:p w14:paraId="6E8CA14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联系方式：0377-61176178</w:t>
      </w:r>
    </w:p>
    <w:p w14:paraId="6BA4A5C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5157F1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fldChar w:fldCharType="begin"/>
      </w:r>
      <w:r>
        <w:rPr>
          <w:rFonts w:hint="eastAsia" w:asciiTheme="minorEastAsia" w:hAnsiTheme="minorEastAsia" w:eastAsiaTheme="minorEastAsia" w:cstheme="minorEastAsia"/>
          <w:spacing w:val="-15"/>
          <w:sz w:val="24"/>
          <w:szCs w:val="24"/>
          <w:lang w:val="en-US" w:eastAsia="zh-CN"/>
        </w:rPr>
        <w:instrText xml:space="preserve"> HYPERLINK "https://ggzyjy.nanyang.gov.cn" </w:instrText>
      </w:r>
      <w:r>
        <w:rPr>
          <w:rFonts w:hint="eastAsia" w:asciiTheme="minorEastAsia" w:hAnsiTheme="minorEastAsia" w:eastAsiaTheme="minorEastAsia" w:cstheme="minorEastAsia"/>
          <w:spacing w:val="-15"/>
          <w:sz w:val="24"/>
          <w:szCs w:val="24"/>
          <w:lang w:val="en-US" w:eastAsia="zh-CN"/>
        </w:rPr>
        <w:fldChar w:fldCharType="separate"/>
      </w:r>
      <w:r>
        <w:rPr>
          <w:rStyle w:val="23"/>
          <w:rFonts w:hint="eastAsia" w:asciiTheme="minorEastAsia" w:hAnsiTheme="minorEastAsia" w:eastAsiaTheme="minorEastAsia" w:cstheme="minorEastAsia"/>
          <w:spacing w:val="-15"/>
          <w:sz w:val="24"/>
          <w:szCs w:val="24"/>
          <w:lang w:val="en-US" w:eastAsia="zh-CN"/>
        </w:rPr>
        <w:t>https://ggzyjy.nanyang.gov.cn</w:t>
      </w:r>
      <w:r>
        <w:rPr>
          <w:rFonts w:hint="eastAsia" w:asciiTheme="minorEastAsia" w:hAnsiTheme="minorEastAsia" w:eastAsiaTheme="minorEastAsia" w:cstheme="minorEastAsia"/>
          <w:spacing w:val="-15"/>
          <w:sz w:val="24"/>
          <w:szCs w:val="24"/>
          <w:lang w:val="en-US" w:eastAsia="zh-CN"/>
        </w:rPr>
        <w:fldChar w:fldCharType="end"/>
      </w:r>
      <w:r>
        <w:rPr>
          <w:rFonts w:hint="eastAsia" w:asciiTheme="minorEastAsia" w:hAnsiTheme="minorEastAsia" w:eastAsiaTheme="minorEastAsia" w:cstheme="minorEastAsia"/>
          <w:spacing w:val="-15"/>
          <w:sz w:val="24"/>
          <w:szCs w:val="24"/>
          <w:lang w:val="en-US" w:eastAsia="zh-CN"/>
        </w:rPr>
        <w:t xml:space="preserve">   E-mail:nyszfcgzx@126.com</w:t>
      </w:r>
    </w:p>
    <w:p w14:paraId="044DE15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3990" w:firstLineChars="1900"/>
        <w:jc w:val="both"/>
        <w:textAlignment w:val="baseline"/>
        <w:outlineLvl w:val="1"/>
        <w:rPr>
          <w:rFonts w:hint="eastAsia" w:asciiTheme="minorEastAsia" w:hAnsiTheme="minorEastAsia" w:eastAsiaTheme="minorEastAsia" w:cstheme="minorEastAsia"/>
          <w:spacing w:val="-15"/>
          <w:sz w:val="24"/>
          <w:szCs w:val="24"/>
          <w:lang w:val="en-US" w:eastAsia="zh-CN"/>
        </w:rPr>
      </w:pPr>
    </w:p>
    <w:p w14:paraId="6BC878A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3990" w:firstLineChars="1900"/>
        <w:jc w:val="both"/>
        <w:textAlignment w:val="baseline"/>
        <w:outlineLvl w:val="1"/>
        <w:rPr>
          <w:rFonts w:hint="eastAsia" w:asciiTheme="minorEastAsia" w:hAnsiTheme="minorEastAsia" w:eastAsiaTheme="minorEastAsia" w:cstheme="minorEastAsia"/>
          <w:spacing w:val="-15"/>
          <w:sz w:val="24"/>
          <w:szCs w:val="24"/>
          <w:lang w:val="en-US" w:eastAsia="zh-CN"/>
        </w:rPr>
      </w:pPr>
    </w:p>
    <w:p w14:paraId="0E23ADA0">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3990" w:firstLineChars="1900"/>
        <w:jc w:val="both"/>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南阳市公共资源交易中心</w:t>
      </w:r>
    </w:p>
    <w:p w14:paraId="31F6BFA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280" w:firstLineChars="2000"/>
        <w:jc w:val="both"/>
        <w:textAlignment w:val="baseline"/>
        <w:outlineLvl w:val="1"/>
        <w:rPr>
          <w:rFonts w:hint="default" w:asciiTheme="minorEastAsia" w:hAnsiTheme="minorEastAsia" w:eastAsiaTheme="minorEastAsia" w:cstheme="minorEastAsia"/>
          <w:spacing w:val="-15"/>
          <w:sz w:val="24"/>
          <w:szCs w:val="24"/>
          <w:highlight w:val="yellow"/>
          <w:lang w:val="en-US" w:eastAsia="zh-CN"/>
        </w:rPr>
      </w:pP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8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4 </w:t>
      </w:r>
      <w:r>
        <w:rPr>
          <w:rFonts w:hint="eastAsia" w:asciiTheme="minorEastAsia" w:hAnsiTheme="minorEastAsia" w:eastAsiaTheme="minorEastAsia" w:cstheme="minorEastAsia"/>
          <w:spacing w:val="-13"/>
          <w:sz w:val="24"/>
          <w:szCs w:val="24"/>
          <w:highlight w:val="none"/>
        </w:rPr>
        <w:t>日</w:t>
      </w:r>
    </w:p>
    <w:p w14:paraId="2FAA30F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56A778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199439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7546D1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16D2C4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149B3BB">
      <w:pPr>
        <w:pStyle w:val="4"/>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4C10860">
      <w:pPr>
        <w:pStyle w:val="3"/>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C4FEB04">
      <w:pPr>
        <w:pStyle w:val="4"/>
        <w:rPr>
          <w:rFonts w:hint="eastAsia"/>
        </w:rPr>
      </w:pPr>
    </w:p>
    <w:p w14:paraId="352C96C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59B3E94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rPr>
        <w:t>说明：</w:t>
      </w:r>
    </w:p>
    <w:p w14:paraId="23C1579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当采购项目涉及政务信息系统时，采购需求应当符合《政务信息系统政府采购管理暂行办法》（财库〔2017〕210号）的相关要求。</w:t>
      </w:r>
    </w:p>
    <w:p w14:paraId="000B7CC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514673F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7A10A2B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一</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项目概况</w:t>
      </w:r>
    </w:p>
    <w:p w14:paraId="39BBBD6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根据南阳市推进信创</w:t>
      </w:r>
      <w:r>
        <w:rPr>
          <w:rFonts w:hint="eastAsia" w:asciiTheme="minorEastAsia" w:hAnsiTheme="minorEastAsia" w:eastAsiaTheme="minorEastAsia" w:cstheme="minorEastAsia"/>
          <w:spacing w:val="-1"/>
          <w:sz w:val="24"/>
          <w:szCs w:val="24"/>
          <w:lang w:val="en-US" w:eastAsia="zh-CN"/>
        </w:rPr>
        <w:t>政务</w:t>
      </w:r>
      <w:r>
        <w:rPr>
          <w:rFonts w:hint="eastAsia" w:asciiTheme="minorEastAsia" w:hAnsiTheme="minorEastAsia" w:eastAsiaTheme="minorEastAsia" w:cstheme="minorEastAsia"/>
          <w:spacing w:val="-1"/>
          <w:sz w:val="24"/>
          <w:szCs w:val="24"/>
          <w:lang w:eastAsia="zh-CN"/>
        </w:rPr>
        <w:t>云（</w:t>
      </w:r>
      <w:r>
        <w:rPr>
          <w:rFonts w:hint="eastAsia" w:asciiTheme="minorEastAsia" w:hAnsiTheme="minorEastAsia" w:eastAsiaTheme="minorEastAsia" w:cstheme="minorEastAsia"/>
          <w:spacing w:val="-1"/>
          <w:sz w:val="24"/>
          <w:szCs w:val="24"/>
          <w:lang w:val="en-US" w:eastAsia="zh-CN"/>
        </w:rPr>
        <w:t>以下简称信创云</w:t>
      </w:r>
      <w:r>
        <w:rPr>
          <w:rFonts w:hint="eastAsia" w:asciiTheme="minorEastAsia" w:hAnsiTheme="minorEastAsia" w:eastAsiaTheme="minorEastAsia" w:cstheme="minorEastAsia"/>
          <w:spacing w:val="-1"/>
          <w:sz w:val="24"/>
          <w:szCs w:val="24"/>
          <w:lang w:eastAsia="zh-CN"/>
        </w:rPr>
        <w:t>）平台建设的相关要求，南阳市行政审批和政务信息管理局组织进行信创云服务采购，主要为全市各部门提供信创云服务，为各</w:t>
      </w:r>
      <w:r>
        <w:rPr>
          <w:rFonts w:hint="eastAsia" w:asciiTheme="minorEastAsia" w:hAnsiTheme="minorEastAsia" w:eastAsiaTheme="minorEastAsia" w:cstheme="minorEastAsia"/>
          <w:spacing w:val="-1"/>
          <w:sz w:val="24"/>
          <w:szCs w:val="24"/>
          <w:lang w:val="en-US" w:eastAsia="zh-CN"/>
        </w:rPr>
        <w:t>政务信息系统提供基础环境</w:t>
      </w:r>
      <w:r>
        <w:rPr>
          <w:rFonts w:hint="eastAsia" w:asciiTheme="minorEastAsia" w:hAnsiTheme="minorEastAsia" w:eastAsiaTheme="minorEastAsia" w:cstheme="minorEastAsia"/>
          <w:spacing w:val="-1"/>
          <w:sz w:val="24"/>
          <w:szCs w:val="24"/>
          <w:lang w:eastAsia="zh-CN"/>
        </w:rPr>
        <w:t>支撑。本项目服务对象是全市</w:t>
      </w:r>
      <w:r>
        <w:rPr>
          <w:rFonts w:hint="eastAsia" w:asciiTheme="minorEastAsia" w:hAnsiTheme="minorEastAsia" w:eastAsiaTheme="minorEastAsia" w:cstheme="minorEastAsia"/>
          <w:spacing w:val="-1"/>
          <w:sz w:val="24"/>
          <w:szCs w:val="24"/>
          <w:lang w:val="en-US" w:eastAsia="zh-CN"/>
        </w:rPr>
        <w:t>行政</w:t>
      </w:r>
      <w:r>
        <w:rPr>
          <w:rFonts w:hint="eastAsia" w:asciiTheme="minorEastAsia" w:hAnsiTheme="minorEastAsia" w:eastAsiaTheme="minorEastAsia" w:cstheme="minorEastAsia"/>
          <w:spacing w:val="-1"/>
          <w:sz w:val="24"/>
          <w:szCs w:val="24"/>
          <w:lang w:eastAsia="zh-CN"/>
        </w:rPr>
        <w:t>机关、事业单位，服务对象根据信创云实际需求提出申请信创云服务相关需求内容，南阳市行政审批和政务信息管理局根据各服务对象实际信创云使用量进行服务结算。</w:t>
      </w:r>
    </w:p>
    <w:p w14:paraId="4AFF1D4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（二）采购项目预（概）算</w:t>
      </w:r>
    </w:p>
    <w:p w14:paraId="318A1E8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spacing w:val="-1"/>
          <w:sz w:val="24"/>
          <w:szCs w:val="24"/>
        </w:rPr>
        <w:t>服务期三年，总预算</w:t>
      </w:r>
      <w:r>
        <w:rPr>
          <w:rFonts w:hint="eastAsia" w:asciiTheme="minorEastAsia" w:hAnsiTheme="minorEastAsia" w:eastAsiaTheme="minorEastAsia" w:cstheme="minorEastAsia"/>
          <w:spacing w:val="-1"/>
          <w:sz w:val="24"/>
          <w:szCs w:val="24"/>
          <w:lang w:val="en-US" w:eastAsia="zh-CN"/>
        </w:rPr>
        <w:t>450</w:t>
      </w:r>
      <w:r>
        <w:rPr>
          <w:rFonts w:hint="eastAsia" w:asciiTheme="minorEastAsia" w:hAnsiTheme="minorEastAsia" w:eastAsiaTheme="minorEastAsia" w:cstheme="minorEastAsia"/>
          <w:spacing w:val="-1"/>
          <w:sz w:val="24"/>
          <w:szCs w:val="24"/>
        </w:rPr>
        <w:t>万元，</w:t>
      </w:r>
      <w:r>
        <w:rPr>
          <w:rFonts w:hint="eastAsia" w:asciiTheme="minorEastAsia" w:hAnsiTheme="minorEastAsia" w:eastAsiaTheme="minorEastAsia" w:cstheme="minorEastAsia"/>
          <w:color w:val="auto"/>
          <w:spacing w:val="-1"/>
          <w:sz w:val="24"/>
          <w:szCs w:val="24"/>
          <w:highlight w:val="none"/>
        </w:rPr>
        <w:t>每年不超过</w:t>
      </w:r>
      <w:r>
        <w:rPr>
          <w:rFonts w:hint="eastAsia" w:asciiTheme="minorEastAsia" w:hAnsiTheme="minorEastAsia" w:eastAsiaTheme="minorEastAsia" w:cstheme="minorEastAsia"/>
          <w:color w:val="auto"/>
          <w:spacing w:val="-1"/>
          <w:sz w:val="24"/>
          <w:szCs w:val="24"/>
          <w:highlight w:val="none"/>
          <w:lang w:val="en-US" w:eastAsia="zh-CN"/>
        </w:rPr>
        <w:t>1</w:t>
      </w:r>
      <w:r>
        <w:rPr>
          <w:rFonts w:hint="eastAsia" w:asciiTheme="minorEastAsia" w:hAnsiTheme="minorEastAsia" w:eastAsiaTheme="minorEastAsia" w:cstheme="minorEastAsia"/>
          <w:color w:val="auto"/>
          <w:spacing w:val="-1"/>
          <w:sz w:val="24"/>
          <w:szCs w:val="24"/>
          <w:highlight w:val="none"/>
        </w:rPr>
        <w:t>50万元/年，同时每个单项均不得超过最高服务限价。</w:t>
      </w:r>
    </w:p>
    <w:p w14:paraId="216B255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（三）采购标的汇总表</w:t>
      </w:r>
    </w:p>
    <w:p w14:paraId="7172D578">
      <w:pPr>
        <w:pageBreakBefore w:val="0"/>
        <w:widowControl w:val="0"/>
        <w:kinsoku/>
        <w:wordWrap/>
        <w:overflowPunct/>
        <w:topLinePunct w:val="0"/>
        <w:autoSpaceDE/>
        <w:autoSpaceDN/>
        <w:bidi w:val="0"/>
        <w:spacing w:beforeAutospacing="0" w:afterAutospacing="0" w:line="560" w:lineRule="exact"/>
        <w:ind w:left="0" w:leftChars="0"/>
        <w:jc w:val="center"/>
        <w:rPr>
          <w:rFonts w:hint="eastAsia" w:ascii="仿宋" w:hAnsi="仿宋" w:eastAsia="仿宋" w:cs="仿宋"/>
          <w:sz w:val="32"/>
          <w:szCs w:val="32"/>
          <w:lang w:eastAsia="zh-CN"/>
        </w:rPr>
      </w:pPr>
      <w:r>
        <w:rPr>
          <w:rFonts w:hint="eastAsia" w:ascii="仿宋" w:hAnsi="仿宋" w:eastAsia="仿宋" w:cs="仿宋"/>
          <w:color w:val="auto"/>
          <w:sz w:val="32"/>
          <w:szCs w:val="32"/>
          <w:lang w:eastAsia="zh-CN" w:bidi="zh-TW"/>
        </w:rPr>
        <w:t>表1基础服务清单</w:t>
      </w:r>
    </w:p>
    <w:tbl>
      <w:tblPr>
        <w:tblStyle w:val="19"/>
        <w:tblpPr w:leftFromText="180" w:rightFromText="180" w:vertAnchor="text" w:horzAnchor="page" w:tblpX="1547" w:tblpY="548"/>
        <w:tblOverlap w:val="never"/>
        <w:tblW w:w="528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948"/>
        <w:gridCol w:w="1159"/>
        <w:gridCol w:w="1042"/>
        <w:gridCol w:w="986"/>
        <w:gridCol w:w="986"/>
        <w:gridCol w:w="872"/>
        <w:gridCol w:w="948"/>
        <w:gridCol w:w="949"/>
        <w:gridCol w:w="1117"/>
      </w:tblGrid>
      <w:tr w14:paraId="0E2B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0" w:hRule="atLeast"/>
        </w:trPr>
        <w:tc>
          <w:tcPr>
            <w:tcW w:w="5000" w:type="pct"/>
            <w:gridSpan w:val="9"/>
            <w:tcBorders>
              <w:top w:val="nil"/>
              <w:left w:val="nil"/>
              <w:bottom w:val="nil"/>
              <w:right w:val="nil"/>
            </w:tcBorders>
            <w:shd w:val="clear" w:color="auto" w:fill="FFFFFF"/>
            <w:noWrap/>
            <w:vAlign w:val="center"/>
          </w:tcPr>
          <w:p w14:paraId="1F6FC84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p>
        </w:tc>
      </w:tr>
      <w:tr w14:paraId="08F54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0" w:hRule="atLeast"/>
        </w:trPr>
        <w:tc>
          <w:tcPr>
            <w:tcW w:w="526"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0E622">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0DAB7F">
            <w:pPr>
              <w:keepNext w:val="0"/>
              <w:keepLines w:val="0"/>
              <w:widowControl/>
              <w:suppressLineNumbers w:val="0"/>
              <w:jc w:val="both"/>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服务类别</w:t>
            </w:r>
          </w:p>
        </w:tc>
        <w:tc>
          <w:tcPr>
            <w:tcW w:w="578"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D679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服务项</w:t>
            </w:r>
          </w:p>
        </w:tc>
        <w:tc>
          <w:tcPr>
            <w:tcW w:w="1094"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215F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规格说明</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F02B6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计价单位</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814CF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报价</w:t>
            </w:r>
          </w:p>
        </w:tc>
        <w:tc>
          <w:tcPr>
            <w:tcW w:w="526"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B9CC6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计费规则</w:t>
            </w:r>
          </w:p>
        </w:tc>
        <w:tc>
          <w:tcPr>
            <w:tcW w:w="620"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312B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auto"/>
                <w:kern w:val="0"/>
                <w:sz w:val="21"/>
                <w:szCs w:val="21"/>
                <w:u w:val="none"/>
                <w:lang w:val="en-US" w:eastAsia="zh-CN" w:bidi="ar"/>
              </w:rPr>
              <w:t>最高限价</w:t>
            </w:r>
          </w:p>
        </w:tc>
      </w:tr>
      <w:tr w14:paraId="3B3DD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36765C">
            <w:pPr>
              <w:jc w:val="center"/>
              <w:rPr>
                <w:rFonts w:hint="eastAsia" w:ascii="仿宋" w:hAnsi="仿宋" w:eastAsia="仿宋" w:cs="仿宋"/>
                <w:b/>
                <w:bCs/>
                <w:i w:val="0"/>
                <w:iCs w:val="0"/>
                <w:color w:val="000000"/>
                <w:sz w:val="21"/>
                <w:szCs w:val="21"/>
                <w:u w:val="none"/>
              </w:rPr>
            </w:pP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EA3909">
            <w:pPr>
              <w:jc w:val="both"/>
              <w:rPr>
                <w:rFonts w:hint="eastAsia" w:ascii="仿宋" w:hAnsi="仿宋" w:eastAsia="仿宋" w:cs="仿宋"/>
                <w:b/>
                <w:bCs/>
                <w:i w:val="0"/>
                <w:iCs w:val="0"/>
                <w:color w:val="000000"/>
                <w:sz w:val="21"/>
                <w:szCs w:val="21"/>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9B5C24">
            <w:pPr>
              <w:jc w:val="center"/>
              <w:rPr>
                <w:rFonts w:hint="eastAsia" w:ascii="仿宋" w:hAnsi="仿宋" w:eastAsia="仿宋" w:cs="仿宋"/>
                <w:b/>
                <w:bCs/>
                <w:i w:val="0"/>
                <w:iCs w:val="0"/>
                <w:color w:val="000000"/>
                <w:sz w:val="21"/>
                <w:szCs w:val="21"/>
                <w:u w:val="none"/>
              </w:rPr>
            </w:pPr>
          </w:p>
        </w:tc>
        <w:tc>
          <w:tcPr>
            <w:tcW w:w="1094"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563E3">
            <w:pPr>
              <w:jc w:val="center"/>
              <w:rPr>
                <w:rFonts w:hint="eastAsia" w:ascii="仿宋" w:hAnsi="仿宋" w:eastAsia="仿宋" w:cs="仿宋"/>
                <w:b/>
                <w:bCs/>
                <w:i w:val="0"/>
                <w:iCs w:val="0"/>
                <w:color w:val="000000"/>
                <w:sz w:val="21"/>
                <w:szCs w:val="21"/>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910CE1">
            <w:pPr>
              <w:jc w:val="center"/>
              <w:rPr>
                <w:rFonts w:hint="eastAsia" w:ascii="仿宋" w:hAnsi="仿宋" w:eastAsia="仿宋" w:cs="仿宋"/>
                <w:b/>
                <w:bCs/>
                <w:i w:val="0"/>
                <w:iCs w:val="0"/>
                <w:color w:val="000000"/>
                <w:sz w:val="21"/>
                <w:szCs w:val="21"/>
                <w:u w:val="none"/>
              </w:rPr>
            </w:pP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8710D">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E3C578">
            <w:pPr>
              <w:jc w:val="center"/>
              <w:rPr>
                <w:rFonts w:hint="eastAsia" w:ascii="仿宋" w:hAnsi="仿宋" w:eastAsia="仿宋" w:cs="仿宋"/>
                <w:b/>
                <w:bCs/>
                <w:i w:val="0"/>
                <w:iCs w:val="0"/>
                <w:color w:val="000000"/>
                <w:sz w:val="21"/>
                <w:szCs w:val="21"/>
                <w:u w:val="none"/>
              </w:rPr>
            </w:pPr>
          </w:p>
        </w:tc>
        <w:tc>
          <w:tcPr>
            <w:tcW w:w="620"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F658C">
            <w:pPr>
              <w:jc w:val="center"/>
              <w:rPr>
                <w:rFonts w:hint="eastAsia" w:ascii="仿宋" w:hAnsi="仿宋" w:eastAsia="仿宋" w:cs="仿宋"/>
                <w:b/>
                <w:bCs/>
                <w:i w:val="0"/>
                <w:iCs w:val="0"/>
                <w:color w:val="000000"/>
                <w:sz w:val="21"/>
                <w:szCs w:val="21"/>
                <w:u w:val="none"/>
              </w:rPr>
            </w:pPr>
          </w:p>
        </w:tc>
      </w:tr>
      <w:tr w14:paraId="78C06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F4D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1513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云主机服务</w:t>
            </w: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2F5B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VCPU</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7DE7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1vcpu</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C8CC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1核</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5A7F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BB5D65">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E4D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29.7</w:t>
            </w:r>
          </w:p>
        </w:tc>
      </w:tr>
      <w:tr w14:paraId="1E3B7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9D2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C8B839">
            <w:pPr>
              <w:jc w:val="center"/>
              <w:rPr>
                <w:rFonts w:hint="eastAsia" w:ascii="仿宋" w:hAnsi="仿宋" w:eastAsia="仿宋" w:cs="仿宋"/>
                <w:i w:val="0"/>
                <w:iCs w:val="0"/>
                <w:color w:val="000000"/>
                <w:sz w:val="22"/>
                <w:szCs w:val="22"/>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6424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内存</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C206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FD27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1GB</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0A66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F86B4">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CBD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7.84</w:t>
            </w:r>
          </w:p>
        </w:tc>
      </w:tr>
      <w:tr w14:paraId="4CC8E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B4F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A7D6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国产物理服务器</w:t>
            </w:r>
          </w:p>
        </w:tc>
        <w:tc>
          <w:tcPr>
            <w:tcW w:w="578"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457658">
            <w:pPr>
              <w:keepNext w:val="0"/>
              <w:keepLines w:val="0"/>
              <w:widowControl/>
              <w:suppressLineNumbers w:val="0"/>
              <w:ind w:firstLineChars="10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2路</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36D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CPU&gt;=2路6核，内存〉=64GB，本地硬盘〉=600GB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C37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C5E5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EC62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根据规格及数量按月计费</w:t>
            </w: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B481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r>
      <w:tr w14:paraId="157F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663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CE2A3F">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DE9BA4">
            <w:pPr>
              <w:jc w:val="center"/>
              <w:rPr>
                <w:rFonts w:hint="eastAsia" w:ascii="仿宋" w:hAnsi="仿宋" w:eastAsia="仿宋" w:cs="仿宋"/>
                <w:i w:val="0"/>
                <w:iCs w:val="0"/>
                <w:color w:val="000000"/>
                <w:sz w:val="22"/>
                <w:szCs w:val="22"/>
                <w:u w:val="none"/>
              </w:rPr>
            </w:pP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F6F1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CPU&gt;=2路8核，内存〉=256GB，本地硬盘〉=600GB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00E1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255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35B243">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B2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650</w:t>
            </w:r>
          </w:p>
        </w:tc>
      </w:tr>
      <w:tr w14:paraId="5758B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FCF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8D154">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46DD6F">
            <w:pPr>
              <w:jc w:val="center"/>
              <w:rPr>
                <w:rFonts w:hint="eastAsia" w:ascii="仿宋" w:hAnsi="仿宋" w:eastAsia="仿宋" w:cs="仿宋"/>
                <w:i w:val="0"/>
                <w:iCs w:val="0"/>
                <w:color w:val="000000"/>
                <w:sz w:val="22"/>
                <w:szCs w:val="22"/>
                <w:u w:val="none"/>
              </w:rPr>
            </w:pP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9437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CPU&gt;=2路10核，内存〉=320GB，本地硬盘〉=600GB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AE92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4C98B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0C249D">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0697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790</w:t>
            </w:r>
          </w:p>
        </w:tc>
      </w:tr>
      <w:tr w14:paraId="6426E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05D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2D2AE3">
            <w:pPr>
              <w:jc w:val="center"/>
              <w:rPr>
                <w:rFonts w:hint="eastAsia" w:ascii="仿宋" w:hAnsi="仿宋" w:eastAsia="仿宋" w:cs="仿宋"/>
                <w:i w:val="0"/>
                <w:iCs w:val="0"/>
                <w:color w:val="000000"/>
                <w:sz w:val="22"/>
                <w:szCs w:val="22"/>
                <w:u w:val="none"/>
              </w:rPr>
            </w:pPr>
          </w:p>
        </w:tc>
        <w:tc>
          <w:tcPr>
            <w:tcW w:w="578"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039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4路</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F83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CPU&gt;=4路10核，内存〉=256GB，本地硬盘〉=600GB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64F8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F45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404EFD">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409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1540 </w:t>
            </w:r>
          </w:p>
        </w:tc>
      </w:tr>
      <w:tr w14:paraId="7F671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92E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8A3662">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C64F00">
            <w:pPr>
              <w:jc w:val="center"/>
              <w:rPr>
                <w:rFonts w:hint="eastAsia" w:ascii="仿宋" w:hAnsi="仿宋" w:eastAsia="仿宋" w:cs="仿宋"/>
                <w:i w:val="0"/>
                <w:iCs w:val="0"/>
                <w:color w:val="000000"/>
                <w:sz w:val="22"/>
                <w:szCs w:val="22"/>
                <w:u w:val="none"/>
              </w:rPr>
            </w:pP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685A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CPU&gt;=4路14核，内存〉=320GB，本地硬盘〉=600GB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B72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58E9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4EC664">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F2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2050</w:t>
            </w:r>
          </w:p>
        </w:tc>
      </w:tr>
      <w:tr w14:paraId="30BA8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B57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D27C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AI加速卡服务</w:t>
            </w:r>
          </w:p>
        </w:tc>
        <w:tc>
          <w:tcPr>
            <w:tcW w:w="578"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E846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AI加速卡服务</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E1B9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高性能图形计算加速卡，不低于16G显存，峰值算力不低于96TOPS FP16</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B19A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块</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0F5D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6382AB">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0ED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731</w:t>
            </w:r>
          </w:p>
        </w:tc>
      </w:tr>
      <w:tr w14:paraId="5AE89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B1E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3053FC">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D567FA">
            <w:pPr>
              <w:jc w:val="center"/>
              <w:rPr>
                <w:rFonts w:hint="eastAsia" w:ascii="仿宋" w:hAnsi="仿宋" w:eastAsia="仿宋" w:cs="仿宋"/>
                <w:i w:val="0"/>
                <w:iCs w:val="0"/>
                <w:color w:val="000000"/>
                <w:sz w:val="22"/>
                <w:szCs w:val="22"/>
                <w:u w:val="none"/>
              </w:rPr>
            </w:pP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519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高性能图形计算加速卡，不低于24G显存，峰值算力不低于96TOPS FP16</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1788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块</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D2A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13F58B">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F50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1416</w:t>
            </w:r>
          </w:p>
        </w:tc>
      </w:tr>
      <w:tr w14:paraId="782A4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D34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1964EE">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4075F">
            <w:pPr>
              <w:jc w:val="center"/>
              <w:rPr>
                <w:rFonts w:hint="eastAsia" w:ascii="仿宋" w:hAnsi="仿宋" w:eastAsia="仿宋" w:cs="仿宋"/>
                <w:i w:val="0"/>
                <w:iCs w:val="0"/>
                <w:color w:val="000000"/>
                <w:sz w:val="22"/>
                <w:szCs w:val="22"/>
                <w:u w:val="none"/>
              </w:rPr>
            </w:pP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C3A4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高性能图形计算加速卡，不低于32G显存，峰值算力不低于128TOPS FP16</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3B63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块</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5731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3820BE">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197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1887</w:t>
            </w:r>
          </w:p>
        </w:tc>
      </w:tr>
      <w:tr w14:paraId="7534C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6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7E6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B33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存储</w:t>
            </w: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6240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云存储（低IO）</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5BB2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适用于云硬盘、文件存储、对象存储，30MB/s&lt;吞吐量&lt;40MB/s，500&lt;IOPS&lt;1000。</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CA27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TB</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713B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2E02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根据所占的存储空间大小按月计费</w:t>
            </w: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7666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74.25</w:t>
            </w:r>
          </w:p>
        </w:tc>
      </w:tr>
      <w:tr w14:paraId="63299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6E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A51B51">
            <w:pPr>
              <w:jc w:val="center"/>
              <w:rPr>
                <w:rFonts w:hint="eastAsia" w:ascii="仿宋" w:hAnsi="仿宋" w:eastAsia="仿宋" w:cs="仿宋"/>
                <w:i w:val="0"/>
                <w:iCs w:val="0"/>
                <w:color w:val="000000"/>
                <w:sz w:val="22"/>
                <w:szCs w:val="22"/>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F15F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云存储（中IO）</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0B95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适用于云硬盘，40MB/s&lt;吞吐量140MB/s，1000&lt;IOPS&lt;5000</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C44F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TB</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50A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AAF27F">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149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w:t>
            </w:r>
          </w:p>
        </w:tc>
      </w:tr>
      <w:tr w14:paraId="01B4C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6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71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3DA86C">
            <w:pPr>
              <w:jc w:val="center"/>
              <w:rPr>
                <w:rFonts w:hint="eastAsia" w:ascii="仿宋" w:hAnsi="仿宋" w:eastAsia="仿宋" w:cs="仿宋"/>
                <w:i w:val="0"/>
                <w:iCs w:val="0"/>
                <w:color w:val="000000"/>
                <w:sz w:val="22"/>
                <w:szCs w:val="22"/>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0F25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云存储（高IO）</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DE8E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适用于云硬盘，140MB/s&lt;吞吐量&lt;300MB/s，IOPS&gt;=5000</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7E53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TB</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4F9D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82D46A">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23C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324</w:t>
            </w:r>
          </w:p>
        </w:tc>
      </w:tr>
      <w:tr w14:paraId="7C3FE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E59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6A4F34">
            <w:pPr>
              <w:jc w:val="center"/>
              <w:rPr>
                <w:rFonts w:hint="eastAsia" w:ascii="仿宋" w:hAnsi="仿宋" w:eastAsia="仿宋" w:cs="仿宋"/>
                <w:i w:val="0"/>
                <w:iCs w:val="0"/>
                <w:color w:val="000000"/>
                <w:sz w:val="22"/>
                <w:szCs w:val="22"/>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B5D9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视频存储</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E4E3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大容量、高可靠的数据存储</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BFA5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TB</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25E1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CE13B">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9DF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r>
      <w:tr w14:paraId="05687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10F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EE6276">
            <w:pPr>
              <w:jc w:val="center"/>
              <w:rPr>
                <w:rFonts w:hint="eastAsia" w:ascii="仿宋" w:hAnsi="仿宋" w:eastAsia="仿宋" w:cs="仿宋"/>
                <w:i w:val="0"/>
                <w:iCs w:val="0"/>
                <w:color w:val="000000"/>
                <w:sz w:val="22"/>
                <w:szCs w:val="22"/>
                <w:highlight w:val="none"/>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50860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静态存储</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FCE0E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大容量、高可靠、低访问的医学影像等静态数据存储</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A9E05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TB</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428DD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B13527">
            <w:pPr>
              <w:jc w:val="center"/>
              <w:rPr>
                <w:rFonts w:hint="eastAsia" w:ascii="仿宋" w:hAnsi="仿宋" w:eastAsia="仿宋" w:cs="仿宋"/>
                <w:i w:val="0"/>
                <w:iCs w:val="0"/>
                <w:color w:val="000000"/>
                <w:sz w:val="22"/>
                <w:szCs w:val="22"/>
                <w:highlight w:val="none"/>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0D1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r>
      <w:tr w14:paraId="0F07A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4C7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64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B19E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数据备份</w:t>
            </w: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BDCD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数据备份</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8E16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本地和异地备份</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F1F1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TB</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105C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9128D">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85D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r>
      <w:tr w14:paraId="5A35D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CDB8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64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6FE642">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算力服务器</w:t>
            </w: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CAD94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国产AI算力服务器服务</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5956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算力服务器，支持大模型推理，4颗鲲鹏920或相当性能CPU，配置8张算力卡，单卡不低于64G显存，峰值算力不低于280TFLOPS FP16,支持至少2台算力服务器算力互联并提供互联服务。（根据需求，部署到采购人指定地点）</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19E94E">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台</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3D480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元/月</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8455B">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BF4A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14580</w:t>
            </w:r>
          </w:p>
        </w:tc>
      </w:tr>
      <w:tr w14:paraId="55EEE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887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643"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7A64B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负载均衡</w:t>
            </w: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3F3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主机负载服务</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C5A1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主机负载均衡服务</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46A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实例</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8997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013AA">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981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r>
      <w:tr w14:paraId="3BC75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6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840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19</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639BAB">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基础软件服务</w:t>
            </w: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FF4E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国产操作系统软件</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7AC210">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提供主流国产化操作系统服务</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03BE3C">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 套</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6286F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元/月</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CD62D">
            <w:pPr>
              <w:jc w:val="center"/>
              <w:rPr>
                <w:rFonts w:hint="eastAsia" w:ascii="仿宋" w:hAnsi="仿宋" w:eastAsia="仿宋" w:cs="仿宋"/>
                <w:i w:val="0"/>
                <w:iCs w:val="0"/>
                <w:color w:val="000000"/>
                <w:sz w:val="22"/>
                <w:szCs w:val="22"/>
                <w:highlight w:val="none"/>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5D7AF">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46.08</w:t>
            </w:r>
          </w:p>
        </w:tc>
      </w:tr>
      <w:tr w14:paraId="25F91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6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AA022">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20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407466">
            <w:pPr>
              <w:jc w:val="both"/>
              <w:rPr>
                <w:rFonts w:hint="eastAsia" w:ascii="仿宋" w:hAnsi="仿宋" w:eastAsia="仿宋" w:cs="仿宋"/>
                <w:i w:val="0"/>
                <w:iCs w:val="0"/>
                <w:color w:val="000000"/>
                <w:sz w:val="22"/>
                <w:szCs w:val="22"/>
                <w:highlight w:val="none"/>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375FD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国产数据库软件</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6B9574">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提供主流国产数据库服务</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69CA92">
            <w:pPr>
              <w:keepNext w:val="0"/>
              <w:keepLines w:val="0"/>
              <w:widowControl/>
              <w:suppressLineNumbers w:val="0"/>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 套</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3FA8C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元/月</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91646E">
            <w:pPr>
              <w:jc w:val="center"/>
              <w:rPr>
                <w:rFonts w:hint="eastAsia" w:ascii="仿宋" w:hAnsi="仿宋" w:eastAsia="仿宋" w:cs="仿宋"/>
                <w:i w:val="0"/>
                <w:iCs w:val="0"/>
                <w:color w:val="000000"/>
                <w:sz w:val="22"/>
                <w:szCs w:val="22"/>
                <w:highlight w:val="none"/>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99C39">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829</w:t>
            </w:r>
          </w:p>
        </w:tc>
      </w:tr>
      <w:tr w14:paraId="77E0B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6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8B2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65D60">
            <w:pPr>
              <w:jc w:val="both"/>
              <w:rPr>
                <w:rFonts w:hint="eastAsia" w:ascii="仿宋" w:hAnsi="仿宋" w:eastAsia="仿宋" w:cs="仿宋"/>
                <w:i w:val="0"/>
                <w:iCs w:val="0"/>
                <w:color w:val="000000"/>
                <w:sz w:val="22"/>
                <w:szCs w:val="22"/>
                <w:u w:val="none"/>
              </w:rPr>
            </w:pP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82D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国产中间件软件</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492536">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提供主流国产中间件服务</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F2D2D3">
            <w:pPr>
              <w:keepNext w:val="0"/>
              <w:keepLines w:val="0"/>
              <w:widowControl/>
              <w:suppressLineNumbers w:val="0"/>
              <w:jc w:val="both"/>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 套</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53A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DE476">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C9F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359.94</w:t>
            </w:r>
          </w:p>
        </w:tc>
      </w:tr>
      <w:tr w14:paraId="2A55F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B2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9440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highlight w:val="none"/>
                <w:u w:val="none"/>
                <w:lang w:val="en-US" w:eastAsia="zh-CN" w:bidi="ar"/>
              </w:rPr>
              <w:t>云数据库</w:t>
            </w:r>
          </w:p>
        </w:tc>
        <w:tc>
          <w:tcPr>
            <w:tcW w:w="578"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AD9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highlight w:val="none"/>
                <w:u w:val="none"/>
                <w:lang w:val="en-US" w:eastAsia="zh-CN" w:bidi="ar"/>
              </w:rPr>
              <w:t>关系型数据库、分布式数据库、非关系型数据库（含License授权）</w:t>
            </w:r>
          </w:p>
        </w:tc>
        <w:tc>
          <w:tcPr>
            <w:tcW w:w="54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C6B4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4核</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918E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4803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实例</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E58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B412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根据实例个数+规格按月计费</w:t>
            </w: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07A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908.7</w:t>
            </w:r>
          </w:p>
        </w:tc>
      </w:tr>
      <w:tr w14:paraId="545B5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A38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F13E3">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A624AE">
            <w:pPr>
              <w:jc w:val="center"/>
              <w:rPr>
                <w:rFonts w:hint="eastAsia" w:ascii="仿宋" w:hAnsi="仿宋" w:eastAsia="仿宋" w:cs="仿宋"/>
                <w:i w:val="0"/>
                <w:iCs w:val="0"/>
                <w:color w:val="000000"/>
                <w:sz w:val="22"/>
                <w:szCs w:val="22"/>
                <w:u w:val="none"/>
              </w:rPr>
            </w:pPr>
          </w:p>
        </w:tc>
        <w:tc>
          <w:tcPr>
            <w:tcW w:w="54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761DB3">
            <w:pPr>
              <w:jc w:val="center"/>
              <w:rPr>
                <w:rFonts w:hint="eastAsia" w:ascii="仿宋" w:hAnsi="仿宋" w:eastAsia="仿宋" w:cs="仿宋"/>
                <w:i w:val="0"/>
                <w:iCs w:val="0"/>
                <w:color w:val="000000"/>
                <w:sz w:val="22"/>
                <w:szCs w:val="22"/>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C3F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6E1D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实例</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CF66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B8EA93">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1F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1142.96</w:t>
            </w:r>
          </w:p>
        </w:tc>
      </w:tr>
      <w:tr w14:paraId="3C3CA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C80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37BEDB">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EEACEA">
            <w:pPr>
              <w:jc w:val="center"/>
              <w:rPr>
                <w:rFonts w:hint="eastAsia" w:ascii="仿宋" w:hAnsi="仿宋" w:eastAsia="仿宋" w:cs="仿宋"/>
                <w:i w:val="0"/>
                <w:iCs w:val="0"/>
                <w:color w:val="000000"/>
                <w:sz w:val="22"/>
                <w:szCs w:val="22"/>
                <w:u w:val="none"/>
              </w:rPr>
            </w:pPr>
          </w:p>
        </w:tc>
        <w:tc>
          <w:tcPr>
            <w:tcW w:w="54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63B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8核</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C75D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7612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实例</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9F7F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0A11F">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D0B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1915</w:t>
            </w:r>
          </w:p>
        </w:tc>
      </w:tr>
      <w:tr w14:paraId="388D4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45C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065EDD">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B3C553">
            <w:pPr>
              <w:jc w:val="center"/>
              <w:rPr>
                <w:rFonts w:hint="eastAsia" w:ascii="仿宋" w:hAnsi="仿宋" w:eastAsia="仿宋" w:cs="仿宋"/>
                <w:i w:val="0"/>
                <w:iCs w:val="0"/>
                <w:color w:val="000000"/>
                <w:sz w:val="22"/>
                <w:szCs w:val="22"/>
                <w:u w:val="none"/>
              </w:rPr>
            </w:pPr>
          </w:p>
        </w:tc>
        <w:tc>
          <w:tcPr>
            <w:tcW w:w="54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F36530">
            <w:pPr>
              <w:jc w:val="center"/>
              <w:rPr>
                <w:rFonts w:hint="eastAsia" w:ascii="仿宋" w:hAnsi="仿宋" w:eastAsia="仿宋" w:cs="仿宋"/>
                <w:i w:val="0"/>
                <w:iCs w:val="0"/>
                <w:color w:val="000000"/>
                <w:sz w:val="22"/>
                <w:szCs w:val="22"/>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C51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64GB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BFC9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实例</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39A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9AD107">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75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2426</w:t>
            </w:r>
          </w:p>
        </w:tc>
      </w:tr>
      <w:tr w14:paraId="4D0CB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9F6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4778B">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74E14D">
            <w:pPr>
              <w:jc w:val="center"/>
              <w:rPr>
                <w:rFonts w:hint="eastAsia" w:ascii="仿宋" w:hAnsi="仿宋" w:eastAsia="仿宋" w:cs="仿宋"/>
                <w:i w:val="0"/>
                <w:iCs w:val="0"/>
                <w:color w:val="000000"/>
                <w:sz w:val="22"/>
                <w:szCs w:val="22"/>
                <w:u w:val="none"/>
              </w:rPr>
            </w:pPr>
          </w:p>
        </w:tc>
        <w:tc>
          <w:tcPr>
            <w:tcW w:w="547"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A92C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16核</w:t>
            </w: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BE51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64GB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B89F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实例</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301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F9FFE5">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9DB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3870.32</w:t>
            </w:r>
          </w:p>
        </w:tc>
      </w:tr>
      <w:tr w14:paraId="3855D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B5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D2543">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CC5786">
            <w:pPr>
              <w:jc w:val="center"/>
              <w:rPr>
                <w:rFonts w:hint="eastAsia" w:ascii="仿宋" w:hAnsi="仿宋" w:eastAsia="仿宋" w:cs="仿宋"/>
                <w:i w:val="0"/>
                <w:iCs w:val="0"/>
                <w:color w:val="000000"/>
                <w:sz w:val="22"/>
                <w:szCs w:val="22"/>
                <w:u w:val="none"/>
              </w:rPr>
            </w:pPr>
          </w:p>
        </w:tc>
        <w:tc>
          <w:tcPr>
            <w:tcW w:w="547"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5B4232">
            <w:pPr>
              <w:jc w:val="center"/>
              <w:rPr>
                <w:rFonts w:hint="eastAsia" w:ascii="仿宋" w:hAnsi="仿宋" w:eastAsia="仿宋" w:cs="仿宋"/>
                <w:i w:val="0"/>
                <w:iCs w:val="0"/>
                <w:color w:val="000000"/>
                <w:sz w:val="22"/>
                <w:szCs w:val="22"/>
                <w:u w:val="none"/>
              </w:rPr>
            </w:pPr>
          </w:p>
        </w:tc>
        <w:tc>
          <w:tcPr>
            <w:tcW w:w="54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1736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128GB</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D77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实例</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88D79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F1AFD4">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37D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4805</w:t>
            </w:r>
          </w:p>
        </w:tc>
      </w:tr>
      <w:tr w14:paraId="11654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0B3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6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8FD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容器服务</w:t>
            </w: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74A8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提供容器服务</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E83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根据部署容器的节点数按月计费（仅包括节点管理费用，不包含资源费用，云服务器/云服务器_Disk/负载均衡/EIP/专有网络等资源另行计算）</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2F8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节点</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C87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540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根据部署容器的节点数按月计费</w:t>
            </w: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DF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w:t>
            </w:r>
          </w:p>
        </w:tc>
      </w:tr>
      <w:tr w14:paraId="03F2C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40C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643"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1F5F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托管服务</w:t>
            </w:r>
          </w:p>
        </w:tc>
        <w:tc>
          <w:tcPr>
            <w:tcW w:w="57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6C32E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机柜空间服务</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9E06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机柜空间</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4D2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1U</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7CC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F9F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根据实际开通数量按月计费</w:t>
            </w: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1EE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148.5</w:t>
            </w:r>
          </w:p>
        </w:tc>
      </w:tr>
      <w:tr w14:paraId="10505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4D71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30</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E37B3">
            <w:pPr>
              <w:jc w:val="center"/>
              <w:rPr>
                <w:rFonts w:hint="eastAsia" w:ascii="仿宋" w:hAnsi="仿宋" w:eastAsia="仿宋" w:cs="仿宋"/>
                <w:i w:val="0"/>
                <w:iCs w:val="0"/>
                <w:color w:val="000000"/>
                <w:sz w:val="22"/>
                <w:szCs w:val="22"/>
                <w:u w:val="none"/>
              </w:rPr>
            </w:pPr>
          </w:p>
        </w:tc>
        <w:tc>
          <w:tcPr>
            <w:tcW w:w="578"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8BC5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整机柜服务</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4FA1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单机柜租赁（4kW）</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500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1个</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454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91C69">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7E7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1980</w:t>
            </w:r>
          </w:p>
        </w:tc>
      </w:tr>
      <w:tr w14:paraId="67564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1FB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EB441">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675E4">
            <w:pPr>
              <w:jc w:val="center"/>
              <w:rPr>
                <w:rFonts w:hint="eastAsia" w:ascii="仿宋" w:hAnsi="仿宋" w:eastAsia="仿宋" w:cs="仿宋"/>
                <w:i w:val="0"/>
                <w:iCs w:val="0"/>
                <w:color w:val="000000"/>
                <w:sz w:val="22"/>
                <w:szCs w:val="22"/>
                <w:u w:val="none"/>
              </w:rPr>
            </w:pP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65B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单机柜租赁（5kW）</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5A4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1个</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D63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9D2E15">
            <w:pPr>
              <w:jc w:val="cente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8B6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2475</w:t>
            </w:r>
          </w:p>
        </w:tc>
      </w:tr>
      <w:tr w14:paraId="45E7F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E65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64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3A81E">
            <w:pPr>
              <w:jc w:val="center"/>
              <w:rPr>
                <w:rFonts w:hint="eastAsia" w:ascii="仿宋" w:hAnsi="仿宋" w:eastAsia="仿宋" w:cs="仿宋"/>
                <w:i w:val="0"/>
                <w:iCs w:val="0"/>
                <w:color w:val="000000"/>
                <w:sz w:val="22"/>
                <w:szCs w:val="22"/>
                <w:u w:val="none"/>
              </w:rPr>
            </w:pP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7AB898">
            <w:pPr>
              <w:jc w:val="center"/>
              <w:rPr>
                <w:rFonts w:hint="eastAsia" w:ascii="仿宋" w:hAnsi="仿宋" w:eastAsia="仿宋" w:cs="仿宋"/>
                <w:i w:val="0"/>
                <w:iCs w:val="0"/>
                <w:color w:val="000000"/>
                <w:sz w:val="22"/>
                <w:szCs w:val="22"/>
                <w:u w:val="none"/>
              </w:rPr>
            </w:pP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CD5E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单机柜租赁（6kW）</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vAlign w:val="top"/>
          </w:tcPr>
          <w:p w14:paraId="697D5501">
            <w:pPr>
              <w:keepNext w:val="0"/>
              <w:keepLines w:val="0"/>
              <w:widowControl/>
              <w:suppressLineNumbers w:val="0"/>
              <w:jc w:val="both"/>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1个</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ign w:val="top"/>
          </w:tcPr>
          <w:p w14:paraId="288202C4">
            <w:pPr>
              <w:keepNext w:val="0"/>
              <w:keepLines w:val="0"/>
              <w:widowControl/>
              <w:suppressLineNumbers w:val="0"/>
              <w:jc w:val="center"/>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元/月</w:t>
            </w:r>
          </w:p>
        </w:tc>
        <w:tc>
          <w:tcPr>
            <w:tcW w:w="5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E1011">
            <w:pPr>
              <w:rPr>
                <w:rFonts w:hint="eastAsia" w:ascii="仿宋" w:hAnsi="仿宋" w:eastAsia="仿宋" w:cs="仿宋"/>
                <w:i w:val="0"/>
                <w:iCs w:val="0"/>
                <w:color w:val="000000"/>
                <w:sz w:val="22"/>
                <w:szCs w:val="22"/>
                <w:u w:val="none"/>
              </w:rPr>
            </w:pPr>
          </w:p>
        </w:tc>
        <w:tc>
          <w:tcPr>
            <w:tcW w:w="62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F247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2970</w:t>
            </w:r>
          </w:p>
        </w:tc>
      </w:tr>
    </w:tbl>
    <w:p w14:paraId="17902B1F">
      <w:pPr>
        <w:pStyle w:val="2"/>
        <w:pageBreakBefore w:val="0"/>
        <w:widowControl w:val="0"/>
        <w:kinsoku/>
        <w:wordWrap/>
        <w:overflowPunct/>
        <w:topLinePunct w:val="0"/>
        <w:autoSpaceDE/>
        <w:autoSpaceDN/>
        <w:bidi w:val="0"/>
        <w:spacing w:beforeAutospacing="0" w:after="0" w:afterAutospacing="0" w:line="560" w:lineRule="exact"/>
        <w:ind w:left="0" w:leftChars="0" w:firstLine="210"/>
        <w:rPr>
          <w:rFonts w:hint="eastAsia" w:ascii="仿宋" w:hAnsi="仿宋" w:eastAsia="仿宋" w:cs="仿宋"/>
          <w:sz w:val="32"/>
          <w:szCs w:val="32"/>
        </w:rPr>
      </w:pPr>
    </w:p>
    <w:p w14:paraId="65EC3695">
      <w:pPr>
        <w:pageBreakBefore w:val="0"/>
        <w:widowControl w:val="0"/>
        <w:kinsoku/>
        <w:wordWrap/>
        <w:overflowPunct/>
        <w:topLinePunct w:val="0"/>
        <w:autoSpaceDE/>
        <w:autoSpaceDN/>
        <w:bidi w:val="0"/>
        <w:spacing w:beforeAutospacing="0" w:afterAutospacing="0" w:line="560" w:lineRule="exact"/>
        <w:ind w:left="0" w:leftChars="0"/>
        <w:jc w:val="center"/>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bidi="zh-TW"/>
        </w:rPr>
        <w:t>表2  安全服务清单</w:t>
      </w:r>
    </w:p>
    <w:tbl>
      <w:tblPr>
        <w:tblStyle w:val="19"/>
        <w:tblW w:w="8454" w:type="dxa"/>
        <w:jc w:val="center"/>
        <w:tblLayout w:type="fixed"/>
        <w:tblCellMar>
          <w:top w:w="0" w:type="dxa"/>
          <w:left w:w="108" w:type="dxa"/>
          <w:bottom w:w="0" w:type="dxa"/>
          <w:right w:w="108" w:type="dxa"/>
        </w:tblCellMar>
      </w:tblPr>
      <w:tblGrid>
        <w:gridCol w:w="727"/>
        <w:gridCol w:w="1728"/>
        <w:gridCol w:w="3700"/>
        <w:gridCol w:w="915"/>
        <w:gridCol w:w="1384"/>
      </w:tblGrid>
      <w:tr w14:paraId="6CD8B41D">
        <w:tblPrEx>
          <w:tblCellMar>
            <w:top w:w="0" w:type="dxa"/>
            <w:left w:w="108" w:type="dxa"/>
            <w:bottom w:w="0" w:type="dxa"/>
            <w:right w:w="108" w:type="dxa"/>
          </w:tblCellMar>
        </w:tblPrEx>
        <w:trPr>
          <w:trHeight w:val="566" w:hRule="atLeast"/>
          <w:jc w:val="center"/>
        </w:trPr>
        <w:tc>
          <w:tcPr>
            <w:tcW w:w="727" w:type="dxa"/>
            <w:tcBorders>
              <w:top w:val="single" w:color="000000" w:sz="4" w:space="0"/>
              <w:left w:val="single" w:color="000000" w:sz="4" w:space="0"/>
              <w:bottom w:val="single" w:color="000000" w:sz="4" w:space="0"/>
              <w:right w:val="single" w:color="000000" w:sz="4" w:space="0"/>
            </w:tcBorders>
            <w:noWrap w:val="0"/>
            <w:vAlign w:val="center"/>
          </w:tcPr>
          <w:p w14:paraId="331A386B">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b/>
                <w:bCs/>
                <w:color w:val="auto"/>
                <w:sz w:val="24"/>
                <w:szCs w:val="24"/>
                <w:lang w:eastAsia="zh-CN" w:bidi="ar"/>
              </w:rPr>
            </w:pPr>
            <w:r>
              <w:rPr>
                <w:rFonts w:hint="eastAsia" w:ascii="仿宋" w:hAnsi="仿宋" w:eastAsia="仿宋" w:cs="仿宋"/>
                <w:b/>
                <w:bCs/>
                <w:color w:val="auto"/>
                <w:sz w:val="24"/>
                <w:szCs w:val="24"/>
                <w:lang w:eastAsia="zh-CN" w:bidi="ar"/>
              </w:rPr>
              <w:t>服务类别</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7013C28F">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firstLine="482" w:firstLineChars="200"/>
              <w:jc w:val="both"/>
              <w:textAlignment w:val="auto"/>
              <w:rPr>
                <w:rFonts w:hint="eastAsia" w:ascii="仿宋" w:hAnsi="仿宋" w:eastAsia="仿宋" w:cs="仿宋"/>
                <w:b/>
                <w:bCs/>
                <w:color w:val="auto"/>
                <w:sz w:val="24"/>
                <w:szCs w:val="24"/>
                <w:lang w:eastAsia="zh-CN" w:bidi="ar"/>
              </w:rPr>
            </w:pPr>
            <w:r>
              <w:rPr>
                <w:rFonts w:hint="eastAsia" w:ascii="仿宋" w:hAnsi="仿宋" w:eastAsia="仿宋" w:cs="仿宋"/>
                <w:b/>
                <w:bCs/>
                <w:color w:val="auto"/>
                <w:sz w:val="24"/>
                <w:szCs w:val="24"/>
                <w:lang w:eastAsia="zh-CN" w:bidi="ar"/>
              </w:rPr>
              <w:t>服务项</w:t>
            </w:r>
          </w:p>
        </w:tc>
        <w:tc>
          <w:tcPr>
            <w:tcW w:w="3700" w:type="dxa"/>
            <w:tcBorders>
              <w:top w:val="single" w:color="000000" w:sz="4" w:space="0"/>
              <w:left w:val="single" w:color="000000" w:sz="4" w:space="0"/>
              <w:bottom w:val="single" w:color="000000" w:sz="4" w:space="0"/>
              <w:right w:val="single" w:color="auto" w:sz="4" w:space="0"/>
            </w:tcBorders>
            <w:noWrap w:val="0"/>
            <w:vAlign w:val="center"/>
          </w:tcPr>
          <w:p w14:paraId="407F435E">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firstLine="482" w:firstLineChars="200"/>
              <w:jc w:val="center"/>
              <w:textAlignment w:val="auto"/>
              <w:rPr>
                <w:rFonts w:hint="eastAsia" w:ascii="仿宋" w:hAnsi="仿宋" w:eastAsia="仿宋" w:cs="仿宋"/>
                <w:b/>
                <w:bCs/>
                <w:color w:val="auto"/>
                <w:sz w:val="24"/>
                <w:szCs w:val="24"/>
                <w:lang w:eastAsia="zh-CN" w:bidi="ar"/>
              </w:rPr>
            </w:pPr>
            <w:r>
              <w:rPr>
                <w:rFonts w:hint="eastAsia" w:ascii="仿宋" w:hAnsi="仿宋" w:eastAsia="仿宋" w:cs="仿宋"/>
                <w:b/>
                <w:bCs/>
                <w:color w:val="auto"/>
                <w:sz w:val="24"/>
                <w:szCs w:val="24"/>
                <w:lang w:eastAsia="zh-CN" w:bidi="ar"/>
              </w:rPr>
              <w:t>规格</w:t>
            </w:r>
          </w:p>
        </w:tc>
        <w:tc>
          <w:tcPr>
            <w:tcW w:w="915" w:type="dxa"/>
            <w:tcBorders>
              <w:top w:val="single" w:color="000000" w:sz="4" w:space="0"/>
              <w:left w:val="single" w:color="auto" w:sz="4" w:space="0"/>
              <w:bottom w:val="single" w:color="000000" w:sz="4" w:space="0"/>
              <w:right w:val="single" w:color="auto" w:sz="4" w:space="0"/>
            </w:tcBorders>
            <w:noWrap w:val="0"/>
            <w:vAlign w:val="center"/>
          </w:tcPr>
          <w:p w14:paraId="4E7E1864">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b/>
                <w:bCs/>
                <w:color w:val="auto"/>
                <w:sz w:val="24"/>
                <w:szCs w:val="24"/>
                <w:lang w:eastAsia="zh-CN" w:bidi="ar"/>
              </w:rPr>
            </w:pPr>
            <w:r>
              <w:rPr>
                <w:rFonts w:hint="eastAsia" w:ascii="仿宋" w:hAnsi="仿宋" w:eastAsia="仿宋" w:cs="仿宋"/>
                <w:b/>
                <w:bCs/>
                <w:color w:val="auto"/>
                <w:sz w:val="24"/>
                <w:szCs w:val="24"/>
                <w:lang w:eastAsia="zh-CN" w:bidi="ar"/>
              </w:rPr>
              <w:t>计量单位</w:t>
            </w:r>
          </w:p>
        </w:tc>
        <w:tc>
          <w:tcPr>
            <w:tcW w:w="1384" w:type="dxa"/>
            <w:tcBorders>
              <w:top w:val="single" w:color="000000" w:sz="4" w:space="0"/>
              <w:left w:val="single" w:color="auto" w:sz="4" w:space="0"/>
              <w:bottom w:val="single" w:color="000000" w:sz="4" w:space="0"/>
              <w:right w:val="single" w:color="000000" w:sz="4" w:space="0"/>
            </w:tcBorders>
            <w:noWrap w:val="0"/>
            <w:vAlign w:val="center"/>
          </w:tcPr>
          <w:p w14:paraId="082EA6AF"/>
          <w:p w14:paraId="56A38D01">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b/>
                <w:bCs/>
                <w:color w:val="auto"/>
                <w:sz w:val="24"/>
                <w:szCs w:val="24"/>
                <w:lang w:eastAsia="zh-CN" w:bidi="ar"/>
              </w:rPr>
            </w:pPr>
            <w:r>
              <w:rPr>
                <w:rFonts w:hint="eastAsia" w:ascii="仿宋" w:hAnsi="仿宋" w:eastAsia="仿宋" w:cs="仿宋"/>
                <w:b/>
                <w:bCs/>
                <w:color w:val="auto"/>
                <w:sz w:val="24"/>
                <w:szCs w:val="24"/>
                <w:lang w:val="en-US" w:eastAsia="zh-CN" w:bidi="ar"/>
              </w:rPr>
              <w:t>价格</w:t>
            </w:r>
          </w:p>
        </w:tc>
      </w:tr>
      <w:tr w14:paraId="5C9C58BE">
        <w:tblPrEx>
          <w:tblCellMar>
            <w:top w:w="0" w:type="dxa"/>
            <w:left w:w="108" w:type="dxa"/>
            <w:bottom w:w="0" w:type="dxa"/>
            <w:right w:w="108" w:type="dxa"/>
          </w:tblCellMar>
        </w:tblPrEx>
        <w:trPr>
          <w:trHeight w:val="536" w:hRule="atLeast"/>
          <w:jc w:val="center"/>
        </w:trPr>
        <w:tc>
          <w:tcPr>
            <w:tcW w:w="727" w:type="dxa"/>
            <w:vMerge w:val="restart"/>
            <w:tcBorders>
              <w:left w:val="single" w:color="000000" w:sz="4" w:space="0"/>
              <w:right w:val="single" w:color="000000" w:sz="4" w:space="0"/>
            </w:tcBorders>
            <w:noWrap w:val="0"/>
            <w:vAlign w:val="center"/>
          </w:tcPr>
          <w:p w14:paraId="64D130D5"/>
          <w:p w14:paraId="29C9E34A">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安全</w:t>
            </w:r>
          </w:p>
          <w:p w14:paraId="4B00C0A3">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服务</w:t>
            </w:r>
          </w:p>
          <w:p w14:paraId="2F7E7DFE">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rPr>
            </w:pPr>
          </w:p>
          <w:p w14:paraId="641D1BDC">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rPr>
            </w:pP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45D79E4">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主机漏洞扫描</w:t>
            </w:r>
          </w:p>
        </w:tc>
        <w:tc>
          <w:tcPr>
            <w:tcW w:w="3700" w:type="dxa"/>
            <w:tcBorders>
              <w:top w:val="single" w:color="000000" w:sz="4" w:space="0"/>
              <w:left w:val="single" w:color="000000" w:sz="4" w:space="0"/>
              <w:bottom w:val="single" w:color="000000" w:sz="4" w:space="0"/>
              <w:right w:val="single" w:color="auto" w:sz="4" w:space="0"/>
            </w:tcBorders>
            <w:noWrap w:val="0"/>
            <w:vAlign w:val="center"/>
          </w:tcPr>
          <w:p w14:paraId="06BCE7EF">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漏洞扫描系统，对云主机系统进行漏洞扫描，输出检测报告，提供修复建议。</w:t>
            </w:r>
          </w:p>
        </w:tc>
        <w:tc>
          <w:tcPr>
            <w:tcW w:w="915" w:type="dxa"/>
            <w:tcBorders>
              <w:top w:val="single" w:color="000000" w:sz="4" w:space="0"/>
              <w:left w:val="single" w:color="auto" w:sz="4" w:space="0"/>
              <w:bottom w:val="single" w:color="000000" w:sz="4" w:space="0"/>
              <w:right w:val="single" w:color="auto" w:sz="4" w:space="0"/>
            </w:tcBorders>
            <w:noWrap w:val="0"/>
            <w:vAlign w:val="center"/>
          </w:tcPr>
          <w:p w14:paraId="79CA3903">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1IP</w:t>
            </w:r>
          </w:p>
        </w:tc>
        <w:tc>
          <w:tcPr>
            <w:tcW w:w="1384" w:type="dxa"/>
            <w:vMerge w:val="restart"/>
            <w:tcBorders>
              <w:top w:val="single" w:color="000000" w:sz="4" w:space="0"/>
              <w:left w:val="single" w:color="auto" w:sz="4" w:space="0"/>
              <w:right w:val="single" w:color="000000" w:sz="4" w:space="0"/>
            </w:tcBorders>
            <w:noWrap w:val="0"/>
            <w:vAlign w:val="center"/>
          </w:tcPr>
          <w:p w14:paraId="5F0CD3BF">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安全服务费=（基础云服务费用+</w:t>
            </w:r>
            <w:r>
              <w:rPr>
                <w:rFonts w:hint="eastAsia" w:ascii="仿宋" w:hAnsi="仿宋" w:eastAsia="仿宋" w:cs="仿宋"/>
                <w:color w:val="auto"/>
                <w:sz w:val="24"/>
                <w:szCs w:val="24"/>
                <w:lang w:val="en-US" w:eastAsia="zh-CN" w:bidi="ar"/>
              </w:rPr>
              <w:t>AI加速</w:t>
            </w:r>
            <w:r>
              <w:rPr>
                <w:rFonts w:hint="eastAsia" w:ascii="仿宋" w:hAnsi="仿宋" w:eastAsia="仿宋" w:cs="仿宋"/>
                <w:color w:val="auto"/>
                <w:sz w:val="24"/>
                <w:szCs w:val="24"/>
                <w:lang w:eastAsia="zh-CN" w:bidi="ar"/>
              </w:rPr>
              <w:t>卡费用+托管服务费用）×</w:t>
            </w:r>
            <w:r>
              <w:rPr>
                <w:rFonts w:hint="eastAsia" w:ascii="仿宋" w:hAnsi="仿宋" w:eastAsia="仿宋" w:cs="仿宋"/>
                <w:color w:val="auto"/>
                <w:sz w:val="24"/>
                <w:szCs w:val="24"/>
                <w:lang w:val="en-US" w:eastAsia="zh-CN" w:bidi="ar"/>
              </w:rPr>
              <w:t>2.5</w:t>
            </w:r>
            <w:r>
              <w:rPr>
                <w:rFonts w:hint="eastAsia" w:ascii="仿宋" w:hAnsi="仿宋" w:eastAsia="仿宋" w:cs="仿宋"/>
                <w:color w:val="auto"/>
                <w:sz w:val="24"/>
                <w:szCs w:val="24"/>
                <w:lang w:eastAsia="zh-CN" w:bidi="ar"/>
              </w:rPr>
              <w:t>%</w:t>
            </w:r>
          </w:p>
        </w:tc>
      </w:tr>
      <w:tr w14:paraId="48F0A97A">
        <w:tblPrEx>
          <w:tblCellMar>
            <w:top w:w="0" w:type="dxa"/>
            <w:left w:w="108" w:type="dxa"/>
            <w:bottom w:w="0" w:type="dxa"/>
            <w:right w:w="108" w:type="dxa"/>
          </w:tblCellMar>
        </w:tblPrEx>
        <w:trPr>
          <w:trHeight w:val="536" w:hRule="atLeast"/>
          <w:jc w:val="center"/>
        </w:trPr>
        <w:tc>
          <w:tcPr>
            <w:tcW w:w="727" w:type="dxa"/>
            <w:vMerge w:val="continue"/>
            <w:tcBorders>
              <w:left w:val="single" w:color="000000" w:sz="4" w:space="0"/>
              <w:right w:val="single" w:color="000000" w:sz="4" w:space="0"/>
            </w:tcBorders>
            <w:noWrap w:val="0"/>
            <w:vAlign w:val="center"/>
          </w:tcPr>
          <w:p w14:paraId="36BE13DB">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rPr>
            </w:pP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20012BC8">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主机防护</w:t>
            </w:r>
          </w:p>
        </w:tc>
        <w:tc>
          <w:tcPr>
            <w:tcW w:w="3700" w:type="dxa"/>
            <w:tcBorders>
              <w:top w:val="single" w:color="000000" w:sz="4" w:space="0"/>
              <w:left w:val="single" w:color="000000" w:sz="4" w:space="0"/>
              <w:bottom w:val="single" w:color="000000" w:sz="4" w:space="0"/>
              <w:right w:val="single" w:color="auto" w:sz="4" w:space="0"/>
            </w:tcBorders>
            <w:noWrap w:val="0"/>
            <w:vAlign w:val="center"/>
          </w:tcPr>
          <w:p w14:paraId="2CB4ED7E">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提供主机杀毒功能，对云主机进行全面的病毒扫描、检测、清除和防护。</w:t>
            </w:r>
          </w:p>
        </w:tc>
        <w:tc>
          <w:tcPr>
            <w:tcW w:w="915" w:type="dxa"/>
            <w:tcBorders>
              <w:top w:val="single" w:color="000000" w:sz="4" w:space="0"/>
              <w:left w:val="single" w:color="auto" w:sz="4" w:space="0"/>
              <w:bottom w:val="single" w:color="000000" w:sz="4" w:space="0"/>
              <w:right w:val="single" w:color="auto" w:sz="4" w:space="0"/>
            </w:tcBorders>
            <w:noWrap w:val="0"/>
            <w:vAlign w:val="center"/>
          </w:tcPr>
          <w:p w14:paraId="3A357292">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1台</w:t>
            </w:r>
          </w:p>
        </w:tc>
        <w:tc>
          <w:tcPr>
            <w:tcW w:w="1384" w:type="dxa"/>
            <w:vMerge w:val="continue"/>
            <w:tcBorders>
              <w:left w:val="single" w:color="auto" w:sz="4" w:space="0"/>
              <w:right w:val="single" w:color="000000" w:sz="4" w:space="0"/>
            </w:tcBorders>
            <w:noWrap w:val="0"/>
            <w:vAlign w:val="center"/>
          </w:tcPr>
          <w:p w14:paraId="52E2324F">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p>
        </w:tc>
      </w:tr>
      <w:tr w14:paraId="1C264DC9">
        <w:tblPrEx>
          <w:tblCellMar>
            <w:top w:w="0" w:type="dxa"/>
            <w:left w:w="108" w:type="dxa"/>
            <w:bottom w:w="0" w:type="dxa"/>
            <w:right w:w="108" w:type="dxa"/>
          </w:tblCellMar>
        </w:tblPrEx>
        <w:trPr>
          <w:trHeight w:val="1030" w:hRule="atLeast"/>
          <w:jc w:val="center"/>
        </w:trPr>
        <w:tc>
          <w:tcPr>
            <w:tcW w:w="727" w:type="dxa"/>
            <w:vMerge w:val="continue"/>
            <w:tcBorders>
              <w:left w:val="single" w:color="000000" w:sz="4" w:space="0"/>
              <w:right w:val="single" w:color="000000" w:sz="4" w:space="0"/>
            </w:tcBorders>
            <w:noWrap w:val="0"/>
            <w:vAlign w:val="center"/>
          </w:tcPr>
          <w:p w14:paraId="0929F768">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rPr>
            </w:pP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43D73CB6">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数据库审计</w:t>
            </w:r>
          </w:p>
        </w:tc>
        <w:tc>
          <w:tcPr>
            <w:tcW w:w="3700" w:type="dxa"/>
            <w:tcBorders>
              <w:top w:val="single" w:color="000000" w:sz="4" w:space="0"/>
              <w:left w:val="single" w:color="000000" w:sz="4" w:space="0"/>
              <w:bottom w:val="single" w:color="000000" w:sz="4" w:space="0"/>
              <w:right w:val="single" w:color="auto" w:sz="4" w:space="0"/>
            </w:tcBorders>
            <w:noWrap w:val="0"/>
            <w:vAlign w:val="center"/>
          </w:tcPr>
          <w:p w14:paraId="35ED3C19">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提供数据库审计系统，对数据库的操作行为审计，对各类数据库访问行为进行解析、分析、记录。</w:t>
            </w:r>
          </w:p>
        </w:tc>
        <w:tc>
          <w:tcPr>
            <w:tcW w:w="915" w:type="dxa"/>
            <w:tcBorders>
              <w:top w:val="single" w:color="000000" w:sz="4" w:space="0"/>
              <w:left w:val="single" w:color="auto" w:sz="4" w:space="0"/>
              <w:bottom w:val="single" w:color="000000" w:sz="4" w:space="0"/>
              <w:right w:val="single" w:color="auto" w:sz="4" w:space="0"/>
            </w:tcBorders>
            <w:noWrap w:val="0"/>
            <w:vAlign w:val="center"/>
          </w:tcPr>
          <w:p w14:paraId="0BA8C25B">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1系统</w:t>
            </w:r>
          </w:p>
        </w:tc>
        <w:tc>
          <w:tcPr>
            <w:tcW w:w="1384" w:type="dxa"/>
            <w:vMerge w:val="continue"/>
            <w:tcBorders>
              <w:left w:val="single" w:color="auto" w:sz="4" w:space="0"/>
              <w:right w:val="single" w:color="000000" w:sz="4" w:space="0"/>
            </w:tcBorders>
            <w:noWrap w:val="0"/>
            <w:vAlign w:val="center"/>
          </w:tcPr>
          <w:p w14:paraId="440C5B15">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p>
        </w:tc>
      </w:tr>
      <w:tr w14:paraId="40DDE922">
        <w:tblPrEx>
          <w:tblCellMar>
            <w:top w:w="0" w:type="dxa"/>
            <w:left w:w="108" w:type="dxa"/>
            <w:bottom w:w="0" w:type="dxa"/>
            <w:right w:w="108" w:type="dxa"/>
          </w:tblCellMar>
        </w:tblPrEx>
        <w:trPr>
          <w:trHeight w:val="290" w:hRule="atLeast"/>
          <w:jc w:val="center"/>
        </w:trPr>
        <w:tc>
          <w:tcPr>
            <w:tcW w:w="727" w:type="dxa"/>
            <w:vMerge w:val="continue"/>
            <w:tcBorders>
              <w:left w:val="single" w:color="000000" w:sz="4" w:space="0"/>
              <w:right w:val="single" w:color="000000" w:sz="4" w:space="0"/>
            </w:tcBorders>
            <w:noWrap w:val="0"/>
            <w:vAlign w:val="center"/>
          </w:tcPr>
          <w:p w14:paraId="0FE6CABC">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rPr>
            </w:pPr>
          </w:p>
        </w:tc>
        <w:tc>
          <w:tcPr>
            <w:tcW w:w="1728" w:type="dxa"/>
            <w:tcBorders>
              <w:top w:val="single" w:color="000000" w:sz="4" w:space="0"/>
              <w:left w:val="single" w:color="000000" w:sz="4" w:space="0"/>
              <w:right w:val="single" w:color="000000" w:sz="4" w:space="0"/>
            </w:tcBorders>
            <w:noWrap w:val="0"/>
            <w:vAlign w:val="center"/>
          </w:tcPr>
          <w:p w14:paraId="3C3DCA5C">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网页防篡改</w:t>
            </w:r>
          </w:p>
        </w:tc>
        <w:tc>
          <w:tcPr>
            <w:tcW w:w="3700" w:type="dxa"/>
            <w:tcBorders>
              <w:top w:val="single" w:color="000000" w:sz="4" w:space="0"/>
              <w:left w:val="single" w:color="000000" w:sz="4" w:space="0"/>
              <w:right w:val="single" w:color="auto" w:sz="4" w:space="0"/>
            </w:tcBorders>
            <w:noWrap w:val="0"/>
            <w:vAlign w:val="center"/>
          </w:tcPr>
          <w:p w14:paraId="706928F2">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实时监测和保护站点内容安全，防止非法篡改网页。</w:t>
            </w:r>
          </w:p>
        </w:tc>
        <w:tc>
          <w:tcPr>
            <w:tcW w:w="915" w:type="dxa"/>
            <w:tcBorders>
              <w:top w:val="single" w:color="000000" w:sz="4" w:space="0"/>
              <w:left w:val="single" w:color="auto" w:sz="4" w:space="0"/>
              <w:right w:val="single" w:color="auto" w:sz="4" w:space="0"/>
            </w:tcBorders>
            <w:noWrap w:val="0"/>
            <w:vAlign w:val="center"/>
          </w:tcPr>
          <w:p w14:paraId="46AFC6B5">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1主机</w:t>
            </w:r>
          </w:p>
        </w:tc>
        <w:tc>
          <w:tcPr>
            <w:tcW w:w="1384" w:type="dxa"/>
            <w:vMerge w:val="continue"/>
            <w:tcBorders>
              <w:left w:val="single" w:color="auto" w:sz="4" w:space="0"/>
              <w:right w:val="single" w:color="000000" w:sz="4" w:space="0"/>
            </w:tcBorders>
            <w:noWrap w:val="0"/>
            <w:vAlign w:val="center"/>
          </w:tcPr>
          <w:p w14:paraId="3728961B">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p>
        </w:tc>
      </w:tr>
      <w:tr w14:paraId="6ABB8F39">
        <w:tblPrEx>
          <w:tblCellMar>
            <w:top w:w="0" w:type="dxa"/>
            <w:left w:w="108" w:type="dxa"/>
            <w:bottom w:w="0" w:type="dxa"/>
            <w:right w:w="108" w:type="dxa"/>
          </w:tblCellMar>
        </w:tblPrEx>
        <w:trPr>
          <w:trHeight w:val="322" w:hRule="atLeast"/>
          <w:jc w:val="center"/>
        </w:trPr>
        <w:tc>
          <w:tcPr>
            <w:tcW w:w="727" w:type="dxa"/>
            <w:vMerge w:val="continue"/>
            <w:tcBorders>
              <w:left w:val="single" w:color="000000" w:sz="4" w:space="0"/>
              <w:right w:val="single" w:color="000000" w:sz="4" w:space="0"/>
            </w:tcBorders>
            <w:noWrap w:val="0"/>
            <w:vAlign w:val="center"/>
          </w:tcPr>
          <w:p w14:paraId="65349C02">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rPr>
            </w:pP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4E893781">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日志审计</w:t>
            </w:r>
          </w:p>
        </w:tc>
        <w:tc>
          <w:tcPr>
            <w:tcW w:w="3700" w:type="dxa"/>
            <w:tcBorders>
              <w:top w:val="single" w:color="000000" w:sz="4" w:space="0"/>
              <w:left w:val="single" w:color="000000" w:sz="4" w:space="0"/>
              <w:bottom w:val="single" w:color="000000" w:sz="4" w:space="0"/>
              <w:right w:val="single" w:color="auto" w:sz="4" w:space="0"/>
            </w:tcBorders>
            <w:noWrap w:val="0"/>
            <w:vAlign w:val="center"/>
          </w:tcPr>
          <w:p w14:paraId="6BB5F4B9">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提供日志审计系统，对租户云主机、应用、网络设备等操作日志审计，支持日志采集、日志存储、日志检索、日志分析、可视化统计等。</w:t>
            </w:r>
          </w:p>
        </w:tc>
        <w:tc>
          <w:tcPr>
            <w:tcW w:w="915" w:type="dxa"/>
            <w:tcBorders>
              <w:top w:val="single" w:color="000000" w:sz="4" w:space="0"/>
              <w:left w:val="single" w:color="auto" w:sz="4" w:space="0"/>
              <w:bottom w:val="single" w:color="000000" w:sz="4" w:space="0"/>
              <w:right w:val="single" w:color="auto" w:sz="4" w:space="0"/>
            </w:tcBorders>
            <w:noWrap w:val="0"/>
            <w:vAlign w:val="center"/>
          </w:tcPr>
          <w:p w14:paraId="36B72EC0">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1日志源</w:t>
            </w:r>
          </w:p>
        </w:tc>
        <w:tc>
          <w:tcPr>
            <w:tcW w:w="1384" w:type="dxa"/>
            <w:vMerge w:val="continue"/>
            <w:tcBorders>
              <w:left w:val="single" w:color="auto" w:sz="4" w:space="0"/>
              <w:right w:val="single" w:color="000000" w:sz="4" w:space="0"/>
            </w:tcBorders>
            <w:noWrap w:val="0"/>
            <w:vAlign w:val="center"/>
          </w:tcPr>
          <w:p w14:paraId="36058A04">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p>
        </w:tc>
      </w:tr>
      <w:tr w14:paraId="31B1C47A">
        <w:tblPrEx>
          <w:tblCellMar>
            <w:top w:w="0" w:type="dxa"/>
            <w:left w:w="108" w:type="dxa"/>
            <w:bottom w:w="0" w:type="dxa"/>
            <w:right w:w="108" w:type="dxa"/>
          </w:tblCellMar>
        </w:tblPrEx>
        <w:trPr>
          <w:trHeight w:val="623" w:hRule="atLeast"/>
          <w:jc w:val="center"/>
        </w:trPr>
        <w:tc>
          <w:tcPr>
            <w:tcW w:w="727" w:type="dxa"/>
            <w:vMerge w:val="continue"/>
            <w:tcBorders>
              <w:left w:val="single" w:color="000000" w:sz="4" w:space="0"/>
              <w:right w:val="single" w:color="000000" w:sz="4" w:space="0"/>
            </w:tcBorders>
            <w:noWrap w:val="0"/>
            <w:vAlign w:val="center"/>
          </w:tcPr>
          <w:p w14:paraId="129E3C51">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rPr>
            </w:pP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512B5AE">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云WAF</w:t>
            </w:r>
          </w:p>
        </w:tc>
        <w:tc>
          <w:tcPr>
            <w:tcW w:w="3700" w:type="dxa"/>
            <w:tcBorders>
              <w:top w:val="single" w:color="000000" w:sz="4" w:space="0"/>
              <w:left w:val="single" w:color="000000" w:sz="4" w:space="0"/>
              <w:bottom w:val="single" w:color="000000" w:sz="4" w:space="0"/>
              <w:right w:val="single" w:color="auto" w:sz="4" w:space="0"/>
            </w:tcBorders>
            <w:noWrap w:val="0"/>
            <w:vAlign w:val="center"/>
          </w:tcPr>
          <w:p w14:paraId="7FEC3798">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为云上Web应用系统提供应用层安全防护服务。</w:t>
            </w:r>
          </w:p>
        </w:tc>
        <w:tc>
          <w:tcPr>
            <w:tcW w:w="915" w:type="dxa"/>
            <w:tcBorders>
              <w:top w:val="single" w:color="000000" w:sz="4" w:space="0"/>
              <w:left w:val="single" w:color="auto" w:sz="4" w:space="0"/>
              <w:bottom w:val="single" w:color="000000" w:sz="4" w:space="0"/>
              <w:right w:val="single" w:color="auto" w:sz="4" w:space="0"/>
            </w:tcBorders>
            <w:noWrap w:val="0"/>
            <w:vAlign w:val="center"/>
          </w:tcPr>
          <w:p w14:paraId="56A13240">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1IP</w:t>
            </w:r>
          </w:p>
        </w:tc>
        <w:tc>
          <w:tcPr>
            <w:tcW w:w="1384" w:type="dxa"/>
            <w:vMerge w:val="continue"/>
            <w:tcBorders>
              <w:left w:val="single" w:color="auto" w:sz="4" w:space="0"/>
              <w:right w:val="single" w:color="000000" w:sz="4" w:space="0"/>
            </w:tcBorders>
            <w:noWrap w:val="0"/>
            <w:vAlign w:val="center"/>
          </w:tcPr>
          <w:p w14:paraId="58D998C6">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p>
        </w:tc>
      </w:tr>
      <w:tr w14:paraId="65629FA8">
        <w:tblPrEx>
          <w:tblCellMar>
            <w:top w:w="0" w:type="dxa"/>
            <w:left w:w="108" w:type="dxa"/>
            <w:bottom w:w="0" w:type="dxa"/>
            <w:right w:w="108" w:type="dxa"/>
          </w:tblCellMar>
        </w:tblPrEx>
        <w:trPr>
          <w:trHeight w:val="322" w:hRule="atLeast"/>
          <w:jc w:val="center"/>
        </w:trPr>
        <w:tc>
          <w:tcPr>
            <w:tcW w:w="727" w:type="dxa"/>
            <w:vMerge w:val="continue"/>
            <w:tcBorders>
              <w:left w:val="single" w:color="000000" w:sz="4" w:space="0"/>
              <w:right w:val="single" w:color="000000" w:sz="4" w:space="0"/>
            </w:tcBorders>
            <w:noWrap w:val="0"/>
            <w:vAlign w:val="center"/>
          </w:tcPr>
          <w:p w14:paraId="47B1071B">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rPr>
            </w:pPr>
          </w:p>
        </w:tc>
        <w:tc>
          <w:tcPr>
            <w:tcW w:w="1728" w:type="dxa"/>
            <w:tcBorders>
              <w:top w:val="single" w:color="000000" w:sz="4" w:space="0"/>
              <w:left w:val="single" w:color="000000" w:sz="4" w:space="0"/>
              <w:bottom w:val="single" w:color="000000" w:sz="4" w:space="0"/>
              <w:right w:val="single" w:color="000000" w:sz="4" w:space="0"/>
            </w:tcBorders>
            <w:noWrap w:val="0"/>
            <w:vAlign w:val="center"/>
          </w:tcPr>
          <w:p w14:paraId="2DFBC769">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入侵检测</w:t>
            </w:r>
          </w:p>
        </w:tc>
        <w:tc>
          <w:tcPr>
            <w:tcW w:w="3700" w:type="dxa"/>
            <w:tcBorders>
              <w:top w:val="single" w:color="000000" w:sz="4" w:space="0"/>
              <w:left w:val="single" w:color="000000" w:sz="4" w:space="0"/>
              <w:bottom w:val="single" w:color="000000" w:sz="4" w:space="0"/>
              <w:right w:val="single" w:color="auto" w:sz="4" w:space="0"/>
            </w:tcBorders>
            <w:noWrap w:val="0"/>
            <w:vAlign w:val="center"/>
          </w:tcPr>
          <w:p w14:paraId="499A68C9">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为云上系统提供南北向的网络层入侵检测服务，支持漏洞攻击、蠕虫病毒、间谍软件、木马后门、溢出攻击、数据库攻击、暴力破解等的检测和防护。</w:t>
            </w:r>
          </w:p>
        </w:tc>
        <w:tc>
          <w:tcPr>
            <w:tcW w:w="915" w:type="dxa"/>
            <w:tcBorders>
              <w:top w:val="single" w:color="000000" w:sz="4" w:space="0"/>
              <w:left w:val="single" w:color="auto" w:sz="4" w:space="0"/>
              <w:bottom w:val="single" w:color="000000" w:sz="4" w:space="0"/>
              <w:right w:val="single" w:color="auto" w:sz="4" w:space="0"/>
            </w:tcBorders>
            <w:noWrap w:val="0"/>
            <w:vAlign w:val="center"/>
          </w:tcPr>
          <w:p w14:paraId="284CDDEE">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1IP</w:t>
            </w:r>
          </w:p>
        </w:tc>
        <w:tc>
          <w:tcPr>
            <w:tcW w:w="1384" w:type="dxa"/>
            <w:vMerge w:val="continue"/>
            <w:tcBorders>
              <w:left w:val="single" w:color="auto" w:sz="4" w:space="0"/>
              <w:right w:val="single" w:color="000000" w:sz="4" w:space="0"/>
            </w:tcBorders>
            <w:noWrap w:val="0"/>
            <w:vAlign w:val="center"/>
          </w:tcPr>
          <w:p w14:paraId="557186FC">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p>
        </w:tc>
      </w:tr>
      <w:tr w14:paraId="78F43700">
        <w:tblPrEx>
          <w:tblCellMar>
            <w:top w:w="0" w:type="dxa"/>
            <w:left w:w="108" w:type="dxa"/>
            <w:bottom w:w="0" w:type="dxa"/>
            <w:right w:w="108" w:type="dxa"/>
          </w:tblCellMar>
        </w:tblPrEx>
        <w:trPr>
          <w:trHeight w:val="769" w:hRule="atLeast"/>
          <w:jc w:val="center"/>
        </w:trPr>
        <w:tc>
          <w:tcPr>
            <w:tcW w:w="727" w:type="dxa"/>
            <w:vMerge w:val="continue"/>
            <w:tcBorders>
              <w:left w:val="single" w:color="000000" w:sz="4" w:space="0"/>
              <w:bottom w:val="single" w:color="auto" w:sz="4" w:space="0"/>
              <w:right w:val="single" w:color="000000" w:sz="4" w:space="0"/>
            </w:tcBorders>
            <w:noWrap w:val="0"/>
            <w:vAlign w:val="center"/>
          </w:tcPr>
          <w:p w14:paraId="55118C6D">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rPr>
            </w:pPr>
          </w:p>
        </w:tc>
        <w:tc>
          <w:tcPr>
            <w:tcW w:w="1728" w:type="dxa"/>
            <w:tcBorders>
              <w:top w:val="single" w:color="000000" w:sz="4" w:space="0"/>
              <w:left w:val="single" w:color="000000" w:sz="4" w:space="0"/>
              <w:bottom w:val="single" w:color="auto" w:sz="4" w:space="0"/>
              <w:right w:val="single" w:color="000000" w:sz="4" w:space="0"/>
            </w:tcBorders>
            <w:noWrap w:val="0"/>
            <w:vAlign w:val="center"/>
          </w:tcPr>
          <w:p w14:paraId="7DB65995">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堡垒机</w:t>
            </w:r>
          </w:p>
        </w:tc>
        <w:tc>
          <w:tcPr>
            <w:tcW w:w="3700" w:type="dxa"/>
            <w:tcBorders>
              <w:top w:val="single" w:color="000000" w:sz="4" w:space="0"/>
              <w:left w:val="single" w:color="000000" w:sz="4" w:space="0"/>
              <w:bottom w:val="single" w:color="000000" w:sz="4" w:space="0"/>
              <w:right w:val="single" w:color="auto" w:sz="4" w:space="0"/>
            </w:tcBorders>
            <w:noWrap w:val="0"/>
            <w:vAlign w:val="center"/>
          </w:tcPr>
          <w:p w14:paraId="11180829">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提供运维安全管理与审计系统，支持主机管理、权限控制、运维审计等功能。</w:t>
            </w:r>
          </w:p>
        </w:tc>
        <w:tc>
          <w:tcPr>
            <w:tcW w:w="915" w:type="dxa"/>
            <w:tcBorders>
              <w:top w:val="single" w:color="000000" w:sz="4" w:space="0"/>
              <w:left w:val="single" w:color="auto" w:sz="4" w:space="0"/>
              <w:bottom w:val="single" w:color="000000" w:sz="4" w:space="0"/>
              <w:right w:val="single" w:color="auto" w:sz="4" w:space="0"/>
            </w:tcBorders>
            <w:noWrap w:val="0"/>
            <w:vAlign w:val="center"/>
          </w:tcPr>
          <w:p w14:paraId="49AEAD2D">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1IP</w:t>
            </w:r>
          </w:p>
        </w:tc>
        <w:tc>
          <w:tcPr>
            <w:tcW w:w="1384" w:type="dxa"/>
            <w:vMerge w:val="continue"/>
            <w:tcBorders>
              <w:left w:val="single" w:color="auto" w:sz="4" w:space="0"/>
              <w:bottom w:val="single" w:color="000000" w:sz="4" w:space="0"/>
              <w:right w:val="single" w:color="000000" w:sz="4" w:space="0"/>
            </w:tcBorders>
            <w:noWrap w:val="0"/>
            <w:vAlign w:val="center"/>
          </w:tcPr>
          <w:p w14:paraId="61B42DD6">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sz w:val="24"/>
                <w:szCs w:val="24"/>
                <w:lang w:eastAsia="zh-CN" w:bidi="ar"/>
              </w:rPr>
            </w:pPr>
          </w:p>
        </w:tc>
      </w:tr>
    </w:tbl>
    <w:p w14:paraId="779B2369">
      <w:pPr>
        <w:spacing w:line="560" w:lineRule="exact"/>
        <w:jc w:val="center"/>
        <w:rPr>
          <w:rFonts w:hint="eastAsia" w:ascii="仿宋" w:hAnsi="仿宋" w:eastAsia="仿宋" w:cs="仿宋"/>
          <w:color w:val="auto"/>
          <w:sz w:val="32"/>
          <w:szCs w:val="32"/>
          <w:lang w:eastAsia="zh-CN" w:bidi="zh-TW"/>
        </w:rPr>
      </w:pPr>
    </w:p>
    <w:p w14:paraId="71D42B50">
      <w:pPr>
        <w:spacing w:line="560" w:lineRule="exact"/>
        <w:jc w:val="center"/>
        <w:rPr>
          <w:rFonts w:hint="eastAsia" w:ascii="仿宋" w:hAnsi="仿宋" w:eastAsia="仿宋" w:cs="仿宋"/>
          <w:color w:val="auto"/>
          <w:sz w:val="32"/>
          <w:szCs w:val="32"/>
          <w:lang w:eastAsia="zh-CN" w:bidi="zh-TW"/>
        </w:rPr>
      </w:pPr>
    </w:p>
    <w:p w14:paraId="3C6D2AC5">
      <w:pPr>
        <w:spacing w:line="560" w:lineRule="exact"/>
        <w:jc w:val="center"/>
        <w:rPr>
          <w:rFonts w:hint="eastAsia" w:ascii="仿宋" w:hAnsi="仿宋" w:eastAsia="仿宋" w:cs="仿宋"/>
          <w:color w:val="auto"/>
          <w:sz w:val="32"/>
          <w:szCs w:val="32"/>
          <w:lang w:eastAsia="zh-CN" w:bidi="zh-TW"/>
        </w:rPr>
      </w:pPr>
    </w:p>
    <w:p w14:paraId="24E24E6C">
      <w:pPr>
        <w:spacing w:line="560" w:lineRule="exact"/>
        <w:jc w:val="center"/>
        <w:rPr>
          <w:rFonts w:hint="eastAsia" w:ascii="仿宋" w:hAnsi="仿宋" w:eastAsia="仿宋" w:cs="仿宋"/>
          <w:color w:val="auto"/>
          <w:sz w:val="32"/>
          <w:szCs w:val="32"/>
          <w:lang w:eastAsia="zh-CN" w:bidi="zh-TW"/>
        </w:rPr>
      </w:pPr>
      <w:r>
        <w:rPr>
          <w:rFonts w:hint="eastAsia" w:ascii="仿宋" w:hAnsi="仿宋" w:eastAsia="仿宋" w:cs="仿宋"/>
          <w:color w:val="auto"/>
          <w:sz w:val="32"/>
          <w:szCs w:val="32"/>
          <w:lang w:eastAsia="zh-CN" w:bidi="zh-TW"/>
        </w:rPr>
        <w:t>表3  密码服务清单</w:t>
      </w:r>
    </w:p>
    <w:tbl>
      <w:tblPr>
        <w:tblStyle w:val="19"/>
        <w:tblW w:w="8520" w:type="dxa"/>
        <w:tblInd w:w="-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7"/>
        <w:gridCol w:w="1737"/>
        <w:gridCol w:w="3673"/>
        <w:gridCol w:w="933"/>
        <w:gridCol w:w="1403"/>
        <w:gridCol w:w="22"/>
      </w:tblGrid>
      <w:tr w14:paraId="668DB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2" w:type="dxa"/>
          <w:trHeight w:val="429" w:hRule="atLeast"/>
        </w:trPr>
        <w:tc>
          <w:tcPr>
            <w:tcW w:w="697" w:type="dxa"/>
            <w:tcBorders>
              <w:right w:val="single" w:color="auto" w:sz="4" w:space="0"/>
            </w:tcBorders>
            <w:noWrap w:val="0"/>
            <w:vAlign w:val="center"/>
          </w:tcPr>
          <w:p w14:paraId="45EEAFA0">
            <w:pPr>
              <w:jc w:val="center"/>
              <w:rPr>
                <w:rFonts w:eastAsia="仿宋"/>
                <w:lang w:eastAsia="zh-CN" w:bidi="ar"/>
              </w:rPr>
            </w:pPr>
            <w:r>
              <w:rPr>
                <w:rFonts w:hint="eastAsia" w:eastAsia="仿宋"/>
                <w:lang w:eastAsia="zh-CN" w:bidi="ar"/>
              </w:rPr>
              <w:t>服务</w:t>
            </w:r>
          </w:p>
          <w:p w14:paraId="1A003F17">
            <w:pPr>
              <w:jc w:val="center"/>
              <w:rPr>
                <w:rFonts w:eastAsia="仿宋"/>
                <w:lang w:eastAsia="zh-CN" w:bidi="ar"/>
              </w:rPr>
            </w:pPr>
            <w:r>
              <w:rPr>
                <w:rFonts w:hint="eastAsia" w:eastAsia="仿宋"/>
                <w:lang w:eastAsia="zh-CN" w:bidi="ar"/>
              </w:rPr>
              <w:t>类别</w:t>
            </w:r>
          </w:p>
        </w:tc>
        <w:tc>
          <w:tcPr>
            <w:tcW w:w="1737" w:type="dxa"/>
            <w:tcBorders>
              <w:left w:val="single" w:color="auto" w:sz="4" w:space="0"/>
            </w:tcBorders>
            <w:noWrap w:val="0"/>
            <w:vAlign w:val="center"/>
          </w:tcPr>
          <w:p w14:paraId="425C1FE6">
            <w:pPr>
              <w:jc w:val="center"/>
              <w:rPr>
                <w:rFonts w:eastAsia="仿宋"/>
                <w:lang w:eastAsia="zh-CN" w:bidi="ar"/>
              </w:rPr>
            </w:pPr>
            <w:r>
              <w:rPr>
                <w:rFonts w:hint="eastAsia" w:eastAsia="仿宋"/>
                <w:lang w:eastAsia="zh-CN" w:bidi="ar"/>
              </w:rPr>
              <w:t>服务项</w:t>
            </w:r>
          </w:p>
        </w:tc>
        <w:tc>
          <w:tcPr>
            <w:tcW w:w="3673" w:type="dxa"/>
            <w:tcBorders>
              <w:right w:val="single" w:color="auto" w:sz="4" w:space="0"/>
            </w:tcBorders>
            <w:noWrap w:val="0"/>
            <w:vAlign w:val="center"/>
          </w:tcPr>
          <w:p w14:paraId="7C053BA7">
            <w:pPr>
              <w:jc w:val="center"/>
              <w:rPr>
                <w:rFonts w:eastAsia="仿宋"/>
                <w:lang w:eastAsia="zh-CN" w:bidi="ar"/>
              </w:rPr>
            </w:pPr>
            <w:r>
              <w:rPr>
                <w:rFonts w:hint="eastAsia" w:eastAsia="仿宋"/>
                <w:lang w:eastAsia="zh-CN" w:bidi="ar"/>
              </w:rPr>
              <w:t>规    格</w:t>
            </w:r>
          </w:p>
        </w:tc>
        <w:tc>
          <w:tcPr>
            <w:tcW w:w="933" w:type="dxa"/>
            <w:tcBorders>
              <w:left w:val="single" w:color="auto" w:sz="4" w:space="0"/>
            </w:tcBorders>
            <w:noWrap w:val="0"/>
            <w:vAlign w:val="center"/>
          </w:tcPr>
          <w:p w14:paraId="7D51C316">
            <w:pPr>
              <w:jc w:val="center"/>
              <w:rPr>
                <w:rFonts w:eastAsia="仿宋"/>
                <w:lang w:eastAsia="zh-CN" w:bidi="ar"/>
              </w:rPr>
            </w:pPr>
            <w:r>
              <w:rPr>
                <w:rFonts w:hint="eastAsia" w:eastAsia="仿宋"/>
                <w:lang w:eastAsia="zh-CN" w:bidi="ar"/>
              </w:rPr>
              <w:t>计量</w:t>
            </w:r>
          </w:p>
          <w:p w14:paraId="2E22ADB7">
            <w:pPr>
              <w:jc w:val="center"/>
              <w:rPr>
                <w:rFonts w:eastAsia="仿宋"/>
                <w:lang w:eastAsia="zh-CN" w:bidi="ar"/>
              </w:rPr>
            </w:pPr>
            <w:r>
              <w:rPr>
                <w:rFonts w:hint="eastAsia" w:eastAsia="仿宋"/>
                <w:lang w:eastAsia="zh-CN" w:bidi="ar"/>
              </w:rPr>
              <w:t>单位</w:t>
            </w:r>
          </w:p>
        </w:tc>
        <w:tc>
          <w:tcPr>
            <w:tcW w:w="1403" w:type="dxa"/>
            <w:tcBorders>
              <w:left w:val="single" w:color="auto" w:sz="4" w:space="0"/>
            </w:tcBorders>
            <w:noWrap w:val="0"/>
            <w:vAlign w:val="center"/>
          </w:tcPr>
          <w:p w14:paraId="5DE8421C">
            <w:pPr>
              <w:jc w:val="center"/>
              <w:rPr>
                <w:rFonts w:eastAsia="仿宋"/>
                <w:lang w:eastAsia="zh-CN" w:bidi="ar"/>
              </w:rPr>
            </w:pPr>
            <w:r>
              <w:rPr>
                <w:rFonts w:hint="eastAsia" w:eastAsia="仿宋"/>
                <w:lang w:val="en-US" w:eastAsia="zh-CN" w:bidi="ar"/>
              </w:rPr>
              <w:t>价格</w:t>
            </w:r>
          </w:p>
        </w:tc>
      </w:tr>
      <w:tr w14:paraId="58553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2" w:type="dxa"/>
          <w:trHeight w:val="90" w:hRule="atLeast"/>
        </w:trPr>
        <w:tc>
          <w:tcPr>
            <w:tcW w:w="697" w:type="dxa"/>
            <w:vMerge w:val="restart"/>
            <w:tcBorders>
              <w:bottom w:val="nil"/>
            </w:tcBorders>
            <w:noWrap w:val="0"/>
            <w:vAlign w:val="top"/>
          </w:tcPr>
          <w:p w14:paraId="061E9F1D">
            <w:pPr>
              <w:pStyle w:val="27"/>
            </w:pPr>
          </w:p>
          <w:p w14:paraId="02E4B7D2">
            <w:pPr>
              <w:pStyle w:val="27"/>
            </w:pPr>
          </w:p>
          <w:p w14:paraId="48ABA246">
            <w:pPr>
              <w:pStyle w:val="27"/>
            </w:pPr>
          </w:p>
          <w:p w14:paraId="7400E0D9">
            <w:pPr>
              <w:pStyle w:val="27"/>
            </w:pPr>
          </w:p>
          <w:p w14:paraId="638E36BF">
            <w:pPr>
              <w:pStyle w:val="27"/>
            </w:pPr>
          </w:p>
          <w:p w14:paraId="5A66F5F4">
            <w:pPr>
              <w:pStyle w:val="27"/>
            </w:pPr>
          </w:p>
          <w:p w14:paraId="6F32D27C">
            <w:pPr>
              <w:pStyle w:val="27"/>
            </w:pPr>
          </w:p>
          <w:p w14:paraId="58FD75D1">
            <w:pPr>
              <w:pStyle w:val="27"/>
            </w:pPr>
          </w:p>
          <w:p w14:paraId="2C6860D7">
            <w:pPr>
              <w:pStyle w:val="27"/>
            </w:pPr>
          </w:p>
          <w:p w14:paraId="0526F07C">
            <w:pPr>
              <w:pStyle w:val="27"/>
            </w:pPr>
          </w:p>
          <w:p w14:paraId="1A8D4B5E">
            <w:pPr>
              <w:pStyle w:val="27"/>
            </w:pPr>
          </w:p>
          <w:p w14:paraId="0B431640">
            <w:pPr>
              <w:pStyle w:val="27"/>
            </w:pPr>
          </w:p>
          <w:p w14:paraId="629E262B">
            <w:pPr>
              <w:pStyle w:val="27"/>
            </w:pPr>
          </w:p>
          <w:p w14:paraId="7499FE4F">
            <w:pPr>
              <w:pStyle w:val="27"/>
            </w:pPr>
          </w:p>
          <w:p w14:paraId="087EC2CD">
            <w:pPr>
              <w:pStyle w:val="27"/>
            </w:pPr>
          </w:p>
          <w:p w14:paraId="7AA8B6AE">
            <w:pPr>
              <w:pStyle w:val="27"/>
            </w:pPr>
          </w:p>
          <w:p w14:paraId="4496B437">
            <w:pPr>
              <w:rPr>
                <w:rFonts w:ascii="宋体" w:hAnsi="宋体" w:eastAsia="宋体" w:cs="宋体"/>
                <w:sz w:val="28"/>
                <w:szCs w:val="28"/>
              </w:rPr>
            </w:pPr>
            <w:r>
              <w:rPr>
                <w:rFonts w:hint="eastAsia" w:eastAsia="仿宋"/>
                <w:lang w:eastAsia="zh-CN" w:bidi="ar"/>
              </w:rPr>
              <w:t>密码服务</w:t>
            </w:r>
          </w:p>
        </w:tc>
        <w:tc>
          <w:tcPr>
            <w:tcW w:w="1737" w:type="dxa"/>
            <w:noWrap w:val="0"/>
            <w:vAlign w:val="top"/>
          </w:tcPr>
          <w:p w14:paraId="00E8E963">
            <w:pPr>
              <w:pStyle w:val="27"/>
              <w:rPr>
                <w:lang w:eastAsia="zh-CN"/>
              </w:rPr>
            </w:pPr>
          </w:p>
          <w:p w14:paraId="2C156864">
            <w:pPr>
              <w:rPr>
                <w:rFonts w:eastAsia="仿宋"/>
                <w:lang w:eastAsia="zh-CN" w:bidi="ar"/>
              </w:rPr>
            </w:pPr>
            <w:r>
              <w:rPr>
                <w:rFonts w:hint="eastAsia" w:eastAsia="仿宋"/>
                <w:lang w:eastAsia="zh-CN" w:bidi="ar"/>
              </w:rPr>
              <w:t>密钥管理服务</w:t>
            </w:r>
          </w:p>
        </w:tc>
        <w:tc>
          <w:tcPr>
            <w:tcW w:w="3673" w:type="dxa"/>
            <w:tcBorders>
              <w:right w:val="single" w:color="auto" w:sz="4" w:space="0"/>
            </w:tcBorders>
            <w:noWrap w:val="0"/>
            <w:vAlign w:val="top"/>
          </w:tcPr>
          <w:p w14:paraId="1FD14ADD">
            <w:pPr>
              <w:rPr>
                <w:rFonts w:eastAsia="仿宋"/>
                <w:lang w:eastAsia="zh-CN" w:bidi="ar"/>
              </w:rPr>
            </w:pPr>
            <w:r>
              <w:rPr>
                <w:rFonts w:hint="eastAsia" w:eastAsia="仿宋"/>
                <w:lang w:eastAsia="zh-CN" w:bidi="ar"/>
              </w:rPr>
              <w:t>为租户提供密钥生成、存储、更新、备份、恢复及归档等密钥全生命周期管理。性能规格：并发请求数≥100次/秒，密钥存储量≥10000 个。</w:t>
            </w:r>
          </w:p>
        </w:tc>
        <w:tc>
          <w:tcPr>
            <w:tcW w:w="933" w:type="dxa"/>
            <w:tcBorders>
              <w:left w:val="single" w:color="auto" w:sz="4" w:space="0"/>
            </w:tcBorders>
            <w:noWrap w:val="0"/>
            <w:vAlign w:val="center"/>
          </w:tcPr>
          <w:p w14:paraId="76A91BE0">
            <w:pPr>
              <w:rPr>
                <w:rFonts w:ascii="宋体" w:hAnsi="宋体" w:eastAsia="宋体" w:cs="宋体"/>
                <w:sz w:val="28"/>
                <w:szCs w:val="28"/>
              </w:rPr>
            </w:pPr>
            <w:r>
              <w:rPr>
                <w:rFonts w:hint="eastAsia" w:eastAsia="仿宋"/>
                <w:lang w:eastAsia="zh-CN" w:bidi="ar"/>
              </w:rPr>
              <w:t>1套</w:t>
            </w:r>
          </w:p>
        </w:tc>
        <w:tc>
          <w:tcPr>
            <w:tcW w:w="1403" w:type="dxa"/>
            <w:vMerge w:val="restart"/>
            <w:tcBorders>
              <w:left w:val="single" w:color="auto" w:sz="4" w:space="0"/>
            </w:tcBorders>
            <w:noWrap w:val="0"/>
            <w:vAlign w:val="center"/>
          </w:tcPr>
          <w:p w14:paraId="780708F9">
            <w:pPr>
              <w:rPr>
                <w:rFonts w:hint="default"/>
                <w:lang w:val="en-US"/>
              </w:rPr>
            </w:pPr>
            <w:r>
              <w:rPr>
                <w:rFonts w:hint="eastAsia" w:eastAsia="仿宋"/>
                <w:lang w:val="en-US" w:eastAsia="zh-CN" w:bidi="ar"/>
              </w:rPr>
              <w:t>密码</w:t>
            </w:r>
            <w:r>
              <w:rPr>
                <w:rFonts w:hint="eastAsia" w:eastAsia="仿宋"/>
                <w:lang w:eastAsia="zh-CN" w:bidi="ar"/>
              </w:rPr>
              <w:t>服务费=（</w:t>
            </w:r>
            <w:r>
              <w:rPr>
                <w:rFonts w:hint="eastAsia" w:eastAsia="仿宋"/>
                <w:lang w:val="en-US" w:eastAsia="zh-CN" w:bidi="ar"/>
              </w:rPr>
              <w:t>使用密码服务的业务系统的</w:t>
            </w:r>
            <w:r>
              <w:rPr>
                <w:rFonts w:hint="eastAsia" w:eastAsia="仿宋"/>
                <w:lang w:eastAsia="zh-CN" w:bidi="ar"/>
              </w:rPr>
              <w:t>基础云服务费用+</w:t>
            </w:r>
            <w:r>
              <w:rPr>
                <w:rFonts w:hint="eastAsia" w:eastAsia="仿宋"/>
                <w:lang w:val="en-US" w:eastAsia="zh-CN" w:bidi="ar"/>
              </w:rPr>
              <w:t>AI算力</w:t>
            </w:r>
            <w:r>
              <w:rPr>
                <w:rFonts w:hint="eastAsia" w:eastAsia="仿宋"/>
                <w:lang w:eastAsia="zh-CN" w:bidi="ar"/>
              </w:rPr>
              <w:t>卡费用+托管服务费用）×</w:t>
            </w:r>
            <w:r>
              <w:rPr>
                <w:rFonts w:hint="eastAsia" w:eastAsia="仿宋"/>
                <w:lang w:val="en-US" w:eastAsia="zh-CN" w:bidi="ar"/>
              </w:rPr>
              <w:t>3.5</w:t>
            </w:r>
            <w:r>
              <w:rPr>
                <w:rFonts w:hint="eastAsia" w:eastAsia="仿宋"/>
                <w:lang w:eastAsia="zh-CN" w:bidi="ar"/>
              </w:rPr>
              <w:t>%</w:t>
            </w:r>
          </w:p>
          <w:p w14:paraId="416ABCBF"/>
          <w:p w14:paraId="45953E10">
            <w:pPr>
              <w:rPr>
                <w:rFonts w:hint="eastAsia" w:eastAsia="仿宋"/>
                <w:lang w:eastAsia="zh-CN" w:bidi="ar"/>
              </w:rPr>
            </w:pPr>
          </w:p>
          <w:p w14:paraId="6128C807"/>
          <w:p w14:paraId="3BBFBCAF"/>
          <w:p w14:paraId="10785A78">
            <w:pPr>
              <w:rPr>
                <w:rFonts w:hint="eastAsia" w:eastAsia="仿宋"/>
                <w:lang w:eastAsia="zh-CN" w:bidi="ar"/>
              </w:rPr>
            </w:pPr>
          </w:p>
          <w:p w14:paraId="6D137DBD">
            <w:pPr>
              <w:rPr>
                <w:spacing w:val="-17"/>
                <w:position w:val="1"/>
                <w:sz w:val="28"/>
                <w:szCs w:val="28"/>
              </w:rPr>
            </w:pPr>
          </w:p>
          <w:p w14:paraId="6500E241"/>
          <w:p w14:paraId="4ACFDA4C"/>
          <w:p w14:paraId="563CBD84"/>
          <w:p w14:paraId="7FE5014B">
            <w:pPr>
              <w:rPr>
                <w:spacing w:val="-24"/>
                <w:sz w:val="28"/>
                <w:szCs w:val="28"/>
              </w:rPr>
            </w:pPr>
          </w:p>
          <w:p w14:paraId="69A29C72">
            <w:pPr>
              <w:pStyle w:val="27"/>
            </w:pPr>
          </w:p>
          <w:p w14:paraId="61907343">
            <w:pPr>
              <w:pStyle w:val="27"/>
            </w:pPr>
          </w:p>
          <w:p w14:paraId="382E397C">
            <w:pPr>
              <w:rPr>
                <w:spacing w:val="-24"/>
                <w:sz w:val="28"/>
                <w:szCs w:val="28"/>
              </w:rPr>
            </w:pPr>
          </w:p>
        </w:tc>
      </w:tr>
      <w:tr w14:paraId="7154C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2" w:type="dxa"/>
          <w:trHeight w:val="2880" w:hRule="atLeast"/>
        </w:trPr>
        <w:tc>
          <w:tcPr>
            <w:tcW w:w="697" w:type="dxa"/>
            <w:vMerge w:val="continue"/>
            <w:tcBorders>
              <w:top w:val="nil"/>
              <w:bottom w:val="nil"/>
            </w:tcBorders>
            <w:noWrap w:val="0"/>
            <w:vAlign w:val="top"/>
          </w:tcPr>
          <w:p w14:paraId="1B9D0D0D">
            <w:pPr>
              <w:pStyle w:val="27"/>
            </w:pPr>
          </w:p>
        </w:tc>
        <w:tc>
          <w:tcPr>
            <w:tcW w:w="1737" w:type="dxa"/>
            <w:noWrap w:val="0"/>
            <w:vAlign w:val="top"/>
          </w:tcPr>
          <w:p w14:paraId="09278301">
            <w:pPr>
              <w:pStyle w:val="27"/>
              <w:rPr>
                <w:lang w:eastAsia="zh-CN"/>
              </w:rPr>
            </w:pPr>
          </w:p>
          <w:p w14:paraId="5307C8DE">
            <w:pPr>
              <w:pStyle w:val="27"/>
              <w:rPr>
                <w:lang w:eastAsia="zh-CN"/>
              </w:rPr>
            </w:pPr>
          </w:p>
          <w:p w14:paraId="4323381A">
            <w:pPr>
              <w:pStyle w:val="27"/>
              <w:rPr>
                <w:lang w:eastAsia="zh-CN"/>
              </w:rPr>
            </w:pPr>
          </w:p>
          <w:p w14:paraId="18F7E514">
            <w:pPr>
              <w:pStyle w:val="27"/>
              <w:rPr>
                <w:lang w:eastAsia="zh-CN"/>
              </w:rPr>
            </w:pPr>
          </w:p>
          <w:p w14:paraId="2EB56B0F">
            <w:pPr>
              <w:rPr>
                <w:rFonts w:eastAsia="仿宋"/>
                <w:lang w:eastAsia="zh-CN" w:bidi="ar"/>
              </w:rPr>
            </w:pPr>
            <w:r>
              <w:rPr>
                <w:rFonts w:hint="eastAsia" w:eastAsia="仿宋"/>
                <w:lang w:eastAsia="zh-CN" w:bidi="ar"/>
              </w:rPr>
              <w:t>加解密服务</w:t>
            </w:r>
          </w:p>
        </w:tc>
        <w:tc>
          <w:tcPr>
            <w:tcW w:w="3673" w:type="dxa"/>
            <w:noWrap w:val="0"/>
            <w:vAlign w:val="top"/>
          </w:tcPr>
          <w:p w14:paraId="0DF58343">
            <w:pPr>
              <w:rPr>
                <w:rFonts w:eastAsia="仿宋"/>
                <w:lang w:eastAsia="zh-CN" w:bidi="ar"/>
              </w:rPr>
            </w:pPr>
            <w:r>
              <w:rPr>
                <w:rFonts w:hint="eastAsia" w:eastAsia="仿宋"/>
                <w:lang w:eastAsia="zh-CN" w:bidi="ar"/>
              </w:rPr>
              <w:t>提供标准 API 接口，为业务系统提供应用级数据加解密、杂凑等密码运算服务，实现信息的机密性、完整性、真实性和不可否认性保护。性能规格：并发请求数≥128 次/秒，</w:t>
            </w:r>
          </w:p>
          <w:p w14:paraId="4A3B79E2">
            <w:pPr>
              <w:rPr>
                <w:rFonts w:eastAsia="仿宋"/>
                <w:lang w:eastAsia="zh-CN" w:bidi="ar"/>
              </w:rPr>
            </w:pPr>
            <w:r>
              <w:rPr>
                <w:rFonts w:hint="eastAsia" w:eastAsia="仿宋"/>
                <w:lang w:eastAsia="zh-CN" w:bidi="ar"/>
              </w:rPr>
              <w:t>SM1 计算速率≥15Mbps，</w:t>
            </w:r>
          </w:p>
          <w:p w14:paraId="103ECA8D">
            <w:pPr>
              <w:rPr>
                <w:rFonts w:eastAsia="仿宋"/>
                <w:lang w:eastAsia="zh-CN" w:bidi="ar"/>
              </w:rPr>
            </w:pPr>
            <w:r>
              <w:rPr>
                <w:rFonts w:hint="eastAsia" w:eastAsia="仿宋"/>
                <w:lang w:eastAsia="zh-CN" w:bidi="ar"/>
              </w:rPr>
              <w:t>SM2 加密≥2300 次/秒，</w:t>
            </w:r>
          </w:p>
          <w:p w14:paraId="7779DF98">
            <w:pPr>
              <w:rPr>
                <w:rFonts w:eastAsia="仿宋"/>
                <w:lang w:eastAsia="zh-CN" w:bidi="ar"/>
              </w:rPr>
            </w:pPr>
            <w:r>
              <w:rPr>
                <w:rFonts w:hint="eastAsia" w:eastAsia="仿宋"/>
                <w:lang w:eastAsia="zh-CN" w:bidi="ar"/>
              </w:rPr>
              <w:t>SM2 解密≥1000 次/秒，</w:t>
            </w:r>
          </w:p>
          <w:p w14:paraId="110CFD95">
            <w:pPr>
              <w:rPr>
                <w:rFonts w:eastAsia="仿宋"/>
                <w:lang w:eastAsia="zh-CN" w:bidi="ar"/>
              </w:rPr>
            </w:pPr>
            <w:r>
              <w:rPr>
                <w:rFonts w:hint="eastAsia" w:eastAsia="仿宋"/>
                <w:lang w:eastAsia="zh-CN" w:bidi="ar"/>
              </w:rPr>
              <w:t>SM4 计算速率≥150Mbps。</w:t>
            </w:r>
          </w:p>
        </w:tc>
        <w:tc>
          <w:tcPr>
            <w:tcW w:w="933" w:type="dxa"/>
            <w:noWrap w:val="0"/>
            <w:vAlign w:val="center"/>
          </w:tcPr>
          <w:p w14:paraId="0B67D6B4">
            <w:pPr>
              <w:rPr>
                <w:rFonts w:eastAsia="仿宋"/>
                <w:lang w:eastAsia="zh-CN" w:bidi="ar"/>
              </w:rPr>
            </w:pPr>
            <w:r>
              <w:rPr>
                <w:rFonts w:hint="eastAsia" w:eastAsia="仿宋"/>
                <w:lang w:eastAsia="zh-CN" w:bidi="ar"/>
              </w:rPr>
              <w:t>1系统</w:t>
            </w:r>
          </w:p>
        </w:tc>
        <w:tc>
          <w:tcPr>
            <w:tcW w:w="1403" w:type="dxa"/>
            <w:vMerge w:val="continue"/>
            <w:tcBorders>
              <w:left w:val="single" w:color="auto" w:sz="4" w:space="0"/>
            </w:tcBorders>
            <w:noWrap w:val="0"/>
            <w:vAlign w:val="center"/>
          </w:tcPr>
          <w:p w14:paraId="1C60835F">
            <w:pPr>
              <w:rPr>
                <w:rFonts w:eastAsia="仿宋"/>
                <w:lang w:eastAsia="zh-CN" w:bidi="ar"/>
              </w:rPr>
            </w:pPr>
          </w:p>
        </w:tc>
      </w:tr>
      <w:tr w14:paraId="6CA2C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2" w:type="dxa"/>
          <w:trHeight w:val="2294" w:hRule="atLeast"/>
        </w:trPr>
        <w:tc>
          <w:tcPr>
            <w:tcW w:w="697" w:type="dxa"/>
            <w:vMerge w:val="continue"/>
            <w:tcBorders>
              <w:top w:val="nil"/>
            </w:tcBorders>
            <w:noWrap w:val="0"/>
            <w:vAlign w:val="top"/>
          </w:tcPr>
          <w:p w14:paraId="44781E1F">
            <w:pPr>
              <w:pStyle w:val="27"/>
            </w:pPr>
          </w:p>
        </w:tc>
        <w:tc>
          <w:tcPr>
            <w:tcW w:w="1737" w:type="dxa"/>
            <w:noWrap w:val="0"/>
            <w:vAlign w:val="top"/>
          </w:tcPr>
          <w:p w14:paraId="13BE2913">
            <w:pPr>
              <w:pStyle w:val="27"/>
              <w:rPr>
                <w:lang w:eastAsia="zh-CN"/>
              </w:rPr>
            </w:pPr>
          </w:p>
          <w:p w14:paraId="78D369F7">
            <w:pPr>
              <w:pStyle w:val="27"/>
              <w:rPr>
                <w:lang w:eastAsia="zh-CN"/>
              </w:rPr>
            </w:pPr>
          </w:p>
          <w:p w14:paraId="64755D31">
            <w:pPr>
              <w:pStyle w:val="27"/>
              <w:rPr>
                <w:lang w:eastAsia="zh-CN"/>
              </w:rPr>
            </w:pPr>
          </w:p>
          <w:p w14:paraId="3AF300DA">
            <w:pPr>
              <w:pStyle w:val="27"/>
              <w:rPr>
                <w:lang w:eastAsia="zh-CN"/>
              </w:rPr>
            </w:pPr>
          </w:p>
          <w:p w14:paraId="7A8213B3">
            <w:pPr>
              <w:rPr>
                <w:rFonts w:eastAsia="仿宋"/>
                <w:lang w:eastAsia="zh-CN" w:bidi="ar"/>
              </w:rPr>
            </w:pPr>
            <w:r>
              <w:rPr>
                <w:rFonts w:hint="eastAsia" w:eastAsia="仿宋"/>
                <w:lang w:eastAsia="zh-CN" w:bidi="ar"/>
              </w:rPr>
              <w:t>签名验签服务</w:t>
            </w:r>
          </w:p>
        </w:tc>
        <w:tc>
          <w:tcPr>
            <w:tcW w:w="3673" w:type="dxa"/>
            <w:noWrap w:val="0"/>
            <w:vAlign w:val="top"/>
          </w:tcPr>
          <w:p w14:paraId="1EF5A994">
            <w:pPr>
              <w:rPr>
                <w:rFonts w:eastAsia="仿宋"/>
                <w:lang w:eastAsia="zh-CN" w:bidi="ar"/>
              </w:rPr>
            </w:pPr>
            <w:r>
              <w:rPr>
                <w:rFonts w:hint="eastAsia" w:eastAsia="仿宋"/>
                <w:lang w:eastAsia="zh-CN" w:bidi="ar"/>
              </w:rPr>
              <w:t>基于数字签名、验证签名技术，为业务系统提供应用级数字签名、验证签名等服务。性能规格：</w:t>
            </w:r>
          </w:p>
          <w:p w14:paraId="0EB63D6C">
            <w:pPr>
              <w:rPr>
                <w:rFonts w:eastAsia="仿宋"/>
                <w:lang w:eastAsia="zh-CN" w:bidi="ar"/>
              </w:rPr>
            </w:pPr>
            <w:r>
              <w:rPr>
                <w:rFonts w:hint="eastAsia" w:eastAsia="仿宋"/>
                <w:lang w:eastAsia="zh-CN" w:bidi="ar"/>
              </w:rPr>
              <w:t>并发请求数≥128 次/秒， SM1 计算速率≥15Mbps， SM2 加密≥2300  次/秒，SM2 解密≥1000  次/秒， SM4 计算速率≥150Mbps。</w:t>
            </w:r>
          </w:p>
        </w:tc>
        <w:tc>
          <w:tcPr>
            <w:tcW w:w="933" w:type="dxa"/>
            <w:noWrap w:val="0"/>
            <w:vAlign w:val="top"/>
          </w:tcPr>
          <w:p w14:paraId="67779949">
            <w:pPr>
              <w:pStyle w:val="27"/>
              <w:rPr>
                <w:lang w:eastAsia="zh-CN"/>
              </w:rPr>
            </w:pPr>
          </w:p>
          <w:p w14:paraId="7CFE213E">
            <w:pPr>
              <w:pStyle w:val="27"/>
              <w:rPr>
                <w:lang w:eastAsia="zh-CN"/>
              </w:rPr>
            </w:pPr>
          </w:p>
          <w:p w14:paraId="302F2BCC">
            <w:pPr>
              <w:pStyle w:val="27"/>
              <w:rPr>
                <w:lang w:eastAsia="zh-CN"/>
              </w:rPr>
            </w:pPr>
          </w:p>
          <w:p w14:paraId="705A1C15">
            <w:pPr>
              <w:pStyle w:val="27"/>
              <w:rPr>
                <w:lang w:eastAsia="zh-CN"/>
              </w:rPr>
            </w:pPr>
          </w:p>
          <w:p w14:paraId="402402E5">
            <w:pPr>
              <w:rPr>
                <w:rFonts w:eastAsia="仿宋"/>
                <w:lang w:eastAsia="zh-CN" w:bidi="ar"/>
              </w:rPr>
            </w:pPr>
            <w:r>
              <w:rPr>
                <w:rFonts w:hint="eastAsia" w:eastAsia="仿宋"/>
                <w:lang w:eastAsia="zh-CN" w:bidi="ar"/>
              </w:rPr>
              <w:t>1系统</w:t>
            </w:r>
          </w:p>
        </w:tc>
        <w:tc>
          <w:tcPr>
            <w:tcW w:w="1403" w:type="dxa"/>
            <w:vMerge w:val="continue"/>
            <w:tcBorders>
              <w:left w:val="single" w:color="auto" w:sz="4" w:space="0"/>
            </w:tcBorders>
            <w:noWrap w:val="0"/>
            <w:vAlign w:val="center"/>
          </w:tcPr>
          <w:p w14:paraId="14883BD7">
            <w:pPr>
              <w:rPr>
                <w:spacing w:val="-24"/>
                <w:sz w:val="28"/>
                <w:szCs w:val="28"/>
              </w:rPr>
            </w:pPr>
          </w:p>
        </w:tc>
      </w:tr>
      <w:tr w14:paraId="5B965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2" w:type="dxa"/>
          <w:trHeight w:val="1115" w:hRule="atLeast"/>
        </w:trPr>
        <w:tc>
          <w:tcPr>
            <w:tcW w:w="697" w:type="dxa"/>
            <w:vMerge w:val="restart"/>
            <w:tcBorders>
              <w:bottom w:val="nil"/>
            </w:tcBorders>
            <w:noWrap w:val="0"/>
            <w:vAlign w:val="top"/>
          </w:tcPr>
          <w:p w14:paraId="7DBDC8EB">
            <w:pPr>
              <w:pStyle w:val="27"/>
            </w:pPr>
          </w:p>
        </w:tc>
        <w:tc>
          <w:tcPr>
            <w:tcW w:w="1737" w:type="dxa"/>
            <w:noWrap w:val="0"/>
            <w:vAlign w:val="center"/>
          </w:tcPr>
          <w:p w14:paraId="609DF79E">
            <w:pPr>
              <w:rPr>
                <w:rFonts w:eastAsia="仿宋"/>
                <w:lang w:eastAsia="zh-CN" w:bidi="ar"/>
              </w:rPr>
            </w:pPr>
            <w:r>
              <w:rPr>
                <w:rFonts w:hint="eastAsia" w:eastAsia="仿宋"/>
                <w:lang w:eastAsia="zh-CN" w:bidi="ar"/>
              </w:rPr>
              <w:t>SSL VPN接入服务</w:t>
            </w:r>
          </w:p>
        </w:tc>
        <w:tc>
          <w:tcPr>
            <w:tcW w:w="3673" w:type="dxa"/>
            <w:noWrap w:val="0"/>
            <w:vAlign w:val="top"/>
          </w:tcPr>
          <w:p w14:paraId="78433209">
            <w:pPr>
              <w:rPr>
                <w:rFonts w:eastAsia="仿宋"/>
                <w:lang w:eastAsia="zh-CN" w:bidi="ar"/>
              </w:rPr>
            </w:pPr>
            <w:r>
              <w:rPr>
                <w:rFonts w:hint="eastAsia" w:eastAsia="仿宋"/>
                <w:lang w:eastAsia="zh-CN" w:bidi="ar"/>
              </w:rPr>
              <w:t>面向运维侧为租户提供基于国密数字证书认证方式的安全接入，提供通信数据机密性/保密性和完整性保护功 能，构建安全传输通道（只提供账户服务，不包含数字证书及 USBkey）。</w:t>
            </w:r>
          </w:p>
        </w:tc>
        <w:tc>
          <w:tcPr>
            <w:tcW w:w="933" w:type="dxa"/>
            <w:noWrap w:val="0"/>
            <w:vAlign w:val="top"/>
          </w:tcPr>
          <w:p w14:paraId="29FE7D52">
            <w:pPr>
              <w:rPr>
                <w:rFonts w:eastAsia="仿宋"/>
                <w:lang w:eastAsia="zh-CN" w:bidi="ar"/>
              </w:rPr>
            </w:pPr>
          </w:p>
          <w:p w14:paraId="13FB363C">
            <w:pPr>
              <w:rPr>
                <w:rFonts w:eastAsia="仿宋"/>
                <w:lang w:eastAsia="zh-CN" w:bidi="ar"/>
              </w:rPr>
            </w:pPr>
          </w:p>
          <w:p w14:paraId="4DA9F3DD">
            <w:pPr>
              <w:rPr>
                <w:rFonts w:eastAsia="仿宋"/>
                <w:lang w:eastAsia="zh-CN" w:bidi="ar"/>
              </w:rPr>
            </w:pPr>
            <w:r>
              <w:rPr>
                <w:rFonts w:hint="eastAsia" w:eastAsia="仿宋"/>
                <w:lang w:eastAsia="zh-CN" w:bidi="ar"/>
              </w:rPr>
              <w:t>1账户</w:t>
            </w:r>
          </w:p>
        </w:tc>
        <w:tc>
          <w:tcPr>
            <w:tcW w:w="1403" w:type="dxa"/>
            <w:vMerge w:val="continue"/>
            <w:tcBorders>
              <w:left w:val="single" w:color="auto" w:sz="4" w:space="0"/>
            </w:tcBorders>
            <w:noWrap w:val="0"/>
            <w:vAlign w:val="top"/>
          </w:tcPr>
          <w:p w14:paraId="30AB26E9">
            <w:pPr>
              <w:rPr>
                <w:spacing w:val="-24"/>
                <w:sz w:val="28"/>
                <w:szCs w:val="28"/>
              </w:rPr>
            </w:pPr>
          </w:p>
        </w:tc>
      </w:tr>
      <w:tr w14:paraId="6890D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2" w:type="dxa"/>
          <w:trHeight w:val="1604" w:hRule="atLeast"/>
        </w:trPr>
        <w:tc>
          <w:tcPr>
            <w:tcW w:w="697" w:type="dxa"/>
            <w:vMerge w:val="continue"/>
            <w:tcBorders>
              <w:top w:val="nil"/>
              <w:bottom w:val="nil"/>
            </w:tcBorders>
            <w:noWrap w:val="0"/>
            <w:vAlign w:val="top"/>
          </w:tcPr>
          <w:p w14:paraId="040F2DC0">
            <w:pPr>
              <w:pStyle w:val="27"/>
            </w:pPr>
          </w:p>
        </w:tc>
        <w:tc>
          <w:tcPr>
            <w:tcW w:w="1737" w:type="dxa"/>
            <w:noWrap w:val="0"/>
            <w:vAlign w:val="center"/>
          </w:tcPr>
          <w:p w14:paraId="0AF1B9A1">
            <w:pPr>
              <w:rPr>
                <w:rFonts w:eastAsia="仿宋"/>
                <w:lang w:eastAsia="zh-CN" w:bidi="ar"/>
              </w:rPr>
            </w:pPr>
            <w:r>
              <w:rPr>
                <w:rFonts w:hint="eastAsia" w:eastAsia="仿宋"/>
                <w:lang w:eastAsia="zh-CN" w:bidi="ar"/>
              </w:rPr>
              <w:t>IPSEC VPN服务</w:t>
            </w:r>
          </w:p>
        </w:tc>
        <w:tc>
          <w:tcPr>
            <w:tcW w:w="3673" w:type="dxa"/>
            <w:noWrap w:val="0"/>
            <w:vAlign w:val="top"/>
          </w:tcPr>
          <w:p w14:paraId="43A5A156">
            <w:pPr>
              <w:rPr>
                <w:rFonts w:eastAsia="仿宋"/>
                <w:lang w:eastAsia="zh-CN" w:bidi="ar"/>
              </w:rPr>
            </w:pPr>
            <w:r>
              <w:rPr>
                <w:rFonts w:hint="eastAsia" w:eastAsia="仿宋"/>
                <w:lang w:eastAsia="zh-CN" w:bidi="ar"/>
              </w:rPr>
              <w:t>为租户提供通信数据机密性/保密性和完整性保护功能，构建安全传输通道。性能规格：吞吐率≥500Mbps ，最大并发隧道数≥1000 个。</w:t>
            </w:r>
          </w:p>
        </w:tc>
        <w:tc>
          <w:tcPr>
            <w:tcW w:w="933" w:type="dxa"/>
            <w:noWrap w:val="0"/>
            <w:vAlign w:val="center"/>
          </w:tcPr>
          <w:p w14:paraId="79F5DEF3">
            <w:pPr>
              <w:rPr>
                <w:rFonts w:eastAsia="仿宋"/>
                <w:lang w:eastAsia="zh-CN" w:bidi="ar"/>
              </w:rPr>
            </w:pPr>
            <w:r>
              <w:rPr>
                <w:rFonts w:hint="eastAsia" w:eastAsia="仿宋"/>
                <w:lang w:eastAsia="zh-CN" w:bidi="ar"/>
              </w:rPr>
              <w:t>1套</w:t>
            </w:r>
          </w:p>
        </w:tc>
        <w:tc>
          <w:tcPr>
            <w:tcW w:w="1403" w:type="dxa"/>
            <w:vMerge w:val="continue"/>
            <w:tcBorders>
              <w:left w:val="single" w:color="auto" w:sz="4" w:space="0"/>
            </w:tcBorders>
            <w:noWrap w:val="0"/>
            <w:vAlign w:val="center"/>
          </w:tcPr>
          <w:p w14:paraId="3E3A266E">
            <w:pPr>
              <w:rPr>
                <w:spacing w:val="-17"/>
                <w:position w:val="1"/>
                <w:sz w:val="28"/>
                <w:szCs w:val="28"/>
              </w:rPr>
            </w:pPr>
          </w:p>
        </w:tc>
      </w:tr>
      <w:tr w14:paraId="4445F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2" w:type="dxa"/>
          <w:trHeight w:val="2573" w:hRule="atLeast"/>
        </w:trPr>
        <w:tc>
          <w:tcPr>
            <w:tcW w:w="697" w:type="dxa"/>
            <w:vMerge w:val="restart"/>
            <w:tcBorders>
              <w:top w:val="nil"/>
            </w:tcBorders>
            <w:noWrap w:val="0"/>
            <w:vAlign w:val="top"/>
          </w:tcPr>
          <w:p w14:paraId="23659E1E">
            <w:pPr>
              <w:pStyle w:val="27"/>
            </w:pPr>
          </w:p>
        </w:tc>
        <w:tc>
          <w:tcPr>
            <w:tcW w:w="1737" w:type="dxa"/>
            <w:noWrap w:val="0"/>
            <w:vAlign w:val="top"/>
          </w:tcPr>
          <w:p w14:paraId="0EF5430F">
            <w:pPr>
              <w:rPr>
                <w:rFonts w:eastAsia="仿宋"/>
                <w:lang w:eastAsia="zh-CN" w:bidi="ar"/>
              </w:rPr>
            </w:pPr>
          </w:p>
          <w:p w14:paraId="37357447">
            <w:pPr>
              <w:rPr>
                <w:rFonts w:eastAsia="仿宋"/>
                <w:lang w:eastAsia="zh-CN" w:bidi="ar"/>
              </w:rPr>
            </w:pPr>
          </w:p>
          <w:p w14:paraId="4B226576">
            <w:pPr>
              <w:rPr>
                <w:rFonts w:eastAsia="仿宋"/>
                <w:lang w:eastAsia="zh-CN" w:bidi="ar"/>
              </w:rPr>
            </w:pPr>
          </w:p>
          <w:p w14:paraId="0FA37B6A">
            <w:pPr>
              <w:rPr>
                <w:rFonts w:eastAsia="仿宋"/>
                <w:lang w:eastAsia="zh-CN" w:bidi="ar"/>
              </w:rPr>
            </w:pPr>
            <w:r>
              <w:rPr>
                <w:rFonts w:hint="eastAsia" w:eastAsia="仿宋"/>
                <w:lang w:eastAsia="zh-CN" w:bidi="ar"/>
              </w:rPr>
              <w:t>时间戳服务</w:t>
            </w:r>
          </w:p>
        </w:tc>
        <w:tc>
          <w:tcPr>
            <w:tcW w:w="3673" w:type="dxa"/>
            <w:noWrap w:val="0"/>
            <w:vAlign w:val="top"/>
          </w:tcPr>
          <w:p w14:paraId="20D98C0B">
            <w:pPr>
              <w:rPr>
                <w:rFonts w:eastAsia="仿宋"/>
                <w:lang w:eastAsia="zh-CN" w:bidi="ar"/>
              </w:rPr>
            </w:pPr>
            <w:r>
              <w:rPr>
                <w:rFonts w:hint="eastAsia" w:eastAsia="仿宋"/>
                <w:lang w:eastAsia="zh-CN" w:bidi="ar"/>
              </w:rPr>
              <w:t>提供时间戳签发、时间戳响应、时间戳解析、时间戳和有效性等多种安全功能。用于实现数据时间认证与签名需求奠定坚实基础。性能规格：</w:t>
            </w:r>
          </w:p>
          <w:p w14:paraId="1369AD73">
            <w:pPr>
              <w:rPr>
                <w:rFonts w:eastAsia="仿宋"/>
                <w:lang w:eastAsia="zh-CN" w:bidi="ar"/>
              </w:rPr>
            </w:pPr>
            <w:r>
              <w:rPr>
                <w:rFonts w:hint="eastAsia" w:eastAsia="仿宋"/>
                <w:lang w:eastAsia="zh-CN" w:bidi="ar"/>
              </w:rPr>
              <w:t>时间戳并发量≥100 个/秒，时间戳签发≥80 次/秒，</w:t>
            </w:r>
          </w:p>
          <w:p w14:paraId="19561628">
            <w:pPr>
              <w:rPr>
                <w:rFonts w:eastAsia="仿宋"/>
                <w:lang w:eastAsia="zh-CN" w:bidi="ar"/>
              </w:rPr>
            </w:pPr>
            <w:r>
              <w:rPr>
                <w:rFonts w:hint="eastAsia" w:eastAsia="仿宋"/>
                <w:lang w:eastAsia="zh-CN" w:bidi="ar"/>
              </w:rPr>
              <w:t>时间戳验证≥150 次/秒。</w:t>
            </w:r>
          </w:p>
        </w:tc>
        <w:tc>
          <w:tcPr>
            <w:tcW w:w="933" w:type="dxa"/>
            <w:noWrap w:val="0"/>
            <w:vAlign w:val="top"/>
          </w:tcPr>
          <w:p w14:paraId="37B8BD64">
            <w:pPr>
              <w:rPr>
                <w:rFonts w:eastAsia="仿宋"/>
                <w:lang w:eastAsia="zh-CN" w:bidi="ar"/>
              </w:rPr>
            </w:pPr>
          </w:p>
          <w:p w14:paraId="565828BB">
            <w:pPr>
              <w:rPr>
                <w:rFonts w:eastAsia="仿宋"/>
                <w:lang w:eastAsia="zh-CN" w:bidi="ar"/>
              </w:rPr>
            </w:pPr>
          </w:p>
          <w:p w14:paraId="005294CE">
            <w:pPr>
              <w:rPr>
                <w:rFonts w:eastAsia="仿宋"/>
                <w:lang w:eastAsia="zh-CN" w:bidi="ar"/>
              </w:rPr>
            </w:pPr>
          </w:p>
          <w:p w14:paraId="2C6EC11F">
            <w:pPr>
              <w:rPr>
                <w:rFonts w:eastAsia="仿宋"/>
                <w:lang w:eastAsia="zh-CN" w:bidi="ar"/>
              </w:rPr>
            </w:pPr>
            <w:r>
              <w:rPr>
                <w:rFonts w:hint="eastAsia" w:eastAsia="仿宋"/>
                <w:lang w:eastAsia="zh-CN" w:bidi="ar"/>
              </w:rPr>
              <w:t>1系统</w:t>
            </w:r>
          </w:p>
        </w:tc>
        <w:tc>
          <w:tcPr>
            <w:tcW w:w="1403" w:type="dxa"/>
            <w:vMerge w:val="continue"/>
            <w:tcBorders>
              <w:left w:val="single" w:color="auto" w:sz="4" w:space="0"/>
            </w:tcBorders>
            <w:noWrap w:val="0"/>
            <w:vAlign w:val="top"/>
          </w:tcPr>
          <w:p w14:paraId="56ACF71C">
            <w:pPr>
              <w:rPr>
                <w:spacing w:val="-24"/>
                <w:sz w:val="28"/>
                <w:szCs w:val="28"/>
              </w:rPr>
            </w:pPr>
          </w:p>
        </w:tc>
      </w:tr>
      <w:tr w14:paraId="648AC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2" w:type="dxa"/>
          <w:trHeight w:val="1651" w:hRule="atLeast"/>
        </w:trPr>
        <w:tc>
          <w:tcPr>
            <w:tcW w:w="697" w:type="dxa"/>
            <w:vMerge w:val="continue"/>
            <w:tcBorders>
              <w:top w:val="nil"/>
              <w:bottom w:val="nil"/>
            </w:tcBorders>
            <w:noWrap w:val="0"/>
            <w:vAlign w:val="top"/>
          </w:tcPr>
          <w:p w14:paraId="1BC561B0">
            <w:pPr>
              <w:pStyle w:val="27"/>
            </w:pPr>
          </w:p>
        </w:tc>
        <w:tc>
          <w:tcPr>
            <w:tcW w:w="1737" w:type="dxa"/>
            <w:noWrap w:val="0"/>
            <w:vAlign w:val="center"/>
          </w:tcPr>
          <w:p w14:paraId="4E94403A">
            <w:pPr>
              <w:rPr>
                <w:rFonts w:eastAsia="仿宋"/>
                <w:highlight w:val="none"/>
                <w:lang w:eastAsia="zh-CN" w:bidi="ar"/>
              </w:rPr>
            </w:pPr>
          </w:p>
          <w:p w14:paraId="37A123EE">
            <w:pPr>
              <w:rPr>
                <w:rFonts w:eastAsia="仿宋"/>
                <w:highlight w:val="none"/>
                <w:lang w:eastAsia="zh-CN" w:bidi="ar"/>
              </w:rPr>
            </w:pPr>
            <w:r>
              <w:rPr>
                <w:rFonts w:hint="eastAsia" w:eastAsia="仿宋"/>
                <w:highlight w:val="none"/>
                <w:lang w:eastAsia="zh-CN" w:bidi="ar"/>
              </w:rPr>
              <w:t>安全认证服务</w:t>
            </w:r>
          </w:p>
        </w:tc>
        <w:tc>
          <w:tcPr>
            <w:tcW w:w="3673" w:type="dxa"/>
            <w:noWrap w:val="0"/>
            <w:vAlign w:val="top"/>
          </w:tcPr>
          <w:p w14:paraId="4DE6B5A1">
            <w:pPr>
              <w:rPr>
                <w:rFonts w:eastAsia="仿宋"/>
                <w:highlight w:val="none"/>
                <w:lang w:eastAsia="zh-CN" w:bidi="ar"/>
              </w:rPr>
            </w:pPr>
            <w:r>
              <w:rPr>
                <w:rFonts w:hint="eastAsia" w:eastAsia="仿宋"/>
                <w:highlight w:val="none"/>
                <w:lang w:eastAsia="zh-CN" w:bidi="ar"/>
              </w:rPr>
              <w:t>为业务系统提供基于基于国产 SM2、 SM3、SM4 、SM9 算法的数字证书身份认证、数据链路加密的代理服务。性能规格：最大用户数≥500 ，加密吞吐量≥500Mbps。</w:t>
            </w:r>
          </w:p>
        </w:tc>
        <w:tc>
          <w:tcPr>
            <w:tcW w:w="933" w:type="dxa"/>
            <w:noWrap w:val="0"/>
            <w:vAlign w:val="top"/>
          </w:tcPr>
          <w:p w14:paraId="6E0B2D5A">
            <w:pPr>
              <w:pStyle w:val="27"/>
              <w:rPr>
                <w:highlight w:val="none"/>
                <w:lang w:eastAsia="zh-CN"/>
              </w:rPr>
            </w:pPr>
          </w:p>
          <w:p w14:paraId="662C5C30">
            <w:pPr>
              <w:pStyle w:val="27"/>
              <w:rPr>
                <w:highlight w:val="none"/>
                <w:lang w:eastAsia="zh-CN"/>
              </w:rPr>
            </w:pPr>
          </w:p>
          <w:p w14:paraId="0E42629F">
            <w:pPr>
              <w:rPr>
                <w:rFonts w:ascii="宋体" w:hAnsi="宋体" w:eastAsia="宋体" w:cs="宋体"/>
                <w:sz w:val="28"/>
                <w:szCs w:val="28"/>
                <w:highlight w:val="none"/>
              </w:rPr>
            </w:pPr>
            <w:r>
              <w:rPr>
                <w:rFonts w:hint="eastAsia" w:eastAsia="仿宋"/>
                <w:highlight w:val="none"/>
                <w:lang w:eastAsia="zh-CN" w:bidi="ar"/>
              </w:rPr>
              <w:t>1系统</w:t>
            </w:r>
          </w:p>
        </w:tc>
        <w:tc>
          <w:tcPr>
            <w:tcW w:w="1403" w:type="dxa"/>
            <w:vMerge w:val="continue"/>
            <w:tcBorders>
              <w:left w:val="single" w:color="auto" w:sz="4" w:space="0"/>
            </w:tcBorders>
            <w:noWrap w:val="0"/>
            <w:vAlign w:val="top"/>
          </w:tcPr>
          <w:p w14:paraId="26353025">
            <w:pPr>
              <w:rPr>
                <w:spacing w:val="-24"/>
                <w:sz w:val="28"/>
                <w:szCs w:val="28"/>
              </w:rPr>
            </w:pPr>
          </w:p>
        </w:tc>
      </w:tr>
      <w:tr w14:paraId="01083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2" w:type="dxa"/>
          <w:trHeight w:val="3186" w:hRule="atLeast"/>
        </w:trPr>
        <w:tc>
          <w:tcPr>
            <w:tcW w:w="697" w:type="dxa"/>
            <w:vMerge w:val="continue"/>
            <w:tcBorders>
              <w:top w:val="nil"/>
              <w:bottom w:val="single" w:color="auto" w:sz="4" w:space="0"/>
            </w:tcBorders>
            <w:noWrap w:val="0"/>
            <w:vAlign w:val="top"/>
          </w:tcPr>
          <w:p w14:paraId="2FE5348D">
            <w:pPr>
              <w:pStyle w:val="27"/>
            </w:pPr>
          </w:p>
        </w:tc>
        <w:tc>
          <w:tcPr>
            <w:tcW w:w="1737" w:type="dxa"/>
            <w:noWrap w:val="0"/>
            <w:vAlign w:val="center"/>
          </w:tcPr>
          <w:p w14:paraId="2D254F89">
            <w:pPr>
              <w:rPr>
                <w:rFonts w:eastAsia="仿宋"/>
                <w:lang w:eastAsia="zh-CN" w:bidi="ar"/>
              </w:rPr>
            </w:pPr>
          </w:p>
          <w:p w14:paraId="74C2CFCC">
            <w:pPr>
              <w:rPr>
                <w:rFonts w:eastAsia="仿宋"/>
                <w:lang w:eastAsia="zh-CN" w:bidi="ar"/>
              </w:rPr>
            </w:pPr>
          </w:p>
          <w:p w14:paraId="17E21FF8">
            <w:pPr>
              <w:rPr>
                <w:rFonts w:eastAsia="仿宋"/>
                <w:lang w:eastAsia="zh-CN" w:bidi="ar"/>
              </w:rPr>
            </w:pPr>
          </w:p>
          <w:p w14:paraId="5D8F164D">
            <w:pPr>
              <w:rPr>
                <w:rFonts w:eastAsia="仿宋"/>
                <w:lang w:eastAsia="zh-CN" w:bidi="ar"/>
              </w:rPr>
            </w:pPr>
          </w:p>
          <w:p w14:paraId="5960AC90">
            <w:pPr>
              <w:rPr>
                <w:rFonts w:eastAsia="仿宋"/>
                <w:lang w:eastAsia="zh-CN" w:bidi="ar"/>
              </w:rPr>
            </w:pPr>
            <w:r>
              <w:rPr>
                <w:rFonts w:hint="eastAsia" w:eastAsia="仿宋"/>
                <w:lang w:eastAsia="zh-CN" w:bidi="ar"/>
              </w:rPr>
              <w:t>协同签名服务</w:t>
            </w:r>
          </w:p>
        </w:tc>
        <w:tc>
          <w:tcPr>
            <w:tcW w:w="3673" w:type="dxa"/>
            <w:noWrap w:val="0"/>
            <w:vAlign w:val="top"/>
          </w:tcPr>
          <w:p w14:paraId="0D0D4C5A">
            <w:pPr>
              <w:rPr>
                <w:rFonts w:eastAsia="仿宋"/>
                <w:lang w:eastAsia="zh-CN" w:bidi="ar"/>
              </w:rPr>
            </w:pPr>
            <w:r>
              <w:rPr>
                <w:rFonts w:hint="eastAsia" w:eastAsia="仿宋"/>
                <w:lang w:eastAsia="zh-CN" w:bidi="ar"/>
              </w:rPr>
              <w:t>用于移动端、无介质PC 端基于数字证书的身份认证、链路传输加密场景，在终端用证时提供签名证书密钥生</w:t>
            </w:r>
          </w:p>
          <w:p w14:paraId="3F89E594">
            <w:pPr>
              <w:rPr>
                <w:rFonts w:eastAsia="仿宋"/>
                <w:lang w:eastAsia="zh-CN" w:bidi="ar"/>
              </w:rPr>
            </w:pPr>
            <w:r>
              <w:rPr>
                <w:rFonts w:hint="eastAsia" w:eastAsia="仿宋"/>
                <w:lang w:eastAsia="zh-CN" w:bidi="ar"/>
              </w:rPr>
              <w:t>成、密钥签名、密钥解密、密钥协同功能。性能规格：</w:t>
            </w:r>
          </w:p>
          <w:p w14:paraId="3A7F1768">
            <w:pPr>
              <w:rPr>
                <w:rFonts w:eastAsia="仿宋"/>
                <w:lang w:eastAsia="zh-CN" w:bidi="ar"/>
              </w:rPr>
            </w:pPr>
            <w:r>
              <w:rPr>
                <w:rFonts w:hint="eastAsia" w:eastAsia="仿宋"/>
                <w:lang w:eastAsia="zh-CN" w:bidi="ar"/>
              </w:rPr>
              <w:t>身份认证≥1000 次/秒，并发速率≥1000，</w:t>
            </w:r>
          </w:p>
          <w:p w14:paraId="379E4BA4">
            <w:pPr>
              <w:rPr>
                <w:rFonts w:eastAsia="仿宋"/>
                <w:lang w:eastAsia="zh-CN" w:bidi="ar"/>
              </w:rPr>
            </w:pPr>
            <w:r>
              <w:rPr>
                <w:rFonts w:hint="eastAsia" w:eastAsia="仿宋"/>
                <w:lang w:eastAsia="zh-CN" w:bidi="ar"/>
              </w:rPr>
              <w:t>数字签名≥2000 次/秒，并发数≥100。</w:t>
            </w:r>
          </w:p>
        </w:tc>
        <w:tc>
          <w:tcPr>
            <w:tcW w:w="933" w:type="dxa"/>
            <w:noWrap w:val="0"/>
            <w:vAlign w:val="top"/>
          </w:tcPr>
          <w:p w14:paraId="5CBFC7F3">
            <w:pPr>
              <w:pStyle w:val="27"/>
              <w:rPr>
                <w:lang w:eastAsia="zh-CN"/>
              </w:rPr>
            </w:pPr>
          </w:p>
          <w:p w14:paraId="11F37D0A">
            <w:pPr>
              <w:pStyle w:val="27"/>
              <w:rPr>
                <w:lang w:eastAsia="zh-CN"/>
              </w:rPr>
            </w:pPr>
          </w:p>
          <w:p w14:paraId="26BC59F5">
            <w:pPr>
              <w:pStyle w:val="27"/>
              <w:rPr>
                <w:lang w:eastAsia="zh-CN"/>
              </w:rPr>
            </w:pPr>
          </w:p>
          <w:p w14:paraId="24E0C0AE">
            <w:pPr>
              <w:pStyle w:val="27"/>
              <w:rPr>
                <w:lang w:eastAsia="zh-CN"/>
              </w:rPr>
            </w:pPr>
          </w:p>
          <w:p w14:paraId="433E563A">
            <w:pPr>
              <w:pStyle w:val="27"/>
              <w:rPr>
                <w:lang w:eastAsia="zh-CN"/>
              </w:rPr>
            </w:pPr>
          </w:p>
          <w:p w14:paraId="6CDFCD7A">
            <w:pPr>
              <w:pStyle w:val="27"/>
              <w:rPr>
                <w:lang w:eastAsia="zh-CN"/>
              </w:rPr>
            </w:pPr>
          </w:p>
          <w:p w14:paraId="5D9DBED6">
            <w:pPr>
              <w:rPr>
                <w:rFonts w:ascii="宋体" w:hAnsi="宋体" w:eastAsia="宋体" w:cs="宋体"/>
                <w:sz w:val="28"/>
                <w:szCs w:val="28"/>
              </w:rPr>
            </w:pPr>
            <w:r>
              <w:rPr>
                <w:rFonts w:hint="eastAsia" w:eastAsia="仿宋"/>
                <w:lang w:eastAsia="zh-CN" w:bidi="ar"/>
              </w:rPr>
              <w:t>1 套</w:t>
            </w:r>
          </w:p>
        </w:tc>
        <w:tc>
          <w:tcPr>
            <w:tcW w:w="1403" w:type="dxa"/>
            <w:noWrap w:val="0"/>
            <w:vAlign w:val="top"/>
          </w:tcPr>
          <w:p w14:paraId="19A0057E">
            <w:pPr>
              <w:pStyle w:val="27"/>
            </w:pPr>
          </w:p>
          <w:p w14:paraId="7FD31CAE">
            <w:pPr>
              <w:pStyle w:val="27"/>
            </w:pPr>
          </w:p>
          <w:p w14:paraId="661FFD42">
            <w:pPr>
              <w:pStyle w:val="27"/>
            </w:pPr>
          </w:p>
          <w:p w14:paraId="765472DD">
            <w:pPr>
              <w:pStyle w:val="27"/>
            </w:pPr>
          </w:p>
          <w:p w14:paraId="2EB519A8">
            <w:pPr>
              <w:pStyle w:val="27"/>
            </w:pPr>
          </w:p>
          <w:p w14:paraId="4A30C4E4">
            <w:pPr>
              <w:pStyle w:val="27"/>
            </w:pPr>
          </w:p>
          <w:p w14:paraId="72698B15">
            <w:pPr>
              <w:rPr>
                <w:spacing w:val="-17"/>
                <w:position w:val="1"/>
                <w:sz w:val="28"/>
                <w:szCs w:val="28"/>
              </w:rPr>
            </w:pPr>
          </w:p>
        </w:tc>
      </w:tr>
      <w:tr w14:paraId="49D48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1" w:hRule="atLeast"/>
        </w:trPr>
        <w:tc>
          <w:tcPr>
            <w:tcW w:w="697" w:type="dxa"/>
            <w:vMerge w:val="restart"/>
            <w:tcBorders>
              <w:top w:val="single" w:color="auto" w:sz="4" w:space="0"/>
              <w:left w:val="single" w:color="auto" w:sz="4" w:space="0"/>
              <w:bottom w:val="single" w:color="auto" w:sz="4" w:space="0"/>
              <w:right w:val="single" w:color="auto" w:sz="4" w:space="0"/>
            </w:tcBorders>
            <w:noWrap w:val="0"/>
            <w:vAlign w:val="top"/>
          </w:tcPr>
          <w:p w14:paraId="6DC857F3">
            <w:pPr>
              <w:pStyle w:val="27"/>
            </w:pPr>
          </w:p>
        </w:tc>
        <w:tc>
          <w:tcPr>
            <w:tcW w:w="1737" w:type="dxa"/>
            <w:tcBorders>
              <w:left w:val="single" w:color="auto" w:sz="4" w:space="0"/>
            </w:tcBorders>
            <w:noWrap w:val="0"/>
            <w:vAlign w:val="center"/>
          </w:tcPr>
          <w:p w14:paraId="6A8F272F">
            <w:pPr>
              <w:rPr>
                <w:rFonts w:eastAsia="仿宋"/>
                <w:lang w:eastAsia="zh-CN" w:bidi="ar"/>
              </w:rPr>
            </w:pPr>
          </w:p>
          <w:p w14:paraId="585C5DF6">
            <w:pPr>
              <w:rPr>
                <w:rFonts w:eastAsia="仿宋"/>
                <w:lang w:eastAsia="zh-CN" w:bidi="ar"/>
              </w:rPr>
            </w:pPr>
          </w:p>
          <w:p w14:paraId="677428CF">
            <w:pPr>
              <w:rPr>
                <w:rFonts w:eastAsia="仿宋"/>
                <w:lang w:eastAsia="zh-CN" w:bidi="ar"/>
              </w:rPr>
            </w:pPr>
            <w:r>
              <w:rPr>
                <w:rFonts w:hint="eastAsia" w:eastAsia="仿宋"/>
                <w:lang w:eastAsia="zh-CN" w:bidi="ar"/>
              </w:rPr>
              <w:t>数据库加密服务</w:t>
            </w:r>
          </w:p>
        </w:tc>
        <w:tc>
          <w:tcPr>
            <w:tcW w:w="3673" w:type="dxa"/>
            <w:noWrap w:val="0"/>
            <w:vAlign w:val="top"/>
          </w:tcPr>
          <w:p w14:paraId="68BEFF52">
            <w:pPr>
              <w:rPr>
                <w:rFonts w:eastAsia="仿宋"/>
                <w:lang w:eastAsia="zh-CN" w:bidi="ar"/>
              </w:rPr>
            </w:pPr>
            <w:r>
              <w:rPr>
                <w:rFonts w:hint="eastAsia" w:eastAsia="仿宋"/>
                <w:lang w:eastAsia="zh-CN" w:bidi="ar"/>
              </w:rPr>
              <w:t>提供数据库加密服务，实现对数据库关键字段或全库的数据进行加密保</w:t>
            </w:r>
          </w:p>
          <w:p w14:paraId="2B1FE67D">
            <w:pPr>
              <w:rPr>
                <w:rFonts w:eastAsia="仿宋"/>
                <w:lang w:eastAsia="zh-CN" w:bidi="ar"/>
              </w:rPr>
            </w:pPr>
            <w:r>
              <w:rPr>
                <w:rFonts w:hint="eastAsia" w:eastAsia="仿宋"/>
                <w:lang w:eastAsia="zh-CN" w:bidi="ar"/>
              </w:rPr>
              <w:t>存，满足结构化数据的存储机密性及完整性要求。性能规格：</w:t>
            </w:r>
          </w:p>
          <w:p w14:paraId="469464BE">
            <w:pPr>
              <w:rPr>
                <w:rFonts w:eastAsia="仿宋"/>
                <w:lang w:eastAsia="zh-CN" w:bidi="ar"/>
              </w:rPr>
            </w:pPr>
            <w:r>
              <w:rPr>
                <w:rFonts w:hint="eastAsia" w:eastAsia="仿宋"/>
                <w:lang w:eastAsia="zh-CN" w:bidi="ar"/>
              </w:rPr>
              <w:t>SM4 的加密性能≥70Mbps，数据库操作性能损耗≤20%，加密性能≥5000QPS。</w:t>
            </w:r>
          </w:p>
        </w:tc>
        <w:tc>
          <w:tcPr>
            <w:tcW w:w="933" w:type="dxa"/>
            <w:noWrap w:val="0"/>
            <w:vAlign w:val="top"/>
          </w:tcPr>
          <w:p w14:paraId="17B8B99A">
            <w:pPr>
              <w:rPr>
                <w:rFonts w:eastAsia="仿宋"/>
                <w:lang w:eastAsia="zh-CN" w:bidi="ar"/>
              </w:rPr>
            </w:pPr>
          </w:p>
          <w:p w14:paraId="44A3E562">
            <w:pPr>
              <w:rPr>
                <w:rFonts w:eastAsia="仿宋"/>
                <w:lang w:eastAsia="zh-CN" w:bidi="ar"/>
              </w:rPr>
            </w:pPr>
          </w:p>
          <w:p w14:paraId="75F6688F">
            <w:pPr>
              <w:rPr>
                <w:rFonts w:eastAsia="仿宋"/>
                <w:lang w:eastAsia="zh-CN" w:bidi="ar"/>
              </w:rPr>
            </w:pPr>
          </w:p>
          <w:p w14:paraId="0542F978">
            <w:pPr>
              <w:rPr>
                <w:rFonts w:eastAsia="仿宋"/>
                <w:lang w:eastAsia="zh-CN" w:bidi="ar"/>
              </w:rPr>
            </w:pPr>
            <w:r>
              <w:rPr>
                <w:rFonts w:hint="eastAsia" w:eastAsia="仿宋"/>
                <w:lang w:eastAsia="zh-CN" w:bidi="ar"/>
              </w:rPr>
              <w:t>1 实例</w:t>
            </w:r>
          </w:p>
        </w:tc>
        <w:tc>
          <w:tcPr>
            <w:tcW w:w="1425" w:type="dxa"/>
            <w:gridSpan w:val="2"/>
            <w:vMerge w:val="restart"/>
            <w:noWrap w:val="0"/>
            <w:vAlign w:val="top"/>
          </w:tcPr>
          <w:p w14:paraId="27831545">
            <w:pPr>
              <w:rPr>
                <w:rFonts w:eastAsia="仿宋"/>
                <w:lang w:eastAsia="zh-CN" w:bidi="ar"/>
              </w:rPr>
            </w:pPr>
          </w:p>
          <w:p w14:paraId="2BCDCFED">
            <w:pPr>
              <w:rPr>
                <w:rFonts w:eastAsia="仿宋"/>
                <w:lang w:eastAsia="zh-CN" w:bidi="ar"/>
              </w:rPr>
            </w:pPr>
          </w:p>
          <w:p w14:paraId="30F6E03F">
            <w:pPr>
              <w:rPr>
                <w:rFonts w:eastAsia="仿宋"/>
                <w:lang w:eastAsia="zh-CN" w:bidi="ar"/>
              </w:rPr>
            </w:pPr>
          </w:p>
          <w:p w14:paraId="4707AA5F"/>
          <w:p w14:paraId="6F178B62"/>
          <w:p w14:paraId="5D8DA137"/>
          <w:p w14:paraId="7563C36C">
            <w:pPr>
              <w:rPr>
                <w:spacing w:val="-24"/>
                <w:sz w:val="28"/>
                <w:szCs w:val="28"/>
              </w:rPr>
            </w:pPr>
          </w:p>
        </w:tc>
      </w:tr>
      <w:tr w14:paraId="7BF89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5"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top"/>
          </w:tcPr>
          <w:p w14:paraId="7A8B3796">
            <w:pPr>
              <w:pStyle w:val="27"/>
            </w:pPr>
          </w:p>
        </w:tc>
        <w:tc>
          <w:tcPr>
            <w:tcW w:w="1737" w:type="dxa"/>
            <w:tcBorders>
              <w:left w:val="single" w:color="auto" w:sz="4" w:space="0"/>
            </w:tcBorders>
            <w:noWrap w:val="0"/>
            <w:vAlign w:val="center"/>
          </w:tcPr>
          <w:p w14:paraId="6F7EF515">
            <w:pPr>
              <w:rPr>
                <w:rFonts w:eastAsia="仿宋"/>
                <w:lang w:eastAsia="zh-CN" w:bidi="ar"/>
              </w:rPr>
            </w:pPr>
          </w:p>
          <w:p w14:paraId="7C928940">
            <w:pPr>
              <w:rPr>
                <w:rFonts w:eastAsia="仿宋"/>
                <w:lang w:eastAsia="zh-CN" w:bidi="ar"/>
              </w:rPr>
            </w:pPr>
            <w:r>
              <w:rPr>
                <w:rFonts w:hint="eastAsia" w:eastAsia="仿宋"/>
                <w:lang w:eastAsia="zh-CN" w:bidi="ar"/>
              </w:rPr>
              <w:t>文件加密服务</w:t>
            </w:r>
          </w:p>
        </w:tc>
        <w:tc>
          <w:tcPr>
            <w:tcW w:w="3673" w:type="dxa"/>
            <w:noWrap w:val="0"/>
            <w:vAlign w:val="top"/>
          </w:tcPr>
          <w:p w14:paraId="480C3A6E">
            <w:pPr>
              <w:rPr>
                <w:rFonts w:eastAsia="仿宋"/>
                <w:lang w:eastAsia="zh-CN" w:bidi="ar"/>
              </w:rPr>
            </w:pPr>
            <w:r>
              <w:rPr>
                <w:rFonts w:hint="eastAsia" w:eastAsia="仿宋"/>
                <w:lang w:eastAsia="zh-CN" w:bidi="ar"/>
              </w:rPr>
              <w:t>提供非结构化文件加密服务，保障用户数据安全对非结构化文件提供加密服务，保障用户数据安全。性能规格：文件读写操作性能损耗≤20%，</w:t>
            </w:r>
          </w:p>
          <w:p w14:paraId="23E5997D">
            <w:pPr>
              <w:rPr>
                <w:rFonts w:eastAsia="仿宋"/>
                <w:lang w:eastAsia="zh-CN" w:bidi="ar"/>
              </w:rPr>
            </w:pPr>
            <w:r>
              <w:rPr>
                <w:rFonts w:hint="eastAsia" w:eastAsia="仿宋"/>
                <w:lang w:eastAsia="zh-CN" w:bidi="ar"/>
              </w:rPr>
              <w:t>文件加密速率≥400Mbps。</w:t>
            </w:r>
          </w:p>
        </w:tc>
        <w:tc>
          <w:tcPr>
            <w:tcW w:w="933" w:type="dxa"/>
            <w:noWrap w:val="0"/>
            <w:vAlign w:val="top"/>
          </w:tcPr>
          <w:p w14:paraId="264E0BFD">
            <w:pPr>
              <w:rPr>
                <w:rFonts w:eastAsia="仿宋"/>
                <w:lang w:eastAsia="zh-CN" w:bidi="ar"/>
              </w:rPr>
            </w:pPr>
          </w:p>
          <w:p w14:paraId="26247BED">
            <w:pPr>
              <w:rPr>
                <w:rFonts w:eastAsia="仿宋"/>
                <w:lang w:eastAsia="zh-CN" w:bidi="ar"/>
              </w:rPr>
            </w:pPr>
          </w:p>
          <w:p w14:paraId="5661D76D">
            <w:pPr>
              <w:rPr>
                <w:rFonts w:eastAsia="仿宋"/>
                <w:lang w:eastAsia="zh-CN" w:bidi="ar"/>
              </w:rPr>
            </w:pPr>
            <w:r>
              <w:rPr>
                <w:rFonts w:hint="eastAsia" w:eastAsia="仿宋"/>
                <w:lang w:eastAsia="zh-CN" w:bidi="ar"/>
              </w:rPr>
              <w:t>1 系统</w:t>
            </w:r>
          </w:p>
        </w:tc>
        <w:tc>
          <w:tcPr>
            <w:tcW w:w="1425" w:type="dxa"/>
            <w:gridSpan w:val="2"/>
            <w:vMerge w:val="continue"/>
            <w:noWrap w:val="0"/>
            <w:vAlign w:val="top"/>
          </w:tcPr>
          <w:p w14:paraId="6794A08A">
            <w:pPr>
              <w:rPr>
                <w:spacing w:val="-24"/>
                <w:sz w:val="28"/>
                <w:szCs w:val="28"/>
              </w:rPr>
            </w:pPr>
          </w:p>
        </w:tc>
      </w:tr>
    </w:tbl>
    <w:p w14:paraId="585E8DA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p>
    <w:p w14:paraId="6665C37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四</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技术服务要求</w:t>
      </w:r>
    </w:p>
    <w:p w14:paraId="618FA00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b/>
          <w:bCs/>
          <w:spacing w:val="-1"/>
          <w:sz w:val="24"/>
          <w:szCs w:val="24"/>
          <w:lang w:val="en-US" w:eastAsia="zh-CN"/>
        </w:rPr>
        <w:t>1.技术要求</w:t>
      </w:r>
    </w:p>
    <w:p w14:paraId="5C3E78A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本技术要求是基本要求，信创云服务商可进行优化，具体响应方案中的功能性能可优于本技术要求。</w:t>
      </w:r>
    </w:p>
    <w:p w14:paraId="19DA2610">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（1）信创云服务商须承诺配合采购人做好信创云监管平台接入和信创云安全工作，确保本项目达到国家监管部门要求。</w:t>
      </w:r>
    </w:p>
    <w:p w14:paraId="12DCA95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（2）信创云服务商承诺在签订合同后按工期完成云服务平台安装部署，并具备服务能力。</w:t>
      </w:r>
    </w:p>
    <w:p w14:paraId="0EE42E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（3）信创云服务商须承诺配合做好各单位业务应用迁移上云工作。</w:t>
      </w:r>
    </w:p>
    <w:p w14:paraId="70D766F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（4）信创云服务商须承诺，未经允许不得对云平台上的任何数据进行截取、加工、分析和处理，或提供给第三方。</w:t>
      </w:r>
    </w:p>
    <w:p w14:paraId="13404EE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（5）信创云服务商须承诺在服务期结束后，无条件配合各使用单位迁移应用系统。</w:t>
      </w:r>
    </w:p>
    <w:p w14:paraId="09D874D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（6）信创云服务商提供云平台需要的机房环境，包含安全可控的独立机房区域、电力、机柜、制冷、门禁及视频监控等，标准不低于国标B级。</w:t>
      </w:r>
    </w:p>
    <w:p w14:paraId="2BDBB20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（7）信创云供应商需提供计算及存储资源业务，包含云主机、高性能物理服务器、多种类型的高性能存储和静态存储等。</w:t>
      </w:r>
    </w:p>
    <w:p w14:paraId="3EDE5A6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（8）</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spacing w:val="-1"/>
          <w:sz w:val="24"/>
          <w:szCs w:val="24"/>
          <w:lang w:val="en-US" w:eastAsia="zh-CN"/>
        </w:rPr>
        <w:t>信创支持要求：项目同时需提供以采用国产化软硬件为架构基础的信创云服务。</w:t>
      </w:r>
    </w:p>
    <w:p w14:paraId="507C6FF4">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9）信创云供应商需提供云租户安全服务，包括但不仅限于主机漏洞扫描、主机防护、数据库审计、网页防篡改、日志审计、云WAF、入侵检测、堡垒机安全服务。应提供管理平台，实现云主机安全组件使用情况查阅。</w:t>
      </w:r>
    </w:p>
    <w:p w14:paraId="4D5AB5D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（10）信创云供应商需提供密码服务，包括但不限于密钥管理服务、加解密服务、签名验签服务、SSLVPN接入服务、IPSECVPN服务、时间戳服务、安全认证服务、协同签名服务、数据库加密服务、文件加密服务等。</w:t>
      </w:r>
    </w:p>
    <w:p w14:paraId="0A1CCBB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spacing w:val="-1"/>
          <w:sz w:val="24"/>
          <w:szCs w:val="24"/>
          <w:lang w:val="en-US" w:eastAsia="zh-CN"/>
        </w:rPr>
        <w:t>按照业务系统需求和政策规定对数据和应用程序进行备份和还原，并承诺与同城灾备平台进行对接。</w:t>
      </w:r>
    </w:p>
    <w:p w14:paraId="6011DDE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spacing w:val="-1"/>
          <w:sz w:val="24"/>
          <w:szCs w:val="24"/>
          <w:lang w:val="en-US" w:eastAsia="zh-CN"/>
        </w:rPr>
        <w:t>信创云供应商提供的云平台需满足等保2.0三级的安全防护要求，保证政务信息系统的网络安全、数据安全等。云平台密码应用安全性部分，依据《中华人民共和国密码法》《商用密码管理条例》《商用密码应用安全性评估管理办法》等相关法律法规要求执行。</w:t>
      </w:r>
    </w:p>
    <w:p w14:paraId="6B0E655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应在信创云不同层面保障政务信息系统安全，包括基础设施安全、云平台安全、云租户安全、平台运维安全、平台合规审计等。</w:t>
      </w:r>
    </w:p>
    <w:p w14:paraId="5B6762B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采购的云计算服务相关网络安全要求，应按上级政策规定执行。</w:t>
      </w:r>
    </w:p>
    <w:p w14:paraId="1CFAD984">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（13）</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spacing w:val="-1"/>
          <w:sz w:val="24"/>
          <w:szCs w:val="24"/>
          <w:lang w:val="en-US" w:eastAsia="zh-CN"/>
        </w:rPr>
        <w:t>信创云供应商需提供相关网络服务，支持与互联网、电子政务外网及行业部门专网的连接。提供与电子政务外网核心交换节点连接的专线。提供满足业务要求的互联网带宽和IPv4、IPv6双栈运行环境，其中应提供不少于500个IPv4IP。</w:t>
      </w:r>
    </w:p>
    <w:p w14:paraId="568595B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（14）信创云供应商须提供详细的技术实施方案。如果无技术实施方案视为不响应。</w:t>
      </w:r>
    </w:p>
    <w:p w14:paraId="0720E78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（15）信创云供应商须配合各政务部门使用信创云或者迁移（迁入、迁出、迁移测试）应用系统至信创云平台等相关工作，同时提供云迁移专家服务。主要负责但不限于如下工作：</w:t>
      </w:r>
    </w:p>
    <w:p w14:paraId="798DDEE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a）配合各单位应用系统迁移前的环境需求分析工作。</w:t>
      </w:r>
    </w:p>
    <w:p w14:paraId="2A6C61B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b）负责各单位应用系统迁移前的测试环境搭建工作。</w:t>
      </w:r>
    </w:p>
    <w:p w14:paraId="40B8E98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c）配置物理服务器、配置虚拟机、配置网络、安装操作系统、配置相应的安全策略等。</w:t>
      </w:r>
    </w:p>
    <w:p w14:paraId="286021A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d）配合或提供各单位应用系统迁移需要使用的迁移工具。</w:t>
      </w:r>
    </w:p>
    <w:p w14:paraId="52EDA71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e）配合各单位应用系统迁移过程中遇到问题故障分析以及提出解决方案，并配合解决问题故障。</w:t>
      </w:r>
    </w:p>
    <w:p w14:paraId="09F9011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f）负责各单位应用系统迁移过程中对硬件、网络、软件、安全等运行环境的变更工作。</w:t>
      </w:r>
    </w:p>
    <w:p w14:paraId="1FD14B5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g）配合各单位应用系统迁移后进行测试工作，如压力测试、故障测试等。</w:t>
      </w:r>
    </w:p>
    <w:p w14:paraId="3693F81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16）信创云供应商应提供必要的监管接口和日志查询等功能，在3年服务期内日志信息应全部留存，支持提供服务的信创云平台接受南阳市多云纳管平台纳管，确保政务主管部门对数据和业务运行状态的知情权，并可随时进行审查、检查和监管。</w:t>
      </w:r>
    </w:p>
    <w:p w14:paraId="7A4B86D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（17）</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spacing w:val="-1"/>
          <w:sz w:val="24"/>
          <w:szCs w:val="24"/>
          <w:lang w:val="en-US" w:eastAsia="zh-CN"/>
        </w:rPr>
        <w:t>信创云供应商负责信创云的日常运行监测，严格落实网络和信息安全法律法规和相关技术标准，提供服务的信创云平台应通过云计算服务安全评估、网络安全等级保护2.0三级测评、商用密码应用安全性评估（提供规定时间内通过评估或评测的承诺）。</w:t>
      </w:r>
    </w:p>
    <w:p w14:paraId="2EEE42A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（18）信创云供应商需定期接受服务绩效考核，按照信创云主管部门制定的绩效考核指标，计算最终服务费用，同时提升信创云服务效能。</w:t>
      </w:r>
    </w:p>
    <w:p w14:paraId="1FC33E2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（19）基础运算单元（VCPU）不低于2000核，当某项云服务达到现有服务能力的70%，需要在15日历天内及时进行扩充。</w:t>
      </w:r>
    </w:p>
    <w:p w14:paraId="2E268CDB">
      <w:pPr>
        <w:pStyle w:val="4"/>
        <w:ind w:firstLine="430" w:firstLineChars="200"/>
        <w:rPr>
          <w:rFonts w:hint="eastAsia"/>
          <w:b/>
          <w:bCs/>
        </w:rPr>
      </w:pPr>
      <w:r>
        <w:rPr>
          <w:rFonts w:hint="eastAsia" w:asciiTheme="minorEastAsia" w:hAnsiTheme="minorEastAsia" w:eastAsiaTheme="minorEastAsia" w:cstheme="minorEastAsia"/>
          <w:b/>
          <w:bCs/>
          <w:snapToGrid w:val="0"/>
          <w:color w:val="000000"/>
          <w:spacing w:val="-13"/>
          <w:kern w:val="0"/>
          <w:sz w:val="24"/>
          <w:szCs w:val="24"/>
          <w:lang w:val="en-US" w:eastAsia="zh-CN" w:bidi="ar-SA"/>
        </w:rPr>
        <w:t>注：以上技术要求中，加</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napToGrid w:val="0"/>
          <w:color w:val="000000"/>
          <w:spacing w:val="-13"/>
          <w:kern w:val="0"/>
          <w:sz w:val="24"/>
          <w:szCs w:val="24"/>
          <w:lang w:val="en-US" w:eastAsia="zh-CN" w:bidi="ar-SA"/>
        </w:rPr>
        <w:t>部分不得有负偏离，否则视为实质性不响应，按无效标处理。</w:t>
      </w:r>
    </w:p>
    <w:p w14:paraId="00F4765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b/>
          <w:bCs/>
          <w:spacing w:val="-1"/>
          <w:sz w:val="24"/>
          <w:szCs w:val="24"/>
          <w:lang w:val="en-US" w:eastAsia="zh-CN"/>
        </w:rPr>
      </w:pPr>
      <w:r>
        <w:rPr>
          <w:rFonts w:hint="eastAsia" w:asciiTheme="minorEastAsia" w:hAnsiTheme="minorEastAsia" w:eastAsiaTheme="minorEastAsia" w:cstheme="minorEastAsia"/>
          <w:b/>
          <w:bCs/>
          <w:spacing w:val="-1"/>
          <w:sz w:val="24"/>
          <w:szCs w:val="24"/>
          <w:lang w:val="en-US" w:eastAsia="zh-CN"/>
        </w:rPr>
        <w:t>2.服务要求</w:t>
      </w:r>
    </w:p>
    <w:p w14:paraId="6B8BD28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（1）服务要求概览</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430"/>
        <w:gridCol w:w="6247"/>
      </w:tblGrid>
      <w:tr w14:paraId="6F37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496" w:type="pct"/>
            <w:noWrap w:val="0"/>
            <w:vAlign w:val="center"/>
          </w:tcPr>
          <w:p w14:paraId="29CF2F4C">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b/>
                <w:bCs/>
                <w:color w:val="auto"/>
                <w:kern w:val="2"/>
                <w:sz w:val="28"/>
                <w:szCs w:val="28"/>
                <w:lang w:eastAsia="zh-CN"/>
              </w:rPr>
            </w:pPr>
            <w:r>
              <w:rPr>
                <w:rFonts w:hint="eastAsia" w:ascii="仿宋" w:hAnsi="仿宋" w:eastAsia="仿宋" w:cs="仿宋"/>
                <w:b/>
                <w:bCs/>
                <w:color w:val="auto"/>
                <w:kern w:val="2"/>
                <w:sz w:val="28"/>
                <w:szCs w:val="28"/>
                <w:lang w:eastAsia="zh-CN"/>
              </w:rPr>
              <w:t>序号</w:t>
            </w:r>
          </w:p>
        </w:tc>
        <w:tc>
          <w:tcPr>
            <w:tcW w:w="839" w:type="pct"/>
            <w:noWrap w:val="0"/>
            <w:vAlign w:val="center"/>
          </w:tcPr>
          <w:p w14:paraId="5EE838A5">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b/>
                <w:bCs/>
                <w:color w:val="auto"/>
                <w:kern w:val="2"/>
                <w:sz w:val="28"/>
                <w:szCs w:val="28"/>
                <w:lang w:eastAsia="zh-CN"/>
              </w:rPr>
            </w:pPr>
            <w:r>
              <w:rPr>
                <w:rFonts w:hint="eastAsia" w:ascii="仿宋" w:hAnsi="仿宋" w:eastAsia="仿宋" w:cs="仿宋"/>
                <w:b/>
                <w:bCs/>
                <w:color w:val="auto"/>
                <w:kern w:val="2"/>
                <w:sz w:val="28"/>
                <w:szCs w:val="28"/>
                <w:lang w:eastAsia="zh-CN"/>
              </w:rPr>
              <w:t>服务名称</w:t>
            </w:r>
          </w:p>
        </w:tc>
        <w:tc>
          <w:tcPr>
            <w:tcW w:w="3664" w:type="pct"/>
            <w:noWrap w:val="0"/>
            <w:vAlign w:val="center"/>
          </w:tcPr>
          <w:p w14:paraId="4C37E231">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b/>
                <w:bCs/>
                <w:color w:val="auto"/>
                <w:kern w:val="2"/>
                <w:sz w:val="28"/>
                <w:szCs w:val="28"/>
                <w:lang w:eastAsia="zh-CN"/>
              </w:rPr>
            </w:pPr>
            <w:r>
              <w:rPr>
                <w:rFonts w:hint="eastAsia" w:ascii="仿宋" w:hAnsi="仿宋" w:eastAsia="仿宋" w:cs="仿宋"/>
                <w:b/>
                <w:bCs/>
                <w:color w:val="auto"/>
                <w:kern w:val="2"/>
                <w:sz w:val="28"/>
                <w:szCs w:val="28"/>
                <w:lang w:eastAsia="zh-CN"/>
              </w:rPr>
              <w:t>服务要求</w:t>
            </w:r>
          </w:p>
        </w:tc>
      </w:tr>
      <w:tr w14:paraId="12F8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top"/>
          </w:tcPr>
          <w:p w14:paraId="740B4194">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1</w:t>
            </w:r>
          </w:p>
        </w:tc>
        <w:tc>
          <w:tcPr>
            <w:tcW w:w="839" w:type="pct"/>
            <w:noWrap w:val="0"/>
            <w:vAlign w:val="center"/>
          </w:tcPr>
          <w:p w14:paraId="3B362C5D">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机房</w:t>
            </w:r>
          </w:p>
        </w:tc>
        <w:tc>
          <w:tcPr>
            <w:tcW w:w="3664" w:type="pct"/>
            <w:noWrap w:val="0"/>
            <w:vAlign w:val="center"/>
          </w:tcPr>
          <w:p w14:paraId="70E3CE86">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val="en-US" w:eastAsia="zh-CN"/>
              </w:rPr>
              <w:t>B级机房，</w:t>
            </w:r>
            <w:r>
              <w:rPr>
                <w:rFonts w:hint="eastAsia" w:ascii="仿宋" w:hAnsi="仿宋" w:eastAsia="仿宋" w:cs="仿宋"/>
                <w:color w:val="auto"/>
                <w:kern w:val="2"/>
                <w:sz w:val="28"/>
                <w:szCs w:val="28"/>
                <w:lang w:eastAsia="zh-CN"/>
              </w:rPr>
              <w:t>机房空间要求满足本期摆放空间，并具备后期扩展能力，</w:t>
            </w:r>
            <w:r>
              <w:rPr>
                <w:rFonts w:hint="eastAsia" w:ascii="仿宋" w:hAnsi="仿宋" w:eastAsia="仿宋" w:cs="仿宋"/>
                <w:color w:val="auto"/>
                <w:kern w:val="2"/>
                <w:sz w:val="28"/>
                <w:szCs w:val="28"/>
                <w:lang w:val="en-US" w:eastAsia="zh-CN"/>
              </w:rPr>
              <w:t>机房须位于南阳市范围内（异地灾备机房除外）。</w:t>
            </w:r>
          </w:p>
        </w:tc>
      </w:tr>
      <w:tr w14:paraId="3EF6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top"/>
          </w:tcPr>
          <w:p w14:paraId="74BDE208">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2</w:t>
            </w:r>
          </w:p>
        </w:tc>
        <w:tc>
          <w:tcPr>
            <w:tcW w:w="839" w:type="pct"/>
            <w:noWrap w:val="0"/>
            <w:vAlign w:val="center"/>
          </w:tcPr>
          <w:p w14:paraId="4FEEF8A5">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传输线路</w:t>
            </w:r>
          </w:p>
        </w:tc>
        <w:tc>
          <w:tcPr>
            <w:tcW w:w="3664" w:type="pct"/>
            <w:noWrap w:val="0"/>
            <w:vAlign w:val="center"/>
          </w:tcPr>
          <w:p w14:paraId="54A7252E">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提供2路及以上传输线路；承诺与</w:t>
            </w:r>
            <w:r>
              <w:rPr>
                <w:rFonts w:hint="eastAsia" w:ascii="仿宋" w:hAnsi="仿宋" w:eastAsia="仿宋" w:cs="仿宋"/>
                <w:color w:val="auto"/>
                <w:kern w:val="2"/>
                <w:sz w:val="28"/>
                <w:szCs w:val="28"/>
                <w:lang w:val="en-US" w:eastAsia="zh-CN"/>
              </w:rPr>
              <w:t>市域内其他政务云</w:t>
            </w:r>
            <w:r>
              <w:rPr>
                <w:rFonts w:hint="eastAsia" w:ascii="仿宋" w:hAnsi="仿宋" w:eastAsia="仿宋" w:cs="仿宋"/>
                <w:color w:val="auto"/>
                <w:kern w:val="2"/>
                <w:sz w:val="28"/>
                <w:szCs w:val="28"/>
                <w:lang w:eastAsia="zh-CN"/>
              </w:rPr>
              <w:t>进行专线连接。</w:t>
            </w:r>
          </w:p>
        </w:tc>
      </w:tr>
      <w:tr w14:paraId="39ED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center"/>
          </w:tcPr>
          <w:p w14:paraId="3C0DD962">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3</w:t>
            </w:r>
          </w:p>
        </w:tc>
        <w:tc>
          <w:tcPr>
            <w:tcW w:w="839" w:type="pct"/>
            <w:noWrap w:val="0"/>
            <w:vAlign w:val="center"/>
          </w:tcPr>
          <w:p w14:paraId="2C59DD74">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云管理平台</w:t>
            </w:r>
          </w:p>
        </w:tc>
        <w:tc>
          <w:tcPr>
            <w:tcW w:w="3664" w:type="pct"/>
            <w:noWrap w:val="0"/>
            <w:vAlign w:val="center"/>
          </w:tcPr>
          <w:p w14:paraId="2D9E45C9">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提供</w:t>
            </w:r>
            <w:r>
              <w:rPr>
                <w:rFonts w:hint="eastAsia" w:ascii="仿宋" w:hAnsi="仿宋" w:eastAsia="仿宋" w:cs="仿宋"/>
                <w:color w:val="auto"/>
                <w:kern w:val="2"/>
                <w:sz w:val="28"/>
                <w:szCs w:val="28"/>
                <w:lang w:val="en-US" w:eastAsia="zh-CN"/>
              </w:rPr>
              <w:t>满足云运行管理要求的管理平台，实现资源创建、分配、监控、回收、告警等功能，并</w:t>
            </w:r>
            <w:r>
              <w:rPr>
                <w:rFonts w:hint="eastAsia" w:ascii="仿宋" w:hAnsi="仿宋" w:eastAsia="仿宋" w:cs="仿宋"/>
                <w:color w:val="auto"/>
                <w:kern w:val="2"/>
                <w:sz w:val="28"/>
                <w:szCs w:val="28"/>
                <w:lang w:eastAsia="zh-CN"/>
              </w:rPr>
              <w:t>提供云平台操作截图证明。</w:t>
            </w:r>
          </w:p>
        </w:tc>
      </w:tr>
      <w:tr w14:paraId="3F1A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center"/>
          </w:tcPr>
          <w:p w14:paraId="5A634A61">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4</w:t>
            </w:r>
          </w:p>
        </w:tc>
        <w:tc>
          <w:tcPr>
            <w:tcW w:w="839" w:type="pct"/>
            <w:noWrap w:val="0"/>
            <w:vAlign w:val="center"/>
          </w:tcPr>
          <w:p w14:paraId="1D8A6D72">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计算资源池</w:t>
            </w:r>
          </w:p>
        </w:tc>
        <w:tc>
          <w:tcPr>
            <w:tcW w:w="3664" w:type="pct"/>
            <w:noWrap w:val="0"/>
            <w:vAlign w:val="center"/>
          </w:tcPr>
          <w:p w14:paraId="45CF418D">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云主机（ECS）可用性≥</w:t>
            </w:r>
            <w:r>
              <w:rPr>
                <w:rFonts w:hint="eastAsia" w:ascii="仿宋" w:hAnsi="仿宋" w:eastAsia="仿宋" w:cs="仿宋"/>
                <w:color w:val="000000"/>
                <w:kern w:val="2"/>
                <w:sz w:val="28"/>
                <w:szCs w:val="28"/>
                <w:lang w:eastAsia="zh-CN"/>
              </w:rPr>
              <w:t>99.9</w:t>
            </w:r>
            <w:r>
              <w:rPr>
                <w:rFonts w:hint="eastAsia" w:ascii="仿宋" w:hAnsi="仿宋" w:eastAsia="仿宋" w:cs="仿宋"/>
                <w:color w:val="000000"/>
                <w:kern w:val="2"/>
                <w:sz w:val="28"/>
                <w:szCs w:val="28"/>
                <w:lang w:val="en-US" w:eastAsia="zh-CN"/>
              </w:rPr>
              <w:t>5</w:t>
            </w:r>
            <w:r>
              <w:rPr>
                <w:rFonts w:hint="eastAsia" w:ascii="仿宋" w:hAnsi="仿宋" w:eastAsia="仿宋" w:cs="仿宋"/>
                <w:color w:val="000000"/>
                <w:kern w:val="2"/>
                <w:sz w:val="28"/>
                <w:szCs w:val="28"/>
                <w:lang w:eastAsia="zh-CN"/>
              </w:rPr>
              <w:t>%</w:t>
            </w:r>
            <w:r>
              <w:rPr>
                <w:rFonts w:hint="eastAsia" w:ascii="仿宋" w:hAnsi="仿宋" w:eastAsia="仿宋" w:cs="仿宋"/>
                <w:color w:val="auto"/>
                <w:kern w:val="2"/>
                <w:sz w:val="28"/>
                <w:szCs w:val="28"/>
                <w:lang w:eastAsia="zh-CN"/>
              </w:rPr>
              <w:t>，提供相关证明材料。</w:t>
            </w:r>
          </w:p>
        </w:tc>
      </w:tr>
      <w:tr w14:paraId="2E15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top"/>
          </w:tcPr>
          <w:p w14:paraId="7481EA57">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p>
          <w:p w14:paraId="780A5E9D">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5</w:t>
            </w:r>
          </w:p>
        </w:tc>
        <w:tc>
          <w:tcPr>
            <w:tcW w:w="839" w:type="pct"/>
            <w:noWrap w:val="0"/>
            <w:vAlign w:val="center"/>
          </w:tcPr>
          <w:p w14:paraId="470F8915">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存储资源池</w:t>
            </w:r>
          </w:p>
        </w:tc>
        <w:tc>
          <w:tcPr>
            <w:tcW w:w="3664" w:type="pct"/>
            <w:noWrap w:val="0"/>
            <w:vAlign w:val="center"/>
          </w:tcPr>
          <w:p w14:paraId="58F15B77">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块存储（云硬盘）和对象存储数据存储持久性≥99.9999%，提供相关证明材料。</w:t>
            </w:r>
          </w:p>
        </w:tc>
      </w:tr>
      <w:tr w14:paraId="2E7C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top"/>
          </w:tcPr>
          <w:p w14:paraId="31332D88">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6</w:t>
            </w:r>
          </w:p>
        </w:tc>
        <w:tc>
          <w:tcPr>
            <w:tcW w:w="839" w:type="pct"/>
            <w:noWrap w:val="0"/>
            <w:vAlign w:val="center"/>
          </w:tcPr>
          <w:p w14:paraId="395FEEC1">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网络资源池</w:t>
            </w:r>
          </w:p>
        </w:tc>
        <w:tc>
          <w:tcPr>
            <w:tcW w:w="3664" w:type="pct"/>
            <w:noWrap w:val="0"/>
            <w:vAlign w:val="center"/>
          </w:tcPr>
          <w:p w14:paraId="113898E1">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提供满足要求的网络资源池能力</w:t>
            </w:r>
          </w:p>
        </w:tc>
      </w:tr>
      <w:tr w14:paraId="083E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top"/>
          </w:tcPr>
          <w:p w14:paraId="66734D1F">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7</w:t>
            </w:r>
          </w:p>
        </w:tc>
        <w:tc>
          <w:tcPr>
            <w:tcW w:w="839" w:type="pct"/>
            <w:noWrap w:val="0"/>
            <w:vAlign w:val="center"/>
          </w:tcPr>
          <w:p w14:paraId="69E77966">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安全资源池</w:t>
            </w:r>
          </w:p>
        </w:tc>
        <w:tc>
          <w:tcPr>
            <w:tcW w:w="3664" w:type="pct"/>
            <w:noWrap w:val="0"/>
            <w:vAlign w:val="center"/>
          </w:tcPr>
          <w:p w14:paraId="6A9C7237">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提供满足要求的安全能力</w:t>
            </w:r>
          </w:p>
        </w:tc>
      </w:tr>
      <w:tr w14:paraId="15A6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top"/>
          </w:tcPr>
          <w:p w14:paraId="6C71196E">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default" w:ascii="仿宋" w:hAnsi="仿宋" w:eastAsia="仿宋" w:cs="仿宋"/>
                <w:color w:val="000000"/>
                <w:kern w:val="2"/>
                <w:sz w:val="28"/>
                <w:szCs w:val="28"/>
                <w:lang w:eastAsia="zh-CN"/>
              </w:rPr>
            </w:pPr>
            <w:r>
              <w:rPr>
                <w:rFonts w:hint="eastAsia" w:ascii="仿宋" w:hAnsi="仿宋" w:eastAsia="仿宋" w:cs="仿宋"/>
                <w:color w:val="000000"/>
                <w:kern w:val="2"/>
                <w:sz w:val="28"/>
                <w:szCs w:val="28"/>
                <w:lang w:val="en-US" w:eastAsia="zh-CN"/>
              </w:rPr>
              <w:t>8</w:t>
            </w:r>
          </w:p>
        </w:tc>
        <w:tc>
          <w:tcPr>
            <w:tcW w:w="839" w:type="pct"/>
            <w:noWrap w:val="0"/>
            <w:vAlign w:val="center"/>
          </w:tcPr>
          <w:p w14:paraId="09B6672B">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default" w:ascii="仿宋" w:hAnsi="仿宋" w:eastAsia="仿宋" w:cs="仿宋"/>
                <w:color w:val="000000"/>
                <w:kern w:val="2"/>
                <w:sz w:val="28"/>
                <w:szCs w:val="28"/>
                <w:lang w:eastAsia="zh-CN"/>
              </w:rPr>
            </w:pPr>
            <w:r>
              <w:rPr>
                <w:rFonts w:hint="eastAsia" w:ascii="仿宋" w:hAnsi="仿宋" w:eastAsia="仿宋" w:cs="仿宋"/>
                <w:color w:val="000000"/>
                <w:kern w:val="2"/>
                <w:sz w:val="28"/>
                <w:szCs w:val="28"/>
                <w:lang w:val="en-US" w:eastAsia="zh-CN"/>
              </w:rPr>
              <w:t>密码资源池</w:t>
            </w:r>
          </w:p>
        </w:tc>
        <w:tc>
          <w:tcPr>
            <w:tcW w:w="3664" w:type="pct"/>
            <w:noWrap w:val="0"/>
            <w:vAlign w:val="center"/>
          </w:tcPr>
          <w:p w14:paraId="2807DF93">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default" w:ascii="仿宋" w:hAnsi="仿宋" w:eastAsia="仿宋" w:cs="仿宋"/>
                <w:color w:val="000000"/>
                <w:kern w:val="2"/>
                <w:sz w:val="28"/>
                <w:szCs w:val="28"/>
                <w:lang w:eastAsia="zh-CN"/>
              </w:rPr>
            </w:pPr>
            <w:r>
              <w:rPr>
                <w:rFonts w:hint="eastAsia" w:ascii="仿宋" w:hAnsi="仿宋" w:eastAsia="仿宋" w:cs="仿宋"/>
                <w:color w:val="000000"/>
                <w:kern w:val="2"/>
                <w:sz w:val="28"/>
                <w:szCs w:val="28"/>
                <w:lang w:val="en-US" w:eastAsia="zh-CN"/>
              </w:rPr>
              <w:t>提供满足要求的密码服务能力</w:t>
            </w:r>
          </w:p>
        </w:tc>
      </w:tr>
      <w:tr w14:paraId="1999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center"/>
          </w:tcPr>
          <w:p w14:paraId="0BA8476E">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val="en-US" w:eastAsia="zh-CN"/>
              </w:rPr>
              <w:t>9</w:t>
            </w:r>
          </w:p>
        </w:tc>
        <w:tc>
          <w:tcPr>
            <w:tcW w:w="839" w:type="pct"/>
            <w:noWrap w:val="0"/>
            <w:vAlign w:val="center"/>
          </w:tcPr>
          <w:p w14:paraId="63E97FD1">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云数据库</w:t>
            </w:r>
          </w:p>
        </w:tc>
        <w:tc>
          <w:tcPr>
            <w:tcW w:w="3664" w:type="pct"/>
            <w:noWrap w:val="0"/>
            <w:vAlign w:val="center"/>
          </w:tcPr>
          <w:p w14:paraId="1127231E">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lang w:eastAsia="zh-CN"/>
              </w:rPr>
              <w:t>云数据库的数据存储持久性≥99.9999%，提供相关证明材料。</w:t>
            </w:r>
          </w:p>
        </w:tc>
      </w:tr>
      <w:tr w14:paraId="0357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top"/>
          </w:tcPr>
          <w:p w14:paraId="4A6BA3C3">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val="en-US" w:eastAsia="zh-CN"/>
              </w:rPr>
              <w:t>10</w:t>
            </w:r>
          </w:p>
        </w:tc>
        <w:tc>
          <w:tcPr>
            <w:tcW w:w="839" w:type="pct"/>
            <w:noWrap w:val="0"/>
            <w:vAlign w:val="center"/>
          </w:tcPr>
          <w:p w14:paraId="761A515A">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监管接口</w:t>
            </w:r>
          </w:p>
        </w:tc>
        <w:tc>
          <w:tcPr>
            <w:tcW w:w="3664" w:type="pct"/>
            <w:noWrap w:val="0"/>
            <w:vAlign w:val="center"/>
          </w:tcPr>
          <w:p w14:paraId="134B1D5C">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提供满足</w:t>
            </w:r>
            <w:r>
              <w:rPr>
                <w:rFonts w:hint="eastAsia" w:ascii="仿宋" w:hAnsi="仿宋" w:eastAsia="仿宋" w:cs="仿宋"/>
                <w:color w:val="auto"/>
                <w:kern w:val="2"/>
                <w:sz w:val="28"/>
                <w:szCs w:val="28"/>
                <w:highlight w:val="none"/>
                <w:lang w:val="en-US" w:eastAsia="zh-CN"/>
              </w:rPr>
              <w:t>监管要求</w:t>
            </w:r>
            <w:r>
              <w:rPr>
                <w:rFonts w:hint="eastAsia" w:ascii="仿宋" w:hAnsi="仿宋" w:eastAsia="仿宋" w:cs="仿宋"/>
                <w:color w:val="auto"/>
                <w:kern w:val="2"/>
                <w:sz w:val="28"/>
                <w:szCs w:val="28"/>
                <w:highlight w:val="none"/>
                <w:lang w:eastAsia="zh-CN"/>
              </w:rPr>
              <w:t>和统一安全运维所需的接口</w:t>
            </w:r>
          </w:p>
        </w:tc>
      </w:tr>
      <w:tr w14:paraId="3071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top"/>
          </w:tcPr>
          <w:p w14:paraId="0BD265B6">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11</w:t>
            </w:r>
          </w:p>
        </w:tc>
        <w:tc>
          <w:tcPr>
            <w:tcW w:w="839" w:type="pct"/>
            <w:noWrap w:val="0"/>
            <w:vAlign w:val="center"/>
          </w:tcPr>
          <w:p w14:paraId="25349E94">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运维要求</w:t>
            </w:r>
          </w:p>
        </w:tc>
        <w:tc>
          <w:tcPr>
            <w:tcW w:w="3664" w:type="pct"/>
            <w:noWrap w:val="0"/>
            <w:vAlign w:val="center"/>
          </w:tcPr>
          <w:p w14:paraId="0418C255">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提供满足</w:t>
            </w:r>
            <w:r>
              <w:rPr>
                <w:rFonts w:hint="eastAsia" w:ascii="仿宋" w:hAnsi="仿宋" w:eastAsia="仿宋" w:cs="仿宋"/>
                <w:color w:val="auto"/>
                <w:kern w:val="2"/>
                <w:sz w:val="28"/>
                <w:szCs w:val="28"/>
                <w:highlight w:val="none"/>
                <w:lang w:val="en-US" w:eastAsia="zh-CN"/>
              </w:rPr>
              <w:t>信创</w:t>
            </w:r>
            <w:r>
              <w:rPr>
                <w:rFonts w:hint="eastAsia" w:ascii="仿宋" w:hAnsi="仿宋" w:eastAsia="仿宋" w:cs="仿宋"/>
                <w:color w:val="auto"/>
                <w:kern w:val="2"/>
                <w:sz w:val="28"/>
                <w:szCs w:val="28"/>
                <w:highlight w:val="none"/>
                <w:lang w:eastAsia="zh-CN"/>
              </w:rPr>
              <w:t>云标准要求的运维服务方案</w:t>
            </w:r>
          </w:p>
        </w:tc>
      </w:tr>
      <w:tr w14:paraId="409D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top"/>
          </w:tcPr>
          <w:p w14:paraId="3C08B0A6">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12</w:t>
            </w:r>
          </w:p>
        </w:tc>
        <w:tc>
          <w:tcPr>
            <w:tcW w:w="839" w:type="pct"/>
            <w:noWrap w:val="0"/>
            <w:vAlign w:val="center"/>
          </w:tcPr>
          <w:p w14:paraId="54CBE7CD">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故障处理</w:t>
            </w:r>
          </w:p>
        </w:tc>
        <w:tc>
          <w:tcPr>
            <w:tcW w:w="3664" w:type="pct"/>
            <w:noWrap w:val="0"/>
            <w:vAlign w:val="center"/>
          </w:tcPr>
          <w:p w14:paraId="6393028A">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提供满足</w:t>
            </w:r>
            <w:r>
              <w:rPr>
                <w:rFonts w:hint="eastAsia" w:ascii="仿宋" w:hAnsi="仿宋" w:eastAsia="仿宋" w:cs="仿宋"/>
                <w:color w:val="auto"/>
                <w:kern w:val="2"/>
                <w:sz w:val="28"/>
                <w:szCs w:val="28"/>
                <w:highlight w:val="none"/>
                <w:lang w:val="en-US" w:eastAsia="zh-CN"/>
              </w:rPr>
              <w:t>信创</w:t>
            </w:r>
            <w:r>
              <w:rPr>
                <w:rFonts w:hint="eastAsia" w:ascii="仿宋" w:hAnsi="仿宋" w:eastAsia="仿宋" w:cs="仿宋"/>
                <w:color w:val="auto"/>
                <w:kern w:val="2"/>
                <w:sz w:val="28"/>
                <w:szCs w:val="28"/>
                <w:highlight w:val="none"/>
                <w:lang w:eastAsia="zh-CN"/>
              </w:rPr>
              <w:t>云标准要求的故障处理方案</w:t>
            </w:r>
          </w:p>
        </w:tc>
      </w:tr>
      <w:tr w14:paraId="46C7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center"/>
          </w:tcPr>
          <w:p w14:paraId="32324894">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13</w:t>
            </w:r>
          </w:p>
        </w:tc>
        <w:tc>
          <w:tcPr>
            <w:tcW w:w="839" w:type="pct"/>
            <w:noWrap w:val="0"/>
            <w:vAlign w:val="center"/>
          </w:tcPr>
          <w:p w14:paraId="137911BC">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应急响应</w:t>
            </w:r>
          </w:p>
        </w:tc>
        <w:tc>
          <w:tcPr>
            <w:tcW w:w="3664" w:type="pct"/>
            <w:noWrap w:val="0"/>
            <w:vAlign w:val="center"/>
          </w:tcPr>
          <w:p w14:paraId="377383CD">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提供满足</w:t>
            </w:r>
            <w:r>
              <w:rPr>
                <w:rFonts w:hint="eastAsia" w:ascii="仿宋" w:hAnsi="仿宋" w:eastAsia="仿宋" w:cs="仿宋"/>
                <w:color w:val="auto"/>
                <w:kern w:val="2"/>
                <w:sz w:val="28"/>
                <w:szCs w:val="28"/>
                <w:highlight w:val="none"/>
                <w:lang w:val="en-US" w:eastAsia="zh-CN"/>
              </w:rPr>
              <w:t>信创</w:t>
            </w:r>
            <w:r>
              <w:rPr>
                <w:rFonts w:hint="eastAsia" w:ascii="仿宋" w:hAnsi="仿宋" w:eastAsia="仿宋" w:cs="仿宋"/>
                <w:color w:val="auto"/>
                <w:kern w:val="2"/>
                <w:sz w:val="28"/>
                <w:szCs w:val="28"/>
                <w:highlight w:val="none"/>
                <w:lang w:eastAsia="zh-CN"/>
              </w:rPr>
              <w:t>云标准要求的应急响应方案</w:t>
            </w:r>
          </w:p>
        </w:tc>
      </w:tr>
      <w:tr w14:paraId="25AA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96" w:type="pct"/>
            <w:noWrap w:val="0"/>
            <w:vAlign w:val="center"/>
          </w:tcPr>
          <w:p w14:paraId="54234D86">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1</w:t>
            </w:r>
            <w:r>
              <w:rPr>
                <w:rFonts w:hint="eastAsia" w:ascii="仿宋" w:hAnsi="仿宋" w:eastAsia="仿宋" w:cs="仿宋"/>
                <w:color w:val="auto"/>
                <w:kern w:val="2"/>
                <w:sz w:val="28"/>
                <w:szCs w:val="28"/>
                <w:highlight w:val="none"/>
                <w:lang w:val="en-US" w:eastAsia="zh-CN"/>
              </w:rPr>
              <w:t>4</w:t>
            </w:r>
          </w:p>
        </w:tc>
        <w:tc>
          <w:tcPr>
            <w:tcW w:w="839" w:type="pct"/>
            <w:noWrap w:val="0"/>
            <w:vAlign w:val="center"/>
          </w:tcPr>
          <w:p w14:paraId="59ADAEE0">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center"/>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信息安全保障服务</w:t>
            </w:r>
          </w:p>
        </w:tc>
        <w:tc>
          <w:tcPr>
            <w:tcW w:w="3664" w:type="pct"/>
            <w:noWrap w:val="0"/>
            <w:vAlign w:val="center"/>
          </w:tcPr>
          <w:p w14:paraId="44B89F11">
            <w:pPr>
              <w:keepNext w:val="0"/>
              <w:keepLines w:val="0"/>
              <w:pageBreakBefore w:val="0"/>
              <w:widowControl w:val="0"/>
              <w:kinsoku/>
              <w:wordWrap/>
              <w:overflowPunct/>
              <w:topLinePunct w:val="0"/>
              <w:autoSpaceDE/>
              <w:autoSpaceDN/>
              <w:bidi w:val="0"/>
              <w:adjustRightInd/>
              <w:snapToGrid/>
              <w:spacing w:beforeAutospacing="0" w:afterAutospacing="0" w:line="340" w:lineRule="exact"/>
              <w:ind w:left="0" w:leftChars="0"/>
              <w:jc w:val="both"/>
              <w:textAlignment w:val="auto"/>
              <w:rPr>
                <w:rFonts w:hint="eastAsia" w:ascii="仿宋" w:hAnsi="仿宋" w:eastAsia="仿宋" w:cs="仿宋"/>
                <w:color w:val="auto"/>
                <w:kern w:val="2"/>
                <w:sz w:val="28"/>
                <w:szCs w:val="28"/>
                <w:highlight w:val="none"/>
                <w:lang w:eastAsia="zh-CN"/>
              </w:rPr>
            </w:pPr>
            <w:r>
              <w:rPr>
                <w:rFonts w:hint="eastAsia" w:ascii="仿宋" w:hAnsi="仿宋" w:eastAsia="仿宋" w:cs="仿宋"/>
                <w:color w:val="auto"/>
                <w:kern w:val="2"/>
                <w:sz w:val="28"/>
                <w:szCs w:val="28"/>
                <w:highlight w:val="none"/>
                <w:lang w:eastAsia="zh-CN"/>
              </w:rPr>
              <w:t>提供满足</w:t>
            </w:r>
            <w:r>
              <w:rPr>
                <w:rFonts w:hint="eastAsia" w:ascii="仿宋" w:hAnsi="仿宋" w:eastAsia="仿宋" w:cs="仿宋"/>
                <w:color w:val="auto"/>
                <w:kern w:val="2"/>
                <w:sz w:val="28"/>
                <w:szCs w:val="28"/>
                <w:highlight w:val="none"/>
                <w:lang w:val="en-US" w:eastAsia="zh-CN"/>
              </w:rPr>
              <w:t>信创</w:t>
            </w:r>
            <w:r>
              <w:rPr>
                <w:rFonts w:hint="eastAsia" w:ascii="仿宋" w:hAnsi="仿宋" w:eastAsia="仿宋" w:cs="仿宋"/>
                <w:color w:val="auto"/>
                <w:kern w:val="2"/>
                <w:sz w:val="28"/>
                <w:szCs w:val="28"/>
                <w:highlight w:val="none"/>
                <w:lang w:eastAsia="zh-CN"/>
              </w:rPr>
              <w:t>云标准要求的信息安全保障服务方案</w:t>
            </w:r>
          </w:p>
        </w:tc>
      </w:tr>
    </w:tbl>
    <w:p w14:paraId="2BFD3DB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p>
    <w:p w14:paraId="2B91049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2</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运维要求</w:t>
      </w:r>
    </w:p>
    <w:p w14:paraId="79EFD8E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供应商需提供素质高、专业性强、经验丰富、稳定的运维团队，主要负责整个信创云平台的软硬件和网络运维。供应商需要为本项目选派专业技术人员参与本项目实施运维，需包括云核心</w:t>
      </w:r>
      <w:r>
        <w:rPr>
          <w:rFonts w:hint="eastAsia" w:asciiTheme="minorEastAsia" w:hAnsiTheme="minorEastAsia" w:eastAsiaTheme="minorEastAsia" w:cstheme="minorEastAsia"/>
          <w:spacing w:val="-1"/>
          <w:sz w:val="24"/>
          <w:szCs w:val="24"/>
          <w:lang w:val="en-US" w:eastAsia="zh-CN"/>
        </w:rPr>
        <w:t>技术</w:t>
      </w:r>
      <w:r>
        <w:rPr>
          <w:rFonts w:hint="eastAsia" w:asciiTheme="minorEastAsia" w:hAnsiTheme="minorEastAsia" w:eastAsiaTheme="minorEastAsia" w:cstheme="minorEastAsia"/>
          <w:spacing w:val="-1"/>
          <w:sz w:val="24"/>
          <w:szCs w:val="24"/>
          <w:lang w:eastAsia="zh-CN"/>
        </w:rPr>
        <w:t>提供方的原厂或原厂授权驻场运维人员至少1名、其他驻场运维人员至少5名。供应商需建设有严格的、有组织有纪律的管理运维流程，并指派专职联络员，团队需要7×24小时在岗及时响应故障请求，负责云平台的故障受理、处理、跟踪、结果汇报工作。</w:t>
      </w:r>
    </w:p>
    <w:p w14:paraId="153E209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供应商云平台的云服务的可用性不低于</w:t>
      </w:r>
      <w:r>
        <w:rPr>
          <w:rFonts w:hint="eastAsia" w:asciiTheme="minorEastAsia" w:hAnsiTheme="minorEastAsia" w:eastAsiaTheme="minorEastAsia" w:cstheme="minorEastAsia"/>
          <w:spacing w:val="-1"/>
          <w:sz w:val="24"/>
          <w:szCs w:val="24"/>
          <w:lang w:val="en-US" w:eastAsia="zh-CN"/>
        </w:rPr>
        <w:t>99.99%</w:t>
      </w:r>
      <w:r>
        <w:rPr>
          <w:rFonts w:hint="eastAsia" w:asciiTheme="minorEastAsia" w:hAnsiTheme="minorEastAsia" w:eastAsiaTheme="minorEastAsia" w:cstheme="minorEastAsia"/>
          <w:spacing w:val="-1"/>
          <w:sz w:val="24"/>
          <w:szCs w:val="24"/>
          <w:lang w:eastAsia="zh-CN"/>
        </w:rPr>
        <w:t>；供应商云资源交付时间不超过</w:t>
      </w: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lang w:eastAsia="zh-CN"/>
        </w:rPr>
        <w:t>个</w:t>
      </w:r>
      <w:r>
        <w:rPr>
          <w:rFonts w:hint="eastAsia" w:asciiTheme="minorEastAsia" w:hAnsiTheme="minorEastAsia" w:eastAsiaTheme="minorEastAsia" w:cstheme="minorEastAsia"/>
          <w:spacing w:val="-1"/>
          <w:sz w:val="24"/>
          <w:szCs w:val="24"/>
          <w:lang w:val="en-US" w:eastAsia="zh-CN"/>
        </w:rPr>
        <w:t>工作日</w:t>
      </w:r>
      <w:r>
        <w:rPr>
          <w:rFonts w:hint="eastAsia" w:asciiTheme="minorEastAsia" w:hAnsiTheme="minorEastAsia" w:eastAsiaTheme="minorEastAsia" w:cstheme="minorEastAsia"/>
          <w:spacing w:val="-1"/>
          <w:sz w:val="24"/>
          <w:szCs w:val="24"/>
          <w:lang w:eastAsia="zh-CN"/>
        </w:rPr>
        <w:t>。</w:t>
      </w:r>
    </w:p>
    <w:p w14:paraId="076DF22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运维方案应从整个运维服务体系的宗旨、运维服务体系架构、运维服务体系的内容、运维管理制度、人员培训等方面来阐述说明。</w:t>
      </w:r>
    </w:p>
    <w:p w14:paraId="4A2A0C3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故障处理</w:t>
      </w:r>
    </w:p>
    <w:p w14:paraId="614C322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投标人必须承诺在签订合同后，实行7×24小时运行维护和响应故障工作，负责信创云平台的故障受理、处理、跟踪、结果汇报工作。</w:t>
      </w:r>
    </w:p>
    <w:p w14:paraId="19A57E9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对于一般故障要求供应商30分钟内进行响应；对于重大故障要求供应商10分钟内进行响应；对于特别重大故障要求供应商5分钟内进行响应。</w:t>
      </w:r>
    </w:p>
    <w:p w14:paraId="0E5546D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故障处理方案应从故障处理的流程、</w:t>
      </w:r>
      <w:r>
        <w:rPr>
          <w:rFonts w:hint="eastAsia" w:asciiTheme="minorEastAsia" w:hAnsiTheme="minorEastAsia" w:eastAsiaTheme="minorEastAsia" w:cstheme="minorEastAsia"/>
          <w:spacing w:val="-1"/>
          <w:sz w:val="24"/>
          <w:szCs w:val="24"/>
          <w:lang w:val="en-US" w:eastAsia="zh-CN"/>
        </w:rPr>
        <w:t>故障现象、故障原因分析、</w:t>
      </w:r>
      <w:r>
        <w:rPr>
          <w:rFonts w:hint="eastAsia" w:asciiTheme="minorEastAsia" w:hAnsiTheme="minorEastAsia" w:eastAsiaTheme="minorEastAsia" w:cstheme="minorEastAsia"/>
          <w:spacing w:val="-1"/>
          <w:sz w:val="24"/>
          <w:szCs w:val="24"/>
          <w:lang w:eastAsia="zh-CN"/>
        </w:rPr>
        <w:t>故障处理</w:t>
      </w:r>
      <w:r>
        <w:rPr>
          <w:rFonts w:hint="eastAsia" w:asciiTheme="minorEastAsia" w:hAnsiTheme="minorEastAsia" w:eastAsiaTheme="minorEastAsia" w:cstheme="minorEastAsia"/>
          <w:spacing w:val="-1"/>
          <w:sz w:val="24"/>
          <w:szCs w:val="24"/>
          <w:lang w:val="en-US" w:eastAsia="zh-CN"/>
        </w:rPr>
        <w:t>过程</w:t>
      </w:r>
      <w:r>
        <w:rPr>
          <w:rFonts w:hint="eastAsia" w:asciiTheme="minorEastAsia" w:hAnsiTheme="minorEastAsia" w:eastAsiaTheme="minorEastAsia" w:cstheme="minorEastAsia"/>
          <w:spacing w:val="-1"/>
          <w:sz w:val="24"/>
          <w:szCs w:val="24"/>
          <w:lang w:eastAsia="zh-CN"/>
        </w:rPr>
        <w:t>等方面来阐述说明。</w:t>
      </w:r>
    </w:p>
    <w:p w14:paraId="0A70B15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应急响应服务</w:t>
      </w:r>
    </w:p>
    <w:p w14:paraId="735F8DF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default" w:asciiTheme="minorEastAsia" w:hAnsiTheme="minorEastAsia" w:eastAsiaTheme="minorEastAsia" w:cstheme="minorEastAsia"/>
          <w:spacing w:val="-1"/>
          <w:sz w:val="24"/>
          <w:szCs w:val="24"/>
          <w:lang w:val="en-US" w:eastAsia="zh-CN"/>
        </w:rPr>
        <w:t>应急响应服务包含应急方案和对应的应急演练。</w:t>
      </w:r>
    </w:p>
    <w:p w14:paraId="17717F7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default" w:asciiTheme="minorEastAsia" w:hAnsiTheme="minorEastAsia" w:eastAsiaTheme="minorEastAsia" w:cstheme="minorEastAsia"/>
          <w:spacing w:val="-1"/>
          <w:sz w:val="24"/>
          <w:szCs w:val="24"/>
          <w:lang w:val="en-US" w:eastAsia="zh-CN"/>
        </w:rPr>
        <w:t>供应商应提供应急处理预案，提供出现问题的快速解决方法，制定完善合理的应急响应方案。应急响应方案应从应急流程、响应时间、响应方案（电力应急、空调应急、消防应急、网络及系统应急、云平台故障应急）等方面来阐述说明。</w:t>
      </w:r>
    </w:p>
    <w:p w14:paraId="6C70C90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default" w:asciiTheme="minorEastAsia" w:hAnsiTheme="minorEastAsia" w:eastAsiaTheme="minorEastAsia" w:cstheme="minorEastAsia"/>
          <w:spacing w:val="-1"/>
          <w:sz w:val="24"/>
          <w:szCs w:val="24"/>
          <w:lang w:val="en-US" w:eastAsia="zh-CN"/>
        </w:rPr>
        <w:t>供应商每年应进行不少于2次的应急演练。</w:t>
      </w:r>
    </w:p>
    <w:p w14:paraId="2E866AD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5</w:t>
      </w:r>
      <w:r>
        <w:rPr>
          <w:rFonts w:hint="eastAsia" w:asciiTheme="minorEastAsia" w:hAnsiTheme="minorEastAsia" w:eastAsiaTheme="minorEastAsia" w:cstheme="minorEastAsia"/>
          <w:spacing w:val="-1"/>
          <w:sz w:val="24"/>
          <w:szCs w:val="24"/>
          <w:lang w:eastAsia="zh-CN"/>
        </w:rPr>
        <w:t>）信息安全保障服务</w:t>
      </w:r>
    </w:p>
    <w:p w14:paraId="42CD960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投标人应遵循国家电子政务信息安全保障体系要求，参考国家主管部门发布的相关标准和规范和要求，提供明确、完善、可行的安全建设方案，充分考虑在网络、系统、数据库、应用等方面的安全性。</w:t>
      </w:r>
    </w:p>
    <w:p w14:paraId="3D1D02D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供应商须从机房、网络、安全、虚拟机、物理机、存储、运维等方面加强信息安全管理，避免因出现问题引起信息安全责任事故。</w:t>
      </w:r>
    </w:p>
    <w:p w14:paraId="02CDC3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信息安全保障服务方案应从保障措施、预防措施、风险评估、质量保障等方面来阐述说明。</w:t>
      </w:r>
    </w:p>
    <w:p w14:paraId="6B8A541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6</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培训服务</w:t>
      </w:r>
    </w:p>
    <w:p w14:paraId="3B26C73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供应商应按计划组织培训，每年应进行不少于2次的培训。培训对象为甲方及甲方最终用户。培训内容包括平台原理、使用方法、安装方法、配置方法、维护方法、故障排除及软件升级等，体现数据安全、等保密评、上云迁云、网络、数据库、稳定性、一体化运维服务能力，并提供培训教材和培训课程计划表。</w:t>
      </w:r>
    </w:p>
    <w:p w14:paraId="5E3EE2C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供应商应制定培训目标、确定培训资源、选择培训方式，切实开展培训实施准备、授课呈现、学员管理等工作。培训工作采取面授为主的方式进行。制定相应的考核制度和措施，保证培训质量。</w:t>
      </w:r>
    </w:p>
    <w:p w14:paraId="3A13258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（7）重保服务要求</w:t>
      </w:r>
    </w:p>
    <w:p w14:paraId="517A86B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供应商须提供重点保障服务方案，包含重要时间节点如春节、两会、国庆等重大时间点的重保服务。供应商按需提供重保服务。</w:t>
      </w:r>
    </w:p>
    <w:p w14:paraId="3CB8BA3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30" w:firstLineChars="200"/>
        <w:jc w:val="both"/>
        <w:textAlignment w:val="baseline"/>
        <w:outlineLvl w:val="9"/>
        <w:rPr>
          <w:rFonts w:hint="eastAsia" w:asciiTheme="minorEastAsia" w:hAnsiTheme="minorEastAsia" w:eastAsiaTheme="minorEastAsia" w:cstheme="minorEastAsia"/>
          <w:b/>
          <w:bCs/>
          <w:snapToGrid w:val="0"/>
          <w:color w:val="000000"/>
          <w:spacing w:val="-13"/>
          <w:kern w:val="0"/>
          <w:sz w:val="24"/>
          <w:szCs w:val="24"/>
          <w:lang w:val="en-US" w:eastAsia="zh-CN" w:bidi="ar-SA"/>
        </w:rPr>
      </w:pPr>
      <w:r>
        <w:rPr>
          <w:rFonts w:hint="eastAsia" w:asciiTheme="minorEastAsia" w:hAnsiTheme="minorEastAsia" w:eastAsiaTheme="minorEastAsia" w:cstheme="minorEastAsia"/>
          <w:b/>
          <w:bCs/>
          <w:snapToGrid w:val="0"/>
          <w:color w:val="000000"/>
          <w:spacing w:val="-13"/>
          <w:kern w:val="0"/>
          <w:sz w:val="24"/>
          <w:szCs w:val="24"/>
          <w:lang w:val="en-US" w:eastAsia="zh-CN" w:bidi="ar-SA"/>
        </w:rPr>
        <w:t>注：投标人须承诺提供的服务能够满足以上服务要求的全部内容（提供承诺书，格式自拟，否则按无效标处理）</w:t>
      </w:r>
    </w:p>
    <w:p w14:paraId="4EC3C600">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14:paraId="55FAEE90">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2"/>
          <w:sz w:val="24"/>
          <w:szCs w:val="24"/>
          <w:lang w:val="en-US" w:eastAsia="zh-CN"/>
        </w:rPr>
        <w:t>交货期：合同签订后30日历天内。</w:t>
      </w:r>
    </w:p>
    <w:p w14:paraId="4931A25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2.服务</w:t>
      </w:r>
      <w:r>
        <w:rPr>
          <w:rFonts w:hint="eastAsia" w:asciiTheme="minorEastAsia" w:hAnsiTheme="minorEastAsia" w:eastAsiaTheme="minorEastAsia" w:cstheme="minorEastAsia"/>
          <w:spacing w:val="-1"/>
          <w:sz w:val="24"/>
          <w:szCs w:val="24"/>
        </w:rPr>
        <w:t>期限</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三年</w:t>
      </w:r>
    </w:p>
    <w:p w14:paraId="2890534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val="en-US" w:eastAsia="zh-CN"/>
        </w:rPr>
        <w:t>3.服务质量：合格，达到相关规范标准并通过验收</w:t>
      </w:r>
    </w:p>
    <w:p w14:paraId="34DF74A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4.质保期：从验收合格之日至信息系统迁出完毕</w:t>
      </w:r>
    </w:p>
    <w:p w14:paraId="7406B814">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default"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pacing w:val="-1"/>
          <w:sz w:val="24"/>
          <w:szCs w:val="24"/>
          <w:lang w:val="en-US" w:eastAsia="zh-CN"/>
        </w:rPr>
        <w:t>预算金额：150万元/年，共450万元。</w:t>
      </w:r>
    </w:p>
    <w:p w14:paraId="03EAAD60">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6.付款方式：按照《河南省政务云管理办法》第二十六条要求，依据云服务目录据实结算。每年进行一次核算，支付本次政务云服务费用。</w:t>
      </w:r>
    </w:p>
    <w:p w14:paraId="19F0077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7.验收标准及方式：</w:t>
      </w:r>
    </w:p>
    <w:p w14:paraId="0F04308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7.1验收标准：中标人在验收活动中必须遵守采购人的有关规定。依照国家有关规定以及招标文件、投标文件、合同约定的标准等要求进行验收；经采购人完全确认后，完成验收。</w:t>
      </w:r>
    </w:p>
    <w:p w14:paraId="3E2ADC6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default"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7.2验收方式：现场验收。</w:t>
      </w:r>
    </w:p>
    <w:p w14:paraId="429681C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48"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8"/>
          <w:sz w:val="24"/>
          <w:szCs w:val="24"/>
          <w:highlight w:val="none"/>
          <w:lang w:val="en-US" w:eastAsia="zh-CN"/>
        </w:rPr>
        <w:t>8.</w:t>
      </w:r>
      <w:r>
        <w:rPr>
          <w:rFonts w:hint="eastAsia" w:asciiTheme="minorEastAsia" w:hAnsiTheme="minorEastAsia" w:eastAsiaTheme="minorEastAsia" w:cstheme="minorEastAsia"/>
          <w:spacing w:val="-1"/>
          <w:sz w:val="24"/>
          <w:szCs w:val="24"/>
        </w:rPr>
        <w:t>其他要求</w:t>
      </w:r>
      <w:r>
        <w:rPr>
          <w:rFonts w:hint="eastAsia" w:asciiTheme="minorEastAsia" w:hAnsiTheme="minorEastAsia" w:eastAsiaTheme="minorEastAsia" w:cstheme="minorEastAsia"/>
          <w:spacing w:val="-1"/>
          <w:sz w:val="24"/>
          <w:szCs w:val="24"/>
          <w:lang w:eastAsia="zh-CN"/>
        </w:rPr>
        <w:t>：本项目不接受联合体投标，不允许分包和转包。</w:t>
      </w:r>
    </w:p>
    <w:p w14:paraId="6C4AEACD">
      <w:pPr>
        <w:pStyle w:val="3"/>
        <w:keepNext w:val="0"/>
        <w:keepLines w:val="0"/>
        <w:pageBreakBefore w:val="0"/>
        <w:numPr>
          <w:ilvl w:val="0"/>
          <w:numId w:val="0"/>
        </w:numPr>
        <w:kinsoku/>
        <w:wordWrap w:val="0"/>
        <w:overflowPunct/>
        <w:topLinePunct w:val="0"/>
        <w:bidi w:val="0"/>
        <w:spacing w:before="352" w:line="690" w:lineRule="exact"/>
        <w:jc w:val="cente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190D93E4">
      <w:pPr>
        <w:pStyle w:val="3"/>
        <w:keepNext w:val="0"/>
        <w:keepLines w:val="0"/>
        <w:pageBreakBefore w:val="0"/>
        <w:numPr>
          <w:ilvl w:val="0"/>
          <w:numId w:val="0"/>
        </w:numPr>
        <w:kinsoku/>
        <w:wordWrap w:val="0"/>
        <w:overflowPunct/>
        <w:topLinePunct w:val="0"/>
        <w:bidi w:val="0"/>
        <w:spacing w:before="352" w:line="690" w:lineRule="exact"/>
        <w:jc w:val="cente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1256B33C">
      <w:pPr>
        <w:pStyle w:val="3"/>
        <w:keepNext w:val="0"/>
        <w:keepLines w:val="0"/>
        <w:pageBreakBefore w:val="0"/>
        <w:numPr>
          <w:ilvl w:val="0"/>
          <w:numId w:val="0"/>
        </w:numPr>
        <w:kinsoku/>
        <w:wordWrap w:val="0"/>
        <w:overflowPunct/>
        <w:topLinePunct w:val="0"/>
        <w:bidi w:val="0"/>
        <w:spacing w:before="352" w:line="690" w:lineRule="exact"/>
        <w:jc w:val="cente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p>
    <w:p w14:paraId="02B27623">
      <w:pPr>
        <w:pStyle w:val="3"/>
        <w:keepNext w:val="0"/>
        <w:keepLines w:val="0"/>
        <w:pageBreakBefore w:val="0"/>
        <w:numPr>
          <w:ilvl w:val="0"/>
          <w:numId w:val="0"/>
        </w:numPr>
        <w:kinsoku/>
        <w:wordWrap w:val="0"/>
        <w:overflowPunct/>
        <w:topLinePunct w:val="0"/>
        <w:bidi w:val="0"/>
        <w:spacing w:before="352" w:line="690" w:lineRule="exact"/>
        <w:jc w:val="cente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14:paraId="254C61A3">
      <w:pPr>
        <w:pStyle w:val="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19"/>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9"/>
        <w:gridCol w:w="7188"/>
      </w:tblGrid>
      <w:tr w14:paraId="4CCF9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12" w:space="0"/>
              <w:left w:val="single" w:color="auto" w:sz="12" w:space="0"/>
              <w:bottom w:val="single" w:color="auto" w:sz="6" w:space="0"/>
              <w:right w:val="single" w:color="auto" w:sz="6" w:space="0"/>
            </w:tcBorders>
            <w:noWrap w:val="0"/>
            <w:vAlign w:val="center"/>
          </w:tcPr>
          <w:p w14:paraId="3DF997C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188" w:type="dxa"/>
            <w:tcBorders>
              <w:top w:val="single" w:color="auto" w:sz="12" w:space="0"/>
              <w:left w:val="single" w:color="auto" w:sz="6" w:space="0"/>
              <w:bottom w:val="single" w:color="auto" w:sz="6" w:space="0"/>
              <w:right w:val="single" w:color="auto" w:sz="12" w:space="0"/>
            </w:tcBorders>
            <w:noWrap w:val="0"/>
            <w:vAlign w:val="center"/>
          </w:tcPr>
          <w:p w14:paraId="4A3C26B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22476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96021CC">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C159B1F">
            <w:pPr>
              <w:pStyle w:val="27"/>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5FF74040">
            <w:pPr>
              <w:pStyle w:val="2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14:paraId="4BA34F12">
            <w:pPr>
              <w:pStyle w:val="27"/>
              <w:keepNext w:val="0"/>
              <w:keepLines w:val="0"/>
              <w:pageBreakBefore w:val="0"/>
              <w:kinsoku/>
              <w:wordWrap w:val="0"/>
              <w:overflowPunct/>
              <w:topLinePunct w:val="0"/>
              <w:bidi w:val="0"/>
              <w:spacing w:before="25" w:line="207" w:lineRule="auto"/>
              <w:ind w:left="126" w:leftChars="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lang w:eastAsia="zh-CN"/>
              </w:rPr>
              <w:t>【供应商对</w:t>
            </w:r>
            <w:r>
              <w:rPr>
                <w:rFonts w:hint="eastAsia" w:asciiTheme="minorEastAsia" w:hAnsiTheme="minorEastAsia" w:eastAsiaTheme="minorEastAsia" w:cstheme="minorEastAsia"/>
                <w:spacing w:val="19"/>
                <w:sz w:val="24"/>
                <w:szCs w:val="24"/>
                <w:lang w:val="en-US" w:eastAsia="zh-CN"/>
              </w:rPr>
              <w:t>其</w:t>
            </w:r>
            <w:r>
              <w:rPr>
                <w:rFonts w:hint="eastAsia" w:asciiTheme="minorEastAsia" w:hAnsiTheme="minorEastAsia" w:eastAsiaTheme="minorEastAsia" w:cstheme="minorEastAsia"/>
                <w:spacing w:val="19"/>
                <w:sz w:val="24"/>
                <w:szCs w:val="24"/>
                <w:lang w:eastAsia="zh-CN"/>
              </w:rPr>
              <w:t>提供的产品</w:t>
            </w:r>
            <w:r>
              <w:rPr>
                <w:rFonts w:hint="eastAsia" w:asciiTheme="minorEastAsia" w:hAnsiTheme="minorEastAsia" w:eastAsiaTheme="minorEastAsia" w:cstheme="minorEastAsia"/>
                <w:spacing w:val="19"/>
                <w:sz w:val="24"/>
                <w:szCs w:val="24"/>
                <w:lang w:val="en-US" w:eastAsia="zh-CN"/>
              </w:rPr>
              <w:t>应</w:t>
            </w:r>
            <w:r>
              <w:rPr>
                <w:rFonts w:hint="eastAsia" w:asciiTheme="minorEastAsia" w:hAnsiTheme="minorEastAsia" w:eastAsiaTheme="minorEastAsia" w:cstheme="minorEastAsia"/>
                <w:spacing w:val="19"/>
                <w:sz w:val="24"/>
                <w:szCs w:val="24"/>
                <w:lang w:eastAsia="zh-CN"/>
              </w:rPr>
              <w:t>出具《关于符合本国产品标准的声明函》（</w:t>
            </w:r>
            <w:r>
              <w:rPr>
                <w:rFonts w:hint="eastAsia" w:asciiTheme="minorEastAsia" w:hAnsiTheme="minorEastAsia" w:eastAsiaTheme="minorEastAsia" w:cstheme="minorEastAsia"/>
                <w:spacing w:val="19"/>
                <w:sz w:val="24"/>
                <w:szCs w:val="24"/>
                <w:lang w:val="en-US" w:eastAsia="zh-CN"/>
              </w:rPr>
              <w:t>后附</w:t>
            </w:r>
            <w:r>
              <w:rPr>
                <w:rFonts w:hint="eastAsia" w:asciiTheme="minorEastAsia" w:hAnsiTheme="minorEastAsia" w:eastAsiaTheme="minorEastAsia" w:cstheme="minorEastAsia"/>
                <w:spacing w:val="19"/>
                <w:sz w:val="24"/>
                <w:szCs w:val="24"/>
                <w:lang w:eastAsia="zh-CN"/>
              </w:rPr>
              <w:t>）或财政部会同有关部门规定的有关证明文件。】</w:t>
            </w:r>
          </w:p>
        </w:tc>
      </w:tr>
      <w:tr w14:paraId="1B95F8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BEAAFA4">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B484EA7">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7774B0C8">
            <w:pPr>
              <w:pStyle w:val="27"/>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19205499">
            <w:pPr>
              <w:pStyle w:val="27"/>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4A7968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01A22E52">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3CA76B06">
            <w:pPr>
              <w:pStyle w:val="27"/>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tc>
      </w:tr>
      <w:tr w14:paraId="48C369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15"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C429C33">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47E2565E">
            <w:pPr>
              <w:pStyle w:val="2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tc>
      </w:tr>
      <w:tr w14:paraId="4EADEF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A48229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FE4A01A">
            <w:pPr>
              <w:pStyle w:val="27"/>
              <w:keepNext w:val="0"/>
              <w:keepLines w:val="0"/>
              <w:pageBreakBefore w:val="0"/>
              <w:widowControl/>
              <w:numPr>
                <w:ilvl w:val="0"/>
                <w:numId w:val="2"/>
              </w:numPr>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本项目采购标的</w:t>
            </w:r>
            <w:r>
              <w:rPr>
                <w:rFonts w:hint="eastAsia" w:asciiTheme="minorEastAsia" w:hAnsiTheme="minorEastAsia" w:eastAsiaTheme="minorEastAsia" w:cstheme="minorEastAsia"/>
                <w:snapToGrid w:val="0"/>
                <w:color w:val="auto"/>
                <w:spacing w:val="14"/>
                <w:kern w:val="0"/>
                <w:sz w:val="24"/>
                <w:szCs w:val="24"/>
                <w:lang w:val="en-US" w:eastAsia="zh-CN" w:bidi="ar-SA"/>
              </w:rPr>
              <w:t>按照中小企业划分标准属于：</w:t>
            </w:r>
            <w:r>
              <w:rPr>
                <w:rFonts w:hint="eastAsia" w:asciiTheme="minorEastAsia" w:hAnsiTheme="minorEastAsia" w:eastAsiaTheme="minorEastAsia" w:cstheme="minorEastAsia"/>
                <w:snapToGrid w:val="0"/>
                <w:color w:val="auto"/>
                <w:spacing w:val="29"/>
                <w:kern w:val="0"/>
                <w:sz w:val="24"/>
                <w:szCs w:val="24"/>
                <w:u w:val="single"/>
                <w:lang w:val="en-US" w:eastAsia="zh-CN" w:bidi="ar-SA"/>
              </w:rPr>
              <w:t xml:space="preserve"> 软件和信息技术服务业 </w:t>
            </w:r>
          </w:p>
          <w:p w14:paraId="632F445E">
            <w:pPr>
              <w:pStyle w:val="2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14:paraId="78FC1A95">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auto"/>
                <w:spacing w:val="14"/>
                <w:kern w:val="0"/>
                <w:sz w:val="24"/>
                <w:szCs w:val="24"/>
                <w:lang w:val="en-US" w:eastAsia="zh-CN" w:bidi="ar-SA"/>
              </w:rPr>
            </w:pPr>
            <w:r>
              <w:rPr>
                <w:rFonts w:hint="eastAsia" w:asciiTheme="minorEastAsia" w:hAnsiTheme="minorEastAsia" w:eastAsiaTheme="minorEastAsia" w:cstheme="minorEastAsia"/>
                <w:color w:val="auto"/>
                <w:spacing w:val="-13"/>
                <w:sz w:val="24"/>
                <w:szCs w:val="24"/>
                <w:lang w:eastAsia="zh-CN"/>
              </w:rPr>
              <w:t>☑</w:t>
            </w:r>
            <w:r>
              <w:rPr>
                <w:rFonts w:hint="eastAsia" w:asciiTheme="minorEastAsia" w:hAnsiTheme="minorEastAsia" w:eastAsiaTheme="minorEastAsia" w:cstheme="minorEastAsia"/>
                <w:snapToGrid w:val="0"/>
                <w:color w:val="auto"/>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auto"/>
                <w:spacing w:val="29"/>
                <w:kern w:val="0"/>
                <w:sz w:val="24"/>
                <w:szCs w:val="24"/>
                <w:u w:val="single"/>
                <w:lang w:val="en-US" w:eastAsia="zh-CN" w:bidi="ar-SA"/>
              </w:rPr>
              <w:t xml:space="preserve"> 20 </w:t>
            </w:r>
            <w:r>
              <w:rPr>
                <w:rFonts w:hint="eastAsia" w:asciiTheme="minorEastAsia" w:hAnsiTheme="minorEastAsia" w:eastAsiaTheme="minorEastAsia" w:cstheme="minorEastAsia"/>
                <w:snapToGrid w:val="0"/>
                <w:color w:val="auto"/>
                <w:spacing w:val="29"/>
                <w:kern w:val="0"/>
                <w:sz w:val="24"/>
                <w:szCs w:val="24"/>
                <w:lang w:val="en-US" w:eastAsia="zh-CN" w:bidi="ar-SA"/>
              </w:rPr>
              <w:t>%。</w:t>
            </w:r>
          </w:p>
          <w:p w14:paraId="040E0700">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220B2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703"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5A57BC37">
            <w:pPr>
              <w:pStyle w:val="27"/>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3AB00778">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7535F209">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14:paraId="1DC93355">
            <w:pPr>
              <w:pStyle w:val="2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□无</w:t>
            </w:r>
          </w:p>
          <w:p w14:paraId="73F26D5A">
            <w:pPr>
              <w:pStyle w:val="27"/>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rPr>
              <w:t>有，具体情形：</w:t>
            </w:r>
            <w:r>
              <w:rPr>
                <w:rFonts w:hint="eastAsia" w:asciiTheme="minorEastAsia" w:hAnsiTheme="minorEastAsia" w:eastAsiaTheme="minorEastAsia" w:cstheme="minorEastAsia"/>
                <w:color w:val="auto"/>
                <w:spacing w:val="-13"/>
                <w:sz w:val="24"/>
                <w:szCs w:val="24"/>
              </w:rPr>
              <w:t>本项目按照</w:t>
            </w:r>
            <w:r>
              <w:rPr>
                <w:rFonts w:hint="eastAsia" w:asciiTheme="minorEastAsia" w:hAnsiTheme="minorEastAsia" w:eastAsiaTheme="minorEastAsia" w:cstheme="minorEastAsia"/>
                <w:color w:val="auto"/>
                <w:spacing w:val="-13"/>
                <w:sz w:val="24"/>
                <w:szCs w:val="24"/>
                <w:lang w:val="en-US" w:eastAsia="zh-CN"/>
              </w:rPr>
              <w:t>费率</w:t>
            </w:r>
            <w:r>
              <w:rPr>
                <w:rFonts w:hint="eastAsia" w:asciiTheme="minorEastAsia" w:hAnsiTheme="minorEastAsia" w:eastAsiaTheme="minorEastAsia" w:cstheme="minorEastAsia"/>
                <w:color w:val="auto"/>
                <w:spacing w:val="-13"/>
                <w:sz w:val="24"/>
                <w:szCs w:val="24"/>
              </w:rPr>
              <w:t>进行报价，投标报价不高于采购预</w:t>
            </w:r>
          </w:p>
          <w:p w14:paraId="00DEC4B8">
            <w:pPr>
              <w:pStyle w:val="27"/>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rPr>
              <w:t>算价为有效投标报价，即</w:t>
            </w:r>
            <w:r>
              <w:rPr>
                <w:rFonts w:hint="eastAsia" w:asciiTheme="minorEastAsia" w:hAnsiTheme="minorEastAsia" w:eastAsiaTheme="minorEastAsia" w:cstheme="minorEastAsia"/>
                <w:color w:val="auto"/>
                <w:spacing w:val="-13"/>
                <w:sz w:val="24"/>
                <w:szCs w:val="24"/>
                <w:lang w:val="en-US" w:eastAsia="zh-CN"/>
              </w:rPr>
              <w:t>费率</w:t>
            </w:r>
            <w:r>
              <w:rPr>
                <w:rFonts w:hint="eastAsia" w:asciiTheme="minorEastAsia" w:hAnsiTheme="minorEastAsia" w:eastAsiaTheme="minorEastAsia" w:cstheme="minorEastAsia"/>
                <w:color w:val="auto"/>
                <w:spacing w:val="-13"/>
                <w:sz w:val="24"/>
                <w:szCs w:val="24"/>
              </w:rPr>
              <w:t>范围：0&lt;</w:t>
            </w:r>
            <w:r>
              <w:rPr>
                <w:rFonts w:hint="eastAsia" w:asciiTheme="minorEastAsia" w:hAnsiTheme="minorEastAsia" w:eastAsiaTheme="minorEastAsia" w:cstheme="minorEastAsia"/>
                <w:color w:val="auto"/>
                <w:spacing w:val="-13"/>
                <w:sz w:val="24"/>
                <w:szCs w:val="24"/>
                <w:lang w:val="en-US" w:eastAsia="zh-CN"/>
              </w:rPr>
              <w:t>费率</w:t>
            </w:r>
            <w:r>
              <w:rPr>
                <w:rFonts w:hint="eastAsia" w:asciiTheme="minorEastAsia" w:hAnsiTheme="minorEastAsia" w:eastAsiaTheme="minorEastAsia" w:cstheme="minorEastAsia"/>
                <w:color w:val="auto"/>
                <w:spacing w:val="-13"/>
                <w:sz w:val="24"/>
                <w:szCs w:val="24"/>
              </w:rPr>
              <w:t>&lt;=100%</w:t>
            </w:r>
          </w:p>
          <w:p w14:paraId="70CAE54A">
            <w:pPr>
              <w:pStyle w:val="27"/>
              <w:keepNext w:val="0"/>
              <w:keepLines w:val="0"/>
              <w:pageBreakBefore w:val="0"/>
              <w:kinsoku/>
              <w:wordWrap w:val="0"/>
              <w:overflowPunct/>
              <w:topLinePunct w:val="0"/>
              <w:bidi w:val="0"/>
              <w:spacing w:before="23" w:line="189" w:lineRule="auto"/>
              <w:ind w:firstLine="428" w:firstLineChars="200"/>
              <w:jc w:val="both"/>
              <w:rPr>
                <w:rFonts w:hint="eastAsia"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rPr>
              <w:t>说明：例如投标费率为90%，则结算单价金额=各分项最高限价×9</w:t>
            </w:r>
          </w:p>
          <w:p w14:paraId="476F8DE0">
            <w:pPr>
              <w:pStyle w:val="27"/>
              <w:keepNext w:val="0"/>
              <w:keepLines w:val="0"/>
              <w:pageBreakBefore w:val="0"/>
              <w:kinsoku/>
              <w:wordWrap w:val="0"/>
              <w:overflowPunct/>
              <w:topLinePunct w:val="0"/>
              <w:bidi w:val="0"/>
              <w:spacing w:before="23" w:line="189" w:lineRule="auto"/>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3"/>
                <w:sz w:val="24"/>
                <w:szCs w:val="24"/>
              </w:rPr>
              <w:t>0%，投标报价包含服务于本项目的所有费用。</w:t>
            </w:r>
          </w:p>
          <w:p w14:paraId="44E33BE4">
            <w:pPr>
              <w:pStyle w:val="27"/>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0B5661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65D4D4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212243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450 </w:t>
            </w:r>
            <w:r>
              <w:rPr>
                <w:rFonts w:hint="eastAsia" w:asciiTheme="minorEastAsia" w:hAnsiTheme="minorEastAsia" w:eastAsiaTheme="minorEastAsia" w:cstheme="minorEastAsia"/>
                <w:snapToGrid w:val="0"/>
                <w:color w:val="000000"/>
                <w:spacing w:val="29"/>
                <w:kern w:val="0"/>
                <w:sz w:val="24"/>
                <w:szCs w:val="24"/>
                <w:lang w:val="en-US" w:eastAsia="zh-CN" w:bidi="ar-SA"/>
              </w:rPr>
              <w:t>万元</w:t>
            </w:r>
          </w:p>
        </w:tc>
      </w:tr>
      <w:tr w14:paraId="1D7BE3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0608F57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3FBFCF8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1920A8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2FE35A90">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5D5C4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14:paraId="55B38B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0807BD8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投标截止时间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421CE6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2026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highlight w:val="none"/>
                <w:u w:val="single"/>
                <w:lang w:val="en-US" w:eastAsia="zh-CN"/>
              </w:rPr>
              <w:t xml:space="preserve"> 8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25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12CCB1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9647E8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开标时间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49C376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2026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highlight w:val="none"/>
                <w:u w:val="single"/>
                <w:lang w:val="en-US" w:eastAsia="zh-CN"/>
              </w:rPr>
              <w:t xml:space="preserve"> 8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25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28F9F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EC2C11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核心产品</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BE81649">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auto"/>
                <w:sz w:val="24"/>
                <w:szCs w:val="24"/>
                <w:lang w:val="en-US" w:eastAsia="zh-CN"/>
              </w:rPr>
              <w:t>本项目不适用</w:t>
            </w:r>
          </w:p>
        </w:tc>
      </w:tr>
      <w:tr w14:paraId="0CFD9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A2BBAA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58F265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p>
        </w:tc>
      </w:tr>
      <w:tr w14:paraId="136A7B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2E923DA">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是否采用“暗标”评审</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95B0E72">
            <w:pPr>
              <w:pStyle w:val="27"/>
              <w:keepNext w:val="0"/>
              <w:keepLines w:val="0"/>
              <w:pageBreakBefore w:val="0"/>
              <w:kinsoku/>
              <w:wordWrap w:val="0"/>
              <w:overflowPunct/>
              <w:topLinePunct w:val="0"/>
              <w:bidi w:val="0"/>
              <w:spacing w:line="223"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否 </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是，具体要求详见投标人须知</w:t>
            </w:r>
          </w:p>
        </w:tc>
      </w:tr>
      <w:tr w14:paraId="580FB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04DF4A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D90FC5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14:paraId="44E796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0E1BB53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代理费</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3E565827">
            <w:pPr>
              <w:pStyle w:val="27"/>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4B81323F">
      <w:pPr>
        <w:pStyle w:val="3"/>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14:paraId="582D98E1">
      <w:pPr>
        <w:pStyle w:val="3"/>
        <w:keepNext w:val="0"/>
        <w:keepLines w:val="0"/>
        <w:pageBreakBefore w:val="0"/>
        <w:kinsoku/>
        <w:wordWrap w:val="0"/>
        <w:overflowPunct/>
        <w:topLinePunct w:val="0"/>
        <w:bidi w:val="0"/>
        <w:spacing w:before="268" w:line="360" w:lineRule="auto"/>
        <w:jc w:val="both"/>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说明</w:t>
      </w:r>
    </w:p>
    <w:p w14:paraId="6816915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采购人、采购代理机构、投标人、联合体</w:t>
      </w:r>
    </w:p>
    <w:p w14:paraId="041A480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14:paraId="130A0E3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3B40400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4CE9292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14:paraId="7F9225E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450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14:paraId="5D091A7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14:paraId="0A64893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8"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val="en-US" w:eastAsia="zh-CN"/>
        </w:rPr>
        <w:t xml:space="preserve"> </w:t>
      </w:r>
    </w:p>
    <w:p w14:paraId="48244AD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w:t>
      </w:r>
      <w:r>
        <w:rPr>
          <w:rFonts w:hint="eastAsia" w:asciiTheme="minorEastAsia" w:hAnsiTheme="minorEastAsia" w:eastAsiaTheme="minorEastAsia" w:cstheme="minorEastAsia"/>
          <w:spacing w:val="-4"/>
          <w:position w:val="17"/>
          <w:sz w:val="24"/>
          <w:szCs w:val="24"/>
          <w:lang w:val="en-US" w:eastAsia="zh-CN"/>
        </w:rPr>
        <w:t xml:space="preserve"> </w:t>
      </w:r>
      <w:r>
        <w:rPr>
          <w:rFonts w:hint="eastAsia" w:asciiTheme="minorEastAsia" w:hAnsiTheme="minorEastAsia" w:eastAsiaTheme="minorEastAsia" w:cstheme="minorEastAsia"/>
          <w:spacing w:val="-4"/>
          <w:position w:val="17"/>
          <w:sz w:val="24"/>
          <w:szCs w:val="24"/>
        </w:rPr>
        <w:t>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14:paraId="48FA528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4520AD9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14:paraId="6223758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由于未参加现场考察或开标前答疑会而导致对项目实际情况不了解，影响投标文件编制、投标报价准确性、综合因素响应不全面等问题的，由投标人自行承担不利评审后果。</w:t>
      </w:r>
    </w:p>
    <w:p w14:paraId="05A8C4E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6EFF617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246A6DA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709E35F4">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573BE37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191C2C4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5685D9B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71A4384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7F30E53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599A8D3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614808D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5ED5B2C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2EF9DC1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3FC7171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0BC7C9F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4092E3B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7AE996F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0A8807C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66639D5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266846F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3E7D5F5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6C28E63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62151C6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14:paraId="1A9A090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14:paraId="24770D0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14:paraId="436BC07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14:paraId="2E574CF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line="360" w:lineRule="auto"/>
        <w:ind w:left="0" w:right="0" w:firstLine="448" w:firstLineChars="200"/>
        <w:jc w:val="both"/>
        <w:textAlignment w:val="baseline"/>
        <w:rPr>
          <w:rFonts w:hint="eastAsia" w:asciiTheme="minorEastAsia" w:hAnsiTheme="minorEastAsia" w:eastAsiaTheme="minorEastAsia" w:cstheme="minorEastAsia"/>
          <w:b w:val="0"/>
          <w:snapToGrid w:val="0"/>
          <w:color w:val="000000"/>
          <w:spacing w:val="-8"/>
          <w:kern w:val="0"/>
          <w:sz w:val="24"/>
          <w:szCs w:val="24"/>
          <w:lang w:val="en-US" w:eastAsia="en-US" w:bidi="ar-SA"/>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.3.1</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en-US" w:bidi="ar-SA"/>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5F714D8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6054DA0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14:paraId="25A07C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14:paraId="5D80CE7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14:paraId="1CE9632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3EEC34F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p>
    <w:p w14:paraId="4262338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1DAF015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14:paraId="54897D6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6690E4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14:paraId="62C168C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4BDD159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0203CEE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7F64C640">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14:paraId="5084F81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18D914A4">
      <w:pPr>
        <w:keepNext w:val="0"/>
        <w:keepLines w:val="0"/>
        <w:pageBreakBefore w:val="0"/>
        <w:kinsoku/>
        <w:wordWrap w:val="0"/>
        <w:overflowPunct/>
        <w:topLinePunct w:val="0"/>
        <w:bidi w:val="0"/>
        <w:spacing w:line="360" w:lineRule="auto"/>
        <w:ind w:firstLine="466" w:firstLineChars="200"/>
        <w:jc w:val="both"/>
        <w:rPr>
          <w:rFonts w:hint="eastAsia" w:asciiTheme="minorEastAsia" w:hAnsiTheme="minorEastAsia" w:eastAsiaTheme="minorEastAsia" w:cstheme="minorEastAsia"/>
          <w:b/>
          <w:bCs/>
          <w:snapToGrid w:val="0"/>
          <w:color w:val="auto"/>
          <w:spacing w:val="-4"/>
          <w:kern w:val="0"/>
          <w:sz w:val="24"/>
          <w:szCs w:val="24"/>
          <w:lang w:val="en-US" w:eastAsia="zh-CN" w:bidi="ar-SA"/>
        </w:rPr>
      </w:pPr>
      <w:r>
        <w:rPr>
          <w:rFonts w:hint="eastAsia" w:asciiTheme="minorEastAsia" w:hAnsiTheme="minorEastAsia" w:eastAsiaTheme="minorEastAsia" w:cstheme="minorEastAsia"/>
          <w:b/>
          <w:bCs/>
          <w:snapToGrid w:val="0"/>
          <w:color w:val="auto"/>
          <w:spacing w:val="-4"/>
          <w:kern w:val="0"/>
          <w:sz w:val="24"/>
          <w:szCs w:val="24"/>
          <w:lang w:val="en-US" w:eastAsia="zh-CN" w:bidi="ar-SA"/>
        </w:rPr>
        <w:t>6.采购范围及适用法律</w:t>
      </w:r>
    </w:p>
    <w:p w14:paraId="2719B07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6.1 本次招标适用的法律、法规为《中华人民共和国政府采购法》《中华人民共和国政府采购法实施条例》《政府采购货物和服务招标投标管理办法》《中华人民共和国民法典》以及其他相关政府采购法律法规。</w:t>
      </w:r>
    </w:p>
    <w:p w14:paraId="3510F96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22236AE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6.3 “服务”指招标文件规定投标人应承担的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政务云相关 </w:t>
      </w:r>
      <w:r>
        <w:rPr>
          <w:rFonts w:hint="eastAsia" w:asciiTheme="minorEastAsia" w:hAnsiTheme="minorEastAsia" w:eastAsiaTheme="minorEastAsia" w:cstheme="minorEastAsia"/>
          <w:snapToGrid w:val="0"/>
          <w:color w:val="000000"/>
          <w:spacing w:val="-4"/>
          <w:kern w:val="0"/>
          <w:sz w:val="24"/>
          <w:szCs w:val="24"/>
          <w:lang w:val="en-US" w:eastAsia="zh-CN" w:bidi="ar-SA"/>
        </w:rPr>
        <w:t>服务。</w:t>
      </w:r>
    </w:p>
    <w:p w14:paraId="14199055">
      <w:pPr>
        <w:pStyle w:val="25"/>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08B1E031">
      <w:pPr>
        <w:pStyle w:val="3"/>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1193D185">
      <w:pPr>
        <w:pStyle w:val="3"/>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14:paraId="6F637B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4" w:firstLineChars="200"/>
        <w:jc w:val="both"/>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14:paraId="56FC451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 招标文件包括以下部分：</w:t>
      </w:r>
    </w:p>
    <w:p w14:paraId="104DAF6C">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14:paraId="1E7921C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14:paraId="785B57F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 投标人须知</w:t>
      </w:r>
    </w:p>
    <w:p w14:paraId="7623D688">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 开、评标程序、评标方法和评标标准</w:t>
      </w:r>
    </w:p>
    <w:p w14:paraId="4B4A6906">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 政府采购合同（草案）</w:t>
      </w:r>
    </w:p>
    <w:p w14:paraId="5E717600">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 投标文件格式</w:t>
      </w:r>
    </w:p>
    <w:p w14:paraId="17F18396">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14:paraId="3FB04B0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50"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14:paraId="265A9F5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 采购人或采购代理机构对已发出的招标文件进行必要澄清或者修改的，将在原公告发布媒体上发布更正公告，不得改变采购标的和资格条件。</w:t>
      </w:r>
    </w:p>
    <w:p w14:paraId="196AC59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0A8AE068">
      <w:pPr>
        <w:keepNext w:val="0"/>
        <w:keepLines w:val="0"/>
        <w:pageBreakBefore w:val="0"/>
        <w:widowControl/>
        <w:overflowPunct/>
        <w:topLinePunct w:val="0"/>
        <w:autoSpaceDE w:val="0"/>
        <w:autoSpaceDN w:val="0"/>
        <w:bidi w:val="0"/>
        <w:adjustRightInd w:val="0"/>
        <w:snapToGrid w:val="0"/>
        <w:spacing w:line="400" w:lineRule="exact"/>
        <w:ind w:firstLine="450" w:firstLineChars="200"/>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w:t>
      </w:r>
      <w:r>
        <w:rPr>
          <w:rFonts w:hint="eastAsia" w:asciiTheme="minorEastAsia" w:hAnsiTheme="minorEastAsia" w:eastAsiaTheme="minorEastAsia" w:cstheme="minorEastAsia"/>
          <w:b/>
          <w:bCs/>
          <w:snapToGrid w:val="0"/>
          <w:color w:val="000000"/>
          <w:spacing w:val="-8"/>
          <w:kern w:val="0"/>
          <w:sz w:val="24"/>
          <w:szCs w:val="24"/>
          <w:lang w:val="en-US" w:eastAsia="zh-CN" w:bidi="ar-SA"/>
        </w:rPr>
        <w:t>全国公共资源交易平台(河南省·南阳市)</w:t>
      </w:r>
      <w:r>
        <w:rPr>
          <w:rFonts w:hint="eastAsia" w:asciiTheme="minorEastAsia" w:hAnsiTheme="minorEastAsia" w:eastAsiaTheme="minorEastAsia" w:cstheme="minorEastAsia"/>
          <w:b/>
          <w:bCs/>
          <w:spacing w:val="-8"/>
          <w:sz w:val="24"/>
          <w:szCs w:val="24"/>
          <w:lang w:val="en-US" w:eastAsia="zh-CN"/>
        </w:rPr>
        <w:t>”发布，请潜在投标供应商随时查询有关公告信息。若因潜在投标供应商没有及时查看到公告信息而造成的投标失误，责任自负。</w:t>
      </w:r>
    </w:p>
    <w:p w14:paraId="49A8B172">
      <w:pPr>
        <w:pStyle w:val="3"/>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 投标人应关注是否有发布最新的澄清更正公告和更正的最新招标文件（电子答疑文件），如有则需下载最新的招标文件，并在此基础上制作最新的投标文件并上传。</w:t>
      </w:r>
    </w:p>
    <w:p w14:paraId="0B708DC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p>
    <w:p w14:paraId="2FA3AFE0">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14:paraId="3B225147">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14:paraId="3712A54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14:paraId="37923F4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除招标文件有特殊要求外，本项目投标所使用的计量单位，应采用中华人民共和国法定计量单位。</w:t>
      </w:r>
    </w:p>
    <w:p w14:paraId="6410A67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E63C143">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14:paraId="14CC280D">
      <w:pPr>
        <w:keepNext w:val="0"/>
        <w:keepLines w:val="0"/>
        <w:pageBreakBefore w:val="0"/>
        <w:widowControl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技术文件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14:paraId="19A836E9">
      <w:pPr>
        <w:pStyle w:val="35"/>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14:paraId="5C84BB58">
      <w:pPr>
        <w:pStyle w:val="35"/>
        <w:snapToGrid w:val="0"/>
        <w:spacing w:line="360" w:lineRule="auto"/>
        <w:ind w:firstLine="480" w:firstLineChars="200"/>
        <w:textAlignment w:val="auto"/>
        <w:rPr>
          <w:rFonts w:hint="eastAsia" w:hAnsi="宋体" w:cs="宋体"/>
          <w:sz w:val="24"/>
          <w:szCs w:val="24"/>
        </w:rPr>
      </w:pPr>
      <w:r>
        <w:rPr>
          <w:rFonts w:hint="eastAsia" w:asciiTheme="minorEastAsia" w:hAnsiTheme="minorEastAsia" w:eastAsiaTheme="minorEastAsia" w:cstheme="minorEastAsia"/>
          <w:sz w:val="24"/>
          <w:szCs w:val="24"/>
          <w:lang w:val="en-US" w:eastAsia="zh-CN"/>
        </w:rPr>
        <w:t xml:space="preserve">10.3 </w:t>
      </w:r>
      <w:r>
        <w:rPr>
          <w:rFonts w:hint="eastAsia" w:hAnsi="宋体" w:cs="宋体"/>
          <w:sz w:val="24"/>
          <w:szCs w:val="24"/>
        </w:rPr>
        <w:t>投标文件应严格按照政府采购法律法规和招标文件要求，分开编制商务标和技术标，对能明显区分投标供应商的内容，应放入商务标；技术标中不能出现涉及投标供应商名称及相关提示内容的任何信息。</w:t>
      </w:r>
    </w:p>
    <w:p w14:paraId="3FFD4544">
      <w:pPr>
        <w:pStyle w:val="35"/>
        <w:snapToGrid w:val="0"/>
        <w:spacing w:line="360" w:lineRule="auto"/>
        <w:ind w:firstLine="480"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10.4</w:t>
      </w:r>
      <w:r>
        <w:rPr>
          <w:rFonts w:hint="eastAsia" w:hAnsi="宋体" w:cs="宋体"/>
          <w:b/>
          <w:bCs/>
          <w:sz w:val="24"/>
          <w:szCs w:val="24"/>
          <w:lang w:val="en-US" w:eastAsia="zh-CN"/>
        </w:rPr>
        <w:t xml:space="preserve"> </w:t>
      </w:r>
      <w:r>
        <w:rPr>
          <w:rFonts w:hint="eastAsia" w:ascii="宋体" w:hAnsi="宋体" w:cs="宋体"/>
          <w:b/>
          <w:bCs/>
          <w:sz w:val="24"/>
          <w:szCs w:val="24"/>
          <w:lang w:val="en-US" w:eastAsia="zh-CN"/>
        </w:rPr>
        <w:t>技术标文件制作要求：</w:t>
      </w:r>
    </w:p>
    <w:p w14:paraId="2B533277">
      <w:pPr>
        <w:pStyle w:val="35"/>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10.4.1</w:t>
      </w:r>
      <w:r>
        <w:rPr>
          <w:rFonts w:hint="eastAsia" w:hAnsi="宋体" w:cs="宋体"/>
          <w:b/>
          <w:bCs/>
          <w:sz w:val="24"/>
          <w:szCs w:val="24"/>
        </w:rPr>
        <w:t>版面要求：A4纸张大小，纵向排版，不设置封面。</w:t>
      </w:r>
    </w:p>
    <w:p w14:paraId="345EC07C">
      <w:pPr>
        <w:pStyle w:val="35"/>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w:t>
      </w:r>
      <w:r>
        <w:rPr>
          <w:rFonts w:hint="eastAsia" w:hAnsi="宋体" w:cs="宋体"/>
          <w:b/>
          <w:bCs/>
          <w:sz w:val="24"/>
          <w:szCs w:val="24"/>
        </w:rPr>
        <w:t>2颜色要求：所有文字、图表均为黑色。</w:t>
      </w:r>
    </w:p>
    <w:p w14:paraId="3678EBC7">
      <w:pPr>
        <w:pStyle w:val="35"/>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w:t>
      </w:r>
      <w:r>
        <w:rPr>
          <w:rFonts w:hint="eastAsia" w:hAnsi="宋体" w:cs="宋体"/>
          <w:b/>
          <w:bCs/>
          <w:sz w:val="24"/>
          <w:szCs w:val="24"/>
        </w:rPr>
        <w:t>3字体要求：标题及正文部分所用文字均采用“宋体”四号“常规”字；图、表内的字体及字号不作要求；所有字体均不得出现加粗、加色、倾斜、下划线等标记。</w:t>
      </w:r>
    </w:p>
    <w:p w14:paraId="23168A11">
      <w:pPr>
        <w:pStyle w:val="35"/>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10.4.4</w:t>
      </w:r>
      <w:r>
        <w:rPr>
          <w:rFonts w:hint="eastAsia" w:hAnsi="宋体" w:cs="宋体"/>
          <w:b/>
          <w:bCs/>
          <w:sz w:val="24"/>
          <w:szCs w:val="24"/>
        </w:rPr>
        <w:t>排版要求：页边距要求上、下边距3厘米，左、右页边距2厘米；不得设置目录；段落格式对齐方式统一设为左对齐；正文首行缩进2字符；标题缩进量为0、不设置首行缩进；不得有空格；正文、标题行间距为固定值25磅；段前段后间距为0，且段落前后不得设置空行；不得设置页眉、页脚和页码；图、表部分对齐形式设为居中对齐；标题规则：一级“一、”二级“（一）”三级“1.”四级“（1）”五级“1）”六级“a.”七级“a)”。</w:t>
      </w:r>
    </w:p>
    <w:p w14:paraId="3719BA3D">
      <w:pPr>
        <w:pStyle w:val="35"/>
        <w:snapToGrid w:val="0"/>
        <w:spacing w:line="360" w:lineRule="auto"/>
        <w:ind w:firstLine="482" w:firstLineChars="200"/>
        <w:textAlignment w:val="auto"/>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hAnsi="宋体" w:eastAsia="宋体" w:cs="宋体"/>
          <w:b/>
          <w:bCs/>
          <w:sz w:val="24"/>
          <w:szCs w:val="24"/>
          <w:lang w:val="en-US" w:eastAsia="zh-CN"/>
        </w:rPr>
        <w:t>10.4.</w:t>
      </w:r>
      <w:r>
        <w:rPr>
          <w:rFonts w:hint="eastAsia" w:hAnsi="宋体" w:cs="宋体"/>
          <w:b/>
          <w:bCs/>
          <w:sz w:val="24"/>
          <w:szCs w:val="24"/>
        </w:rPr>
        <w:t>5除满足上述各项要求外，技术“暗标”中不得出现任何行间插字或删除痕迹，构成投标文件的“技术暗标”的正文中不得出现投标人的名称和其它可识别投标人身份的字符、徽标、人员名称以及其他特殊标记等。</w:t>
      </w:r>
    </w:p>
    <w:p w14:paraId="2E3E102A">
      <w:pPr>
        <w:pStyle w:val="35"/>
        <w:snapToGrid w:val="0"/>
        <w:spacing w:line="360" w:lineRule="auto"/>
        <w:ind w:firstLine="490" w:firstLineChars="200"/>
        <w:textAlignment w:val="auto"/>
        <w:rPr>
          <w:rFonts w:hint="default" w:hAnsi="宋体" w:cs="宋体"/>
          <w:b/>
          <w:bCs/>
          <w:sz w:val="24"/>
          <w:szCs w:val="24"/>
          <w:lang w:val="en-US"/>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10.4.6编写软件及版本要求:MicrosoftWord2007或以上。</w:t>
      </w:r>
    </w:p>
    <w:p w14:paraId="2E9613D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14:paraId="2EFAAFC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14:paraId="7AC6618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7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360FA8DC">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8 </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14:paraId="31B72FF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10.9 </w:t>
      </w:r>
      <w:r>
        <w:rPr>
          <w:rFonts w:hint="eastAsia" w:asciiTheme="minorEastAsia" w:hAnsiTheme="minorEastAsia" w:eastAsiaTheme="minorEastAsia" w:cstheme="minorEastAsia"/>
          <w:sz w:val="24"/>
          <w:szCs w:val="24"/>
          <w:lang w:eastAsia="zh-CN"/>
        </w:rPr>
        <w:t>投标人认为应附的其他材料。</w:t>
      </w:r>
    </w:p>
    <w:p w14:paraId="05E91062">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投标报价</w:t>
      </w:r>
    </w:p>
    <w:p w14:paraId="1FFEC86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所有投标均以人民币报价。</w:t>
      </w:r>
    </w:p>
    <w:p w14:paraId="2C06C0B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val="en-US" w:eastAsia="zh-CN"/>
        </w:rPr>
        <w:t>招标文件</w:t>
      </w:r>
      <w:r>
        <w:rPr>
          <w:rFonts w:hint="eastAsia" w:asciiTheme="minorEastAsia" w:hAnsiTheme="minorEastAsia" w:eastAsiaTheme="minorEastAsia" w:cstheme="minorEastAsia"/>
          <w:sz w:val="24"/>
          <w:szCs w:val="24"/>
        </w:rPr>
        <w:t>中有特殊规定的，从其规定。</w:t>
      </w:r>
    </w:p>
    <w:p w14:paraId="44B54AF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72F5FD9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按照招标文件要求完成本项目的全部相关费用。</w:t>
      </w:r>
    </w:p>
    <w:p w14:paraId="568D8E67">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1C20F67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14:paraId="1BC760C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14:paraId="2747712C">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z w:val="24"/>
          <w:szCs w:val="24"/>
          <w:lang w:val="en-US" w:eastAsia="zh-CN"/>
        </w:rPr>
        <w:t>11.6 投标报价存在以</w:t>
      </w:r>
      <w:r>
        <w:rPr>
          <w:rFonts w:hint="eastAsia" w:asciiTheme="minorEastAsia" w:hAnsiTheme="minorEastAsia" w:eastAsiaTheme="minorEastAsia" w:cstheme="minorEastAsia"/>
          <w:b w:val="0"/>
          <w:bCs w:val="0"/>
          <w:sz w:val="24"/>
          <w:szCs w:val="24"/>
          <w:lang w:val="en-US" w:eastAsia="zh-CN"/>
        </w:rPr>
        <w:t>下情况需发起质询：</w:t>
      </w:r>
    </w:p>
    <w:p w14:paraId="45BE0F2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z w:val="24"/>
          <w:szCs w:val="24"/>
          <w:lang w:val="en-US" w:eastAsia="zh-CN"/>
        </w:rPr>
        <w:t>11.6.</w:t>
      </w:r>
      <w:r>
        <w:rPr>
          <w:rFonts w:hint="eastAsia" w:asciiTheme="minorEastAsia" w:hAnsiTheme="minorEastAsia" w:eastAsiaTheme="minorEastAsia" w:cstheme="minorEastAsia"/>
          <w:b w:val="0"/>
          <w:bCs w:val="0"/>
          <w:sz w:val="24"/>
          <w:szCs w:val="24"/>
          <w:lang w:val="en-US" w:eastAsia="zh-CN"/>
        </w:rPr>
        <w:t>1 投标（响应）报价低于全部通过符合性审查供应商投标（响应）报价平均值50%的，即投标（响应）报价&lt;全部通过符合性审查供应商投标（响应）报价平均值×50%；</w:t>
      </w:r>
    </w:p>
    <w:p w14:paraId="3915432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z w:val="24"/>
          <w:szCs w:val="24"/>
          <w:lang w:val="en-US" w:eastAsia="zh-CN"/>
        </w:rPr>
        <w:t>11.6.</w:t>
      </w:r>
      <w:r>
        <w:rPr>
          <w:rFonts w:hint="eastAsia" w:asciiTheme="minorEastAsia" w:hAnsiTheme="minorEastAsia" w:eastAsiaTheme="minorEastAsia" w:cstheme="minorEastAsia"/>
          <w:b w:val="0"/>
          <w:bCs w:val="0"/>
          <w:sz w:val="24"/>
          <w:szCs w:val="24"/>
          <w:lang w:val="en-US" w:eastAsia="zh-CN"/>
        </w:rPr>
        <w:t>2 投标（响应）报价低于通过符合性审查的次低报价供应商投标（响应）报价50%的，即投标（响应）报价&lt;通过符合性审查的次低报价供应商投标（响应）报价×50%；</w:t>
      </w:r>
    </w:p>
    <w:p w14:paraId="2069067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z w:val="24"/>
          <w:szCs w:val="24"/>
          <w:lang w:val="en-US" w:eastAsia="zh-CN"/>
        </w:rPr>
        <w:t>11.6.</w:t>
      </w:r>
      <w:r>
        <w:rPr>
          <w:rFonts w:hint="eastAsia" w:asciiTheme="minorEastAsia" w:hAnsiTheme="minorEastAsia" w:eastAsiaTheme="minorEastAsia" w:cstheme="minorEastAsia"/>
          <w:b w:val="0"/>
          <w:bCs w:val="0"/>
          <w:sz w:val="24"/>
          <w:szCs w:val="24"/>
          <w:lang w:val="en-US" w:eastAsia="zh-CN"/>
        </w:rPr>
        <w:t>3 投标（响应）报价低于采购项目最高限价45%的，即投标（响应）报价&lt;采购项目最高限价×45%；</w:t>
      </w:r>
    </w:p>
    <w:p w14:paraId="69D476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sz w:val="24"/>
          <w:szCs w:val="24"/>
          <w:lang w:val="en-US" w:eastAsia="zh-CN"/>
        </w:rPr>
        <w:t>11.6.</w:t>
      </w:r>
      <w:r>
        <w:rPr>
          <w:rFonts w:hint="eastAsia" w:asciiTheme="minorEastAsia" w:hAnsiTheme="minorEastAsia" w:eastAsiaTheme="minorEastAsia" w:cstheme="minorEastAsia"/>
          <w:b w:val="0"/>
          <w:bCs w:val="0"/>
          <w:sz w:val="24"/>
          <w:szCs w:val="24"/>
          <w:lang w:val="en-US" w:eastAsia="zh-CN"/>
        </w:rPr>
        <w:t>4 评审委员会基于专业判断，认为供应商报价过低，有可能影响产品质量或者不能诚信履约的其他情形。评标委员会发起质询后，供应商必须在30分钟内，通过交易平台提供书面说明及必要的证明材料，对最终报价作出解释。书面说明、证明材料主要是项目具体成本测算等与报价合理性相关的说明、材料。</w:t>
      </w:r>
    </w:p>
    <w:p w14:paraId="0601D075">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评审委员会判断：评审委员会将结合同类服务在该行业当地薪资水平、以及人员各种花费等情况，依据专业经验对供应商的报价合理性进行判断。</w:t>
      </w:r>
    </w:p>
    <w:p w14:paraId="79FE6A2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如果供应商未按要求提供书面说明或证明材料，或者提供的材料无法证明其报价合理性的，评审委员会应将其投标（响应）作为无效处理。</w:t>
      </w:r>
    </w:p>
    <w:p w14:paraId="37D88537">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审查的相关情况应当在评审报告中进行记录。</w:t>
      </w:r>
    </w:p>
    <w:p w14:paraId="1D8A632F">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14:paraId="1B19701C">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14:paraId="46E4483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14:paraId="7D83A5EE">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14:paraId="71567A1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14:paraId="2BDDCC9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招标文件要求盖章的内容，一般通过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14:paraId="7D655BC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4632B6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14:paraId="15351A73">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86"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14:paraId="0CF5D6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14:paraId="6D9A174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14:paraId="22FD3CF5">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14:paraId="1A2A233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14:paraId="1F90910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14:paraId="53E8E36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6D5A02BA">
      <w:pPr>
        <w:pStyle w:val="3"/>
        <w:rPr>
          <w:rFonts w:hint="eastAsia"/>
        </w:rPr>
      </w:pPr>
    </w:p>
    <w:p w14:paraId="38BE0F81">
      <w:pPr>
        <w:pStyle w:val="3"/>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A4325BA">
      <w:pPr>
        <w:pStyle w:val="3"/>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3463B4ED">
      <w:pPr>
        <w:pStyle w:val="3"/>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D9D2567">
      <w:pPr>
        <w:pStyle w:val="3"/>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3FFC0271">
      <w:pPr>
        <w:pStyle w:val="3"/>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AB9EB16">
      <w:pPr>
        <w:pStyle w:val="3"/>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749DC31F">
      <w:pPr>
        <w:pStyle w:val="3"/>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418AD068">
      <w:pPr>
        <w:pStyle w:val="3"/>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1544384">
      <w:pPr>
        <w:pStyle w:val="3"/>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 xml:space="preserve"> 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14:paraId="5282B6DB">
      <w:pPr>
        <w:pStyle w:val="3"/>
        <w:keepNext w:val="0"/>
        <w:keepLines w:val="0"/>
        <w:pageBreakBefore w:val="0"/>
        <w:kinsoku/>
        <w:wordWrap w:val="0"/>
        <w:overflowPunct/>
        <w:topLinePunct w:val="0"/>
        <w:bidi w:val="0"/>
        <w:spacing w:before="255" w:line="221" w:lineRule="auto"/>
        <w:ind w:left="3942"/>
        <w:jc w:val="both"/>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14:paraId="47B164EB">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14:paraId="3F0C33BD">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14:paraId="6F0D3170">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2.开标：</w:t>
      </w:r>
    </w:p>
    <w:p w14:paraId="57195DB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14:paraId="3E655C1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1A2B3B4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 宣布开标结束。</w:t>
      </w:r>
    </w:p>
    <w:p w14:paraId="64345A0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p>
    <w:p w14:paraId="2F08EA16">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14:paraId="72FC6430">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14:paraId="063FE6A1">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14:paraId="267BE41C">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3.资格审查合格的投标人不足3家的，不进行评标。</w:t>
      </w:r>
    </w:p>
    <w:p w14:paraId="074BFB9D">
      <w:pPr>
        <w:pStyle w:val="25"/>
        <w:rPr>
          <w:rFonts w:hint="eastAsia"/>
          <w:lang w:val="en-US" w:eastAsia="zh-CN"/>
        </w:rPr>
      </w:pPr>
    </w:p>
    <w:p w14:paraId="4A0219CC">
      <w:pPr>
        <w:pStyle w:val="25"/>
        <w:rPr>
          <w:rFonts w:hint="eastAsia"/>
          <w:lang w:val="en-US" w:eastAsia="zh-CN"/>
        </w:rPr>
      </w:pPr>
    </w:p>
    <w:p w14:paraId="70EC2FFE">
      <w:pPr>
        <w:pStyle w:val="25"/>
        <w:rPr>
          <w:rFonts w:hint="eastAsia"/>
          <w:lang w:val="en-US" w:eastAsia="zh-CN"/>
        </w:rPr>
      </w:pPr>
    </w:p>
    <w:p w14:paraId="3556A41F">
      <w:pPr>
        <w:pStyle w:val="25"/>
        <w:rPr>
          <w:rFonts w:hint="eastAsia"/>
          <w:lang w:val="en-US" w:eastAsia="zh-CN"/>
        </w:rPr>
      </w:pPr>
    </w:p>
    <w:p w14:paraId="134AF48D">
      <w:pPr>
        <w:pStyle w:val="3"/>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14:paraId="5CACE543">
      <w:pPr>
        <w:keepNext w:val="0"/>
        <w:keepLines w:val="0"/>
        <w:pageBreakBefore w:val="0"/>
        <w:kinsoku/>
        <w:wordWrap w:val="0"/>
        <w:overflowPunct/>
        <w:topLinePunct w:val="0"/>
        <w:bidi w:val="0"/>
        <w:spacing w:line="146" w:lineRule="exact"/>
        <w:jc w:val="both"/>
        <w:rPr>
          <w:rFonts w:hint="eastAsia" w:asciiTheme="minorEastAsia" w:hAnsiTheme="minorEastAsia" w:eastAsiaTheme="minorEastAsia" w:cstheme="minorEastAsia"/>
        </w:rPr>
      </w:pPr>
    </w:p>
    <w:tbl>
      <w:tblPr>
        <w:tblStyle w:val="26"/>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14:paraId="4FD61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vAlign w:val="top"/>
          </w:tcPr>
          <w:p w14:paraId="5E003965">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61" w:type="dxa"/>
            <w:vAlign w:val="top"/>
          </w:tcPr>
          <w:p w14:paraId="4B616776">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600" w:type="dxa"/>
            <w:vAlign w:val="top"/>
          </w:tcPr>
          <w:p w14:paraId="5E41A31A">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967" w:type="dxa"/>
            <w:vAlign w:val="top"/>
          </w:tcPr>
          <w:p w14:paraId="1D8BE287">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0A9B4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29" w:type="dxa"/>
            <w:vAlign w:val="center"/>
          </w:tcPr>
          <w:p w14:paraId="7A2C6E72">
            <w:pPr>
              <w:pStyle w:val="27"/>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0EEF8DD7">
            <w:pPr>
              <w:pStyle w:val="27"/>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61" w:type="dxa"/>
            <w:vAlign w:val="center"/>
          </w:tcPr>
          <w:p w14:paraId="40CA3FD5">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3600" w:type="dxa"/>
            <w:vAlign w:val="top"/>
          </w:tcPr>
          <w:p w14:paraId="2F580CA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6D76587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4BAE14B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0A87360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4680FE8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5D62003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39FF2E7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7.遵守国家有关法律、法规、规章。</w:t>
            </w:r>
          </w:p>
          <w:p w14:paraId="565B289B">
            <w:pPr>
              <w:keepNext w:val="0"/>
              <w:keepLines w:val="0"/>
              <w:pageBreakBefore w:val="0"/>
              <w:kinsoku/>
              <w:wordWrap w:val="0"/>
              <w:overflowPunct/>
              <w:topLinePunct w:val="0"/>
              <w:bidi w:val="0"/>
              <w:spacing w:before="32" w:line="232" w:lineRule="auto"/>
              <w:ind w:left="112" w:right="105"/>
              <w:jc w:val="both"/>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pacing w:val="-2"/>
                <w:sz w:val="24"/>
                <w:szCs w:val="24"/>
                <w:lang w:val="en-US" w:eastAsia="zh-CN"/>
              </w:rPr>
              <w:t>8.单位负责人为同一人或者存在直接控股、管理关系的不同投标人，不得同时参加本项目同一标段投标。供应商自行承诺并承担后果（提供承诺书，格式自拟），声明函不实的，按《中华人民共和国政府采购法》有关提供虚假材料的有关规定给予处罚；</w:t>
            </w:r>
          </w:p>
        </w:tc>
        <w:tc>
          <w:tcPr>
            <w:tcW w:w="2967" w:type="dxa"/>
            <w:vAlign w:val="top"/>
          </w:tcPr>
          <w:p w14:paraId="6371E8AB">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14:paraId="1B45D53D">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14:paraId="7A761FAC">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14:paraId="4BF5CCC1">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14:paraId="2B881DA8">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0904B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9" w:type="dxa"/>
            <w:vAlign w:val="top"/>
          </w:tcPr>
          <w:p w14:paraId="73295134">
            <w:pPr>
              <w:pStyle w:val="27"/>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61" w:type="dxa"/>
            <w:vAlign w:val="top"/>
          </w:tcPr>
          <w:p w14:paraId="030BFA5C">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600" w:type="dxa"/>
            <w:vAlign w:val="top"/>
          </w:tcPr>
          <w:p w14:paraId="027A8AC3">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vAlign w:val="top"/>
          </w:tcPr>
          <w:p w14:paraId="25D85EF4">
            <w:pPr>
              <w:pStyle w:val="2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225AB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9" w:type="dxa"/>
            <w:vAlign w:val="top"/>
          </w:tcPr>
          <w:p w14:paraId="40892BC2">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1BCA2331">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28BE3274">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30D798A5">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ABE1682">
            <w:pPr>
              <w:pStyle w:val="2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7076D3E">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7BA8C951">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42E297CA">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16300EEA">
            <w:pPr>
              <w:pStyle w:val="2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0BCF4553">
            <w:pPr>
              <w:pStyle w:val="27"/>
              <w:keepNext w:val="0"/>
              <w:keepLines w:val="0"/>
              <w:pageBreakBefore w:val="0"/>
              <w:kinsoku/>
              <w:wordWrap w:val="0"/>
              <w:overflowPunct/>
              <w:topLinePunct w:val="0"/>
              <w:bidi w:val="0"/>
              <w:spacing w:before="49" w:line="19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61" w:type="dxa"/>
            <w:vAlign w:val="top"/>
          </w:tcPr>
          <w:p w14:paraId="4957649B">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14584D3">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17EDAC1">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42DF173">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D44BA01">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0985ADD">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BE9C85E">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4131D5B4">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2D36CFB1">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BEAA5E3">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600" w:type="dxa"/>
            <w:vAlign w:val="top"/>
          </w:tcPr>
          <w:p w14:paraId="446403C3">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1560E11C">
            <w:pPr>
              <w:pStyle w:val="27"/>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2D96C337">
            <w:pPr>
              <w:pStyle w:val="27"/>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2、如招标文件要求以联合体形式参加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spacing w:val="-4"/>
                <w:sz w:val="24"/>
                <w:szCs w:val="24"/>
              </w:rPr>
              <w:t>关于预留份额的要求。</w:t>
            </w:r>
          </w:p>
        </w:tc>
        <w:tc>
          <w:tcPr>
            <w:tcW w:w="2967" w:type="dxa"/>
            <w:vAlign w:val="top"/>
          </w:tcPr>
          <w:p w14:paraId="03E7816F">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FC1F9BF">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F13106">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DFFAFEC">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AB1C333">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26F91CC">
            <w:pPr>
              <w:pStyle w:val="2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B50EC37">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1C9D15F">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10E9B02">
            <w:pPr>
              <w:pStyle w:val="2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08AADF2">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14:paraId="2B186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9" w:type="dxa"/>
            <w:vAlign w:val="top"/>
          </w:tcPr>
          <w:p w14:paraId="103DB2D7">
            <w:pPr>
              <w:pStyle w:val="27"/>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61" w:type="dxa"/>
            <w:vAlign w:val="top"/>
          </w:tcPr>
          <w:p w14:paraId="5DFA8944">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求</w:t>
            </w:r>
          </w:p>
        </w:tc>
        <w:tc>
          <w:tcPr>
            <w:tcW w:w="3600" w:type="dxa"/>
            <w:vAlign w:val="top"/>
          </w:tcPr>
          <w:p w14:paraId="6C6C12F7">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2967" w:type="dxa"/>
            <w:vAlign w:val="top"/>
          </w:tcPr>
          <w:p w14:paraId="7C4DBF88">
            <w:pPr>
              <w:pStyle w:val="2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359D351E">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0701D06B">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p>
    <w:p w14:paraId="387401C8">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14:paraId="408AB92F">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14:paraId="38DAF17B">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31612E0F">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14:paraId="3B898219">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14:paraId="2E83EF5B">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14:paraId="468D24B0">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F3B3DBD">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14:paraId="74FEC0B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（1）评标委员会组成不符合本办法规定的;</w:t>
      </w:r>
    </w:p>
    <w:p w14:paraId="2B35AB3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（2）政府采购货物和服务招标投标管理办法（87号令）第六十二条第一至五项情形的;</w:t>
      </w:r>
    </w:p>
    <w:p w14:paraId="5425B92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（3）评标委员会及其成员独立评标受到非法干预的;</w:t>
      </w:r>
    </w:p>
    <w:p w14:paraId="27D9DE7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（4）有政府采购法实施条例第七十五条规定的违法行为的。</w:t>
      </w:r>
    </w:p>
    <w:p w14:paraId="2585B33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14:paraId="387B50C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8.评审活动结束，按照《河南省政府采购评审专家劳务报酬支付标准》的通知(豫财购〔2017〕9号)的规定，发放劳务报酬。</w:t>
      </w:r>
    </w:p>
    <w:p w14:paraId="2AE9753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4" w:firstLineChars="200"/>
        <w:jc w:val="both"/>
        <w:textAlignment w:val="baseline"/>
        <w:rPr>
          <w:rFonts w:hint="eastAsia" w:asciiTheme="minorEastAsia" w:hAnsiTheme="minorEastAsia" w:eastAsiaTheme="minorEastAsia" w:cstheme="minorEastAsia"/>
          <w:b/>
          <w:bCs/>
          <w:spacing w:val="3"/>
          <w:sz w:val="24"/>
          <w:szCs w:val="24"/>
          <w:lang w:val="en-US" w:eastAsia="zh-CN"/>
        </w:rPr>
      </w:pPr>
    </w:p>
    <w:p w14:paraId="68833E67">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14:paraId="50E7732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14:paraId="59E57006">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评标委员会对资格审查合格的投标人的投标文件进行符合性审查，以</w:t>
      </w:r>
    </w:p>
    <w:p w14:paraId="1F371CA2">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确定其</w:t>
      </w:r>
      <w:r>
        <w:rPr>
          <w:rFonts w:hint="eastAsia" w:asciiTheme="minorEastAsia" w:hAnsiTheme="minorEastAsia" w:eastAsiaTheme="minorEastAsia" w:cstheme="minorEastAsia"/>
          <w:spacing w:val="-3"/>
          <w:sz w:val="24"/>
          <w:szCs w:val="24"/>
        </w:rPr>
        <w:t>是否满足招标文件的实质性要求。</w:t>
      </w:r>
    </w:p>
    <w:p w14:paraId="529DC61A">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2ECD94DF">
      <w:pPr>
        <w:pStyle w:val="3"/>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14:paraId="1E11420E">
      <w:pPr>
        <w:keepNext w:val="0"/>
        <w:keepLines w:val="0"/>
        <w:pageBreakBefore w:val="0"/>
        <w:kinsoku/>
        <w:wordWrap w:val="0"/>
        <w:overflowPunct/>
        <w:topLinePunct w:val="0"/>
        <w:bidi w:val="0"/>
        <w:spacing w:line="145" w:lineRule="exact"/>
        <w:jc w:val="both"/>
        <w:rPr>
          <w:rFonts w:hint="eastAsia" w:asciiTheme="minorEastAsia" w:hAnsiTheme="minorEastAsia" w:eastAsiaTheme="minorEastAsia" w:cstheme="minorEastAsia"/>
        </w:rPr>
      </w:pPr>
    </w:p>
    <w:tbl>
      <w:tblPr>
        <w:tblStyle w:val="26"/>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5C523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14:paraId="709E92C8">
            <w:pPr>
              <w:keepNext w:val="0"/>
              <w:keepLines w:val="0"/>
              <w:pageBreakBefore w:val="0"/>
              <w:kinsoku/>
              <w:wordWrap w:val="0"/>
              <w:overflowPunct/>
              <w:topLinePunct w:val="0"/>
              <w:bidi w:val="0"/>
              <w:spacing w:before="41" w:line="207" w:lineRule="auto"/>
              <w:ind w:left="14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14:paraId="3AC58521">
            <w:pPr>
              <w:keepNext w:val="0"/>
              <w:keepLines w:val="0"/>
              <w:pageBreakBefore w:val="0"/>
              <w:kinsoku/>
              <w:wordWrap w:val="0"/>
              <w:overflowPunct/>
              <w:topLinePunct w:val="0"/>
              <w:bidi w:val="0"/>
              <w:spacing w:before="41" w:line="207" w:lineRule="auto"/>
              <w:ind w:left="4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5791" w:type="dxa"/>
            <w:vAlign w:val="top"/>
          </w:tcPr>
          <w:p w14:paraId="17F23EF5">
            <w:pPr>
              <w:keepNext w:val="0"/>
              <w:keepLines w:val="0"/>
              <w:pageBreakBefore w:val="0"/>
              <w:kinsoku/>
              <w:wordWrap w:val="0"/>
              <w:overflowPunct/>
              <w:topLinePunct w:val="0"/>
              <w:bidi w:val="0"/>
              <w:spacing w:before="41" w:line="207" w:lineRule="auto"/>
              <w:ind w:left="289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14:paraId="5E546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09DE5FD7">
            <w:pPr>
              <w:pStyle w:val="27"/>
              <w:keepNext w:val="0"/>
              <w:keepLines w:val="0"/>
              <w:pageBreakBefore w:val="0"/>
              <w:kinsoku/>
              <w:wordWrap w:val="0"/>
              <w:overflowPunct/>
              <w:topLinePunct w:val="0"/>
              <w:bidi w:val="0"/>
              <w:spacing w:before="245" w:line="199" w:lineRule="auto"/>
              <w:ind w:left="32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14:paraId="4C263C70">
            <w:pPr>
              <w:keepNext w:val="0"/>
              <w:keepLines w:val="0"/>
              <w:pageBreakBefore w:val="0"/>
              <w:kinsoku/>
              <w:wordWrap w:val="0"/>
              <w:overflowPunct/>
              <w:topLinePunct w:val="0"/>
              <w:bidi w:val="0"/>
              <w:spacing w:before="222" w:line="219" w:lineRule="auto"/>
              <w:ind w:left="1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vAlign w:val="top"/>
          </w:tcPr>
          <w:p w14:paraId="79B03A8D">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14:paraId="65FA8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6F23674F">
            <w:pPr>
              <w:pStyle w:val="27"/>
              <w:keepNext w:val="0"/>
              <w:keepLines w:val="0"/>
              <w:pageBreakBefore w:val="0"/>
              <w:kinsoku/>
              <w:wordWrap w:val="0"/>
              <w:overflowPunct/>
              <w:topLinePunct w:val="0"/>
              <w:bidi w:val="0"/>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14:paraId="06B79F81">
            <w:pPr>
              <w:keepNext w:val="0"/>
              <w:keepLines w:val="0"/>
              <w:pageBreakBefore w:val="0"/>
              <w:kinsoku/>
              <w:wordWrap w:val="0"/>
              <w:overflowPunct/>
              <w:topLinePunct w:val="0"/>
              <w:bidi w:val="0"/>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14:paraId="493DEF3A">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14:paraId="0BCD1AA7">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14:paraId="041C3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439C9959">
            <w:pPr>
              <w:pStyle w:val="27"/>
              <w:keepNext w:val="0"/>
              <w:keepLines w:val="0"/>
              <w:pageBreakBefore w:val="0"/>
              <w:kinsoku/>
              <w:wordWrap w:val="0"/>
              <w:overflowPunct/>
              <w:topLinePunct w:val="0"/>
              <w:bidi w:val="0"/>
              <w:spacing w:before="245" w:line="201"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14:paraId="3A8753CD">
            <w:pPr>
              <w:keepNext w:val="0"/>
              <w:keepLines w:val="0"/>
              <w:pageBreakBefore w:val="0"/>
              <w:kinsoku/>
              <w:wordWrap w:val="0"/>
              <w:overflowPunct/>
              <w:topLinePunct w:val="0"/>
              <w:bidi w:val="0"/>
              <w:spacing w:before="221" w:line="219"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vAlign w:val="top"/>
          </w:tcPr>
          <w:p w14:paraId="3CE4CFB3">
            <w:pPr>
              <w:pStyle w:val="27"/>
              <w:keepNext w:val="0"/>
              <w:keepLines w:val="0"/>
              <w:pageBreakBefore w:val="0"/>
              <w:kinsoku/>
              <w:wordWrap w:val="0"/>
              <w:overflowPunct/>
              <w:topLinePunct w:val="0"/>
              <w:bidi w:val="0"/>
              <w:spacing w:before="69" w:line="228" w:lineRule="auto"/>
              <w:ind w:left="117" w:right="29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14:paraId="1C029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70DAA17B">
            <w:pPr>
              <w:pStyle w:val="27"/>
              <w:keepNext w:val="0"/>
              <w:keepLines w:val="0"/>
              <w:pageBreakBefore w:val="0"/>
              <w:kinsoku/>
              <w:wordWrap w:val="0"/>
              <w:overflowPunct/>
              <w:topLinePunct w:val="0"/>
              <w:bidi w:val="0"/>
              <w:spacing w:before="247" w:line="199" w:lineRule="auto"/>
              <w:ind w:left="3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14:paraId="21D7FA62">
            <w:pPr>
              <w:keepNext w:val="0"/>
              <w:keepLines w:val="0"/>
              <w:pageBreakBefore w:val="0"/>
              <w:kinsoku/>
              <w:wordWrap w:val="0"/>
              <w:overflowPunct/>
              <w:topLinePunct w:val="0"/>
              <w:bidi w:val="0"/>
              <w:spacing w:before="223"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vAlign w:val="top"/>
          </w:tcPr>
          <w:p w14:paraId="6B1B2A63">
            <w:pPr>
              <w:keepNext w:val="0"/>
              <w:keepLines w:val="0"/>
              <w:pageBreakBefore w:val="0"/>
              <w:kinsoku/>
              <w:wordWrap w:val="0"/>
              <w:overflowPunct/>
              <w:topLinePunct w:val="0"/>
              <w:bidi w:val="0"/>
              <w:spacing w:before="68" w:line="230" w:lineRule="auto"/>
              <w:ind w:left="133" w:right="136" w:hanging="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14:paraId="6A9B9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2AFD7E87">
            <w:pPr>
              <w:pStyle w:val="27"/>
              <w:keepNext w:val="0"/>
              <w:keepLines w:val="0"/>
              <w:pageBreakBefore w:val="0"/>
              <w:kinsoku/>
              <w:wordWrap w:val="0"/>
              <w:overflowPunct/>
              <w:topLinePunct w:val="0"/>
              <w:bidi w:val="0"/>
              <w:spacing w:before="248" w:line="199"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14:paraId="48041E59">
            <w:pPr>
              <w:keepNext w:val="0"/>
              <w:keepLines w:val="0"/>
              <w:pageBreakBefore w:val="0"/>
              <w:kinsoku/>
              <w:wordWrap w:val="0"/>
              <w:overflowPunct/>
              <w:topLinePunct w:val="0"/>
              <w:bidi w:val="0"/>
              <w:spacing w:before="222" w:line="221"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vAlign w:val="top"/>
          </w:tcPr>
          <w:p w14:paraId="3AC645F4">
            <w:pPr>
              <w:keepNext w:val="0"/>
              <w:keepLines w:val="0"/>
              <w:pageBreakBefore w:val="0"/>
              <w:kinsoku/>
              <w:wordWrap w:val="0"/>
              <w:overflowPunct/>
              <w:topLinePunct w:val="0"/>
              <w:bidi w:val="0"/>
              <w:spacing w:before="70" w:line="229" w:lineRule="auto"/>
              <w:ind w:left="117"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14:paraId="3FD44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45D6D20B">
            <w:pPr>
              <w:pStyle w:val="27"/>
              <w:keepNext w:val="0"/>
              <w:keepLines w:val="0"/>
              <w:pageBreakBefore w:val="0"/>
              <w:kinsoku/>
              <w:wordWrap w:val="0"/>
              <w:overflowPunct/>
              <w:topLinePunct w:val="0"/>
              <w:bidi w:val="0"/>
              <w:spacing w:before="244" w:line="202" w:lineRule="auto"/>
              <w:ind w:left="3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14:paraId="2950E19F">
            <w:pPr>
              <w:keepNext w:val="0"/>
              <w:keepLines w:val="0"/>
              <w:pageBreakBefore w:val="0"/>
              <w:kinsoku/>
              <w:wordWrap w:val="0"/>
              <w:overflowPunct/>
              <w:topLinePunct w:val="0"/>
              <w:bidi w:val="0"/>
              <w:spacing w:before="224" w:line="22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vAlign w:val="top"/>
          </w:tcPr>
          <w:p w14:paraId="35C43046">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14:paraId="1B98C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260CC732">
            <w:pPr>
              <w:pStyle w:val="27"/>
              <w:keepNext w:val="0"/>
              <w:keepLines w:val="0"/>
              <w:pageBreakBefore w:val="0"/>
              <w:kinsoku/>
              <w:wordWrap w:val="0"/>
              <w:overflowPunct/>
              <w:topLinePunct w:val="0"/>
              <w:bidi w:val="0"/>
              <w:spacing w:before="247"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14:paraId="6B71123D">
            <w:pPr>
              <w:keepNext w:val="0"/>
              <w:keepLines w:val="0"/>
              <w:pageBreakBefore w:val="0"/>
              <w:kinsoku/>
              <w:wordWrap w:val="0"/>
              <w:overflowPunct/>
              <w:topLinePunct w:val="0"/>
              <w:bidi w:val="0"/>
              <w:spacing w:before="72" w:line="230" w:lineRule="auto"/>
              <w:ind w:left="112" w:right="123" w:hanging="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vAlign w:val="top"/>
          </w:tcPr>
          <w:p w14:paraId="0E6709B3">
            <w:pPr>
              <w:keepNext w:val="0"/>
              <w:keepLines w:val="0"/>
              <w:pageBreakBefore w:val="0"/>
              <w:kinsoku/>
              <w:wordWrap w:val="0"/>
              <w:overflowPunct/>
              <w:topLinePunct w:val="0"/>
              <w:bidi w:val="0"/>
              <w:spacing w:before="72" w:line="229" w:lineRule="auto"/>
              <w:ind w:left="114" w:right="136"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14:paraId="03E73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14:paraId="67E84998">
            <w:pPr>
              <w:pStyle w:val="27"/>
              <w:keepNext w:val="0"/>
              <w:keepLines w:val="0"/>
              <w:pageBreakBefore w:val="0"/>
              <w:kinsoku/>
              <w:wordWrap w:val="0"/>
              <w:overflowPunct/>
              <w:topLinePunct w:val="0"/>
              <w:bidi w:val="0"/>
              <w:spacing w:line="304" w:lineRule="auto"/>
              <w:jc w:val="center"/>
              <w:rPr>
                <w:rFonts w:hint="eastAsia" w:asciiTheme="minorEastAsia" w:hAnsiTheme="minorEastAsia" w:eastAsiaTheme="minorEastAsia" w:cstheme="minorEastAsia"/>
              </w:rPr>
            </w:pPr>
          </w:p>
          <w:p w14:paraId="111B7536">
            <w:pPr>
              <w:pStyle w:val="27"/>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14:paraId="4C7F1783">
            <w:pPr>
              <w:pStyle w:val="27"/>
              <w:keepNext w:val="0"/>
              <w:keepLines w:val="0"/>
              <w:pageBreakBefore w:val="0"/>
              <w:kinsoku/>
              <w:wordWrap w:val="0"/>
              <w:overflowPunct/>
              <w:topLinePunct w:val="0"/>
              <w:bidi w:val="0"/>
              <w:spacing w:line="271" w:lineRule="auto"/>
              <w:jc w:val="both"/>
              <w:rPr>
                <w:rFonts w:hint="eastAsia" w:asciiTheme="minorEastAsia" w:hAnsiTheme="minorEastAsia" w:eastAsiaTheme="minorEastAsia" w:cstheme="minorEastAsia"/>
              </w:rPr>
            </w:pPr>
          </w:p>
          <w:p w14:paraId="1B136F61">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vAlign w:val="top"/>
          </w:tcPr>
          <w:p w14:paraId="79446DA9">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14:paraId="68BD7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center"/>
          </w:tcPr>
          <w:p w14:paraId="1B1A0D87">
            <w:pPr>
              <w:pStyle w:val="2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center"/>
          </w:tcPr>
          <w:p w14:paraId="5E245E5B">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5791" w:type="dxa"/>
            <w:vAlign w:val="center"/>
          </w:tcPr>
          <w:p w14:paraId="276469B8">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20624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38DC2F41">
            <w:pPr>
              <w:pStyle w:val="2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center"/>
          </w:tcPr>
          <w:p w14:paraId="038A9FAD">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服务质量</w:t>
            </w:r>
          </w:p>
        </w:tc>
        <w:tc>
          <w:tcPr>
            <w:tcW w:w="5791" w:type="dxa"/>
            <w:vAlign w:val="center"/>
          </w:tcPr>
          <w:p w14:paraId="4E298B2B">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6D2EE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14:paraId="0992309C">
            <w:pPr>
              <w:pStyle w:val="27"/>
              <w:keepNext w:val="0"/>
              <w:keepLines w:val="0"/>
              <w:pageBreakBefore w:val="0"/>
              <w:kinsoku/>
              <w:wordWrap w:val="0"/>
              <w:overflowPunct/>
              <w:topLinePunct w:val="0"/>
              <w:bidi w:val="0"/>
              <w:spacing w:line="301" w:lineRule="auto"/>
              <w:jc w:val="center"/>
              <w:rPr>
                <w:rFonts w:hint="eastAsia" w:asciiTheme="minorEastAsia" w:hAnsiTheme="minorEastAsia" w:eastAsiaTheme="minorEastAsia" w:cstheme="minorEastAsia"/>
              </w:rPr>
            </w:pPr>
          </w:p>
          <w:p w14:paraId="22B707F9">
            <w:pPr>
              <w:pStyle w:val="2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14:paraId="59BCACD0">
            <w:pPr>
              <w:pStyle w:val="27"/>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01CA1EE6">
            <w:pPr>
              <w:keepNext w:val="0"/>
              <w:keepLines w:val="0"/>
              <w:pageBreakBefore w:val="0"/>
              <w:kinsoku/>
              <w:wordWrap w:val="0"/>
              <w:overflowPunct/>
              <w:topLinePunct w:val="0"/>
              <w:bidi w:val="0"/>
              <w:spacing w:before="78" w:line="220" w:lineRule="auto"/>
              <w:ind w:lef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vAlign w:val="top"/>
          </w:tcPr>
          <w:p w14:paraId="1F78B3F2">
            <w:pPr>
              <w:keepNext w:val="0"/>
              <w:keepLines w:val="0"/>
              <w:pageBreakBefore w:val="0"/>
              <w:kinsoku/>
              <w:wordWrap w:val="0"/>
              <w:overflowPunct/>
              <w:topLinePunct w:val="0"/>
              <w:bidi w:val="0"/>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14:paraId="41399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483E41EB">
            <w:pPr>
              <w:pStyle w:val="27"/>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0C6D1952">
            <w:pPr>
              <w:pStyle w:val="27"/>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4F9C9CC6">
            <w:pPr>
              <w:pStyle w:val="27"/>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6281C86F">
            <w:pPr>
              <w:pStyle w:val="2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12</w:t>
            </w:r>
          </w:p>
        </w:tc>
        <w:tc>
          <w:tcPr>
            <w:tcW w:w="1812" w:type="dxa"/>
            <w:vAlign w:val="top"/>
          </w:tcPr>
          <w:p w14:paraId="40432162">
            <w:pPr>
              <w:pStyle w:val="27"/>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63B70EDB">
            <w:pPr>
              <w:pStyle w:val="27"/>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565DC269">
            <w:pPr>
              <w:pStyle w:val="27"/>
              <w:keepNext w:val="0"/>
              <w:keepLines w:val="0"/>
              <w:pageBreakBefore w:val="0"/>
              <w:kinsoku/>
              <w:wordWrap w:val="0"/>
              <w:overflowPunct/>
              <w:topLinePunct w:val="0"/>
              <w:bidi w:val="0"/>
              <w:spacing w:line="297" w:lineRule="auto"/>
              <w:jc w:val="both"/>
              <w:rPr>
                <w:rFonts w:hint="eastAsia" w:asciiTheme="minorEastAsia" w:hAnsiTheme="minorEastAsia" w:eastAsiaTheme="minorEastAsia" w:cstheme="minorEastAsia"/>
              </w:rPr>
            </w:pPr>
          </w:p>
          <w:p w14:paraId="37A734AB">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vAlign w:val="top"/>
          </w:tcPr>
          <w:p w14:paraId="4EDBE865">
            <w:pPr>
              <w:keepNext w:val="0"/>
              <w:keepLines w:val="0"/>
              <w:pageBreakBefore w:val="0"/>
              <w:kinsoku/>
              <w:wordWrap w:val="0"/>
              <w:overflowPunct/>
              <w:topLinePunct w:val="0"/>
              <w:bidi w:val="0"/>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14:paraId="6BEB1212">
            <w:pPr>
              <w:keepNext w:val="0"/>
              <w:keepLines w:val="0"/>
              <w:pageBreakBefore w:val="0"/>
              <w:widowControl/>
              <w:kinsoku/>
              <w:wordWrap w:val="0"/>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14:paraId="2405A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3EF02A6C">
            <w:pPr>
              <w:pStyle w:val="27"/>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pacing w:val="5"/>
                <w:sz w:val="24"/>
                <w:szCs w:val="24"/>
                <w:lang w:val="en-US" w:eastAsia="zh-CN"/>
              </w:rPr>
            </w:pPr>
          </w:p>
        </w:tc>
        <w:tc>
          <w:tcPr>
            <w:tcW w:w="1812" w:type="dxa"/>
            <w:vAlign w:val="top"/>
          </w:tcPr>
          <w:p w14:paraId="29FCC67C">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pacing w:val="-6"/>
                <w:sz w:val="24"/>
                <w:szCs w:val="24"/>
              </w:rPr>
            </w:pPr>
          </w:p>
        </w:tc>
        <w:tc>
          <w:tcPr>
            <w:tcW w:w="5791" w:type="dxa"/>
            <w:vMerge w:val="continue"/>
            <w:vAlign w:val="top"/>
          </w:tcPr>
          <w:p w14:paraId="2829E13F">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ind w:left="0" w:right="0" w:firstLine="0"/>
              <w:jc w:val="both"/>
              <w:textAlignment w:val="baseline"/>
              <w:rPr>
                <w:rFonts w:hint="eastAsia" w:asciiTheme="minorEastAsia" w:hAnsiTheme="minorEastAsia" w:eastAsiaTheme="minorEastAsia" w:cstheme="minorEastAsia"/>
                <w:spacing w:val="-1"/>
                <w:sz w:val="24"/>
                <w:szCs w:val="24"/>
              </w:rPr>
            </w:pPr>
          </w:p>
        </w:tc>
      </w:tr>
      <w:tr w14:paraId="7CCD5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29CA35B0">
            <w:pPr>
              <w:pStyle w:val="27"/>
              <w:keepNext w:val="0"/>
              <w:keepLines w:val="0"/>
              <w:pageBreakBefore w:val="0"/>
              <w:kinsoku/>
              <w:wordWrap w:val="0"/>
              <w:overflowPunct/>
              <w:topLinePunct w:val="0"/>
              <w:bidi w:val="0"/>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14:paraId="1526BFE1">
            <w:pPr>
              <w:keepNext w:val="0"/>
              <w:keepLines w:val="0"/>
              <w:pageBreakBefore w:val="0"/>
              <w:kinsoku/>
              <w:wordWrap w:val="0"/>
              <w:overflowPunct/>
              <w:topLinePunct w:val="0"/>
              <w:bidi w:val="0"/>
              <w:spacing w:before="228" w:line="219" w:lineRule="auto"/>
              <w:ind w:left="13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vAlign w:val="top"/>
          </w:tcPr>
          <w:p w14:paraId="2E470C8F">
            <w:pPr>
              <w:keepNext w:val="0"/>
              <w:keepLines w:val="0"/>
              <w:pageBreakBefore w:val="0"/>
              <w:kinsoku/>
              <w:wordWrap w:val="0"/>
              <w:overflowPunct/>
              <w:topLinePunct w:val="0"/>
              <w:bidi w:val="0"/>
              <w:spacing w:before="228" w:line="219" w:lineRule="auto"/>
              <w:ind w:left="11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14:paraId="6E85C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14:paraId="0583A74A">
            <w:pPr>
              <w:pStyle w:val="27"/>
              <w:keepNext w:val="0"/>
              <w:keepLines w:val="0"/>
              <w:pageBreakBefore w:val="0"/>
              <w:kinsoku/>
              <w:wordWrap w:val="0"/>
              <w:overflowPunct/>
              <w:topLinePunct w:val="0"/>
              <w:bidi w:val="0"/>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4</w:t>
            </w:r>
          </w:p>
        </w:tc>
        <w:tc>
          <w:tcPr>
            <w:tcW w:w="1812" w:type="dxa"/>
            <w:vAlign w:val="top"/>
          </w:tcPr>
          <w:p w14:paraId="4A76624E">
            <w:pPr>
              <w:keepNext w:val="0"/>
              <w:keepLines w:val="0"/>
              <w:pageBreakBefore w:val="0"/>
              <w:kinsoku/>
              <w:wordWrap w:val="0"/>
              <w:overflowPunct/>
              <w:topLinePunct w:val="0"/>
              <w:bidi w:val="0"/>
              <w:spacing w:before="226" w:line="221" w:lineRule="auto"/>
              <w:ind w:left="11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vAlign w:val="top"/>
          </w:tcPr>
          <w:p w14:paraId="190CEAA4">
            <w:pPr>
              <w:keepNext w:val="0"/>
              <w:keepLines w:val="0"/>
              <w:pageBreakBefore w:val="0"/>
              <w:kinsoku/>
              <w:wordWrap w:val="0"/>
              <w:overflowPunct/>
              <w:topLinePunct w:val="0"/>
              <w:bidi w:val="0"/>
              <w:spacing w:before="74" w:line="229" w:lineRule="auto"/>
              <w:ind w:left="115" w:right="13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14:paraId="119112E7">
      <w:pPr>
        <w:pStyle w:val="3"/>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14:paraId="0FC0EC92">
      <w:pPr>
        <w:pStyle w:val="3"/>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□货物类，审查投标设备的技术指标、</w:t>
      </w:r>
      <w:r>
        <w:rPr>
          <w:rFonts w:hint="eastAsia" w:asciiTheme="minorEastAsia" w:hAnsiTheme="minorEastAsia" w:eastAsiaTheme="minorEastAsia" w:cstheme="minorEastAsia"/>
          <w:spacing w:val="2"/>
          <w:position w:val="17"/>
          <w:sz w:val="24"/>
          <w:szCs w:val="24"/>
          <w:highlight w:val="none"/>
          <w:lang w:val="en-US" w:eastAsia="zh-CN"/>
        </w:rPr>
        <w:t>技术性能或产品技术说明</w:t>
      </w:r>
      <w:r>
        <w:rPr>
          <w:rFonts w:hint="eastAsia" w:asciiTheme="minorEastAsia" w:hAnsiTheme="minorEastAsia" w:eastAsiaTheme="minorEastAsia" w:cstheme="minorEastAsia"/>
          <w:spacing w:val="2"/>
          <w:position w:val="17"/>
          <w:sz w:val="24"/>
          <w:szCs w:val="24"/>
          <w:lang w:val="en-US" w:eastAsia="zh-CN"/>
        </w:rPr>
        <w:t>、项目供货方案、培训计划和</w:t>
      </w:r>
      <w:r>
        <w:rPr>
          <w:rFonts w:hint="eastAsia" w:asciiTheme="minorEastAsia" w:hAnsiTheme="minorEastAsia" w:eastAsiaTheme="minorEastAsia" w:cstheme="minorEastAsia"/>
          <w:spacing w:val="2"/>
          <w:position w:val="17"/>
          <w:sz w:val="24"/>
          <w:szCs w:val="24"/>
          <w:highlight w:val="none"/>
          <w:lang w:val="en-US" w:eastAsia="zh-CN"/>
        </w:rPr>
        <w:t>强制节能产品证明文件</w:t>
      </w:r>
      <w:r>
        <w:rPr>
          <w:rFonts w:hint="eastAsia" w:asciiTheme="minorEastAsia" w:hAnsiTheme="minorEastAsia" w:eastAsiaTheme="minorEastAsia" w:cstheme="minorEastAsia"/>
          <w:spacing w:val="2"/>
          <w:position w:val="17"/>
          <w:sz w:val="24"/>
          <w:szCs w:val="24"/>
          <w:lang w:val="en-US" w:eastAsia="zh-CN"/>
        </w:rPr>
        <w:t>等是否符合招标要求。</w:t>
      </w:r>
    </w:p>
    <w:p w14:paraId="69356B19">
      <w:pPr>
        <w:pStyle w:val="3"/>
        <w:spacing w:line="360" w:lineRule="auto"/>
        <w:ind w:firstLine="488" w:firstLineChars="200"/>
        <w:rPr>
          <w:color w:val="auto"/>
          <w:spacing w:val="2"/>
          <w:position w:val="17"/>
          <w:sz w:val="24"/>
          <w:szCs w:val="24"/>
          <w:highlight w:val="none"/>
          <w:lang w:eastAsia="zh-CN"/>
        </w:rPr>
      </w:pPr>
      <w:r>
        <w:rPr>
          <w:rFonts w:hint="eastAsia" w:asciiTheme="minorEastAsia" w:hAnsiTheme="minorEastAsia" w:eastAsiaTheme="minorEastAsia" w:cstheme="minorEastAsia"/>
          <w:spacing w:val="2"/>
          <w:position w:val="17"/>
          <w:sz w:val="24"/>
          <w:szCs w:val="24"/>
          <w:lang w:val="en-US" w:eastAsia="zh-CN"/>
        </w:rPr>
        <w:t>☑服务类，审查技术要求中的</w:t>
      </w:r>
      <w:r>
        <w:rPr>
          <w:rFonts w:hint="eastAsia" w:ascii="宋体" w:hAnsi="宋体" w:eastAsia="宋体" w:cs="宋体"/>
          <w:b/>
          <w:bCs/>
          <w:spacing w:val="2"/>
          <w:position w:val="17"/>
          <w:sz w:val="24"/>
          <w:szCs w:val="24"/>
          <w:lang w:val="en-US" w:eastAsia="zh-CN"/>
        </w:rPr>
        <w:t>*</w:t>
      </w:r>
      <w:r>
        <w:rPr>
          <w:rFonts w:hint="eastAsia" w:asciiTheme="minorEastAsia" w:hAnsiTheme="minorEastAsia" w:eastAsiaTheme="minorEastAsia" w:cstheme="minorEastAsia"/>
          <w:spacing w:val="2"/>
          <w:position w:val="17"/>
          <w:sz w:val="24"/>
          <w:szCs w:val="24"/>
          <w:lang w:val="en-US" w:eastAsia="zh-CN"/>
        </w:rPr>
        <w:t>号部分、</w:t>
      </w:r>
      <w:r>
        <w:rPr>
          <w:rFonts w:hint="eastAsia"/>
          <w:color w:val="auto"/>
          <w:spacing w:val="2"/>
          <w:position w:val="17"/>
          <w:sz w:val="24"/>
          <w:szCs w:val="24"/>
          <w:highlight w:val="none"/>
          <w:lang w:eastAsia="zh-CN"/>
        </w:rPr>
        <w:t>服务</w:t>
      </w:r>
      <w:r>
        <w:rPr>
          <w:rFonts w:hint="eastAsia"/>
          <w:color w:val="auto"/>
          <w:spacing w:val="2"/>
          <w:position w:val="17"/>
          <w:sz w:val="24"/>
          <w:szCs w:val="24"/>
          <w:highlight w:val="none"/>
          <w:lang w:val="en-US" w:eastAsia="zh-CN"/>
        </w:rPr>
        <w:t>要求</w:t>
      </w:r>
      <w:r>
        <w:rPr>
          <w:rFonts w:hint="eastAsia"/>
          <w:color w:val="auto"/>
          <w:spacing w:val="2"/>
          <w:position w:val="17"/>
          <w:sz w:val="24"/>
          <w:szCs w:val="24"/>
          <w:highlight w:val="none"/>
          <w:lang w:eastAsia="zh-CN"/>
        </w:rPr>
        <w:t>等是否符合招标要求。</w:t>
      </w:r>
    </w:p>
    <w:p w14:paraId="47EF7BE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w:t>
      </w:r>
    </w:p>
    <w:p w14:paraId="00E5953E">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实质性响应的投标是指投标符合招标文件的所有条款、条件和要求（评分办法中的要求除外），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58DF302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14:paraId="15C568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3DD5A2B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187C36E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 投标人的澄清、说明或补正文件是投标文件的组成部分，并取代投标文件中被澄清、说明或补正的部分。</w:t>
      </w:r>
    </w:p>
    <w:p w14:paraId="4A085944">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14:paraId="2091BF63">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14:paraId="2422CDF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1F8FFE9D">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7901A7A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最低评标价法，指投标文件满足招标文件全部实质性要求，且投标报价最低的投标人为中标候选人的评标方法。</w:t>
      </w:r>
    </w:p>
    <w:p w14:paraId="08E3F7C5">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46491F41">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w:t>
      </w:r>
    </w:p>
    <w:p w14:paraId="3864877C">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2.非政府强制采购的节能产品或环境标志产品，依据品目清单和认证证书实施政府优先采购。优先采购的具体规定（如涉及）。</w:t>
      </w:r>
    </w:p>
    <w:p w14:paraId="1483C0E1">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关于无线局域网认证产品政府采购清单中的产品，优先采购的具体规定（如涉及）</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14C6E4A5">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14:paraId="349C3C2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311A242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14:paraId="165CF201">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优先选择报价低的 。</w:t>
      </w:r>
    </w:p>
    <w:p w14:paraId="1A04E87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14:paraId="7708A5DE">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采用最低评标价法时，评标结果</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按照</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投标报价由低到高顺序排列。投标报价相同的并列。投标文件满足招标文件全部实质性要求且投标报价最低的投标人为排名第一的中标候选人。</w:t>
      </w:r>
    </w:p>
    <w:p w14:paraId="2EE028C4">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4.4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14:paraId="49DBA5C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5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评标委员会将根据各投标人的评标排序，依次推荐本项目（各采购包）的中标候选人，起草并签署评标报告。本项目（采购包）评标委</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员会共推荐</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1 </w:t>
      </w:r>
      <w:r>
        <w:rPr>
          <w:rFonts w:hint="eastAsia" w:asciiTheme="minorEastAsia" w:hAnsiTheme="minorEastAsia" w:eastAsiaTheme="minorEastAsia" w:cstheme="minorEastAsia"/>
          <w:snapToGrid w:val="0"/>
          <w:color w:val="auto"/>
          <w:spacing w:val="2"/>
          <w:kern w:val="0"/>
          <w:position w:val="17"/>
          <w:sz w:val="24"/>
          <w:szCs w:val="24"/>
          <w:lang w:val="en-US" w:eastAsia="en-US" w:bidi="ar-SA"/>
        </w:rPr>
        <w:t>名中标</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候选人。</w:t>
      </w:r>
    </w:p>
    <w:p w14:paraId="704B5A93">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14:paraId="5630FD38">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14:paraId="79E3C0F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6.确定中标人</w:t>
      </w:r>
    </w:p>
    <w:p w14:paraId="1BA466E3">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□根据采购人授权，评委会根据排名顺序直接确定排名第一的中标候选人为中标人。</w:t>
      </w:r>
    </w:p>
    <w:p w14:paraId="62D76D33">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☑采购人应当在收到评标报告之日起5个工作日内，在评标报告确定的中标候选人名单中按顺序确定中标人。</w:t>
      </w:r>
    </w:p>
    <w:p w14:paraId="4A24B3F4">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14:paraId="20B05B0E">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（1）投标文件未按招标文件要求签署、盖章的；</w:t>
      </w:r>
    </w:p>
    <w:p w14:paraId="52D8F1F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（2）不具备招标文件中规定的资格要求的；</w:t>
      </w:r>
    </w:p>
    <w:p w14:paraId="354C6A7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（3）报价超过招标文件中规定的预算金额或者最高限价的；</w:t>
      </w:r>
    </w:p>
    <w:p w14:paraId="0465EC50">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（4）投标文件含有采购人不能接受的附加条件的；</w:t>
      </w:r>
    </w:p>
    <w:p w14:paraId="7C1D326A">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（5）不符合应提交投标文件资料数量要求的；</w:t>
      </w:r>
    </w:p>
    <w:p w14:paraId="6099E691">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（6）开标解密时未在规定时间（30分钟）内进行解密成功的视为撤销其投标文件（因电子开标系统原因除外）；</w:t>
      </w:r>
    </w:p>
    <w:p w14:paraId="649CCDA1">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（7）电子投标文件未使用CA</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0A41BE35">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（8）未在投标截止时间前完成上传的；</w:t>
      </w:r>
    </w:p>
    <w:p w14:paraId="390DC93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（9）法律、法规和招标文件规定的其他无效情形；</w:t>
      </w:r>
    </w:p>
    <w:p w14:paraId="1B7A409A">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（10）未按“暗标”要求编写技术或方案部分的。</w:t>
      </w:r>
    </w:p>
    <w:p w14:paraId="4C574270">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8.在招标采购中，出现下列情形之一的，应予废标：</w:t>
      </w:r>
    </w:p>
    <w:p w14:paraId="3FD37716">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（1）符合专业条件的供应商或者对招标文件作实质性响应的供应商不足三家的；</w:t>
      </w:r>
    </w:p>
    <w:p w14:paraId="5750ED4C">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（2）出现影响采购公正的违法、违规行为的；</w:t>
      </w:r>
    </w:p>
    <w:p w14:paraId="739ADC85">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（3）投标人的报价均超过了预算金额，采购人不能支付的；</w:t>
      </w:r>
    </w:p>
    <w:p w14:paraId="20CB5B0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（4）因重大变故，采购任务取消的。</w:t>
      </w:r>
    </w:p>
    <w:p w14:paraId="28ADA173">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14:paraId="75C01375">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798B97FA">
      <w:pPr>
        <w:pStyle w:val="3"/>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pPr>
    </w:p>
    <w:p w14:paraId="74BBB4A1">
      <w:pPr>
        <w:pStyle w:val="3"/>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标准</w:t>
      </w:r>
    </w:p>
    <w:p w14:paraId="3FA2B522">
      <w:pPr>
        <w:keepNext w:val="0"/>
        <w:keepLines w:val="0"/>
        <w:pageBreakBefore w:val="0"/>
        <w:kinsoku/>
        <w:wordWrap w:val="0"/>
        <w:overflowPunct/>
        <w:topLinePunct w:val="0"/>
        <w:bidi w:val="0"/>
        <w:spacing w:before="39"/>
        <w:jc w:val="center"/>
        <w:rPr>
          <w:rFonts w:hint="eastAsia" w:asciiTheme="minorEastAsia" w:hAnsiTheme="minorEastAsia" w:eastAsiaTheme="minorEastAsia" w:cstheme="minorEastAsia"/>
        </w:rPr>
      </w:pPr>
    </w:p>
    <w:tbl>
      <w:tblPr>
        <w:tblStyle w:val="26"/>
        <w:tblW w:w="83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1485"/>
        <w:gridCol w:w="1005"/>
        <w:gridCol w:w="5284"/>
      </w:tblGrid>
      <w:tr w14:paraId="1AD49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61" w:type="dxa"/>
            <w:vAlign w:val="top"/>
          </w:tcPr>
          <w:p w14:paraId="0EBF2E1D">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485" w:type="dxa"/>
            <w:vAlign w:val="top"/>
          </w:tcPr>
          <w:p w14:paraId="6BB6AF69">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评分因素</w:t>
            </w:r>
          </w:p>
        </w:tc>
        <w:tc>
          <w:tcPr>
            <w:tcW w:w="1005" w:type="dxa"/>
            <w:vAlign w:val="top"/>
          </w:tcPr>
          <w:p w14:paraId="06C5C71B">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分值</w:t>
            </w:r>
          </w:p>
        </w:tc>
        <w:tc>
          <w:tcPr>
            <w:tcW w:w="5284" w:type="dxa"/>
            <w:vAlign w:val="top"/>
          </w:tcPr>
          <w:p w14:paraId="49EB74F2">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细则</w:t>
            </w:r>
          </w:p>
        </w:tc>
      </w:tr>
      <w:tr w14:paraId="56419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61" w:type="dxa"/>
            <w:vAlign w:val="center"/>
          </w:tcPr>
          <w:p w14:paraId="7A13568B">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485" w:type="dxa"/>
            <w:vAlign w:val="center"/>
          </w:tcPr>
          <w:p w14:paraId="4F9D7B55">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报价</w:t>
            </w:r>
            <w:r>
              <w:rPr>
                <w:rFonts w:hint="eastAsia" w:asciiTheme="minorEastAsia" w:hAnsiTheme="minorEastAsia" w:eastAsiaTheme="minorEastAsia" w:cstheme="minorEastAsia"/>
                <w:spacing w:val="-3"/>
                <w:sz w:val="24"/>
                <w:szCs w:val="24"/>
                <w:lang w:val="en-US" w:eastAsia="zh-CN"/>
              </w:rPr>
              <w:t>部分</w:t>
            </w:r>
          </w:p>
          <w:p w14:paraId="3F877967">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lang w:val="en-US" w:eastAsia="zh-CN"/>
              </w:rPr>
              <w:t>（满分10分）</w:t>
            </w:r>
          </w:p>
        </w:tc>
        <w:tc>
          <w:tcPr>
            <w:tcW w:w="1005" w:type="dxa"/>
            <w:vAlign w:val="center"/>
          </w:tcPr>
          <w:p w14:paraId="6902F891">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投标报价</w:t>
            </w:r>
          </w:p>
          <w:p w14:paraId="34EFB987">
            <w:pPr>
              <w:pStyle w:val="27"/>
              <w:keepNext w:val="0"/>
              <w:keepLines w:val="0"/>
              <w:pageBreakBefore w:val="0"/>
              <w:kinsoku/>
              <w:wordWrap w:val="0"/>
              <w:overflowPunct/>
              <w:topLinePunct w:val="0"/>
              <w:bidi w:val="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（10分）</w:t>
            </w:r>
          </w:p>
        </w:tc>
        <w:tc>
          <w:tcPr>
            <w:tcW w:w="5284" w:type="dxa"/>
            <w:vAlign w:val="top"/>
          </w:tcPr>
          <w:p w14:paraId="30D42CC9">
            <w:pPr>
              <w:keepNext w:val="0"/>
              <w:keepLines w:val="0"/>
              <w:pageBreakBefore w:val="0"/>
              <w:kinsoku/>
              <w:wordWrap w:val="0"/>
              <w:overflowPunct/>
              <w:topLinePunct w:val="0"/>
              <w:bidi w:val="0"/>
              <w:spacing w:before="191" w:line="235"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满足招标文件要求且投标价格最低</w:t>
            </w:r>
            <w:r>
              <w:rPr>
                <w:rFonts w:hint="eastAsia" w:asciiTheme="minorEastAsia" w:hAnsiTheme="minorEastAsia" w:eastAsiaTheme="minorEastAsia" w:cstheme="minorEastAsia"/>
                <w:spacing w:val="-13"/>
                <w:sz w:val="24"/>
                <w:szCs w:val="24"/>
              </w:rPr>
              <w:t>的投标报价为评标基准价，其价格分</w:t>
            </w:r>
            <w:r>
              <w:rPr>
                <w:rFonts w:hint="eastAsia" w:asciiTheme="minorEastAsia" w:hAnsiTheme="minorEastAsia" w:eastAsiaTheme="minorEastAsia" w:cstheme="minorEastAsia"/>
                <w:spacing w:val="-6"/>
                <w:sz w:val="24"/>
                <w:szCs w:val="24"/>
              </w:rPr>
              <w:t>为满分。其他投标人的价格分统一按</w:t>
            </w:r>
            <w:r>
              <w:rPr>
                <w:rFonts w:hint="eastAsia" w:asciiTheme="minorEastAsia" w:hAnsiTheme="minorEastAsia" w:eastAsiaTheme="minorEastAsia" w:cstheme="minorEastAsia"/>
                <w:spacing w:val="-8"/>
                <w:sz w:val="24"/>
                <w:szCs w:val="24"/>
              </w:rPr>
              <w:t>照下列公式计算：</w:t>
            </w:r>
          </w:p>
          <w:p w14:paraId="62682E8B">
            <w:pPr>
              <w:pStyle w:val="27"/>
              <w:keepNext w:val="0"/>
              <w:keepLines w:val="0"/>
              <w:pageBreakBefore w:val="0"/>
              <w:kinsoku/>
              <w:wordWrap w:val="0"/>
              <w:overflowPunct/>
              <w:topLinePunct w:val="0"/>
              <w:bidi w:val="0"/>
              <w:spacing w:before="26" w:line="228" w:lineRule="auto"/>
              <w:ind w:left="111" w:right="103"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投标报价得分</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7"/>
                <w:sz w:val="24"/>
                <w:szCs w:val="24"/>
                <w:highlight w:val="none"/>
              </w:rPr>
              <w:t>评标基准</w:t>
            </w:r>
            <w:r>
              <w:rPr>
                <w:rFonts w:hint="eastAsia" w:asciiTheme="minorEastAsia" w:hAnsiTheme="minorEastAsia" w:eastAsiaTheme="minorEastAsia" w:cstheme="minorEastAsia"/>
                <w:spacing w:val="7"/>
                <w:sz w:val="24"/>
                <w:szCs w:val="24"/>
                <w:highlight w:val="none"/>
                <w:lang w:val="en-US" w:eastAsia="zh-CN"/>
              </w:rPr>
              <w:t>价</w:t>
            </w:r>
            <w:r>
              <w:rPr>
                <w:rFonts w:hint="eastAsia" w:asciiTheme="minorEastAsia" w:hAnsiTheme="minorEastAsia" w:eastAsiaTheme="minorEastAsia" w:cstheme="minorEastAsia"/>
                <w:spacing w:val="7"/>
                <w:sz w:val="24"/>
                <w:szCs w:val="24"/>
                <w:highlight w:val="none"/>
              </w:rPr>
              <w:t>/投标</w:t>
            </w:r>
            <w:r>
              <w:rPr>
                <w:rFonts w:hint="eastAsia" w:asciiTheme="minorEastAsia" w:hAnsiTheme="minorEastAsia" w:eastAsiaTheme="minorEastAsia" w:cstheme="minorEastAsia"/>
                <w:spacing w:val="-12"/>
                <w:sz w:val="24"/>
                <w:szCs w:val="24"/>
                <w:highlight w:val="none"/>
                <w:lang w:val="en-US" w:eastAsia="zh-CN"/>
              </w:rPr>
              <w:t>报价</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10分</w:t>
            </w:r>
            <w:r>
              <w:rPr>
                <w:rFonts w:hint="eastAsia" w:asciiTheme="minorEastAsia" w:hAnsiTheme="minorEastAsia" w:eastAsiaTheme="minorEastAsia" w:cstheme="minorEastAsia"/>
                <w:spacing w:val="-12"/>
                <w:sz w:val="24"/>
                <w:szCs w:val="24"/>
              </w:rPr>
              <w:t>。</w:t>
            </w:r>
          </w:p>
          <w:p w14:paraId="4F3DEAE3">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注：（1）未通过初步评审的投标不参与投标报价得分的计算。</w:t>
            </w:r>
          </w:p>
          <w:p w14:paraId="0194AAF7">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2）根据《政府采购促进中小企业发展管理办法》（财库〔2020〕46号）、《关于进一步加大政府采购支持中小企业力度的通知》（财库〔2022〕19号）、《财政部法部关于政府采购支持监狱企业发展有关问题的通知》（财库〔2014〕68号）和《三部门联合发布关于促进残疾人就业政府采购政策的通知》（财库〔2017〕141号）的规定，对满足价格扣除条件且在投标文件中提交了《投标人企业类型声明函》《残疾人福利性单位声明函》或省级以上监狱管理局、戒毒管理局（含新疆生产建设兵团）出具的属于监狱企业的证明文件的投标人，其投标报价扣除</w:t>
            </w:r>
            <w:r>
              <w:rPr>
                <w:rFonts w:hint="eastAsia" w:asciiTheme="minorEastAsia" w:hAnsiTheme="minorEastAsia" w:eastAsiaTheme="minorEastAsia" w:cstheme="minorEastAsia"/>
                <w:spacing w:val="-13"/>
                <w:sz w:val="24"/>
                <w:szCs w:val="24"/>
                <w:u w:val="single"/>
                <w:lang w:val="en-US" w:eastAsia="zh-CN"/>
              </w:rPr>
              <w:t xml:space="preserve"> </w:t>
            </w:r>
            <w:r>
              <w:rPr>
                <w:rFonts w:hint="eastAsia" w:asciiTheme="minorEastAsia" w:hAnsiTheme="minorEastAsia" w:eastAsiaTheme="minorEastAsia" w:cstheme="minorEastAsia"/>
                <w:spacing w:val="-13"/>
                <w:sz w:val="24"/>
                <w:szCs w:val="24"/>
                <w:u w:val="single"/>
                <w:lang w:eastAsia="zh-CN"/>
              </w:rPr>
              <w:t>20%</w:t>
            </w:r>
            <w:r>
              <w:rPr>
                <w:rFonts w:hint="eastAsia" w:asciiTheme="minorEastAsia" w:hAnsiTheme="minorEastAsia" w:eastAsiaTheme="minorEastAsia" w:cstheme="minorEastAsia"/>
                <w:spacing w:val="-13"/>
                <w:sz w:val="24"/>
                <w:szCs w:val="24"/>
                <w:u w:val="single"/>
                <w:lang w:val="en-US" w:eastAsia="zh-CN"/>
              </w:rPr>
              <w:t xml:space="preserve"> </w:t>
            </w:r>
            <w:r>
              <w:rPr>
                <w:rFonts w:hint="eastAsia" w:asciiTheme="minorEastAsia" w:hAnsiTheme="minorEastAsia" w:eastAsiaTheme="minorEastAsia" w:cstheme="minorEastAsia"/>
                <w:spacing w:val="-13"/>
                <w:sz w:val="24"/>
                <w:szCs w:val="24"/>
                <w:u w:val="none"/>
                <w:lang w:val="en-US" w:eastAsia="zh-CN"/>
              </w:rPr>
              <w:t>，参与评审的小型（微型）企业产品报价=小型（微型）企业产品报价×（1-20%）后参与评审</w:t>
            </w:r>
            <w:r>
              <w:rPr>
                <w:rFonts w:hint="eastAsia" w:asciiTheme="minorEastAsia" w:hAnsiTheme="minorEastAsia" w:eastAsiaTheme="minorEastAsia" w:cstheme="minorEastAsia"/>
                <w:spacing w:val="-13"/>
                <w:sz w:val="24"/>
                <w:szCs w:val="24"/>
                <w:lang w:eastAsia="zh-CN"/>
              </w:rPr>
              <w:t>。对于同时属于小微企业、监狱企业或残疾人福利性单位的，不重复进行投标报价扣除。</w:t>
            </w:r>
          </w:p>
          <w:p w14:paraId="2DF8700B">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（3）以下情况需发起质询：</w:t>
            </w:r>
          </w:p>
          <w:p w14:paraId="1E1F0F89">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1.投标（响应）报价低于全部通过符合性审查供应商投标（响应）报价平均值50%的，即投标（响应）报价&lt;全部通过符合性审查供应商投标（响应）报价平均值×50%；</w:t>
            </w:r>
          </w:p>
          <w:p w14:paraId="0552E7BD">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2.投标（响应）报价低于通过符合性审查的次低报价供应商投标（响应）报价50%的，即投标（响应）报价&lt;通过符合性审查的次低报价供应商投标（响应）报价×50%；</w:t>
            </w:r>
          </w:p>
          <w:p w14:paraId="281F3352">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3.投标（响应）报价低于采购项目最高限价45%的，即投标（响应）报价&lt;采购项目最高限价×45%；</w:t>
            </w:r>
          </w:p>
          <w:p w14:paraId="171FBDA3">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4.评审委员会基于专业判断，认为供应商报价过低，有可能影响产品质量或者不能诚信履约的其他情形。评标委员会发起质询后，供应商必须在30分钟内，通过交易平台提供书面说明及必要的证明材料，对最终报价作出解释。书面说明、证明材料主要是项目具体成本测算等与报价合理性相关的说明、材料。</w:t>
            </w:r>
          </w:p>
          <w:p w14:paraId="347E4724">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评审委员会判断：评审委员会将结合同类服务在该行业当地薪资水平、以及人员各种花费等情况，依据专业经验对供应商的报价合理性进行判断。</w:t>
            </w:r>
          </w:p>
          <w:p w14:paraId="3178D8ED">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如果供应商未按要求提供书面说明或证明材料，或者提供的材料无法证明其报价合理性的，评审委员会应将其投标（响应）作为无效处理。</w:t>
            </w:r>
          </w:p>
          <w:p w14:paraId="4A2DB9C1">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lang w:eastAsia="zh-CN"/>
              </w:rPr>
              <w:t>审查的相关情况应当在评审报告中进行记录。</w:t>
            </w:r>
          </w:p>
        </w:tc>
      </w:tr>
      <w:tr w14:paraId="4FECE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restart"/>
            <w:vAlign w:val="center"/>
          </w:tcPr>
          <w:p w14:paraId="1C434130">
            <w:pPr>
              <w:pStyle w:val="27"/>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p>
        </w:tc>
        <w:tc>
          <w:tcPr>
            <w:tcW w:w="1485" w:type="dxa"/>
            <w:vMerge w:val="restart"/>
            <w:vAlign w:val="center"/>
          </w:tcPr>
          <w:p w14:paraId="33AA0D4D">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技术部分</w:t>
            </w:r>
          </w:p>
          <w:p w14:paraId="29EE5AD9">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（满分36分）</w:t>
            </w:r>
          </w:p>
          <w:p w14:paraId="0037372F">
            <w:pPr>
              <w:keepNext w:val="0"/>
              <w:keepLines w:val="0"/>
              <w:pageBreakBefore w:val="0"/>
              <w:kinsoku/>
              <w:wordWrap w:val="0"/>
              <w:overflowPunct/>
              <w:topLinePunct w:val="0"/>
              <w:bidi w:val="0"/>
              <w:spacing w:before="78" w:line="219" w:lineRule="auto"/>
              <w:jc w:val="center"/>
              <w:rPr>
                <w:rFonts w:hint="default" w:asciiTheme="minorEastAsia" w:hAnsiTheme="minorEastAsia" w:eastAsiaTheme="minorEastAsia" w:cstheme="minorEastAsia"/>
                <w:b/>
                <w:bCs/>
                <w:snapToGrid w:val="0"/>
                <w:color w:val="000000"/>
                <w:spacing w:val="-13"/>
                <w:kern w:val="0"/>
                <w:sz w:val="24"/>
                <w:szCs w:val="24"/>
                <w:lang w:val="en-US" w:eastAsia="zh-CN" w:bidi="ar-SA"/>
              </w:rPr>
            </w:pPr>
            <w:r>
              <w:rPr>
                <w:rFonts w:hint="eastAsia" w:asciiTheme="minorEastAsia" w:hAnsiTheme="minorEastAsia" w:eastAsiaTheme="minorEastAsia" w:cstheme="minorEastAsia"/>
                <w:b/>
                <w:bCs/>
                <w:snapToGrid w:val="0"/>
                <w:color w:val="000000"/>
                <w:spacing w:val="-13"/>
                <w:kern w:val="0"/>
                <w:sz w:val="24"/>
                <w:szCs w:val="24"/>
                <w:lang w:val="en-US" w:eastAsia="zh-CN" w:bidi="ar-SA"/>
              </w:rPr>
              <w:t>暗标</w:t>
            </w:r>
          </w:p>
        </w:tc>
        <w:tc>
          <w:tcPr>
            <w:tcW w:w="1005" w:type="dxa"/>
            <w:vAlign w:val="center"/>
          </w:tcPr>
          <w:p w14:paraId="5E3A73B9">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现状分析（3分）</w:t>
            </w:r>
          </w:p>
        </w:tc>
        <w:tc>
          <w:tcPr>
            <w:tcW w:w="5284" w:type="dxa"/>
            <w:vAlign w:val="top"/>
          </w:tcPr>
          <w:p w14:paraId="2E4BE400">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auto"/>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针对本项目提供需求分析方案，内容包含：需求</w:t>
            </w:r>
            <w:r>
              <w:rPr>
                <w:rFonts w:hint="eastAsia" w:asciiTheme="minorEastAsia" w:hAnsiTheme="minorEastAsia" w:eastAsiaTheme="minorEastAsia" w:cstheme="minorEastAsia"/>
                <w:snapToGrid w:val="0"/>
                <w:color w:val="auto"/>
                <w:spacing w:val="-13"/>
                <w:kern w:val="0"/>
                <w:sz w:val="24"/>
                <w:szCs w:val="24"/>
                <w:lang w:val="en-US" w:eastAsia="en-US" w:bidi="ar-SA"/>
              </w:rPr>
              <w:t>分析、架构设计、关键技术等；</w:t>
            </w:r>
          </w:p>
          <w:p w14:paraId="47799B82">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auto"/>
                <w:spacing w:val="-13"/>
                <w:kern w:val="0"/>
                <w:sz w:val="24"/>
                <w:szCs w:val="24"/>
                <w:lang w:val="en-US" w:eastAsia="en-US" w:bidi="ar-SA"/>
              </w:rPr>
            </w:pPr>
            <w:r>
              <w:rPr>
                <w:rFonts w:hint="eastAsia" w:asciiTheme="minorEastAsia" w:hAnsiTheme="minorEastAsia" w:eastAsiaTheme="minorEastAsia" w:cstheme="minorEastAsia"/>
                <w:snapToGrid w:val="0"/>
                <w:color w:val="auto"/>
                <w:spacing w:val="-13"/>
                <w:kern w:val="0"/>
                <w:sz w:val="24"/>
                <w:szCs w:val="24"/>
                <w:lang w:val="en-US" w:eastAsia="en-US" w:bidi="ar-SA"/>
              </w:rPr>
              <w:t>（1）总体需求分析逻辑严谨、贴合项目实际需求的得3分；</w:t>
            </w:r>
          </w:p>
          <w:p w14:paraId="38446EDE">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auto"/>
                <w:spacing w:val="-13"/>
                <w:kern w:val="0"/>
                <w:sz w:val="24"/>
                <w:szCs w:val="24"/>
                <w:lang w:val="en-US" w:eastAsia="en-US" w:bidi="ar-SA"/>
              </w:rPr>
            </w:pPr>
            <w:r>
              <w:rPr>
                <w:rFonts w:hint="eastAsia" w:asciiTheme="minorEastAsia" w:hAnsiTheme="minorEastAsia" w:eastAsiaTheme="minorEastAsia" w:cstheme="minorEastAsia"/>
                <w:snapToGrid w:val="0"/>
                <w:color w:val="auto"/>
                <w:spacing w:val="-13"/>
                <w:kern w:val="0"/>
                <w:sz w:val="24"/>
                <w:szCs w:val="24"/>
                <w:lang w:val="en-US" w:eastAsia="en-US" w:bidi="ar-SA"/>
              </w:rPr>
              <w:t>（2）总体需求分析逻辑较严谨、基本贴合项目实际需求的得2分；</w:t>
            </w:r>
          </w:p>
          <w:p w14:paraId="0A698812">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auto"/>
                <w:spacing w:val="-13"/>
                <w:kern w:val="0"/>
                <w:sz w:val="24"/>
                <w:szCs w:val="24"/>
                <w:lang w:val="en-US" w:eastAsia="en-US" w:bidi="ar-SA"/>
              </w:rPr>
            </w:pPr>
            <w:r>
              <w:rPr>
                <w:rFonts w:hint="eastAsia" w:asciiTheme="minorEastAsia" w:hAnsiTheme="minorEastAsia" w:eastAsiaTheme="minorEastAsia" w:cstheme="minorEastAsia"/>
                <w:snapToGrid w:val="0"/>
                <w:color w:val="auto"/>
                <w:spacing w:val="-13"/>
                <w:kern w:val="0"/>
                <w:sz w:val="24"/>
                <w:szCs w:val="24"/>
                <w:lang w:val="en-US" w:eastAsia="en-US" w:bidi="ar-SA"/>
              </w:rPr>
              <w:t>（3）总体需求分析逻辑较差、项目实际需求不完善的得1分；</w:t>
            </w:r>
          </w:p>
          <w:p w14:paraId="2C13227B">
            <w:pPr>
              <w:pStyle w:val="27"/>
              <w:keepNext w:val="0"/>
              <w:keepLines w:val="0"/>
              <w:pageBreakBefore w:val="0"/>
              <w:kinsoku/>
              <w:wordWrap w:val="0"/>
              <w:overflowPunct/>
              <w:topLinePunct w:val="0"/>
              <w:bidi w:val="0"/>
              <w:spacing w:before="33" w:line="235" w:lineRule="auto"/>
              <w:ind w:left="76" w:leftChars="0" w:right="23" w:rightChars="0" w:firstLine="2" w:firstLineChars="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auto"/>
                <w:spacing w:val="-13"/>
                <w:kern w:val="0"/>
                <w:sz w:val="24"/>
                <w:szCs w:val="24"/>
                <w:lang w:val="en-US" w:eastAsia="en-US" w:bidi="ar-SA"/>
              </w:rPr>
              <w:t>（4）未提供的不得分。</w:t>
            </w:r>
          </w:p>
        </w:tc>
      </w:tr>
      <w:tr w14:paraId="00CA1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50501504">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85" w:type="dxa"/>
            <w:vMerge w:val="continue"/>
            <w:vAlign w:val="center"/>
          </w:tcPr>
          <w:p w14:paraId="1E22ED17">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05" w:type="dxa"/>
            <w:vAlign w:val="center"/>
          </w:tcPr>
          <w:p w14:paraId="7493DE82">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项目实施方案</w:t>
            </w:r>
          </w:p>
          <w:p w14:paraId="51CBE8D5">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（5分）</w:t>
            </w:r>
          </w:p>
        </w:tc>
        <w:tc>
          <w:tcPr>
            <w:tcW w:w="5284" w:type="dxa"/>
            <w:vAlign w:val="top"/>
          </w:tcPr>
          <w:p w14:paraId="6628C907">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针对本项目提供项目实施方案：内容包含项目实施过程、人员、计划、质量保证措施、风险管理措施等。</w:t>
            </w:r>
          </w:p>
          <w:p w14:paraId="637B7DB1">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（1）实施方案内容完整，标准化的服务体系完善，质量保证措施得力，风险管理措施全面且有效的得5分；</w:t>
            </w:r>
          </w:p>
          <w:p w14:paraId="3A9A8C5F">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（2）实施方案内容较完整，标准化的服务体系基本完善，质量保证措施基本可行，风险管理措施有一定覆盖但存在部分不足的得3分；</w:t>
            </w:r>
          </w:p>
          <w:p w14:paraId="12010A5A">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（3）实施方案内容不完整，标准化的服务体系存在明显缺陷，质量保证措施不够完善，风险管理措施存在较多漏洞的得1分；</w:t>
            </w:r>
          </w:p>
          <w:p w14:paraId="06E28A62">
            <w:pPr>
              <w:pStyle w:val="27"/>
              <w:keepNext w:val="0"/>
              <w:keepLines w:val="0"/>
              <w:pageBreakBefore w:val="0"/>
              <w:kinsoku/>
              <w:wordWrap w:val="0"/>
              <w:overflowPunct/>
              <w:topLinePunct w:val="0"/>
              <w:bidi w:val="0"/>
              <w:spacing w:before="33" w:line="235" w:lineRule="auto"/>
              <w:ind w:left="76" w:leftChars="0" w:right="23" w:rightChars="0" w:firstLine="2" w:firstLineChars="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（4）未提供的不得分。</w:t>
            </w:r>
          </w:p>
        </w:tc>
      </w:tr>
      <w:tr w14:paraId="50973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05AB8C3F">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85" w:type="dxa"/>
            <w:vMerge w:val="continue"/>
            <w:vAlign w:val="center"/>
          </w:tcPr>
          <w:p w14:paraId="23AF8C53">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05" w:type="dxa"/>
            <w:vAlign w:val="center"/>
          </w:tcPr>
          <w:p w14:paraId="7394ADE0">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一体化运维服务方案</w:t>
            </w:r>
          </w:p>
          <w:p w14:paraId="5DAA5FFC">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（6分）</w:t>
            </w:r>
          </w:p>
        </w:tc>
        <w:tc>
          <w:tcPr>
            <w:tcW w:w="5284" w:type="dxa"/>
            <w:vAlign w:val="top"/>
          </w:tcPr>
          <w:p w14:paraId="11508F49">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针对本项目提供一体化运维服务方案，内容包含组织架构、运维范围、运维管理、管理流程、工作流程等。</w:t>
            </w:r>
          </w:p>
          <w:p w14:paraId="32916FA8">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（1）一体化运维服务方案内容完整，组织架构清晰合理，运维范围明确全面，运维管理规范高效，管理流程严谨有序，工作流程顺畅合理的得6分；</w:t>
            </w:r>
          </w:p>
          <w:p w14:paraId="276DF907">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（2）一体化运维服务方案内容较完整，组织架构基本清晰，运维范围基本明确，运维管理较为规范，管理流程有一定严谨性，工作流程基本合理的得3分；</w:t>
            </w:r>
          </w:p>
          <w:p w14:paraId="22E68691">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（3）一体化运维服务方案内容不完整，组织架构存在模糊之处，运维范围不够明确，运维管理存在不规范情况，管理流程严谨性不足，工作流程存在不合理之处的得1分；</w:t>
            </w:r>
          </w:p>
          <w:p w14:paraId="61732108">
            <w:pPr>
              <w:pStyle w:val="27"/>
              <w:keepNext w:val="0"/>
              <w:keepLines w:val="0"/>
              <w:pageBreakBefore w:val="0"/>
              <w:kinsoku/>
              <w:wordWrap w:val="0"/>
              <w:overflowPunct/>
              <w:topLinePunct w:val="0"/>
              <w:bidi w:val="0"/>
              <w:spacing w:before="33" w:line="235" w:lineRule="auto"/>
              <w:ind w:left="76" w:leftChars="0" w:right="23" w:rightChars="0" w:firstLine="2" w:firstLineChars="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）未提供的不得分。</w:t>
            </w:r>
          </w:p>
        </w:tc>
      </w:tr>
      <w:tr w14:paraId="569FF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10643B23">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85" w:type="dxa"/>
            <w:vMerge w:val="continue"/>
            <w:vAlign w:val="center"/>
          </w:tcPr>
          <w:p w14:paraId="1A46C790">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05" w:type="dxa"/>
            <w:vAlign w:val="center"/>
          </w:tcPr>
          <w:p w14:paraId="6321AD78">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故障处理方案</w:t>
            </w:r>
          </w:p>
          <w:p w14:paraId="60781230">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（6分）</w:t>
            </w:r>
          </w:p>
        </w:tc>
        <w:tc>
          <w:tcPr>
            <w:tcW w:w="5284" w:type="dxa"/>
            <w:vAlign w:val="top"/>
          </w:tcPr>
          <w:p w14:paraId="14655D12">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针对本项目提供故障处理方案，内容包含故障处理的流程、网络故障处理、服务器故障处理等。</w:t>
            </w:r>
          </w:p>
          <w:p w14:paraId="673A9C40">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（1）故障处理方案内容完整，故障处理流程清晰网络故障、服务器故障处理措施详尽且具备针对性的得6分；</w:t>
            </w:r>
          </w:p>
          <w:p w14:paraId="5718CEC8">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（2）故障处理方案内容较完整，故障处理流程基本清晰，网络故障、服务器故障、处理措施有一定针对性，但存在部分细节缺失的得3分；</w:t>
            </w:r>
          </w:p>
          <w:p w14:paraId="666DB48E">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（3）故障处理方案内容不完整，故障处理流程不清晰，网络故障、服务器故障处理措施缺乏针对性，存在明显不足的得1分；</w:t>
            </w:r>
          </w:p>
          <w:p w14:paraId="21DF574A">
            <w:pPr>
              <w:pStyle w:val="27"/>
              <w:keepNext w:val="0"/>
              <w:keepLines w:val="0"/>
              <w:pageBreakBefore w:val="0"/>
              <w:kinsoku/>
              <w:wordWrap w:val="0"/>
              <w:overflowPunct/>
              <w:topLinePunct w:val="0"/>
              <w:bidi w:val="0"/>
              <w:spacing w:before="33" w:line="235" w:lineRule="auto"/>
              <w:ind w:left="76" w:leftChars="0" w:right="23" w:rightChars="0" w:firstLine="2" w:firstLineChars="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未提供的不得分。</w:t>
            </w:r>
          </w:p>
        </w:tc>
      </w:tr>
      <w:tr w14:paraId="4ED8F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083839C7">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85" w:type="dxa"/>
            <w:vMerge w:val="continue"/>
            <w:vAlign w:val="center"/>
          </w:tcPr>
          <w:p w14:paraId="59FF7A20">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05" w:type="dxa"/>
            <w:vAlign w:val="center"/>
          </w:tcPr>
          <w:p w14:paraId="58F22CC7">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应急响应方案</w:t>
            </w:r>
          </w:p>
          <w:p w14:paraId="1EE9D9A9">
            <w:pPr>
              <w:pStyle w:val="27"/>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（6分）</w:t>
            </w:r>
          </w:p>
        </w:tc>
        <w:tc>
          <w:tcPr>
            <w:tcW w:w="5284" w:type="dxa"/>
            <w:vAlign w:val="top"/>
          </w:tcPr>
          <w:p w14:paraId="28BDD484">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针对本项目提供应急响应方案（含应急演练方案），内容包含电力应急、空调应急、消防应急、网络应急、系统应急、云平台故障应急等。</w:t>
            </w:r>
          </w:p>
          <w:p w14:paraId="71C1E31E">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（1）应急响应方案内容完整，各类应急响应流程清晰明确，应急措施详尽且具有很强的可操作性能迅速有效地应对各类突发状况的得6分；</w:t>
            </w:r>
          </w:p>
          <w:p w14:paraId="53D8943A">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（2）应急响应方案内容较完整，各类应急响应流程基本清晰，应急措施有一定可操作性，但在部分细节方面存在不足的得3分；</w:t>
            </w:r>
          </w:p>
          <w:p w14:paraId="5A599A5E">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（3）应急响应方案内容不够完整，部分应急响应流程不够清晰，应急措施的可操作性一般，存在一些明显缺陷的得1分；</w:t>
            </w:r>
          </w:p>
          <w:p w14:paraId="1D6F7375">
            <w:pPr>
              <w:pStyle w:val="27"/>
              <w:keepNext w:val="0"/>
              <w:keepLines w:val="0"/>
              <w:pageBreakBefore w:val="0"/>
              <w:kinsoku/>
              <w:wordWrap w:val="0"/>
              <w:overflowPunct/>
              <w:topLinePunct w:val="0"/>
              <w:bidi w:val="0"/>
              <w:spacing w:before="33" w:line="235" w:lineRule="auto"/>
              <w:ind w:left="76" w:leftChars="0" w:right="23" w:rightChars="0" w:firstLine="2" w:firstLineChars="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（4）未提供的不得分。</w:t>
            </w:r>
          </w:p>
        </w:tc>
      </w:tr>
      <w:tr w14:paraId="2A2B7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0516CC50">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85" w:type="dxa"/>
            <w:vMerge w:val="continue"/>
            <w:vAlign w:val="center"/>
          </w:tcPr>
          <w:p w14:paraId="6150A9F7">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05" w:type="dxa"/>
            <w:vAlign w:val="center"/>
          </w:tcPr>
          <w:p w14:paraId="5AA519DE">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培训计划和培训方案（5分）</w:t>
            </w:r>
          </w:p>
        </w:tc>
        <w:tc>
          <w:tcPr>
            <w:tcW w:w="5284" w:type="dxa"/>
            <w:vAlign w:val="top"/>
          </w:tcPr>
          <w:p w14:paraId="524D0936">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本项目提供培训计划和方案，内容包含时间、地点、课程、组织、人员配备、软硬件资料等，提供全面充分的技术培训，培训内容包括平台原理、使用方法、安装方法、配置方法、维护方法、故障排除及软件升级等，体现数据安全、等保密评、上云迁云、网络、数据库、稳定性、一体化运维服务能力，并提供培训教材和培训课程计划表。</w:t>
            </w:r>
          </w:p>
          <w:p w14:paraId="0BA8F93A">
            <w:pPr>
              <w:pStyle w:val="27"/>
              <w:keepNext w:val="0"/>
              <w:keepLines w:val="0"/>
              <w:pageBreakBefore w:val="0"/>
              <w:kinsoku/>
              <w:wordWrap w:val="0"/>
              <w:overflowPunct/>
              <w:topLinePunct w:val="0"/>
              <w:bidi w:val="0"/>
              <w:spacing w:before="33" w:line="235" w:lineRule="auto"/>
              <w:ind w:right="23"/>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1</w:t>
            </w:r>
            <w:r>
              <w:rPr>
                <w:rFonts w:hint="eastAsia" w:asciiTheme="minorEastAsia" w:hAnsiTheme="minorEastAsia" w:eastAsiaTheme="minorEastAsia" w:cstheme="minorEastAsia"/>
                <w:snapToGrid w:val="0"/>
                <w:color w:val="000000"/>
                <w:spacing w:val="-13"/>
                <w:kern w:val="0"/>
                <w:sz w:val="24"/>
                <w:szCs w:val="24"/>
                <w:lang w:val="en-US" w:eastAsia="en-US" w:bidi="ar-SA"/>
              </w:rPr>
              <w:t>）培训计划和方案内容完整、描述清晰的得5分；</w:t>
            </w:r>
          </w:p>
          <w:p w14:paraId="0D4B04FB">
            <w:pPr>
              <w:pStyle w:val="27"/>
              <w:keepNext w:val="0"/>
              <w:keepLines w:val="0"/>
              <w:pageBreakBefore w:val="0"/>
              <w:kinsoku/>
              <w:wordWrap w:val="0"/>
              <w:overflowPunct/>
              <w:topLinePunct w:val="0"/>
              <w:bidi w:val="0"/>
              <w:spacing w:before="33" w:line="235" w:lineRule="auto"/>
              <w:ind w:right="23"/>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2</w:t>
            </w:r>
            <w:r>
              <w:rPr>
                <w:rFonts w:hint="eastAsia" w:asciiTheme="minorEastAsia" w:hAnsiTheme="minorEastAsia" w:eastAsiaTheme="minorEastAsia" w:cstheme="minorEastAsia"/>
                <w:snapToGrid w:val="0"/>
                <w:color w:val="000000"/>
                <w:spacing w:val="-13"/>
                <w:kern w:val="0"/>
                <w:sz w:val="24"/>
                <w:szCs w:val="24"/>
                <w:lang w:val="en-US" w:eastAsia="en-US" w:bidi="ar-SA"/>
              </w:rPr>
              <w:t>）培训计划和方案内容较完整、描述较清晰的得3分；</w:t>
            </w:r>
          </w:p>
          <w:p w14:paraId="2B6F0536">
            <w:pPr>
              <w:pStyle w:val="27"/>
              <w:keepNext w:val="0"/>
              <w:keepLines w:val="0"/>
              <w:pageBreakBefore w:val="0"/>
              <w:kinsoku/>
              <w:wordWrap w:val="0"/>
              <w:overflowPunct/>
              <w:topLinePunct w:val="0"/>
              <w:bidi w:val="0"/>
              <w:spacing w:before="33" w:line="235" w:lineRule="auto"/>
              <w:ind w:right="23"/>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（3）培训计划和方案内容不完整、描述不清晰的得1分；</w:t>
            </w:r>
          </w:p>
          <w:p w14:paraId="2D52967A">
            <w:pPr>
              <w:pStyle w:val="27"/>
              <w:keepNext w:val="0"/>
              <w:keepLines w:val="0"/>
              <w:pageBreakBefore w:val="0"/>
              <w:kinsoku/>
              <w:wordWrap w:val="0"/>
              <w:overflowPunct/>
              <w:topLinePunct w:val="0"/>
              <w:bidi w:val="0"/>
              <w:spacing w:before="33" w:line="235" w:lineRule="auto"/>
              <w:ind w:right="23" w:rightChars="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）未提供的不得分。</w:t>
            </w:r>
          </w:p>
        </w:tc>
      </w:tr>
      <w:tr w14:paraId="3AFBE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11939613">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485" w:type="dxa"/>
            <w:vMerge w:val="continue"/>
            <w:vAlign w:val="center"/>
          </w:tcPr>
          <w:p w14:paraId="69528DBE">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005" w:type="dxa"/>
            <w:vAlign w:val="center"/>
          </w:tcPr>
          <w:p w14:paraId="0DDDFBD2">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信息安全保障服务方案</w:t>
            </w:r>
          </w:p>
          <w:p w14:paraId="0FFA5630">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（5分）</w:t>
            </w:r>
          </w:p>
        </w:tc>
        <w:tc>
          <w:tcPr>
            <w:tcW w:w="5284" w:type="dxa"/>
            <w:vAlign w:val="top"/>
          </w:tcPr>
          <w:p w14:paraId="269A562D">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针对本项目提供信息安全保障服务方案，内容包含平台通用安全、租户安全、密码安全等。</w:t>
            </w:r>
          </w:p>
          <w:p w14:paraId="47DF492A">
            <w:pPr>
              <w:pStyle w:val="27"/>
              <w:keepNext w:val="0"/>
              <w:keepLines w:val="0"/>
              <w:pageBreakBefore w:val="0"/>
              <w:kinsoku/>
              <w:wordWrap w:val="0"/>
              <w:overflowPunct/>
              <w:topLinePunct w:val="0"/>
              <w:bidi w:val="0"/>
              <w:spacing w:before="33" w:line="235" w:lineRule="auto"/>
              <w:ind w:right="23"/>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1</w:t>
            </w:r>
            <w:r>
              <w:rPr>
                <w:rFonts w:hint="eastAsia" w:asciiTheme="minorEastAsia" w:hAnsiTheme="minorEastAsia" w:eastAsiaTheme="minorEastAsia" w:cstheme="minorEastAsia"/>
                <w:snapToGrid w:val="0"/>
                <w:color w:val="000000"/>
                <w:spacing w:val="-13"/>
                <w:kern w:val="0"/>
                <w:sz w:val="24"/>
                <w:szCs w:val="24"/>
                <w:lang w:val="en-US" w:eastAsia="en-US" w:bidi="ar-SA"/>
              </w:rPr>
              <w:t>）信息安全保障服务方案内容完整，各项措施详尽且合理，风险评估全面准确，质量保障体系完善的得5分；</w:t>
            </w:r>
          </w:p>
          <w:p w14:paraId="025CE18B">
            <w:pPr>
              <w:pStyle w:val="27"/>
              <w:keepNext w:val="0"/>
              <w:keepLines w:val="0"/>
              <w:pageBreakBefore w:val="0"/>
              <w:kinsoku/>
              <w:wordWrap w:val="0"/>
              <w:overflowPunct/>
              <w:topLinePunct w:val="0"/>
              <w:bidi w:val="0"/>
              <w:spacing w:before="33" w:line="235" w:lineRule="auto"/>
              <w:ind w:right="23"/>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2</w:t>
            </w:r>
            <w:r>
              <w:rPr>
                <w:rFonts w:hint="eastAsia" w:asciiTheme="minorEastAsia" w:hAnsiTheme="minorEastAsia" w:eastAsiaTheme="minorEastAsia" w:cstheme="minorEastAsia"/>
                <w:snapToGrid w:val="0"/>
                <w:color w:val="000000"/>
                <w:spacing w:val="-13"/>
                <w:kern w:val="0"/>
                <w:sz w:val="24"/>
                <w:szCs w:val="24"/>
                <w:lang w:val="en-US" w:eastAsia="en-US" w:bidi="ar-SA"/>
              </w:rPr>
              <w:t>）信息安全保障服务方案内容较完整，各项措施基本合理，风险评估较为全面，质量保障体系基本完善，但在部分细节方面存在不足的得3分；</w:t>
            </w:r>
          </w:p>
          <w:p w14:paraId="24326D78">
            <w:pPr>
              <w:pStyle w:val="27"/>
              <w:keepNext w:val="0"/>
              <w:keepLines w:val="0"/>
              <w:pageBreakBefore w:val="0"/>
              <w:kinsoku/>
              <w:wordWrap w:val="0"/>
              <w:overflowPunct/>
              <w:topLinePunct w:val="0"/>
              <w:bidi w:val="0"/>
              <w:spacing w:before="33" w:line="235" w:lineRule="auto"/>
              <w:ind w:right="23"/>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3</w:t>
            </w:r>
            <w:r>
              <w:rPr>
                <w:rFonts w:hint="eastAsia" w:asciiTheme="minorEastAsia" w:hAnsiTheme="minorEastAsia" w:eastAsiaTheme="minorEastAsia" w:cstheme="minorEastAsia"/>
                <w:snapToGrid w:val="0"/>
                <w:color w:val="000000"/>
                <w:spacing w:val="-13"/>
                <w:kern w:val="0"/>
                <w:sz w:val="24"/>
                <w:szCs w:val="24"/>
                <w:lang w:val="en-US" w:eastAsia="en-US" w:bidi="ar-SA"/>
              </w:rPr>
              <w:t>）信息安全保障服务方案内容不够完整，部分措施不够合理，风险评估存在疏漏，质量保障体系有待完善，存在一些明显缺陷的得1分；</w:t>
            </w:r>
          </w:p>
          <w:p w14:paraId="1A922E85">
            <w:pPr>
              <w:pStyle w:val="27"/>
              <w:keepNext w:val="0"/>
              <w:keepLines w:val="0"/>
              <w:pageBreakBefore w:val="0"/>
              <w:kinsoku/>
              <w:wordWrap w:val="0"/>
              <w:overflowPunct/>
              <w:topLinePunct w:val="0"/>
              <w:bidi w:val="0"/>
              <w:spacing w:before="33" w:line="235" w:lineRule="auto"/>
              <w:ind w:right="23" w:rightChars="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4</w:t>
            </w:r>
            <w:r>
              <w:rPr>
                <w:rFonts w:hint="eastAsia" w:asciiTheme="minorEastAsia" w:hAnsiTheme="minorEastAsia" w:eastAsiaTheme="minorEastAsia" w:cstheme="minorEastAsia"/>
                <w:snapToGrid w:val="0"/>
                <w:color w:val="000000"/>
                <w:spacing w:val="-13"/>
                <w:kern w:val="0"/>
                <w:sz w:val="24"/>
                <w:szCs w:val="24"/>
                <w:lang w:val="en-US" w:eastAsia="en-US" w:bidi="ar-SA"/>
              </w:rPr>
              <w:t>）未提供分或者方案不符合国家相关强制要求的不得分。</w:t>
            </w:r>
          </w:p>
        </w:tc>
      </w:tr>
      <w:tr w14:paraId="1810E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restart"/>
            <w:vAlign w:val="center"/>
          </w:tcPr>
          <w:p w14:paraId="75F8B4CA">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kern w:val="0"/>
                <w:sz w:val="21"/>
                <w:szCs w:val="21"/>
                <w:lang w:val="en-US" w:eastAsia="zh-CN" w:bidi="ar-SA"/>
              </w:rPr>
            </w:pPr>
            <w:r>
              <w:rPr>
                <w:rFonts w:hint="eastAsia" w:asciiTheme="minorEastAsia" w:hAnsiTheme="minorEastAsia" w:eastAsiaTheme="minorEastAsia" w:cstheme="minorEastAsia"/>
                <w:sz w:val="24"/>
                <w:szCs w:val="24"/>
                <w:lang w:val="en-US" w:eastAsia="zh-CN"/>
              </w:rPr>
              <w:t>3</w:t>
            </w:r>
          </w:p>
        </w:tc>
        <w:tc>
          <w:tcPr>
            <w:tcW w:w="1485" w:type="dxa"/>
            <w:vMerge w:val="restart"/>
            <w:vAlign w:val="center"/>
          </w:tcPr>
          <w:p w14:paraId="4BB3C579">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综合部分</w:t>
            </w:r>
          </w:p>
          <w:p w14:paraId="50375D02">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
                <w:sz w:val="24"/>
                <w:szCs w:val="24"/>
                <w:lang w:val="en-US" w:eastAsia="zh-CN"/>
              </w:rPr>
              <w:t>（满分54分）</w:t>
            </w:r>
          </w:p>
        </w:tc>
        <w:tc>
          <w:tcPr>
            <w:tcW w:w="1005" w:type="dxa"/>
            <w:vAlign w:val="center"/>
          </w:tcPr>
          <w:p w14:paraId="72F9D96C">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技术指标</w:t>
            </w:r>
          </w:p>
          <w:p w14:paraId="5DCDE309">
            <w:pPr>
              <w:pStyle w:val="27"/>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（20分）</w:t>
            </w:r>
          </w:p>
        </w:tc>
        <w:tc>
          <w:tcPr>
            <w:tcW w:w="5284" w:type="dxa"/>
            <w:vAlign w:val="top"/>
          </w:tcPr>
          <w:p w14:paraId="6C9A038A">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28" w:firstLineChars="200"/>
              <w:textAlignment w:val="baseline"/>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根据招标文件要求，完全满足的得20分，若投标产品技术指标与招标要求有负偏离（除</w:t>
            </w:r>
            <w:r>
              <w:rPr>
                <w:rFonts w:hint="eastAsia" w:ascii="宋体" w:hAnsi="宋体" w:eastAsia="宋体" w:cs="宋体"/>
                <w:b/>
                <w:bCs/>
                <w:snapToGrid w:val="0"/>
                <w:color w:val="000000"/>
                <w:spacing w:val="-13"/>
                <w:kern w:val="0"/>
                <w:sz w:val="24"/>
                <w:szCs w:val="24"/>
                <w:lang w:val="en-US" w:eastAsia="zh-CN" w:bidi="ar-SA"/>
              </w:rPr>
              <w:t>*</w:t>
            </w: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号外，</w:t>
            </w:r>
            <w:r>
              <w:rPr>
                <w:rFonts w:hint="eastAsia" w:ascii="宋体" w:hAnsi="宋体" w:eastAsia="宋体" w:cs="宋体"/>
                <w:b/>
                <w:bCs/>
                <w:snapToGrid w:val="0"/>
                <w:color w:val="000000"/>
                <w:spacing w:val="-13"/>
                <w:kern w:val="0"/>
                <w:sz w:val="24"/>
                <w:szCs w:val="24"/>
                <w:lang w:val="en-US" w:eastAsia="zh-CN" w:bidi="ar-SA"/>
              </w:rPr>
              <w:t>*</w:t>
            </w: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号部分不允许负偏离），每一项扣2分，扣完为止（负偏离情形包含技术指标不满足要求及未按照要求提供相应材料的情形）。</w:t>
            </w:r>
          </w:p>
        </w:tc>
      </w:tr>
      <w:tr w14:paraId="73BBA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76E23B76">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p>
        </w:tc>
        <w:tc>
          <w:tcPr>
            <w:tcW w:w="1485" w:type="dxa"/>
            <w:vMerge w:val="continue"/>
            <w:vAlign w:val="center"/>
          </w:tcPr>
          <w:p w14:paraId="0606DFD2">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005" w:type="dxa"/>
            <w:shd w:val="clear" w:color="auto" w:fill="auto"/>
            <w:vAlign w:val="center"/>
          </w:tcPr>
          <w:p w14:paraId="60D7229E">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总体架构设计</w:t>
            </w:r>
            <w:r>
              <w:rPr>
                <w:rFonts w:hint="eastAsia" w:asciiTheme="minorEastAsia" w:hAnsiTheme="minorEastAsia" w:eastAsiaTheme="minorEastAsia" w:cstheme="minorEastAsia"/>
                <w:snapToGrid w:val="0"/>
                <w:color w:val="000000"/>
                <w:spacing w:val="-13"/>
                <w:kern w:val="0"/>
                <w:sz w:val="24"/>
                <w:szCs w:val="24"/>
                <w:lang w:val="en-US" w:eastAsia="zh-CN" w:bidi="ar-SA"/>
              </w:rPr>
              <w:t>（5分）</w:t>
            </w:r>
          </w:p>
        </w:tc>
        <w:tc>
          <w:tcPr>
            <w:tcW w:w="5284" w:type="dxa"/>
            <w:shd w:val="clear" w:color="auto" w:fill="auto"/>
            <w:vAlign w:val="top"/>
          </w:tcPr>
          <w:p w14:paraId="599A1CEB">
            <w:pPr>
              <w:pStyle w:val="27"/>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针对本项目提供总体架构设计方案，内容包含：总体、产品、技术、网络、安全等合理性、可行性。</w:t>
            </w:r>
          </w:p>
          <w:p w14:paraId="6494ED68">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（1）总体架构设计方案内容完整、描述清晰的得5分；</w:t>
            </w:r>
          </w:p>
          <w:p w14:paraId="1283DC7D">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（2）总体架构设计方案内容较完整、描述较清晰的得3分；</w:t>
            </w:r>
          </w:p>
          <w:p w14:paraId="0D485329">
            <w:pPr>
              <w:pStyle w:val="27"/>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（3）总体架构设计方案内容不完整、描述不清晰得1分；</w:t>
            </w:r>
          </w:p>
          <w:p w14:paraId="4279495B">
            <w:pPr>
              <w:pStyle w:val="27"/>
              <w:keepNext w:val="0"/>
              <w:keepLines w:val="0"/>
              <w:pageBreakBefore w:val="0"/>
              <w:kinsoku/>
              <w:wordWrap w:val="0"/>
              <w:overflowPunct/>
              <w:topLinePunct w:val="0"/>
              <w:bidi w:val="0"/>
              <w:spacing w:before="33" w:line="235" w:lineRule="auto"/>
              <w:ind w:left="76" w:leftChars="0" w:right="23" w:rightChars="0" w:firstLine="2" w:firstLineChars="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（4）未提供的不得分。</w:t>
            </w:r>
          </w:p>
        </w:tc>
      </w:tr>
      <w:tr w14:paraId="27DC2E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5D672422">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p>
        </w:tc>
        <w:tc>
          <w:tcPr>
            <w:tcW w:w="1485" w:type="dxa"/>
            <w:vMerge w:val="continue"/>
            <w:vAlign w:val="center"/>
          </w:tcPr>
          <w:p w14:paraId="07AA25F4">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005" w:type="dxa"/>
            <w:vAlign w:val="center"/>
          </w:tcPr>
          <w:p w14:paraId="016C355C">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自主可控</w:t>
            </w:r>
          </w:p>
          <w:p w14:paraId="32CEBDC0">
            <w:pPr>
              <w:pStyle w:val="27"/>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（5分）</w:t>
            </w:r>
          </w:p>
        </w:tc>
        <w:tc>
          <w:tcPr>
            <w:tcW w:w="5284" w:type="dxa"/>
            <w:vAlign w:val="top"/>
          </w:tcPr>
          <w:p w14:paraId="1E495BC7">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right="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（1）投标人需提供芯片（如鲲鹏芯片、海光芯片、飞腾芯片等）自主可控方面的证明材料的，得3分。</w:t>
            </w:r>
          </w:p>
          <w:p w14:paraId="4056A5AE">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right="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（2）投标人所采用云平台产品厂商具有包括鲲鹏、海光、飞腾在内的主流国产化芯片产品兼容互认证明或其他自主可控证明材料的，得2分。</w:t>
            </w:r>
          </w:p>
          <w:p w14:paraId="3FD85E24">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right="0"/>
              <w:textAlignment w:val="baseline"/>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pPr>
          </w:p>
        </w:tc>
      </w:tr>
      <w:tr w14:paraId="3433E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06DDCFBB">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p>
        </w:tc>
        <w:tc>
          <w:tcPr>
            <w:tcW w:w="1485" w:type="dxa"/>
            <w:vMerge w:val="continue"/>
            <w:vAlign w:val="center"/>
          </w:tcPr>
          <w:p w14:paraId="5019D1E9">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005" w:type="dxa"/>
            <w:vAlign w:val="center"/>
          </w:tcPr>
          <w:p w14:paraId="0E91702C">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供电基础设施服务能力</w:t>
            </w:r>
          </w:p>
          <w:p w14:paraId="20F1984D">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（3分）</w:t>
            </w:r>
          </w:p>
        </w:tc>
        <w:tc>
          <w:tcPr>
            <w:tcW w:w="5284" w:type="dxa"/>
            <w:vAlign w:val="top"/>
          </w:tcPr>
          <w:p w14:paraId="1440B875">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right="0" w:firstLine="428" w:firstLineChars="200"/>
              <w:textAlignment w:val="baseline"/>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IDC机房具有2路10KV高压电力专线从不同变压器接入，提供证明材料或承诺函得3分。</w:t>
            </w:r>
          </w:p>
        </w:tc>
      </w:tr>
      <w:tr w14:paraId="5041E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7F81222F">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kern w:val="0"/>
                <w:sz w:val="21"/>
                <w:szCs w:val="21"/>
                <w:lang w:val="en-US" w:eastAsia="zh-CN" w:bidi="ar-SA"/>
              </w:rPr>
            </w:pPr>
          </w:p>
        </w:tc>
        <w:tc>
          <w:tcPr>
            <w:tcW w:w="1485" w:type="dxa"/>
            <w:vMerge w:val="continue"/>
            <w:vAlign w:val="center"/>
          </w:tcPr>
          <w:p w14:paraId="436DC3DA">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napToGrid w:val="0"/>
                <w:color w:val="000000"/>
                <w:kern w:val="0"/>
                <w:sz w:val="24"/>
                <w:szCs w:val="24"/>
                <w:lang w:val="en-US" w:eastAsia="zh-CN" w:bidi="ar-SA"/>
              </w:rPr>
            </w:pPr>
          </w:p>
        </w:tc>
        <w:tc>
          <w:tcPr>
            <w:tcW w:w="1005" w:type="dxa"/>
            <w:vAlign w:val="center"/>
          </w:tcPr>
          <w:p w14:paraId="46E98227">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响应</w:t>
            </w:r>
            <w:r>
              <w:rPr>
                <w:rFonts w:hint="eastAsia" w:asciiTheme="minorEastAsia" w:hAnsiTheme="minorEastAsia" w:eastAsiaTheme="minorEastAsia" w:cstheme="minorEastAsia"/>
                <w:snapToGrid w:val="0"/>
                <w:color w:val="000000"/>
                <w:spacing w:val="-13"/>
                <w:kern w:val="0"/>
                <w:sz w:val="24"/>
                <w:szCs w:val="24"/>
                <w:lang w:val="en-US" w:eastAsia="en-US" w:bidi="ar-SA"/>
              </w:rPr>
              <w:t>承诺</w:t>
            </w:r>
          </w:p>
          <w:p w14:paraId="644CC37B">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（1分）</w:t>
            </w:r>
          </w:p>
        </w:tc>
        <w:tc>
          <w:tcPr>
            <w:tcW w:w="5284" w:type="dxa"/>
            <w:vAlign w:val="top"/>
          </w:tcPr>
          <w:p w14:paraId="68021363">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28" w:firstLineChars="20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投标人</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提供20分钟响应、到达甲方指定现场并提供服务承诺书并加盖公章，提供得1分；不提供不得分。</w:t>
            </w:r>
          </w:p>
        </w:tc>
      </w:tr>
      <w:tr w14:paraId="49CB2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41046DBC">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485" w:type="dxa"/>
            <w:vMerge w:val="continue"/>
            <w:vAlign w:val="center"/>
          </w:tcPr>
          <w:p w14:paraId="4F5A6D07">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005" w:type="dxa"/>
            <w:vAlign w:val="center"/>
          </w:tcPr>
          <w:p w14:paraId="732E03CA">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云平台网络服务承诺</w:t>
            </w:r>
          </w:p>
          <w:p w14:paraId="1FF6BD50">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（1分）</w:t>
            </w:r>
          </w:p>
        </w:tc>
        <w:tc>
          <w:tcPr>
            <w:tcW w:w="5284" w:type="dxa"/>
            <w:vAlign w:val="top"/>
          </w:tcPr>
          <w:p w14:paraId="13E092B4">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28" w:firstLineChars="20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云平台网络服务承诺：</w:t>
            </w: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投标人</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提供2条10G及以上速率的裸光纤政务网络接入服务能力，提供承诺书并加盖</w:t>
            </w: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投标人</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公章的，得1分；</w:t>
            </w:r>
          </w:p>
          <w:p w14:paraId="19FF02AD">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28" w:firstLineChars="20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未提供的不得分。</w:t>
            </w:r>
          </w:p>
        </w:tc>
      </w:tr>
      <w:tr w14:paraId="54733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332E5B8E">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485" w:type="dxa"/>
            <w:vMerge w:val="continue"/>
            <w:vAlign w:val="center"/>
          </w:tcPr>
          <w:p w14:paraId="41FFCD84">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005" w:type="dxa"/>
            <w:vAlign w:val="center"/>
          </w:tcPr>
          <w:p w14:paraId="1E22DEBA">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业绩</w:t>
            </w:r>
          </w:p>
          <w:p w14:paraId="6B969FE9">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（4分）</w:t>
            </w:r>
          </w:p>
        </w:tc>
        <w:tc>
          <w:tcPr>
            <w:tcW w:w="5284" w:type="dxa"/>
            <w:vAlign w:val="top"/>
          </w:tcPr>
          <w:p w14:paraId="50321E57">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28" w:firstLineChars="20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投标人每提供一份2023年1月1日以来类似项目完整业绩每项得2分，最多得4分。（提供完整合同扫描件，无扫描件或合同不完整的不得分）</w:t>
            </w:r>
          </w:p>
        </w:tc>
      </w:tr>
      <w:tr w14:paraId="16050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6D058DB9">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485" w:type="dxa"/>
            <w:vMerge w:val="continue"/>
            <w:vAlign w:val="center"/>
          </w:tcPr>
          <w:p w14:paraId="52980172">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005" w:type="dxa"/>
            <w:vAlign w:val="center"/>
          </w:tcPr>
          <w:p w14:paraId="324209B5">
            <w:pPr>
              <w:pStyle w:val="27"/>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电信增值业务能力</w:t>
            </w:r>
          </w:p>
          <w:p w14:paraId="6CC08387">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（3分）</w:t>
            </w:r>
          </w:p>
        </w:tc>
        <w:tc>
          <w:tcPr>
            <w:tcW w:w="5284" w:type="dxa"/>
            <w:vAlign w:val="top"/>
          </w:tcPr>
          <w:p w14:paraId="259C0BFC">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28" w:firstLineChars="20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供应商具备</w:t>
            </w:r>
            <w:r>
              <w:rPr>
                <w:rFonts w:hint="default" w:asciiTheme="minorEastAsia" w:hAnsiTheme="minorEastAsia" w:eastAsiaTheme="minorEastAsia" w:cstheme="minorEastAsia"/>
                <w:b w:val="0"/>
                <w:bCs w:val="0"/>
                <w:snapToGrid w:val="0"/>
                <w:color w:val="000000" w:themeColor="text1"/>
                <w:spacing w:val="-13"/>
                <w:kern w:val="0"/>
                <w:sz w:val="24"/>
                <w:szCs w:val="24"/>
                <w:highlight w:val="none"/>
                <w:lang w:val="en-US" w:eastAsia="zh-CN" w:bidi="ar-SA"/>
                <w14:textFill>
                  <w14:solidFill>
                    <w14:schemeClr w14:val="tx1"/>
                  </w14:solidFill>
                </w14:textFill>
              </w:rPr>
              <w:t>增值电信业务经营许可证</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的得3分，提供证明材料扫描件，未提供的不得分。</w:t>
            </w:r>
          </w:p>
        </w:tc>
      </w:tr>
      <w:tr w14:paraId="21703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8" w:hRule="atLeast"/>
        </w:trPr>
        <w:tc>
          <w:tcPr>
            <w:tcW w:w="561" w:type="dxa"/>
            <w:vMerge w:val="continue"/>
            <w:vAlign w:val="center"/>
          </w:tcPr>
          <w:p w14:paraId="4BA3BECF">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485" w:type="dxa"/>
            <w:vMerge w:val="continue"/>
            <w:vAlign w:val="center"/>
          </w:tcPr>
          <w:p w14:paraId="09A4991B">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005" w:type="dxa"/>
            <w:vAlign w:val="center"/>
          </w:tcPr>
          <w:p w14:paraId="3D5DDC58">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项目团队</w:t>
            </w:r>
          </w:p>
          <w:p w14:paraId="1B4385BF">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（7分）</w:t>
            </w:r>
          </w:p>
        </w:tc>
        <w:tc>
          <w:tcPr>
            <w:tcW w:w="5284" w:type="dxa"/>
            <w:vAlign w:val="top"/>
          </w:tcPr>
          <w:p w14:paraId="11CAE854">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28" w:firstLineChars="200"/>
              <w:textAlignment w:val="baseline"/>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（1）</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拟任项目负责人具有信息系统项目管理师（高级）的计2分。</w:t>
            </w:r>
          </w:p>
          <w:p w14:paraId="6EBB1EA4">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28" w:firstLineChars="20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（2）</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拟任技术负责人具有系统分析师（高级）、系统规划与管理师、网络规划设计师（高级）之一的计2分。</w:t>
            </w:r>
          </w:p>
          <w:p w14:paraId="2A2BFD0A">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28" w:firstLineChars="20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（3）</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拟任团队人员（不包含项目负责人和技术负责人）持有数据库系统工程师、网络工程师、系统集成项目管理工程师、软件设计师、信息系统监理师、信息系统项目管理师（高级）、系统分析师（高级）、系统规划与管理师、网络规划设计师（高级）。每具备1种的得0.5分共3分（以上每人只计算1种，不重复计算）。</w:t>
            </w:r>
          </w:p>
          <w:p w14:paraId="138E05D8">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30" w:firstLineChars="200"/>
              <w:textAlignment w:val="baseline"/>
              <w:rPr>
                <w:rFonts w:hint="default"/>
                <w:lang w:val="en-US" w:eastAsia="zh-CN"/>
              </w:rPr>
            </w:pPr>
            <w:r>
              <w:rPr>
                <w:rFonts w:hint="eastAsia" w:asciiTheme="minorEastAsia" w:hAnsiTheme="minorEastAsia" w:eastAsiaTheme="minorEastAsia" w:cstheme="minorEastAsia"/>
                <w:b/>
                <w:bCs/>
                <w:snapToGrid w:val="0"/>
                <w:color w:val="000000"/>
                <w:spacing w:val="-13"/>
                <w:kern w:val="0"/>
                <w:sz w:val="24"/>
                <w:szCs w:val="24"/>
                <w:lang w:val="en-US" w:eastAsia="zh-CN" w:bidi="ar-SA"/>
              </w:rPr>
              <w:t>注:以上几项需提供人员在本单位任职的证明材料。</w:t>
            </w:r>
          </w:p>
        </w:tc>
      </w:tr>
      <w:tr w14:paraId="2C507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4DD74F82">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485" w:type="dxa"/>
            <w:vMerge w:val="continue"/>
            <w:vAlign w:val="center"/>
          </w:tcPr>
          <w:p w14:paraId="4332E290">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005" w:type="dxa"/>
            <w:vAlign w:val="center"/>
          </w:tcPr>
          <w:p w14:paraId="1566A88D">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13"/>
                <w:kern w:val="0"/>
                <w:sz w:val="24"/>
                <w:szCs w:val="24"/>
                <w:highlight w:val="none"/>
                <w:lang w:val="en-US" w:eastAsia="en-US" w:bidi="ar-SA"/>
              </w:rPr>
              <w:t>管理体系认证证书</w:t>
            </w:r>
          </w:p>
          <w:p w14:paraId="4D45971D">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（3分）</w:t>
            </w:r>
          </w:p>
        </w:tc>
        <w:tc>
          <w:tcPr>
            <w:tcW w:w="5284" w:type="dxa"/>
            <w:vAlign w:val="top"/>
          </w:tcPr>
          <w:p w14:paraId="25EAF63B">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投标人提供信</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息技术服务管理体系认证证书（ISO20000）</w:t>
            </w: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信息安全管理体系认证证书（ISO27001）</w:t>
            </w: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云服务信息安全管理体系认证（ISO27017）</w:t>
            </w: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每</w:t>
            </w:r>
            <w:r>
              <w:rPr>
                <w:rFonts w:hint="eastAsia" w:asciiTheme="minorEastAsia" w:hAnsiTheme="minorEastAsia" w:eastAsiaTheme="minorEastAsia" w:cstheme="minorEastAsia"/>
                <w:b w:val="0"/>
                <w:bCs w:val="0"/>
                <w:snapToGrid w:val="0"/>
                <w:color w:val="000000"/>
                <w:spacing w:val="-13"/>
                <w:kern w:val="0"/>
                <w:sz w:val="24"/>
                <w:szCs w:val="24"/>
                <w:lang w:val="en-US" w:eastAsia="zh-CN" w:bidi="ar-SA"/>
              </w:rPr>
              <w:t>提供一</w:t>
            </w: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个得1分，共3分。认证证书需中国国家认证认可监督管理委员会（CNCA）官网（网址https://www.cnca.gov.cn/，并提供该证书截图证明）。</w:t>
            </w:r>
          </w:p>
        </w:tc>
      </w:tr>
      <w:tr w14:paraId="7709F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61" w:type="dxa"/>
            <w:vMerge w:val="continue"/>
            <w:vAlign w:val="center"/>
          </w:tcPr>
          <w:p w14:paraId="63A4134A">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485" w:type="dxa"/>
            <w:vMerge w:val="continue"/>
            <w:vAlign w:val="center"/>
          </w:tcPr>
          <w:p w14:paraId="474F1EC4">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005" w:type="dxa"/>
            <w:vAlign w:val="center"/>
          </w:tcPr>
          <w:p w14:paraId="523F2306">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信用评价</w:t>
            </w:r>
          </w:p>
          <w:p w14:paraId="2E4D4182">
            <w:pPr>
              <w:pStyle w:val="27"/>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（2分）</w:t>
            </w:r>
          </w:p>
        </w:tc>
        <w:tc>
          <w:tcPr>
            <w:tcW w:w="5284" w:type="dxa"/>
            <w:vAlign w:val="top"/>
          </w:tcPr>
          <w:p w14:paraId="76C967C5">
            <w:pPr>
              <w:pStyle w:val="7"/>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firstLine="428" w:firstLineChars="200"/>
              <w:textAlignment w:val="baseline"/>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pPr>
            <w:r>
              <w:rPr>
                <w:rFonts w:hint="default" w:asciiTheme="minorEastAsia" w:hAnsiTheme="minorEastAsia" w:eastAsiaTheme="minorEastAsia" w:cstheme="minorEastAsia"/>
                <w:b w:val="0"/>
                <w:bCs w:val="0"/>
                <w:snapToGrid w:val="0"/>
                <w:color w:val="000000"/>
                <w:spacing w:val="-13"/>
                <w:kern w:val="0"/>
                <w:sz w:val="24"/>
                <w:szCs w:val="24"/>
                <w:lang w:val="en-US" w:eastAsia="zh-CN" w:bidi="ar-SA"/>
              </w:rPr>
              <w:t>根据《南阳市政府采购信用评价实施办法》宛财购〔2025〕6号通知要求，诚信指数高的供应商，在参加南阳市本级的政府采购活动时，享受政策支持，在采用综合评分法的项目中，诚信评价为100分的得2分，90—99分（不含90分）之间得1分，90分以下的不得分；供应商可在投标（响应）文件递交截止前三个工作日，登录“南阳市政府采购信用管理系统”在线打印《南阳市政府采购供应商信用记录表》，作为投标（响应）文件的组成部分提交，评审时作为享受政策支持的依据。查询网站：http://web.zcxy.caizj.nanyang.gov.cn:8008/#/（供应商查询）</w:t>
            </w:r>
          </w:p>
        </w:tc>
      </w:tr>
      <w:tr w14:paraId="58C34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046" w:type="dxa"/>
            <w:gridSpan w:val="2"/>
            <w:vAlign w:val="top"/>
          </w:tcPr>
          <w:p w14:paraId="554DCC06">
            <w:pPr>
              <w:keepNext w:val="0"/>
              <w:keepLines w:val="0"/>
              <w:pageBreakBefore w:val="0"/>
              <w:kinsoku/>
              <w:wordWrap w:val="0"/>
              <w:overflowPunct/>
              <w:topLinePunct w:val="0"/>
              <w:bidi w:val="0"/>
              <w:spacing w:before="42" w:line="206" w:lineRule="auto"/>
              <w:ind w:left="93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合计</w:t>
            </w:r>
          </w:p>
        </w:tc>
        <w:tc>
          <w:tcPr>
            <w:tcW w:w="1005" w:type="dxa"/>
            <w:vAlign w:val="top"/>
          </w:tcPr>
          <w:p w14:paraId="76EB2E6F">
            <w:pPr>
              <w:pStyle w:val="27"/>
              <w:keepNext w:val="0"/>
              <w:keepLines w:val="0"/>
              <w:pageBreakBefore w:val="0"/>
              <w:kinsoku/>
              <w:wordWrap w:val="0"/>
              <w:overflowPunct/>
              <w:topLinePunct w:val="0"/>
              <w:bidi w:val="0"/>
              <w:spacing w:before="59" w:line="202" w:lineRule="auto"/>
              <w:ind w:left="26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100</w:t>
            </w:r>
          </w:p>
        </w:tc>
        <w:tc>
          <w:tcPr>
            <w:tcW w:w="5284" w:type="dxa"/>
            <w:vAlign w:val="top"/>
          </w:tcPr>
          <w:p w14:paraId="6F80CAC4">
            <w:pPr>
              <w:pStyle w:val="2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04614AC5">
      <w:pPr>
        <w:pStyle w:val="16"/>
        <w:rPr>
          <w:rFonts w:hint="default"/>
          <w:lang w:val="en-US" w:eastAsia="zh-CN"/>
        </w:rPr>
      </w:pPr>
    </w:p>
    <w:p w14:paraId="0AE164FC">
      <w:pPr>
        <w:keepNext w:val="0"/>
        <w:keepLines w:val="0"/>
        <w:pageBreakBefore w:val="0"/>
        <w:widowControl/>
        <w:kinsoku/>
        <w:wordWrap w:val="0"/>
        <w:overflowPunct/>
        <w:topLinePunct w:val="0"/>
        <w:autoSpaceDE w:val="0"/>
        <w:autoSpaceDN w:val="0"/>
        <w:bidi w:val="0"/>
        <w:adjustRightInd w:val="0"/>
        <w:snapToGrid w:val="0"/>
        <w:spacing w:line="360" w:lineRule="auto"/>
        <w:ind w:firstLine="420" w:firstLineChars="200"/>
        <w:jc w:val="both"/>
        <w:textAlignment w:val="baseline"/>
        <w:rPr>
          <w:rFonts w:hint="eastAsia" w:asciiTheme="minorEastAsia" w:hAnsiTheme="minorEastAsia" w:eastAsiaTheme="minorEastAsia" w:cstheme="minorEastAsia"/>
          <w:sz w:val="21"/>
          <w:szCs w:val="21"/>
        </w:rPr>
      </w:pPr>
    </w:p>
    <w:p w14:paraId="0DE726D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14:paraId="3C0C6ABC">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14:paraId="04DFD231">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 中标人被正式确定后，将在“河南省政府采购网”和“全国公共资源交易平台（河南省</w:t>
      </w:r>
      <w:r>
        <w:rPr>
          <w:rFonts w:hint="eastAsia" w:ascii="微软雅黑" w:hAnsi="微软雅黑" w:eastAsia="微软雅黑" w:cs="微软雅黑"/>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南阳市）”上公告中标结果，同时向中标人发出《中标通知书》。</w:t>
      </w:r>
    </w:p>
    <w:p w14:paraId="7AEFA7B4">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 《中标通知书》将作为签订合同的依据之一。</w:t>
      </w:r>
    </w:p>
    <w:p w14:paraId="14CD0C2D">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 《中标通知书》发放办法：政府采购项目通过“南阳市公共资源交易中心公共服务平台”向中标人发出电子《中标通知书》后，中标供应商可登录南阳市公共资源交易平台会员系统，自行打印加盖电子签章的《中标通知书》。</w:t>
      </w:r>
    </w:p>
    <w:p w14:paraId="3F57D586">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14:paraId="2612E54F">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2.1中标供应商</w:t>
      </w:r>
      <w:bookmarkStart w:id="0" w:name="_GoBack"/>
      <w:bookmarkEnd w:id="0"/>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打印《中标通知书》后及时与采购人签订政府采购合同。合同签订后，采购人应通过“河南省电子化政府采购系统”(www.hngp.gov.cn)合同管理栏目上传合同原件扫描件完成备案。</w:t>
      </w:r>
    </w:p>
    <w:p w14:paraId="5012211B">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2.2招标文件、投标文件、答疑及澄清文件，均为签订合同的依据。</w:t>
      </w:r>
    </w:p>
    <w:p w14:paraId="52F60DBC">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14:paraId="2501FC45">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049DA0AD">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1414D61A">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4F12655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3207DBB5">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27962DDF">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3D0A1637">
      <w:pPr>
        <w:pStyle w:val="10"/>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6D67996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14:paraId="1F8B627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1.开标及询标时，投标人法定代表人（负责人）或授权代表务必携带有效的身份证明，否则产生的不利后果由投标人自行承担。</w:t>
      </w:r>
    </w:p>
    <w:p w14:paraId="0687AFA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2.各投标人应保证：投标文件中涉及到的所有内容，不会出现因第三方提出侵权而引发法律及经济纠纷，不论何种情况下若发生此类情况，其相应责任由投标人自行承担。</w:t>
      </w:r>
    </w:p>
    <w:p w14:paraId="0E387C33">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3.3开标、评标期间，投标人不得向评委询问评标情况，不得进行旨在影响评标结果的活动。</w:t>
      </w:r>
    </w:p>
    <w:p w14:paraId="4DBEEF4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4.为了保证评标的公正性，除询标外，评委不得与投标人交换意见。无论评标工作结束与否，参与评标的任何人均不得私下向外透露评标中的任何情况。</w:t>
      </w:r>
    </w:p>
    <w:p w14:paraId="2056657A">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5.投标人应本着公平竞争的原则参与投标，不得用任何方式对其它投标人恶意攻击。</w:t>
      </w:r>
    </w:p>
    <w:p w14:paraId="29492D6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6.投标人如有违反上述要求或违反国家法律、法规的行为，无论评标结果如何，其投标资格将被取消。</w:t>
      </w:r>
    </w:p>
    <w:p w14:paraId="0C30F22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DD227CC">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519FE08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CA47E5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FC1E7CC">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DB5C694">
      <w:pPr>
        <w:pStyle w:val="2"/>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B80A280">
      <w:pPr>
        <w:pStyle w:val="5"/>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8D839AC">
      <w:pP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79D7E83">
      <w:pPr>
        <w:pStyle w:val="2"/>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FD744D3">
      <w:pPr>
        <w:pStyle w:val="5"/>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4A222C92">
      <w:pP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7DC782D">
      <w:pPr>
        <w:pStyle w:val="2"/>
        <w:rPr>
          <w:rFonts w:hint="eastAsia"/>
          <w:lang w:val="en-US" w:eastAsia="zh-CN"/>
        </w:rPr>
      </w:pPr>
    </w:p>
    <w:p w14:paraId="43D4ADAF">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3D6B94C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14:paraId="016C366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57BD76D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64E410B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1F80484D">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0DEEA52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30" w:firstLineChars="200"/>
        <w:jc w:val="both"/>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4B229EA4">
      <w:pPr>
        <w:pStyle w:val="25"/>
        <w:keepNext w:val="0"/>
        <w:keepLines w:val="0"/>
        <w:pageBreakBefore w:val="0"/>
        <w:kinsoku/>
        <w:wordWrap w:val="0"/>
        <w:overflowPunct/>
        <w:topLinePunct w:val="0"/>
        <w:bidi w:val="0"/>
        <w:jc w:val="both"/>
        <w:rPr>
          <w:rFonts w:hint="eastAsia"/>
          <w:lang w:val="en-US" w:eastAsia="zh-CN"/>
        </w:rPr>
        <w:sectPr>
          <w:headerReference r:id="rId5" w:type="default"/>
          <w:footerReference r:id="rId6" w:type="default"/>
          <w:pgSz w:w="11907" w:h="16840"/>
          <w:pgMar w:top="1440" w:right="1800" w:bottom="1440" w:left="1800" w:header="878" w:footer="886" w:gutter="0"/>
          <w:pgNumType w:fmt="decimal" w:start="1"/>
          <w:cols w:space="720" w:num="1"/>
        </w:sectPr>
      </w:pPr>
    </w:p>
    <w:p w14:paraId="5545C93E">
      <w:pPr>
        <w:pStyle w:val="3"/>
        <w:keepNext w:val="0"/>
        <w:keepLines w:val="0"/>
        <w:pageBreakBefore w:val="0"/>
        <w:kinsoku/>
        <w:wordWrap w:val="0"/>
        <w:overflowPunct/>
        <w:topLinePunct w:val="0"/>
        <w:bidi w:val="0"/>
        <w:spacing w:before="353" w:line="219" w:lineRule="auto"/>
        <w:jc w:val="cente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政府采购合同（草案）</w:t>
      </w:r>
    </w:p>
    <w:p w14:paraId="75A12495">
      <w:pPr>
        <w:pStyle w:val="25"/>
        <w:jc w:val="both"/>
        <w:rPr>
          <w:rFonts w:hint="eastAsia"/>
        </w:rPr>
      </w:pPr>
    </w:p>
    <w:p w14:paraId="453F7D1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根据《中华人民共和国政府采购法》《中华人民共和国民法典》及相关法律法规和招、投标文件，遵循平等、自愿、公平和诚实信用的原则，双方就南阳市政务云</w:t>
      </w:r>
      <w:r>
        <w:rPr>
          <w:rFonts w:hint="eastAsia" w:ascii="仿宋_GB2312" w:hAnsi="仿宋_GB2312" w:eastAsia="仿宋_GB2312" w:cs="仿宋_GB2312"/>
          <w:sz w:val="24"/>
          <w:szCs w:val="24"/>
          <w:lang w:val="en-US" w:eastAsia="zh-CN"/>
        </w:rPr>
        <w:t>政府购买服务</w:t>
      </w:r>
      <w:r>
        <w:rPr>
          <w:rFonts w:hint="eastAsia" w:ascii="仿宋_GB2312" w:hAnsi="仿宋_GB2312" w:eastAsia="仿宋_GB2312" w:cs="仿宋_GB2312"/>
          <w:sz w:val="24"/>
          <w:szCs w:val="24"/>
        </w:rPr>
        <w:t>项目的有关事宜协商一致，订立本合同。</w:t>
      </w:r>
    </w:p>
    <w:p w14:paraId="0D648E7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仿宋_GB2312" w:hAnsi="仿宋_GB2312" w:eastAsia="仿宋_GB2312" w:cs="仿宋_GB2312"/>
          <w:sz w:val="24"/>
          <w:szCs w:val="24"/>
        </w:rPr>
      </w:pPr>
      <w:r>
        <w:rPr>
          <w:rFonts w:hint="eastAsia" w:ascii="黑体" w:hAnsi="黑体" w:eastAsia="黑体" w:cs="黑体"/>
          <w:sz w:val="24"/>
          <w:szCs w:val="24"/>
        </w:rPr>
        <w:t>第一条</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甲方采购服务的内容和要求</w:t>
      </w:r>
    </w:p>
    <w:p w14:paraId="379786E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1.详见甲方招标文件及乙方投标文件。</w:t>
      </w:r>
    </w:p>
    <w:p w14:paraId="0872064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本项目合同由双方协商并载入本合同中的条款、条件，招标(采购)文件、投标标书(应答文件)、中标(成交)通知书以及以下所提及的附件和有关的补充协议构成。如甲方招标文件及乙方投标文件中关于甲方采购服务的内容和要求存在误差，则以甲方从上述文件中选择适用的相关内容为准。</w:t>
      </w:r>
    </w:p>
    <w:p w14:paraId="174C06B3">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3.乙方须在</w:t>
      </w:r>
      <w:r>
        <w:rPr>
          <w:rFonts w:hint="eastAsia" w:ascii="仿宋_GB2312" w:hAnsi="仿宋_GB2312" w:eastAsia="仿宋_GB2312" w:cs="仿宋_GB2312"/>
          <w:sz w:val="24"/>
          <w:szCs w:val="24"/>
          <w:highlight w:val="none"/>
          <w:lang w:val="en-US" w:eastAsia="zh-CN"/>
        </w:rPr>
        <w:t>合同签订之日起30日内</w:t>
      </w:r>
      <w:r>
        <w:rPr>
          <w:rFonts w:hint="eastAsia" w:ascii="仿宋_GB2312" w:hAnsi="仿宋_GB2312" w:eastAsia="仿宋_GB2312" w:cs="仿宋_GB2312"/>
          <w:sz w:val="24"/>
          <w:szCs w:val="24"/>
          <w:highlight w:val="none"/>
        </w:rPr>
        <w:t>完成</w:t>
      </w:r>
      <w:r>
        <w:rPr>
          <w:rFonts w:hint="eastAsia" w:ascii="仿宋_GB2312" w:hAnsi="仿宋_GB2312" w:eastAsia="仿宋_GB2312" w:cs="仿宋_GB2312"/>
          <w:sz w:val="24"/>
          <w:szCs w:val="24"/>
          <w:highlight w:val="none"/>
          <w:lang w:val="en-US" w:eastAsia="zh-CN"/>
        </w:rPr>
        <w:t>信创</w:t>
      </w:r>
      <w:r>
        <w:rPr>
          <w:rFonts w:hint="eastAsia" w:ascii="仿宋_GB2312" w:hAnsi="仿宋_GB2312" w:eastAsia="仿宋_GB2312" w:cs="仿宋_GB2312"/>
          <w:sz w:val="24"/>
          <w:szCs w:val="24"/>
          <w:highlight w:val="none"/>
        </w:rPr>
        <w:t>云平台建设，提供安全、稳定的信创云服务。</w:t>
      </w:r>
    </w:p>
    <w:p w14:paraId="0F7FA0F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lang w:val="en-US" w:eastAsia="zh-CN"/>
        </w:rPr>
        <w:t>4</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rPr>
        <w:t>乙方须在项目服务期内按照国家、省市相关标准，做好信创云运行、升级、维护、安全保障等日常工作，若国家、省市出台对云服务新的政策要求，双方协商后落实。</w:t>
      </w:r>
    </w:p>
    <w:p w14:paraId="647C5B4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highlight w:val="none"/>
        </w:rPr>
        <w:t>乙方须按照甲方需求配合完成信创适配、替代等相关工作，包括但不</w:t>
      </w:r>
      <w:r>
        <w:rPr>
          <w:rFonts w:hint="eastAsia" w:ascii="仿宋_GB2312" w:hAnsi="仿宋_GB2312" w:eastAsia="仿宋_GB2312" w:cs="仿宋_GB2312"/>
          <w:sz w:val="24"/>
          <w:szCs w:val="24"/>
          <w:highlight w:val="none"/>
          <w:lang w:val="en-US" w:eastAsia="zh-CN"/>
        </w:rPr>
        <w:t>限于</w:t>
      </w:r>
      <w:r>
        <w:rPr>
          <w:rFonts w:hint="eastAsia" w:ascii="仿宋_GB2312" w:hAnsi="仿宋_GB2312" w:eastAsia="仿宋_GB2312" w:cs="仿宋_GB2312"/>
          <w:sz w:val="24"/>
          <w:szCs w:val="24"/>
          <w:highlight w:val="none"/>
        </w:rPr>
        <w:t>提供6个月信创云</w:t>
      </w:r>
      <w:r>
        <w:rPr>
          <w:rFonts w:hint="eastAsia" w:ascii="仿宋_GB2312" w:hAnsi="仿宋_GB2312" w:eastAsia="仿宋_GB2312" w:cs="仿宋_GB2312"/>
          <w:sz w:val="24"/>
          <w:szCs w:val="24"/>
          <w:highlight w:val="none"/>
          <w:lang w:val="en-US" w:eastAsia="zh-CN"/>
        </w:rPr>
        <w:t>免费测试</w:t>
      </w:r>
      <w:r>
        <w:rPr>
          <w:rFonts w:hint="eastAsia" w:ascii="仿宋_GB2312" w:hAnsi="仿宋_GB2312" w:eastAsia="仿宋_GB2312" w:cs="仿宋_GB2312"/>
          <w:sz w:val="24"/>
          <w:szCs w:val="24"/>
          <w:highlight w:val="none"/>
        </w:rPr>
        <w:t>环境(不</w:t>
      </w:r>
      <w:r>
        <w:rPr>
          <w:rFonts w:hint="eastAsia" w:ascii="仿宋_GB2312" w:hAnsi="仿宋_GB2312" w:eastAsia="仿宋_GB2312" w:cs="仿宋_GB2312"/>
          <w:sz w:val="24"/>
          <w:szCs w:val="24"/>
          <w:highlight w:val="none"/>
          <w:lang w:val="en-US" w:eastAsia="zh-CN"/>
        </w:rPr>
        <w:t>含新建系统</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w:t>
      </w:r>
    </w:p>
    <w:p w14:paraId="5FCDFD1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.乙方须提供包括但不限于各类监测数据、结构数据、统计数据等云平台全量数据</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具备完整的运行日志，服务期内日志须全量保存。服务期满后，以甲方指定的方式进行日志数据移交</w:t>
      </w:r>
      <w:r>
        <w:rPr>
          <w:rFonts w:hint="eastAsia" w:ascii="仿宋_GB2312" w:hAnsi="仿宋_GB2312" w:eastAsia="仿宋_GB2312" w:cs="仿宋_GB2312"/>
          <w:sz w:val="24"/>
          <w:szCs w:val="24"/>
        </w:rPr>
        <w:t>。</w:t>
      </w:r>
    </w:p>
    <w:p w14:paraId="6018F42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仿宋_GB2312" w:hAnsi="仿宋_GB2312" w:eastAsia="仿宋_GB2312" w:cs="仿宋_GB2312"/>
          <w:sz w:val="24"/>
          <w:szCs w:val="24"/>
        </w:rPr>
      </w:pPr>
      <w:r>
        <w:rPr>
          <w:rFonts w:hint="eastAsia" w:ascii="黑体" w:hAnsi="黑体" w:eastAsia="黑体" w:cs="黑体"/>
          <w:sz w:val="24"/>
          <w:szCs w:val="24"/>
          <w:lang w:val="en-US" w:eastAsia="zh-CN"/>
        </w:rPr>
        <w:t xml:space="preserve">第二条 </w:t>
      </w:r>
      <w:r>
        <w:rPr>
          <w:rFonts w:hint="eastAsia" w:ascii="黑体" w:hAnsi="黑体" w:eastAsia="黑体" w:cs="黑体"/>
          <w:sz w:val="24"/>
          <w:szCs w:val="24"/>
        </w:rPr>
        <w:t>乙方服务费用及支付方式</w:t>
      </w:r>
    </w:p>
    <w:p w14:paraId="09FE0AE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双方在本合同中确认的甲方采购服务单价为乙方投标文件中的投标报价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highlight w:val="none"/>
        </w:rPr>
        <w:t>包括乙方为实施本项目所需进行的相关基础建设的费用以及其他乙方为实施本项目而产生的成本、设计、检验、验收、费用核算、相关税费、乙方利润等。甲</w:t>
      </w:r>
      <w:r>
        <w:rPr>
          <w:rFonts w:hint="eastAsia" w:ascii="仿宋_GB2312" w:hAnsi="仿宋_GB2312" w:eastAsia="仿宋_GB2312" w:cs="仿宋_GB2312"/>
          <w:sz w:val="24"/>
          <w:szCs w:val="24"/>
        </w:rPr>
        <w:t>方支付的服务费用包含全部费用，不再额外支付。</w:t>
      </w:r>
    </w:p>
    <w:p w14:paraId="265FC841">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rPr>
        <w:t>2.乙方服务费，按实际使用的服务内容、数量，以投标文件中明确的采购服务单价和服务时间</w:t>
      </w:r>
      <w:r>
        <w:rPr>
          <w:rFonts w:hint="eastAsia" w:ascii="仿宋_GB2312" w:hAnsi="仿宋_GB2312" w:eastAsia="仿宋_GB2312" w:cs="仿宋_GB2312"/>
          <w:sz w:val="24"/>
          <w:szCs w:val="24"/>
          <w:lang w:eastAsia="zh-CN"/>
        </w:rPr>
        <w:t>据实核算，</w:t>
      </w:r>
      <w:r>
        <w:rPr>
          <w:rFonts w:hint="eastAsia" w:ascii="仿宋_GB2312" w:hAnsi="仿宋_GB2312" w:eastAsia="仿宋_GB2312" w:cs="仿宋_GB2312"/>
          <w:sz w:val="24"/>
          <w:szCs w:val="24"/>
          <w:highlight w:val="none"/>
          <w:lang w:val="en-US" w:eastAsia="zh-CN"/>
        </w:rPr>
        <w:t>每次结算支付金额，按照政务云服务费结算方案和政务云服务绩效评价考核方案进行计算（详见附件）</w:t>
      </w:r>
      <w:r>
        <w:rPr>
          <w:rFonts w:hint="eastAsia" w:ascii="仿宋_GB2312" w:hAnsi="仿宋_GB2312" w:eastAsia="仿宋_GB2312" w:cs="仿宋_GB2312"/>
          <w:sz w:val="24"/>
          <w:szCs w:val="24"/>
          <w:highlight w:val="none"/>
        </w:rPr>
        <w:t>。</w:t>
      </w:r>
    </w:p>
    <w:p w14:paraId="60405E3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甲方按照年度支付费用，</w:t>
      </w:r>
      <w:r>
        <w:rPr>
          <w:rFonts w:hint="eastAsia" w:ascii="仿宋_GB2312" w:hAnsi="仿宋_GB2312" w:eastAsia="仿宋_GB2312" w:cs="仿宋_GB2312"/>
          <w:sz w:val="24"/>
          <w:szCs w:val="24"/>
          <w:lang w:val="en-US" w:eastAsia="zh-CN"/>
        </w:rPr>
        <w:t>年度费用超出年度预算金额（150万元）的部分不再计取，</w:t>
      </w:r>
      <w:r>
        <w:rPr>
          <w:rFonts w:hint="eastAsia" w:ascii="仿宋_GB2312" w:hAnsi="仿宋_GB2312" w:eastAsia="仿宋_GB2312" w:cs="仿宋_GB2312"/>
          <w:sz w:val="24"/>
          <w:szCs w:val="24"/>
          <w:highlight w:val="none"/>
        </w:rPr>
        <w:t>实际支付</w:t>
      </w:r>
      <w:r>
        <w:rPr>
          <w:rFonts w:hint="eastAsia" w:ascii="仿宋_GB2312" w:hAnsi="仿宋_GB2312" w:eastAsia="仿宋_GB2312" w:cs="仿宋_GB2312"/>
          <w:sz w:val="24"/>
          <w:szCs w:val="24"/>
          <w:highlight w:val="none"/>
          <w:lang w:val="en-US" w:eastAsia="zh-CN"/>
        </w:rPr>
        <w:t>金额</w:t>
      </w:r>
      <w:r>
        <w:rPr>
          <w:rFonts w:hint="eastAsia" w:ascii="仿宋_GB2312" w:hAnsi="仿宋_GB2312" w:eastAsia="仿宋_GB2312" w:cs="仿宋_GB2312"/>
          <w:sz w:val="24"/>
          <w:szCs w:val="24"/>
          <w:highlight w:val="none"/>
        </w:rPr>
        <w:t>以市财政局</w:t>
      </w:r>
      <w:r>
        <w:rPr>
          <w:rFonts w:hint="eastAsia" w:ascii="仿宋_GB2312" w:hAnsi="仿宋_GB2312" w:eastAsia="仿宋_GB2312" w:cs="仿宋_GB2312"/>
          <w:sz w:val="24"/>
          <w:szCs w:val="24"/>
          <w:highlight w:val="none"/>
          <w:lang w:val="en-US" w:eastAsia="zh-CN"/>
        </w:rPr>
        <w:t>核</w:t>
      </w:r>
      <w:r>
        <w:rPr>
          <w:rFonts w:hint="eastAsia" w:ascii="仿宋_GB2312" w:hAnsi="仿宋_GB2312" w:eastAsia="仿宋_GB2312" w:cs="仿宋_GB2312"/>
          <w:sz w:val="24"/>
          <w:szCs w:val="24"/>
          <w:highlight w:val="none"/>
        </w:rPr>
        <w:t>准</w:t>
      </w:r>
      <w:r>
        <w:rPr>
          <w:rFonts w:hint="eastAsia" w:ascii="仿宋_GB2312" w:hAnsi="仿宋_GB2312" w:eastAsia="仿宋_GB2312" w:cs="仿宋_GB2312"/>
          <w:sz w:val="24"/>
          <w:szCs w:val="24"/>
          <w:highlight w:val="none"/>
          <w:lang w:val="en-US" w:eastAsia="zh-CN"/>
        </w:rPr>
        <w:t>金额</w:t>
      </w:r>
      <w:r>
        <w:rPr>
          <w:rFonts w:hint="eastAsia" w:ascii="仿宋_GB2312" w:hAnsi="仿宋_GB2312" w:eastAsia="仿宋_GB2312" w:cs="仿宋_GB2312"/>
          <w:sz w:val="24"/>
          <w:szCs w:val="24"/>
          <w:highlight w:val="none"/>
        </w:rPr>
        <w:t>为准</w:t>
      </w:r>
      <w:r>
        <w:rPr>
          <w:rFonts w:hint="eastAsia" w:ascii="仿宋_GB2312" w:hAnsi="仿宋_GB2312" w:eastAsia="仿宋_GB2312" w:cs="仿宋_GB2312"/>
          <w:sz w:val="24"/>
          <w:szCs w:val="24"/>
        </w:rPr>
        <w:t>。</w:t>
      </w:r>
    </w:p>
    <w:p w14:paraId="0B575F1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highlight w:val="none"/>
        </w:rPr>
        <w:t>本合同所涉及的费用由甲方向乙方按年结算。其涉及的金额一律以人民币元为单位。甲方采取【银行划账】方式向乙方支付费用。</w:t>
      </w:r>
      <w:r>
        <w:rPr>
          <w:rFonts w:hint="eastAsia" w:ascii="仿宋_GB2312" w:hAnsi="仿宋_GB2312" w:eastAsia="仿宋_GB2312" w:cs="仿宋_GB2312"/>
          <w:sz w:val="24"/>
          <w:szCs w:val="24"/>
          <w:highlight w:val="none"/>
          <w:lang w:val="en-US" w:eastAsia="zh-CN"/>
        </w:rPr>
        <w:t>当年服务费应在甲方组织的三方服务评估及核算后一个月内予以支付</w:t>
      </w:r>
      <w:r>
        <w:rPr>
          <w:rFonts w:hint="eastAsia" w:ascii="仿宋_GB2312" w:hAnsi="仿宋_GB2312" w:eastAsia="仿宋_GB2312" w:cs="仿宋_GB2312"/>
          <w:sz w:val="24"/>
          <w:szCs w:val="24"/>
          <w:highlight w:val="none"/>
        </w:rPr>
        <w:t>。</w:t>
      </w:r>
    </w:p>
    <w:p w14:paraId="6522C89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若合同到期终止或某种因素中止合同时，</w:t>
      </w:r>
      <w:r>
        <w:rPr>
          <w:rFonts w:hint="eastAsia" w:ascii="仿宋_GB2312" w:hAnsi="仿宋_GB2312" w:eastAsia="仿宋_GB2312" w:cs="仿宋_GB2312"/>
          <w:sz w:val="24"/>
          <w:szCs w:val="24"/>
          <w:highlight w:val="none"/>
        </w:rPr>
        <w:t>乙方应无条件配合甲方将所有云上部署的业务系统，安全、完整的迁移至甲方指定的云平台，在完成全部迁移工作前，云上部署的业务系统仍由乙方按照合同约定的质量提供服务，</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迁移时长少于6个月的迁移期内不收取云服务费用，超过6个月的自次月起据实计费，</w:t>
      </w:r>
      <w:r>
        <w:rPr>
          <w:rFonts w:hint="eastAsia" w:ascii="仿宋_GB2312" w:hAnsi="仿宋_GB2312" w:eastAsia="仿宋_GB2312" w:cs="仿宋_GB2312"/>
          <w:sz w:val="24"/>
          <w:szCs w:val="24"/>
          <w:highlight w:val="none"/>
        </w:rPr>
        <w:t>系统迁移交接完成前，相关责任仍由乙方承担。经双方确认无误后，甲方根据乙</w:t>
      </w:r>
      <w:r>
        <w:rPr>
          <w:rFonts w:hint="eastAsia" w:ascii="仿宋_GB2312" w:hAnsi="仿宋_GB2312" w:eastAsia="仿宋_GB2312" w:cs="仿宋_GB2312"/>
          <w:sz w:val="24"/>
          <w:szCs w:val="24"/>
        </w:rPr>
        <w:t>方配合完成情况结算最后一次云资源费用。</w:t>
      </w:r>
    </w:p>
    <w:p w14:paraId="5701826E">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乙方银行账户信息和纳税人信息</w:t>
      </w:r>
    </w:p>
    <w:p w14:paraId="0D54CDA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开户名</w:t>
      </w:r>
      <w:r>
        <w:rPr>
          <w:rFonts w:hint="eastAsia" w:ascii="仿宋_GB2312" w:hAnsi="仿宋_GB2312" w:eastAsia="仿宋_GB2312" w:cs="仿宋_GB2312"/>
          <w:sz w:val="24"/>
          <w:szCs w:val="24"/>
          <w:lang w:val="en-US" w:eastAsia="zh-CN"/>
        </w:rPr>
        <w:t>称</w:t>
      </w:r>
      <w:r>
        <w:rPr>
          <w:rFonts w:hint="eastAsia" w:ascii="仿宋_GB2312" w:hAnsi="仿宋_GB2312" w:eastAsia="仿宋_GB2312" w:cs="仿宋_GB2312"/>
          <w:sz w:val="24"/>
          <w:szCs w:val="24"/>
        </w:rPr>
        <w:t>：</w:t>
      </w:r>
    </w:p>
    <w:p w14:paraId="7AE9816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w:t>
      </w:r>
      <w:r>
        <w:rPr>
          <w:rFonts w:hint="eastAsia" w:ascii="仿宋_GB2312" w:hAnsi="仿宋_GB2312" w:eastAsia="仿宋_GB2312" w:cs="仿宋_GB2312"/>
          <w:sz w:val="24"/>
          <w:szCs w:val="24"/>
          <w:lang w:val="en-US" w:eastAsia="zh-CN"/>
        </w:rPr>
        <w:t>银</w:t>
      </w:r>
      <w:r>
        <w:rPr>
          <w:rFonts w:hint="eastAsia" w:ascii="仿宋_GB2312" w:hAnsi="仿宋_GB2312" w:eastAsia="仿宋_GB2312" w:cs="仿宋_GB2312"/>
          <w:sz w:val="24"/>
          <w:szCs w:val="24"/>
        </w:rPr>
        <w:t>行：</w:t>
      </w:r>
    </w:p>
    <w:p w14:paraId="080BD1B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银行</w:t>
      </w:r>
      <w:r>
        <w:rPr>
          <w:rFonts w:hint="eastAsia" w:ascii="仿宋_GB2312" w:hAnsi="仿宋_GB2312" w:eastAsia="仿宋_GB2312" w:cs="仿宋_GB2312"/>
          <w:sz w:val="24"/>
          <w:szCs w:val="24"/>
        </w:rPr>
        <w:t>账号：</w:t>
      </w:r>
    </w:p>
    <w:p w14:paraId="5C99975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纳税人识别号：</w:t>
      </w:r>
    </w:p>
    <w:p w14:paraId="30ED141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如乙方账户需要变更，需书面形式提前10天通知甲方。</w:t>
      </w:r>
    </w:p>
    <w:p w14:paraId="76875EA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黑体" w:hAnsi="黑体" w:eastAsia="黑体" w:cs="黑体"/>
          <w:sz w:val="24"/>
          <w:szCs w:val="24"/>
        </w:rPr>
      </w:pPr>
      <w:r>
        <w:rPr>
          <w:rFonts w:hint="eastAsia" w:ascii="黑体" w:hAnsi="黑体" w:eastAsia="黑体" w:cs="黑体"/>
          <w:sz w:val="24"/>
          <w:szCs w:val="24"/>
          <w:lang w:val="en-US" w:eastAsia="zh-CN"/>
        </w:rPr>
        <w:t>第三条 双</w:t>
      </w:r>
      <w:r>
        <w:rPr>
          <w:rFonts w:hint="eastAsia" w:ascii="黑体" w:hAnsi="黑体" w:eastAsia="黑体" w:cs="黑体"/>
          <w:sz w:val="24"/>
          <w:szCs w:val="24"/>
        </w:rPr>
        <w:t>方权利义务</w:t>
      </w:r>
    </w:p>
    <w:p w14:paraId="723A2DC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仿宋_GB2312" w:hAnsi="仿宋_GB2312" w:eastAsia="仿宋_GB2312" w:cs="仿宋_GB2312"/>
          <w:sz w:val="24"/>
          <w:szCs w:val="24"/>
        </w:rPr>
      </w:pPr>
      <w:r>
        <w:rPr>
          <w:rFonts w:hint="eastAsia" w:ascii="楷体_GB2312" w:hAnsi="楷体_GB2312" w:eastAsia="楷体_GB2312" w:cs="楷体_GB2312"/>
          <w:sz w:val="24"/>
          <w:szCs w:val="24"/>
        </w:rPr>
        <w:t>(一)甲方</w:t>
      </w:r>
    </w:p>
    <w:p w14:paraId="4AD5FCC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1.权利</w:t>
      </w:r>
    </w:p>
    <w:p w14:paraId="2D554C6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(1)有权在乙方履行合同过程中出现损害或可能损害国家利益、公共利益、公共安全情形时，及时变更、中止或者终止本合同。</w:t>
      </w:r>
    </w:p>
    <w:p w14:paraId="61AE28D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(2)可自行或委托第三方机构，对本项目的服务进行监管。</w:t>
      </w:r>
    </w:p>
    <w:p w14:paraId="39014CB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可自行或委托第三方机构，对乙方的建设、运维、管理、安全、质量、服务状况进行定期评估考核。考核认为项目服务质量未达到预期效果的，甲方有权按照绩效考核方案要求对乙方处以限期整改、扣除云资源费等处罚措施。</w:t>
      </w:r>
    </w:p>
    <w:p w14:paraId="7C3A5DC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(4)在不影响乙方履行本合同的情况下，有权对乙方履约情况进行检查，乙方须予以协助。</w:t>
      </w:r>
    </w:p>
    <w:p w14:paraId="5A19E54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若存在服务实施过程中与本合同所规定的或其他相关部门所规定的质量或安全要求严重不符时，甲方有权立即通知乙方，乙方应当按照要求进行整改。若乙方在收到甲方书面通知后，未在要求时间内整改，则甲方有权自己进行或委托第三方进行必要的纠正，由此产生的</w:t>
      </w:r>
      <w:r>
        <w:rPr>
          <w:rFonts w:hint="eastAsia" w:ascii="仿宋_GB2312" w:hAnsi="仿宋_GB2312" w:eastAsia="仿宋_GB2312" w:cs="仿宋_GB2312"/>
          <w:sz w:val="24"/>
          <w:szCs w:val="24"/>
          <w:lang w:val="en-US" w:eastAsia="zh-CN"/>
        </w:rPr>
        <w:t>必要</w:t>
      </w:r>
      <w:r>
        <w:rPr>
          <w:rFonts w:hint="eastAsia" w:ascii="仿宋_GB2312" w:hAnsi="仿宋_GB2312" w:eastAsia="仿宋_GB2312" w:cs="仿宋_GB2312"/>
          <w:sz w:val="24"/>
          <w:szCs w:val="24"/>
        </w:rPr>
        <w:t>费用由乙方承担。</w:t>
      </w:r>
    </w:p>
    <w:p w14:paraId="62D6938C">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(6)甲方和甲方用户单位及用户方有参与自身相关服务管理、评价的权利，乙方应当及时响应甲方和甲方用户单位及用户的服务要求。</w:t>
      </w:r>
    </w:p>
    <w:p w14:paraId="678BF24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drawing>
          <wp:anchor distT="0" distB="0" distL="0" distR="0" simplePos="0" relativeHeight="251659264" behindDoc="0" locked="0" layoutInCell="1" allowOverlap="1">
            <wp:simplePos x="0" y="0"/>
            <wp:positionH relativeFrom="column">
              <wp:posOffset>6341110</wp:posOffset>
            </wp:positionH>
            <wp:positionV relativeFrom="paragraph">
              <wp:posOffset>283845</wp:posOffset>
            </wp:positionV>
            <wp:extent cx="80645" cy="1066800"/>
            <wp:effectExtent l="0" t="0" r="14605" b="0"/>
            <wp:wrapNone/>
            <wp:docPr id="2" name="IM 26"/>
            <wp:cNvGraphicFramePr/>
            <a:graphic xmlns:a="http://schemas.openxmlformats.org/drawingml/2006/main">
              <a:graphicData uri="http://schemas.openxmlformats.org/drawingml/2006/picture">
                <pic:pic xmlns:pic="http://schemas.openxmlformats.org/drawingml/2006/picture">
                  <pic:nvPicPr>
                    <pic:cNvPr id="2" name="IM 26"/>
                    <pic:cNvPicPr/>
                  </pic:nvPicPr>
                  <pic:blipFill>
                    <a:blip r:embed="rId16"/>
                    <a:stretch>
                      <a:fillRect/>
                    </a:stretch>
                  </pic:blipFill>
                  <pic:spPr>
                    <a:xfrm>
                      <a:off x="0" y="0"/>
                      <a:ext cx="80645" cy="1066800"/>
                    </a:xfrm>
                    <a:prstGeom prst="rect">
                      <a:avLst/>
                    </a:prstGeom>
                    <a:noFill/>
                    <a:ln>
                      <a:noFill/>
                    </a:ln>
                  </pic:spPr>
                </pic:pic>
              </a:graphicData>
            </a:graphic>
          </wp:anchor>
        </w:drawing>
      </w:r>
      <w:r>
        <w:rPr>
          <w:rFonts w:hint="eastAsia" w:ascii="仿宋_GB2312" w:hAnsi="仿宋_GB2312" w:eastAsia="仿宋_GB2312" w:cs="仿宋_GB2312"/>
          <w:sz w:val="24"/>
          <w:szCs w:val="24"/>
        </w:rPr>
        <w:t>(7)乙方在项目服务过程中出现资源、质量、能力协调控制不力的情况，甲方有权要求更换乙方项目负责人和相关项目服务人员，乙方必须予以配合，并确保不影响服务质量。</w:t>
      </w:r>
    </w:p>
    <w:p w14:paraId="1A308C5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(8)如因乙方原因导致甲方被行政处分或行政处罚，甲方有向乙方追究法律责任、经济责任的权利。</w:t>
      </w:r>
    </w:p>
    <w:p w14:paraId="28A8943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(9)甲方对乙方及项目组人员违反《反商业贿赂协议》所签署条款的行为，有向乙方反馈或向有关部门举报的权利。</w:t>
      </w:r>
    </w:p>
    <w:p w14:paraId="03F5396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(10)法律、法规授予甲方以及本合同规定的其他权利。</w:t>
      </w:r>
    </w:p>
    <w:p w14:paraId="47F5F64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2.义务</w:t>
      </w:r>
    </w:p>
    <w:p w14:paraId="5D3C9F03">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(1)依据乙方的书面申请，在不影响正常工作的前提下协助乙方及时获得本项目需要的合理、</w:t>
      </w:r>
      <w:r>
        <w:rPr>
          <w:rFonts w:hint="eastAsia" w:ascii="仿宋_GB2312" w:hAnsi="仿宋_GB2312" w:eastAsia="仿宋_GB2312" w:cs="仿宋_GB2312"/>
          <w:sz w:val="24"/>
          <w:szCs w:val="24"/>
          <w:lang w:val="en-US" w:eastAsia="zh-CN"/>
        </w:rPr>
        <w:t>合</w:t>
      </w:r>
      <w:r>
        <w:rPr>
          <w:rFonts w:hint="eastAsia" w:ascii="仿宋_GB2312" w:hAnsi="仿宋_GB2312" w:eastAsia="仿宋_GB2312" w:cs="仿宋_GB2312"/>
          <w:sz w:val="24"/>
          <w:szCs w:val="24"/>
        </w:rPr>
        <w:t>法的条件，包括但不限于成立项目协调小组或安排专人负责配合乙方开展服务，协调乙方与相关单位的工作关系。</w:t>
      </w:r>
    </w:p>
    <w:p w14:paraId="3E6B1F9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(2)如因甲方未能按时提供工作条件或数据、技术资料，或甲方未及时协调需其他相关方配合的资源，经甲乙双方协商可顺延与服务工作相关的期限。</w:t>
      </w:r>
    </w:p>
    <w:p w14:paraId="72BDBE71">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甲方应当明确项目负责人，负责对乙方服务进行协调、监督，甲方项目负责人应当定期与乙方项目负责人沟通，并负责本合同相关阶段性成果和交付物审核与验收组织工作。如乙方提供的服务达不到甲方要求的，甲方应当及时将不符合要求的内容和原因告知乙方。</w:t>
      </w:r>
    </w:p>
    <w:p w14:paraId="3E47029C">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(4)按照本合同的约定向乙方支付合同金额。</w:t>
      </w:r>
    </w:p>
    <w:p w14:paraId="4ED0B6F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(5)若甲方为本项目需要配合第三方单位进行审计等配合事项，甲方应当及时通知乙方。</w:t>
      </w:r>
    </w:p>
    <w:p w14:paraId="26CC8EF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(6)法律、法规规定的以及本合同项下的其他义务。</w:t>
      </w:r>
    </w:p>
    <w:p w14:paraId="608D1BF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(二)乙方</w:t>
      </w:r>
    </w:p>
    <w:p w14:paraId="7250A38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1.权利</w:t>
      </w:r>
    </w:p>
    <w:p w14:paraId="73894A0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(1)要求甲方按本合同的约定支付合同金额。</w:t>
      </w:r>
    </w:p>
    <w:p w14:paraId="7A31EC0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如因不可归责于乙方的原因导致乙方不能履约的，则乙方有权和甲方就有关事宜进行沟通，如经甲方确认确属不可归责于乙方的原因，且乙方已为避免此种情形采取必要的措施，则甲方应当出具相应的书面文件，确认不得以此作为对乙方考核不达标的依据，并不得以此追究乙方的违约责任。</w:t>
      </w:r>
    </w:p>
    <w:p w14:paraId="7C791DC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(3)对甲方及工作人员违反《反商业贿赂协议》所签署条款的行为，有向甲方反馈或举报的权利。</w:t>
      </w:r>
    </w:p>
    <w:p w14:paraId="5CB52EC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(4)法律、法规规定以及本合同规定的其他权利。</w:t>
      </w:r>
    </w:p>
    <w:p w14:paraId="37A0046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2.义务</w:t>
      </w:r>
    </w:p>
    <w:p w14:paraId="4B6C400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(1)按照本合同约定内容、范围、进度、质量、标准和要求等完成本项目。</w:t>
      </w:r>
    </w:p>
    <w:p w14:paraId="22FED77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(2)服务期内，如遇国家法律、法规及相关政策发生重大变化，对本合同的履行造成实质性的影响，乙方应当积极与甲方协商解决，并采取合理措施避免各方的损失扩大。</w:t>
      </w:r>
    </w:p>
    <w:p w14:paraId="28F04CF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(3)如政府审计部门或政府审计部门委托的第三方审计单位需对涉及本合同的事项进行审计时，乙方应当按照政府审计有关法律法规和政策要求，支持、协助审计部门或其委托的审计单位开展工作。</w:t>
      </w:r>
    </w:p>
    <w:p w14:paraId="2CA04C7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(4)因乙方提供的服务造成甲方用户单位经济损失或财产损害或声誉影响，乙方应当等额赔付。</w:t>
      </w:r>
    </w:p>
    <w:p w14:paraId="59083DD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(5)加强对参与政务云维护人员管理，接受甲方工作指导以及合理化建议。</w:t>
      </w:r>
    </w:p>
    <w:p w14:paraId="23630473">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(6)乙方及项目组人员保证遵守《反商业贿赂协议》的各项内容。</w:t>
      </w:r>
    </w:p>
    <w:p w14:paraId="077FB5E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(7)应当保证所提供的产品或服务没有侵害任何第三方的知识产权和/或其他正当权益。</w:t>
      </w:r>
    </w:p>
    <w:p w14:paraId="21BE0BF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)根据服务的内容和进度，按时提交阶段性成果及有关资料。接受并配合甲方组织的对本合同履行情况的监督与检查，对于甲方指出的问题，及时作出合理解释或予以纠正。</w:t>
      </w:r>
    </w:p>
    <w:p w14:paraId="145BE09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)若甲方为本项目指定第三方测评机构，测评内容包括但不限于规模、功能、性能、安全性、可靠性、易用性、维护性、可移植性等，乙方应当无条件配合完成。</w:t>
      </w:r>
    </w:p>
    <w:p w14:paraId="10FA3D6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)法律、法规规定的以及本合同项下的其他义务。</w:t>
      </w:r>
    </w:p>
    <w:p w14:paraId="5DD46CD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黑体" w:hAnsi="黑体" w:eastAsia="黑体" w:cs="黑体"/>
          <w:sz w:val="24"/>
          <w:szCs w:val="24"/>
        </w:rPr>
        <w:drawing>
          <wp:anchor distT="0" distB="0" distL="0" distR="0" simplePos="0" relativeHeight="251660288" behindDoc="0" locked="0" layoutInCell="1" allowOverlap="1">
            <wp:simplePos x="0" y="0"/>
            <wp:positionH relativeFrom="column">
              <wp:posOffset>6350000</wp:posOffset>
            </wp:positionH>
            <wp:positionV relativeFrom="paragraph">
              <wp:posOffset>173355</wp:posOffset>
            </wp:positionV>
            <wp:extent cx="31750" cy="558800"/>
            <wp:effectExtent l="0" t="0" r="6350" b="12700"/>
            <wp:wrapNone/>
            <wp:docPr id="3" name="IM 38"/>
            <wp:cNvGraphicFramePr/>
            <a:graphic xmlns:a="http://schemas.openxmlformats.org/drawingml/2006/main">
              <a:graphicData uri="http://schemas.openxmlformats.org/drawingml/2006/picture">
                <pic:pic xmlns:pic="http://schemas.openxmlformats.org/drawingml/2006/picture">
                  <pic:nvPicPr>
                    <pic:cNvPr id="3" name="IM 38"/>
                    <pic:cNvPicPr/>
                  </pic:nvPicPr>
                  <pic:blipFill>
                    <a:blip r:embed="rId17"/>
                    <a:stretch>
                      <a:fillRect/>
                    </a:stretch>
                  </pic:blipFill>
                  <pic:spPr>
                    <a:xfrm>
                      <a:off x="0" y="0"/>
                      <a:ext cx="31750" cy="558800"/>
                    </a:xfrm>
                    <a:prstGeom prst="rect">
                      <a:avLst/>
                    </a:prstGeom>
                    <a:noFill/>
                    <a:ln>
                      <a:noFill/>
                    </a:ln>
                  </pic:spPr>
                </pic:pic>
              </a:graphicData>
            </a:graphic>
          </wp:anchor>
        </w:drawing>
      </w:r>
      <w:r>
        <w:rPr>
          <w:rFonts w:hint="eastAsia" w:ascii="黑体" w:hAnsi="黑体" w:eastAsia="黑体" w:cs="黑体"/>
          <w:sz w:val="24"/>
          <w:szCs w:val="24"/>
        </w:rPr>
        <w:t>第</w:t>
      </w:r>
      <w:r>
        <w:rPr>
          <w:rFonts w:hint="eastAsia" w:ascii="黑体" w:hAnsi="黑体" w:eastAsia="黑体" w:cs="黑体"/>
          <w:sz w:val="24"/>
          <w:szCs w:val="24"/>
          <w:lang w:val="en-US" w:eastAsia="zh-CN"/>
        </w:rPr>
        <w:t>四</w:t>
      </w:r>
      <w:r>
        <w:rPr>
          <w:rFonts w:hint="eastAsia" w:ascii="黑体" w:hAnsi="黑体" w:eastAsia="黑体" w:cs="黑体"/>
          <w:sz w:val="24"/>
          <w:szCs w:val="24"/>
        </w:rPr>
        <w:t>条</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本项目服务期限和地点</w:t>
      </w:r>
    </w:p>
    <w:p w14:paraId="2BE4582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仿宋_GB2312" w:hAnsi="仿宋_GB2312" w:eastAsia="仿宋_GB2312" w:cs="仿宋_GB2312"/>
          <w:sz w:val="24"/>
          <w:szCs w:val="24"/>
        </w:rPr>
      </w:pPr>
      <w:r>
        <w:rPr>
          <w:rFonts w:hint="eastAsia" w:ascii="楷体_GB2312" w:hAnsi="楷体_GB2312" w:eastAsia="楷体_GB2312" w:cs="楷体_GB2312"/>
          <w:sz w:val="24"/>
          <w:szCs w:val="24"/>
        </w:rPr>
        <w:t>(一)服务期限</w:t>
      </w:r>
    </w:p>
    <w:p w14:paraId="1CA67891">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自合同签订之日起服务期三年。</w:t>
      </w:r>
    </w:p>
    <w:p w14:paraId="492A1F2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w:t>
      </w:r>
      <w:r>
        <w:rPr>
          <w:rFonts w:hint="eastAsia" w:ascii="楷体_GB2312" w:hAnsi="楷体_GB2312" w:eastAsia="楷体_GB2312" w:cs="楷体_GB2312"/>
          <w:sz w:val="24"/>
          <w:szCs w:val="24"/>
          <w:lang w:val="en-US" w:eastAsia="zh-CN"/>
        </w:rPr>
        <w:t>二</w:t>
      </w:r>
      <w:r>
        <w:rPr>
          <w:rFonts w:hint="eastAsia" w:ascii="楷体_GB2312" w:hAnsi="楷体_GB2312" w:eastAsia="楷体_GB2312" w:cs="楷体_GB2312"/>
          <w:sz w:val="24"/>
          <w:szCs w:val="24"/>
        </w:rPr>
        <w:t>)服务地点</w:t>
      </w:r>
    </w:p>
    <w:p w14:paraId="7619A9C3">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双方商定，本合同的服务现场地点：</w:t>
      </w:r>
      <w:r>
        <w:rPr>
          <w:rFonts w:hint="eastAsia" w:ascii="仿宋_GB2312" w:hAnsi="仿宋_GB2312" w:eastAsia="仿宋_GB2312" w:cs="仿宋_GB2312"/>
          <w:sz w:val="24"/>
          <w:szCs w:val="24"/>
          <w:lang w:val="en-US" w:eastAsia="zh-CN"/>
        </w:rPr>
        <w:t>南阳</w:t>
      </w:r>
      <w:r>
        <w:rPr>
          <w:rFonts w:hint="eastAsia" w:ascii="仿宋_GB2312" w:hAnsi="仿宋_GB2312" w:eastAsia="仿宋_GB2312" w:cs="仿宋_GB2312"/>
          <w:sz w:val="24"/>
          <w:szCs w:val="24"/>
        </w:rPr>
        <w:t>市。</w:t>
      </w:r>
    </w:p>
    <w:p w14:paraId="71FA3CEC">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仿宋_GB2312" w:hAnsi="仿宋_GB2312" w:eastAsia="仿宋_GB2312" w:cs="仿宋_GB2312"/>
          <w:sz w:val="24"/>
          <w:szCs w:val="24"/>
        </w:rPr>
      </w:pPr>
      <w:r>
        <w:rPr>
          <w:rFonts w:hint="eastAsia" w:ascii="楷体_GB2312" w:hAnsi="楷体_GB2312" w:eastAsia="楷体_GB2312" w:cs="楷体_GB2312"/>
          <w:sz w:val="24"/>
          <w:szCs w:val="24"/>
        </w:rPr>
        <w:t>(</w:t>
      </w:r>
      <w:r>
        <w:rPr>
          <w:rFonts w:hint="eastAsia" w:ascii="楷体_GB2312" w:hAnsi="楷体_GB2312" w:eastAsia="楷体_GB2312" w:cs="楷体_GB2312"/>
          <w:sz w:val="24"/>
          <w:szCs w:val="24"/>
          <w:lang w:val="en-US" w:eastAsia="zh-CN"/>
        </w:rPr>
        <w:t>三</w:t>
      </w:r>
      <w:r>
        <w:rPr>
          <w:rFonts w:hint="eastAsia" w:ascii="楷体_GB2312" w:hAnsi="楷体_GB2312" w:eastAsia="楷体_GB2312" w:cs="楷体_GB2312"/>
          <w:sz w:val="24"/>
          <w:szCs w:val="24"/>
        </w:rPr>
        <w:t>)服务模式</w:t>
      </w:r>
    </w:p>
    <w:p w14:paraId="58371078">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南阳</w:t>
      </w:r>
      <w:r>
        <w:rPr>
          <w:rFonts w:hint="eastAsia" w:ascii="仿宋_GB2312" w:hAnsi="仿宋_GB2312" w:eastAsia="仿宋_GB2312" w:cs="仿宋_GB2312"/>
          <w:sz w:val="24"/>
          <w:szCs w:val="24"/>
        </w:rPr>
        <w:t>市政务云服务采用乙方投资、建设，甲方购买服务方式。乙方投入的软、硬件产权属于乙方，使用权及管理权属于甲方，使用过程中产生的所有数据归甲方所有。</w:t>
      </w:r>
    </w:p>
    <w:p w14:paraId="4CC0533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楷体_GB2312" w:hAnsi="楷体_GB2312" w:eastAsia="楷体_GB2312" w:cs="楷体_GB2312"/>
          <w:sz w:val="24"/>
          <w:szCs w:val="24"/>
        </w:rPr>
      </w:pPr>
      <w:r>
        <w:rPr>
          <w:rFonts w:hint="eastAsia" w:ascii="楷体_GB2312" w:hAnsi="楷体_GB2312" w:eastAsia="楷体_GB2312" w:cs="楷体_GB2312"/>
          <w:sz w:val="24"/>
          <w:szCs w:val="24"/>
        </w:rPr>
        <w:t>(</w:t>
      </w:r>
      <w:r>
        <w:rPr>
          <w:rFonts w:hint="eastAsia" w:ascii="楷体_GB2312" w:hAnsi="楷体_GB2312" w:eastAsia="楷体_GB2312" w:cs="楷体_GB2312"/>
          <w:sz w:val="24"/>
          <w:szCs w:val="24"/>
          <w:lang w:val="en-US" w:eastAsia="zh-CN"/>
        </w:rPr>
        <w:t>四</w:t>
      </w:r>
      <w:r>
        <w:rPr>
          <w:rFonts w:hint="eastAsia" w:ascii="楷体_GB2312" w:hAnsi="楷体_GB2312" w:eastAsia="楷体_GB2312" w:cs="楷体_GB2312"/>
          <w:sz w:val="24"/>
          <w:szCs w:val="24"/>
        </w:rPr>
        <w:t>)服务方式</w:t>
      </w:r>
    </w:p>
    <w:p w14:paraId="5EA97978">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highlight w:val="yellow"/>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highlight w:val="none"/>
          <w:lang w:val="en-US" w:eastAsia="zh-CN"/>
        </w:rPr>
        <w:t>政务</w:t>
      </w:r>
      <w:r>
        <w:rPr>
          <w:rFonts w:hint="eastAsia" w:ascii="仿宋_GB2312" w:hAnsi="仿宋_GB2312" w:eastAsia="仿宋_GB2312" w:cs="仿宋_GB2312"/>
          <w:sz w:val="24"/>
          <w:szCs w:val="24"/>
          <w:highlight w:val="none"/>
        </w:rPr>
        <w:t>云服务：乙方应当根据甲方通过</w:t>
      </w:r>
      <w:r>
        <w:rPr>
          <w:rFonts w:hint="eastAsia" w:ascii="仿宋_GB2312" w:hAnsi="仿宋_GB2312" w:eastAsia="仿宋_GB2312" w:cs="仿宋_GB2312"/>
          <w:sz w:val="24"/>
          <w:szCs w:val="24"/>
          <w:highlight w:val="none"/>
          <w:lang w:val="en-US" w:eastAsia="zh-CN"/>
        </w:rPr>
        <w:t>指定</w:t>
      </w:r>
      <w:r>
        <w:rPr>
          <w:rFonts w:hint="eastAsia" w:ascii="仿宋_GB2312" w:hAnsi="仿宋_GB2312" w:eastAsia="仿宋_GB2312" w:cs="仿宋_GB2312"/>
          <w:sz w:val="24"/>
          <w:szCs w:val="24"/>
          <w:highlight w:val="none"/>
        </w:rPr>
        <w:t>渠道派发的政务云</w:t>
      </w:r>
      <w:r>
        <w:rPr>
          <w:rFonts w:hint="eastAsia" w:ascii="仿宋_GB2312" w:hAnsi="仿宋_GB2312" w:eastAsia="仿宋_GB2312" w:cs="仿宋_GB2312"/>
          <w:sz w:val="24"/>
          <w:szCs w:val="24"/>
          <w:highlight w:val="none"/>
          <w:lang w:val="en-US" w:eastAsia="zh-CN"/>
        </w:rPr>
        <w:t>需求通知</w:t>
      </w:r>
      <w:r>
        <w:rPr>
          <w:rFonts w:hint="eastAsia" w:ascii="仿宋_GB2312" w:hAnsi="仿宋_GB2312" w:eastAsia="仿宋_GB2312" w:cs="仿宋_GB2312"/>
          <w:sz w:val="24"/>
          <w:szCs w:val="24"/>
          <w:highlight w:val="none"/>
        </w:rPr>
        <w:t>，按照管理规定提供相应的政务云资源。</w:t>
      </w:r>
    </w:p>
    <w:p w14:paraId="44A184F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2.日常运维服务：乙方应当结合实际需求，配齐、配强相关人员，及时响应各单位提出的服务需求，为甲方或用户单位提供按合同约定的服务。</w:t>
      </w:r>
    </w:p>
    <w:p w14:paraId="605C8F9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3.派现场服务：按甲方要求，乙方到甲方或用户单位，根据甲方要求提供临时</w:t>
      </w:r>
      <w:r>
        <w:rPr>
          <w:rFonts w:hint="eastAsia" w:ascii="仿宋_GB2312" w:hAnsi="仿宋_GB2312" w:eastAsia="仿宋_GB2312" w:cs="仿宋_GB2312"/>
          <w:sz w:val="24"/>
          <w:szCs w:val="24"/>
          <w:highlight w:val="none"/>
          <w:lang w:val="en-US" w:eastAsia="zh-CN"/>
        </w:rPr>
        <w:t>现场</w:t>
      </w:r>
      <w:r>
        <w:rPr>
          <w:rFonts w:hint="eastAsia" w:ascii="仿宋_GB2312" w:hAnsi="仿宋_GB2312" w:eastAsia="仿宋_GB2312" w:cs="仿宋_GB2312"/>
          <w:sz w:val="24"/>
          <w:szCs w:val="24"/>
          <w:highlight w:val="none"/>
        </w:rPr>
        <w:t>技术服务。</w:t>
      </w:r>
    </w:p>
    <w:p w14:paraId="3268E61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4.远程支持服务：通过电话热线、互联网等方式获取远程咨询和技术服务。</w:t>
      </w:r>
    </w:p>
    <w:p w14:paraId="5238BBF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5.按要求及时提交本项目月报。</w:t>
      </w:r>
    </w:p>
    <w:p w14:paraId="24BAA11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highlight w:val="none"/>
        </w:rPr>
        <w:t>甲方通知乙方提供相关采购服务之日起2日内，乙方所委派的驻场服务成员须全部准备就绪，到达甲方指定的工作现场。否则，每逾期1天，乙方须向甲方支付2000元的违约金，至实际达成约定条件之日，或甲方就该项目对乙方予以终止合同之日，或甲方解除本合同之日。如逾期超过5天乙方仍未完成此项工作，甲方有权就该项目对乙方予以终止合同</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乙方</w:t>
      </w:r>
      <w:r>
        <w:rPr>
          <w:rFonts w:hint="eastAsia" w:ascii="仿宋_GB2312" w:hAnsi="仿宋_GB2312" w:eastAsia="仿宋_GB2312" w:cs="仿宋_GB2312"/>
          <w:sz w:val="24"/>
          <w:szCs w:val="24"/>
          <w:highlight w:val="none"/>
          <w:lang w:val="en-US" w:eastAsia="zh-CN"/>
        </w:rPr>
        <w:t>应</w:t>
      </w:r>
      <w:r>
        <w:rPr>
          <w:rFonts w:hint="eastAsia" w:ascii="仿宋_GB2312" w:hAnsi="仿宋_GB2312" w:eastAsia="仿宋_GB2312" w:cs="仿宋_GB2312"/>
          <w:sz w:val="24"/>
          <w:szCs w:val="24"/>
          <w:highlight w:val="none"/>
        </w:rPr>
        <w:t>承担相应的赔偿责任。</w:t>
      </w:r>
    </w:p>
    <w:p w14:paraId="1977C9C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乙方在投标文件中承诺的乙方驻场服务成员须实际符合乙方所承诺的人员资格、经验和能力要求。未经甲方书面同意，乙方不得擅自调整相关人员。</w:t>
      </w:r>
    </w:p>
    <w:p w14:paraId="6377655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如甲方发现乙方对其所委派的驻场服务成员相关资格、经验和能力弄虚作假，甲方有权要求乙方予以调换。届时，乙方须无条件调换其他具备自己所承诺的相关资格、经验和能力要求的人员。</w:t>
      </w:r>
      <w:r>
        <w:rPr>
          <w:rFonts w:hint="eastAsia" w:ascii="仿宋_GB2312" w:hAnsi="仿宋_GB2312" w:eastAsia="仿宋_GB2312" w:cs="仿宋_GB2312"/>
          <w:sz w:val="24"/>
          <w:szCs w:val="24"/>
          <w:highlight w:val="none"/>
          <w:lang w:val="en-US" w:eastAsia="zh-CN"/>
        </w:rPr>
        <w:t>每出现1人次，扣减当年服务费1万元。</w:t>
      </w:r>
    </w:p>
    <w:p w14:paraId="29E153C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 w:eastAsia="zh-CN"/>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乙方驻场服务成员在甲方指定地点提供驻场服务过程中，应遵守甲方与工作秩序、保密及安全相关的管理要求。乙方人员并非甲方员工，甲方不承担任何劳动法项下的雇主责任。乙方应对其派驻人员的安全、薪酬、社保、福利等承担全部雇主责任</w:t>
      </w:r>
      <w:r>
        <w:rPr>
          <w:rFonts w:hint="eastAsia" w:ascii="仿宋_GB2312" w:hAnsi="仿宋_GB2312" w:eastAsia="仿宋_GB2312" w:cs="仿宋_GB2312"/>
          <w:sz w:val="24"/>
          <w:szCs w:val="24"/>
          <w:lang w:eastAsia="zh-CN"/>
        </w:rPr>
        <w:t>。</w:t>
      </w:r>
    </w:p>
    <w:p w14:paraId="66AA9F31">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黑体" w:hAnsi="黑体" w:eastAsia="黑体" w:cs="黑体"/>
          <w:sz w:val="24"/>
          <w:szCs w:val="24"/>
        </w:rPr>
      </w:pPr>
      <w:r>
        <w:rPr>
          <w:rFonts w:hint="eastAsia" w:ascii="黑体" w:hAnsi="黑体" w:eastAsia="黑体" w:cs="黑体"/>
          <w:sz w:val="24"/>
          <w:szCs w:val="24"/>
        </w:rPr>
        <w:t>第五条绩效考核</w:t>
      </w:r>
    </w:p>
    <w:p w14:paraId="3E8CFC3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仿宋_GB2312" w:hAnsi="仿宋_GB2312" w:eastAsia="仿宋_GB2312" w:cs="仿宋_GB2312"/>
          <w:sz w:val="24"/>
          <w:szCs w:val="24"/>
        </w:rPr>
      </w:pPr>
      <w:r>
        <w:rPr>
          <w:rFonts w:hint="eastAsia" w:ascii="楷体_GB2312" w:hAnsi="楷体_GB2312" w:eastAsia="楷体_GB2312" w:cs="楷体_GB2312"/>
          <w:sz w:val="24"/>
          <w:szCs w:val="24"/>
        </w:rPr>
        <w:t>(一)日常检查</w:t>
      </w:r>
    </w:p>
    <w:p w14:paraId="567A13D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提供的服务应当满足本合同约定的服务质量指标，甲方在日常使用政务云服务过程中，可围绕政务云运行情况、政务云服务质量、政务云使用效率等内容开展日常检查，检查发现的相关问题，乙方应根据甲方要求进行改进。</w:t>
      </w:r>
    </w:p>
    <w:p w14:paraId="686C1C8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应当根据质量检查的结果对项目质量问题及时进行整改处理，同时对质量管理的运行情况进行总结与分析，对成功的经验予以标准化，对失败的教训进行总结，引起重视。对未能及时处理解决的问题，需将其作为下一管理循环的质量改进目标。项目质量问题解决完成后，需对实施效果进行评估和记录。若采取的整改措施未达到预期效果，应当重新制定解决措施，直至达到预期效果。</w:t>
      </w:r>
    </w:p>
    <w:p w14:paraId="254075D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仿宋_GB2312" w:hAnsi="仿宋_GB2312" w:eastAsia="仿宋_GB2312" w:cs="仿宋_GB2312"/>
          <w:sz w:val="24"/>
          <w:szCs w:val="24"/>
        </w:rPr>
      </w:pPr>
      <w:r>
        <w:rPr>
          <w:rFonts w:hint="eastAsia" w:ascii="楷体_GB2312" w:hAnsi="楷体_GB2312" w:eastAsia="楷体_GB2312" w:cs="楷体_GB2312"/>
          <w:sz w:val="24"/>
          <w:szCs w:val="24"/>
        </w:rPr>
        <w:t>(二)年度绩效考核</w:t>
      </w:r>
    </w:p>
    <w:p w14:paraId="141A04B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乙方应当按本合同约定和政务云主管部门制定的《</w:t>
      </w:r>
      <w:r>
        <w:rPr>
          <w:rFonts w:hint="eastAsia" w:ascii="仿宋_GB2312" w:hAnsi="仿宋_GB2312" w:eastAsia="仿宋_GB2312" w:cs="仿宋_GB2312"/>
          <w:sz w:val="24"/>
          <w:szCs w:val="24"/>
          <w:lang w:val="en-US" w:eastAsia="zh-CN"/>
        </w:rPr>
        <w:t>南阳</w:t>
      </w:r>
      <w:r>
        <w:rPr>
          <w:rFonts w:hint="eastAsia" w:ascii="仿宋_GB2312" w:hAnsi="仿宋_GB2312" w:eastAsia="仿宋_GB2312" w:cs="仿宋_GB2312"/>
          <w:sz w:val="24"/>
          <w:szCs w:val="24"/>
        </w:rPr>
        <w:t>市政务云服务绩效考核方案》(试行)</w:t>
      </w:r>
      <w:r>
        <w:rPr>
          <w:rFonts w:hint="eastAsia" w:ascii="仿宋_GB2312" w:hAnsi="仿宋_GB2312" w:eastAsia="仿宋_GB2312" w:cs="仿宋_GB2312"/>
          <w:sz w:val="24"/>
          <w:szCs w:val="24"/>
          <w:lang w:val="en-US" w:eastAsia="zh-CN"/>
        </w:rPr>
        <w:t>积极配合甲方完成绩效考核</w:t>
      </w:r>
      <w:r>
        <w:rPr>
          <w:rFonts w:hint="eastAsia" w:ascii="仿宋_GB2312" w:hAnsi="仿宋_GB2312" w:eastAsia="仿宋_GB2312" w:cs="仿宋_GB2312"/>
          <w:sz w:val="24"/>
          <w:szCs w:val="24"/>
        </w:rPr>
        <w:t>，甲方应当按照</w:t>
      </w:r>
      <w:r>
        <w:rPr>
          <w:rFonts w:hint="eastAsia" w:ascii="仿宋_GB2312" w:hAnsi="仿宋_GB2312" w:eastAsia="仿宋_GB2312" w:cs="仿宋_GB2312"/>
          <w:sz w:val="24"/>
          <w:szCs w:val="24"/>
          <w:lang w:val="en-US" w:eastAsia="zh-CN"/>
        </w:rPr>
        <w:t>南阳</w:t>
      </w:r>
      <w:r>
        <w:rPr>
          <w:rFonts w:hint="eastAsia" w:ascii="仿宋_GB2312" w:hAnsi="仿宋_GB2312" w:eastAsia="仿宋_GB2312" w:cs="仿宋_GB2312"/>
          <w:sz w:val="24"/>
          <w:szCs w:val="24"/>
        </w:rPr>
        <w:t>市政务云服务绩效考核方案组织考核，</w:t>
      </w:r>
      <w:r>
        <w:rPr>
          <w:rFonts w:hint="eastAsia" w:ascii="仿宋_GB2312" w:hAnsi="仿宋_GB2312" w:eastAsia="仿宋_GB2312" w:cs="仿宋_GB2312"/>
          <w:sz w:val="24"/>
          <w:szCs w:val="24"/>
          <w:lang w:val="en-US" w:eastAsia="zh-CN"/>
        </w:rPr>
        <w:t>考核得分结果作为年度服务费支付比例依据</w:t>
      </w:r>
      <w:r>
        <w:rPr>
          <w:rFonts w:hint="eastAsia" w:ascii="仿宋_GB2312" w:hAnsi="仿宋_GB2312" w:eastAsia="仿宋_GB2312" w:cs="仿宋_GB2312"/>
          <w:sz w:val="24"/>
          <w:szCs w:val="24"/>
        </w:rPr>
        <w:t>。</w:t>
      </w:r>
    </w:p>
    <w:p w14:paraId="19EBCAC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第六条 不可抗力和法律变更</w:t>
      </w:r>
    </w:p>
    <w:p w14:paraId="7AE691B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仿宋_GB2312" w:hAnsi="仿宋_GB2312" w:eastAsia="仿宋_GB2312" w:cs="仿宋_GB2312"/>
          <w:sz w:val="24"/>
          <w:szCs w:val="24"/>
          <w:lang w:val="en-US" w:eastAsia="zh-CN"/>
        </w:rPr>
      </w:pPr>
      <w:r>
        <w:rPr>
          <w:rFonts w:hint="eastAsia" w:ascii="楷体_GB2312" w:hAnsi="楷体_GB2312" w:eastAsia="楷体_GB2312" w:cs="楷体_GB2312"/>
          <w:sz w:val="24"/>
          <w:szCs w:val="24"/>
          <w:lang w:val="en-US" w:eastAsia="zh-CN"/>
        </w:rPr>
        <w:t>(一)不可抗力事件的认定和评估</w:t>
      </w:r>
    </w:p>
    <w:p w14:paraId="5C208A8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1.认定和评估</w:t>
      </w:r>
    </w:p>
    <w:p w14:paraId="1052FEDC">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受到不可抗力事件影响的一方应当在不可抗力事件发生后3日内书面通知另一方，详细描述不可抗力的发生情况、必要的证明文件和可能导致的后果，并及时采取措施减少损失。</w:t>
      </w:r>
    </w:p>
    <w:p w14:paraId="1F996A88">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2.甲方组织双方协商，评估和认定不可抗力。</w:t>
      </w:r>
    </w:p>
    <w:p w14:paraId="278EBE5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(二)例外情况</w:t>
      </w:r>
    </w:p>
    <w:p w14:paraId="747B062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1.适用于乙方的例外情况</w:t>
      </w:r>
    </w:p>
    <w:p w14:paraId="1F5E9B7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乙方无权将下述情况视作不可抗力事件而终止、中止履行本合同或不完全履行本合同项下义务：</w:t>
      </w:r>
    </w:p>
    <w:p w14:paraId="0AEE9D8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(1)其他与乙方建立合同关系或关联关系的第三方在履行合同方面发生延误。</w:t>
      </w:r>
    </w:p>
    <w:p w14:paraId="2F143343">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(2)乙方内部发生股权变更、公司重组、重大人事职能或公司内部机构调整、</w:t>
      </w:r>
    </w:p>
    <w:p w14:paraId="496F1B64">
      <w:pPr>
        <w:pStyle w:val="2"/>
        <w:keepNext w:val="0"/>
        <w:keepLines w:val="0"/>
        <w:pageBreakBefore w:val="0"/>
        <w:widowControl/>
        <w:kinsoku/>
        <w:wordWrap/>
        <w:overflowPunct/>
        <w:topLinePunct w:val="0"/>
        <w:autoSpaceDE/>
        <w:autoSpaceDN/>
        <w:bidi w:val="0"/>
        <w:adjustRightInd/>
        <w:snapToGrid/>
        <w:spacing w:after="0" w:line="400" w:lineRule="exact"/>
        <w:ind w:left="0" w:leftChars="0" w:firstLine="0" w:firstLineChars="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关键项目管理人员离职以及因自身违法违纪、经营不善而造成的履行合同困难。</w:t>
      </w:r>
    </w:p>
    <w:p w14:paraId="38E482C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(3)乙方提供服务的设施、系统或商品软件发生故障或正常损耗。</w:t>
      </w:r>
    </w:p>
    <w:p w14:paraId="1FAC798C">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2.适用于甲方的例外情况</w:t>
      </w:r>
    </w:p>
    <w:p w14:paraId="0650BF5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甲方无权将下述情况视作不可抗力事件而终止、中止履行或不完全履行本合同项下义务：甲方因机构改革致使部分职能发生变更。</w:t>
      </w:r>
    </w:p>
    <w:p w14:paraId="388A31F9">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仿宋_GB2312" w:hAnsi="仿宋_GB2312" w:eastAsia="仿宋_GB2312" w:cs="仿宋_GB2312"/>
          <w:sz w:val="24"/>
          <w:szCs w:val="24"/>
          <w:lang w:val="en-US" w:eastAsia="zh-CN"/>
        </w:rPr>
      </w:pPr>
      <w:r>
        <w:rPr>
          <w:rFonts w:hint="eastAsia" w:ascii="楷体_GB2312" w:hAnsi="楷体_GB2312" w:eastAsia="楷体_GB2312" w:cs="楷体_GB2312"/>
          <w:sz w:val="24"/>
          <w:szCs w:val="24"/>
          <w:lang w:val="en-US" w:eastAsia="zh-CN"/>
        </w:rPr>
        <w:t>(三)不可抗力事件发生期间各方权利和义务</w:t>
      </w:r>
    </w:p>
    <w:p w14:paraId="295A2961">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1.权利</w:t>
      </w:r>
    </w:p>
    <w:p w14:paraId="5DE9B44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(1)甲方有认定不可抗力事件对本合同影响的权利。</w:t>
      </w:r>
    </w:p>
    <w:p w14:paraId="1E244CE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(2)乙方有权要求甲方按合同约定计量支付不可抗力事件发生前的合同金额。</w:t>
      </w:r>
    </w:p>
    <w:p w14:paraId="402C85F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2.义务</w:t>
      </w:r>
    </w:p>
    <w:p w14:paraId="13E1DEF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(1)受到不可抗力事件影响的一方按合同约定时限通知另一方。</w:t>
      </w:r>
    </w:p>
    <w:p w14:paraId="034031D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(2)双方均应当采取合理措施尽量避免和减少损失的扩大。</w:t>
      </w:r>
    </w:p>
    <w:p w14:paraId="5AE2085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(3)声称不可抗力的一方在不可抗力消除之后应当尽快恢复履行本合同项下的义务。</w:t>
      </w:r>
    </w:p>
    <w:p w14:paraId="46474DD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(四)不可抗力事件的处理</w:t>
      </w:r>
    </w:p>
    <w:p w14:paraId="419A546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1.发生不可抗力时，双方应当各自承担由于不可抗力对其造成的损失。</w:t>
      </w:r>
    </w:p>
    <w:p w14:paraId="5676265C">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2.不可抗力发生前已发生的合同金额应当进行计量支付。</w:t>
      </w:r>
    </w:p>
    <w:p w14:paraId="38FD39C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当不可抗力事件阻止一方履行其义务的时间持续10日以上时，双方应当协商决定继续履行本合同的条件或者终止本合同。如果自不可抗力发生后30日之内双方不能就继续履行的条件或终止本合同达成一致意见，任何一方有权给予另一方书面通知后立即终止本合同。</w:t>
      </w:r>
    </w:p>
    <w:p w14:paraId="7663777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黑体" w:hAnsi="黑体" w:eastAsia="黑体" w:cs="黑体"/>
          <w:sz w:val="24"/>
          <w:szCs w:val="24"/>
        </w:rPr>
      </w:pPr>
      <w:r>
        <w:rPr>
          <w:rFonts w:hint="eastAsia" w:ascii="黑体" w:hAnsi="黑体" w:eastAsia="黑体" w:cs="黑体"/>
          <w:sz w:val="24"/>
          <w:szCs w:val="24"/>
          <w:lang w:val="en-US" w:eastAsia="zh-CN"/>
        </w:rPr>
        <w:t xml:space="preserve">第七条 </w:t>
      </w:r>
      <w:r>
        <w:rPr>
          <w:rFonts w:hint="eastAsia" w:ascii="黑体" w:hAnsi="黑体" w:eastAsia="黑体" w:cs="黑体"/>
          <w:sz w:val="24"/>
          <w:szCs w:val="24"/>
        </w:rPr>
        <w:t>信息安全</w:t>
      </w:r>
    </w:p>
    <w:p w14:paraId="4A8E5FB1">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乙方须配置专职安全技术团队保障政务云安全。</w:t>
      </w:r>
    </w:p>
    <w:p w14:paraId="37D7039C">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乙方对云平台的安全管理必须按照信息安全及云计算服务安全领域国家标准执行。</w:t>
      </w:r>
    </w:p>
    <w:p w14:paraId="28F3CCD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乙方</w:t>
      </w:r>
      <w:r>
        <w:rPr>
          <w:rFonts w:hint="eastAsia" w:ascii="仿宋_GB2312" w:hAnsi="仿宋_GB2312" w:eastAsia="仿宋_GB2312" w:cs="仿宋_GB2312"/>
          <w:sz w:val="24"/>
          <w:szCs w:val="24"/>
          <w:lang w:val="en-US" w:eastAsia="zh-CN"/>
        </w:rPr>
        <w:t>须</w:t>
      </w:r>
      <w:r>
        <w:rPr>
          <w:rFonts w:hint="eastAsia" w:ascii="仿宋_GB2312" w:hAnsi="仿宋_GB2312" w:eastAsia="仿宋_GB2312" w:cs="仿宋_GB2312"/>
          <w:sz w:val="24"/>
          <w:szCs w:val="24"/>
        </w:rPr>
        <w:t>按照信息安全等级保护第三级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highlight w:val="none"/>
          <w:lang w:val="en-US" w:eastAsia="zh-CN"/>
        </w:rPr>
        <w:t>商用密码应用安全评估和云计算服务安全评估</w:t>
      </w:r>
      <w:r>
        <w:rPr>
          <w:rFonts w:hint="eastAsia" w:ascii="仿宋_GB2312" w:hAnsi="仿宋_GB2312" w:eastAsia="仿宋_GB2312" w:cs="仿宋_GB2312"/>
          <w:sz w:val="24"/>
          <w:szCs w:val="24"/>
          <w:highlight w:val="none"/>
        </w:rPr>
        <w:t>要求对政务云平台进行安全防护，每年定期组织第三方安全测评机构，对云平台进行</w:t>
      </w:r>
      <w:r>
        <w:rPr>
          <w:rFonts w:hint="eastAsia" w:ascii="仿宋_GB2312" w:hAnsi="仿宋_GB2312" w:eastAsia="仿宋_GB2312" w:cs="仿宋_GB2312"/>
          <w:sz w:val="24"/>
          <w:szCs w:val="24"/>
          <w:highlight w:val="none"/>
          <w:lang w:val="en-US" w:eastAsia="zh-CN"/>
        </w:rPr>
        <w:t>商用密码应用安全评估、</w:t>
      </w:r>
      <w:r>
        <w:rPr>
          <w:rFonts w:hint="eastAsia" w:ascii="仿宋_GB2312" w:hAnsi="仿宋_GB2312" w:eastAsia="仿宋_GB2312" w:cs="仿宋_GB2312"/>
          <w:sz w:val="24"/>
          <w:szCs w:val="24"/>
          <w:highlight w:val="none"/>
        </w:rPr>
        <w:t>安全等级保护测评、</w:t>
      </w:r>
      <w:r>
        <w:rPr>
          <w:rFonts w:hint="eastAsia" w:ascii="仿宋_GB2312" w:hAnsi="仿宋_GB2312" w:eastAsia="仿宋_GB2312" w:cs="仿宋_GB2312"/>
          <w:sz w:val="24"/>
          <w:szCs w:val="24"/>
          <w:highlight w:val="none"/>
          <w:lang w:eastAsia="zh-CN"/>
        </w:rPr>
        <w:t>云计算服务安全评估</w:t>
      </w:r>
      <w:r>
        <w:rPr>
          <w:rFonts w:hint="eastAsia" w:ascii="仿宋_GB2312" w:hAnsi="仿宋_GB2312" w:eastAsia="仿宋_GB2312" w:cs="仿宋_GB2312"/>
          <w:sz w:val="24"/>
          <w:szCs w:val="24"/>
          <w:highlight w:val="none"/>
        </w:rPr>
        <w:t>，按时将等级</w:t>
      </w:r>
      <w:r>
        <w:rPr>
          <w:rFonts w:hint="eastAsia" w:ascii="仿宋_GB2312" w:hAnsi="仿宋_GB2312" w:eastAsia="仿宋_GB2312" w:cs="仿宋_GB2312"/>
          <w:sz w:val="24"/>
          <w:szCs w:val="24"/>
        </w:rPr>
        <w:t>保护备案证明、测评</w:t>
      </w:r>
      <w:r>
        <w:rPr>
          <w:rFonts w:hint="eastAsia" w:ascii="仿宋_GB2312" w:hAnsi="仿宋_GB2312" w:eastAsia="仿宋_GB2312" w:cs="仿宋_GB2312"/>
          <w:sz w:val="24"/>
          <w:szCs w:val="24"/>
          <w:lang w:eastAsia="zh-CN"/>
        </w:rPr>
        <w:t>或评估</w:t>
      </w:r>
      <w:r>
        <w:rPr>
          <w:rFonts w:hint="eastAsia" w:ascii="仿宋_GB2312" w:hAnsi="仿宋_GB2312" w:eastAsia="仿宋_GB2312" w:cs="仿宋_GB2312"/>
          <w:sz w:val="24"/>
          <w:szCs w:val="24"/>
        </w:rPr>
        <w:t>报告</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整改结果</w:t>
      </w:r>
      <w:r>
        <w:rPr>
          <w:rFonts w:hint="eastAsia" w:ascii="仿宋_GB2312" w:hAnsi="仿宋_GB2312" w:eastAsia="仿宋_GB2312" w:cs="仿宋_GB2312"/>
          <w:sz w:val="24"/>
          <w:szCs w:val="24"/>
          <w:lang w:eastAsia="zh-CN"/>
        </w:rPr>
        <w:t>等</w:t>
      </w:r>
      <w:r>
        <w:rPr>
          <w:rFonts w:hint="eastAsia" w:ascii="仿宋_GB2312" w:hAnsi="仿宋_GB2312" w:eastAsia="仿宋_GB2312" w:cs="仿宋_GB2312"/>
          <w:sz w:val="24"/>
          <w:szCs w:val="24"/>
        </w:rPr>
        <w:t>报甲方备案。</w:t>
      </w:r>
    </w:p>
    <w:p w14:paraId="4CE1D83E">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黑体" w:hAnsi="黑体" w:eastAsia="黑体" w:cs="黑体"/>
          <w:sz w:val="24"/>
          <w:szCs w:val="24"/>
        </w:rPr>
      </w:pPr>
      <w:r>
        <w:rPr>
          <w:rFonts w:hint="eastAsia" w:ascii="黑体" w:hAnsi="黑体" w:eastAsia="黑体" w:cs="黑体"/>
          <w:sz w:val="24"/>
          <w:szCs w:val="24"/>
          <w:lang w:val="en-US" w:eastAsia="zh-CN"/>
        </w:rPr>
        <w:t xml:space="preserve">第八条 </w:t>
      </w:r>
      <w:r>
        <w:rPr>
          <w:rFonts w:hint="eastAsia" w:ascii="黑体" w:hAnsi="黑体" w:eastAsia="黑体" w:cs="黑体"/>
          <w:sz w:val="24"/>
          <w:szCs w:val="24"/>
        </w:rPr>
        <w:t>知识产权</w:t>
      </w:r>
    </w:p>
    <w:p w14:paraId="3527A51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乙方须保证所提供服务均合法。如第三方提出侵犯其经营权、专利权、著作权、商标权或工业设计权，乙方须及时与第三方交涉以保证本合同的继续履行并承担由此发生的一切法律责任，包括由此导致甲方遭受的</w:t>
      </w:r>
      <w:r>
        <w:rPr>
          <w:rFonts w:hint="eastAsia" w:ascii="仿宋_GB2312" w:hAnsi="仿宋_GB2312" w:eastAsia="仿宋_GB2312" w:cs="仿宋_GB2312"/>
          <w:sz w:val="24"/>
          <w:szCs w:val="24"/>
          <w:lang w:val="en-US" w:eastAsia="zh-CN"/>
        </w:rPr>
        <w:t>直接</w:t>
      </w:r>
      <w:r>
        <w:rPr>
          <w:rFonts w:hint="eastAsia" w:ascii="仿宋_GB2312" w:hAnsi="仿宋_GB2312" w:eastAsia="仿宋_GB2312" w:cs="仿宋_GB2312"/>
          <w:sz w:val="24"/>
          <w:szCs w:val="24"/>
        </w:rPr>
        <w:t>损失。</w:t>
      </w:r>
    </w:p>
    <w:p w14:paraId="706AF99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第九条 合同解除/合同终止</w:t>
      </w:r>
    </w:p>
    <w:p w14:paraId="62B7494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(一)合同解除的事由</w:t>
      </w:r>
    </w:p>
    <w:p w14:paraId="71E0FCA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1.双方在本合同中的声明或保证被证实存在虚假或未兑现，严重影响其履约能力的。</w:t>
      </w:r>
    </w:p>
    <w:p w14:paraId="10052D28">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2.出现本合同约定的导致合同终止情形的。</w:t>
      </w:r>
    </w:p>
    <w:p w14:paraId="1E0779B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3.发生其他导致本合同无法继续履行情形的。</w:t>
      </w:r>
    </w:p>
    <w:p w14:paraId="1DB7500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仿宋_GB2312" w:hAnsi="仿宋_GB2312" w:eastAsia="仿宋_GB2312" w:cs="仿宋_GB2312"/>
          <w:sz w:val="24"/>
          <w:szCs w:val="24"/>
          <w:lang w:val="en-US" w:eastAsia="zh-CN"/>
        </w:rPr>
      </w:pPr>
      <w:r>
        <w:rPr>
          <w:rFonts w:hint="eastAsia" w:ascii="楷体_GB2312" w:hAnsi="楷体_GB2312" w:eastAsia="楷体_GB2312" w:cs="楷体_GB2312"/>
          <w:sz w:val="24"/>
          <w:szCs w:val="24"/>
          <w:lang w:val="en-US" w:eastAsia="zh-CN"/>
        </w:rPr>
        <w:t>(二)合同解除程序</w:t>
      </w:r>
    </w:p>
    <w:p w14:paraId="4A12BCF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1.发出终止意向通知</w:t>
      </w:r>
    </w:p>
    <w:p w14:paraId="4340F83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(1)甲方发出的终止意向通知</w:t>
      </w:r>
    </w:p>
    <w:p w14:paraId="311486C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下述任一行为发生时，甲方有权立即发出终止意向通知：</w:t>
      </w:r>
    </w:p>
    <w:p w14:paraId="3A3305A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①乙方在本合同中的声明或保证被证实存在虚假或未兑现，严重影响其履约能力。</w:t>
      </w:r>
    </w:p>
    <w:p w14:paraId="72D5E71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②乙方履行义务不符合约定，经甲方提出后合理期限内仍未改正。</w:t>
      </w:r>
    </w:p>
    <w:p w14:paraId="7926450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③未经甲方书面同意，乙方将本合同项下属于甲方单方所有的成果作为己用或交付第三人使用的。</w:t>
      </w:r>
    </w:p>
    <w:p w14:paraId="209F00A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④第三方指控并经有权机关认定接受乙方提供的服务侵犯了该方的知识产权和/或其他权利，造成甲方损失的。</w:t>
      </w:r>
    </w:p>
    <w:p w14:paraId="6CD8D35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mc:AlternateContent>
          <mc:Choice Requires="wps">
            <w:drawing>
              <wp:anchor distT="0" distB="0" distL="114300" distR="114300" simplePos="0" relativeHeight="251661312" behindDoc="0" locked="0" layoutInCell="1" allowOverlap="1">
                <wp:simplePos x="0" y="0"/>
                <wp:positionH relativeFrom="column">
                  <wp:posOffset>6335395</wp:posOffset>
                </wp:positionH>
                <wp:positionV relativeFrom="paragraph">
                  <wp:posOffset>187325</wp:posOffset>
                </wp:positionV>
                <wp:extent cx="50165" cy="23622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0165" cy="236220"/>
                        </a:xfrm>
                        <a:prstGeom prst="rect">
                          <a:avLst/>
                        </a:prstGeom>
                        <a:noFill/>
                        <a:ln>
                          <a:noFill/>
                        </a:ln>
                        <a:effectLst/>
                      </wps:spPr>
                      <wps:txbx>
                        <w:txbxContent>
                          <w:p w14:paraId="1844A265">
                            <w:pPr>
                              <w:spacing w:before="20" w:line="172" w:lineRule="auto"/>
                              <w:ind w:left="20"/>
                              <w:rPr>
                                <w:rFonts w:ascii="宋体" w:hAnsi="宋体" w:eastAsia="宋体" w:cs="宋体"/>
                                <w:sz w:val="4"/>
                                <w:szCs w:val="4"/>
                              </w:rPr>
                            </w:pPr>
                            <w:r>
                              <w:rPr>
                                <w:rFonts w:ascii="宋体" w:hAnsi="宋体" w:eastAsia="宋体" w:cs="宋体"/>
                                <w:spacing w:val="7"/>
                                <w:sz w:val="4"/>
                                <w:szCs w:val="4"/>
                              </w:rPr>
                              <w:t>向1</w:t>
                            </w:r>
                          </w:p>
                        </w:txbxContent>
                      </wps:txbx>
                      <wps:bodyPr vert="eaVert" wrap="square" lIns="0" tIns="0" rIns="0" bIns="0" anchor="t" upright="1"/>
                    </wps:wsp>
                  </a:graphicData>
                </a:graphic>
              </wp:anchor>
            </w:drawing>
          </mc:Choice>
          <mc:Fallback>
            <w:pict>
              <v:shape id="_x0000_s1026" o:spid="_x0000_s1026" o:spt="202" type="#_x0000_t202" style="position:absolute;left:0pt;margin-left:498.85pt;margin-top:14.75pt;height:18.6pt;width:3.95pt;z-index:251661312;mso-width-relative:page;mso-height-relative:page;" filled="f" stroked="f" coordsize="21600,21600" o:gfxdata="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6hrTu1wAAAAoBAAAPAAAAAAAAAAEA&#10;IAAAACIAAABkcnMvZG93bnJldi54bWxQSwECFAAUAAAACACHTuJAhE1M99cBAAClAwAADgAAAAAA&#10;AAABACAAAAAmAQAAZHJzL2Uyb0RvYy54bWxQSwUGAAAAAAYABgBZAQAAbwUAAAAA&#10;">
                <v:fill on="f" focussize="0,0"/>
                <v:stroke on="f"/>
                <v:imagedata o:title=""/>
                <o:lock v:ext="edit" aspectratio="f"/>
                <v:textbox inset="0mm,0mm,0mm,0mm" style="layout-flow:vertical-ideographic;">
                  <w:txbxContent>
                    <w:p w14:paraId="1844A265">
                      <w:pPr>
                        <w:spacing w:before="20" w:line="172" w:lineRule="auto"/>
                        <w:ind w:left="20"/>
                        <w:rPr>
                          <w:rFonts w:ascii="宋体" w:hAnsi="宋体" w:eastAsia="宋体" w:cs="宋体"/>
                          <w:sz w:val="4"/>
                          <w:szCs w:val="4"/>
                        </w:rPr>
                      </w:pPr>
                      <w:r>
                        <w:rPr>
                          <w:rFonts w:ascii="宋体" w:hAnsi="宋体" w:eastAsia="宋体" w:cs="宋体"/>
                          <w:spacing w:val="7"/>
                          <w:sz w:val="4"/>
                          <w:szCs w:val="4"/>
                        </w:rPr>
                        <w:t>向1</w:t>
                      </w:r>
                    </w:p>
                  </w:txbxContent>
                </v:textbox>
              </v:shape>
            </w:pict>
          </mc:Fallback>
        </mc:AlternateContent>
      </w:r>
      <w:r>
        <w:rPr>
          <w:rFonts w:hint="eastAsia" w:ascii="仿宋_GB2312" w:hAnsi="仿宋_GB2312" w:eastAsia="仿宋_GB2312" w:cs="仿宋_GB2312"/>
          <w:sz w:val="24"/>
          <w:szCs w:val="24"/>
          <w:lang w:val="en-US" w:eastAsia="zh-CN"/>
        </w:rPr>
        <w:t>(2)乙方发出的终止意向通知</w:t>
      </w:r>
    </w:p>
    <w:p w14:paraId="4AAA503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下述任一事件发生时，乙方有权发出终止意向通知：</w:t>
      </w:r>
    </w:p>
    <w:p w14:paraId="35CF95F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①甲方在本合同中的声明或保证被证实是虚假的或未兑现，使乙方履行本合同的能力受到严重不利影响的。</w:t>
      </w:r>
    </w:p>
    <w:p w14:paraId="7D69355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②甲方未按本合同第二条约定的期限支付服务费用，经乙方书面催告后30日内仍未支付，且累计逾期超过60日的。</w:t>
      </w:r>
    </w:p>
    <w:p w14:paraId="03F7B0F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2.法律变更或政府行为</w:t>
      </w:r>
    </w:p>
    <w:p w14:paraId="526754E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如在本合同生效后，因法律变更及政府行为导致乙方部分或全部不能履行本合同项下主要义务，或在这种情况下已没有继续履行的必要，而这种变化和影响又不以甲方的意志为转移，双方应当尽力就继续履行本合同进行协商，若不能达成一致，则一方可向另一方发出终止意向通知。双方仍协商不成的，本合同自终止意向通知送达对方之日起10日届满时终止。</w:t>
      </w:r>
    </w:p>
    <w:p w14:paraId="7A226DA4">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3.协商一致终止</w:t>
      </w:r>
    </w:p>
    <w:p w14:paraId="30E5ED1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在本合同履行期间，由各方协商一致可提前终止本合同。费用结算等问题由各方协商一致。</w:t>
      </w:r>
    </w:p>
    <w:p w14:paraId="79D546E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仿宋_GB2312" w:hAnsi="仿宋_GB2312" w:eastAsia="仿宋_GB2312" w:cs="仿宋_GB2312"/>
          <w:sz w:val="24"/>
          <w:szCs w:val="24"/>
          <w:lang w:val="en-US" w:eastAsia="zh-CN"/>
        </w:rPr>
      </w:pPr>
      <w:r>
        <w:rPr>
          <w:rFonts w:hint="eastAsia" w:ascii="楷体_GB2312" w:hAnsi="楷体_GB2312" w:eastAsia="楷体_GB2312" w:cs="楷体_GB2312"/>
          <w:sz w:val="24"/>
          <w:szCs w:val="24"/>
          <w:lang w:val="en-US" w:eastAsia="zh-CN"/>
        </w:rPr>
        <w:t>(三)双方协商</w:t>
      </w:r>
    </w:p>
    <w:p w14:paraId="24A1656C">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1.终止意向通知发出之后，双方应当在3日内协商。</w:t>
      </w:r>
    </w:p>
    <w:p w14:paraId="2C71CAD3">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2.如果双方就将要采取的措施达成一致意见，或者违约行为在指定期限内得到纠正，并获对方确认，终止意向通知即自动失效。</w:t>
      </w:r>
    </w:p>
    <w:p w14:paraId="29EB846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3.发出终止通知</w:t>
      </w:r>
    </w:p>
    <w:p w14:paraId="59E6ED8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如终止意向通知发出后，指定期限内违约方仍实施违约行为或违约行为仍未得到纠正，则另一方有权在指定期限届满后合同履约期满前任何时间发出终止本合同的书面通知，本合同自书面通知送达对方之日起终止。</w:t>
      </w:r>
    </w:p>
    <w:p w14:paraId="5F1C9493">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(四)项目移交</w:t>
      </w:r>
    </w:p>
    <w:p w14:paraId="1BBAD05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论因何种原因导致本合同终止，在本合同终止之后，乙方都必须完成甲方合理要求的所有必要工作，将属于甲方托管的设备、数据、系统、用户文档集、知识产权等资产移交给甲方。甲方可以选择由甲方或甲方指定的第三方接收。甲方托管的设备、数据和系统的风险将在乙方向甲方或其指定的第三方移交并经甲方书面确认之后转移到甲方。在风险转移到甲方之前，甲方的资产发生损坏、缺失、故障的，乙方应当承担相应责任。因甲方或甲方指定的第三方原因导致移交延迟的，自延迟发生之日起，乙方不再承担相关资产的保管责任。乙方完成移交工作后，甲方应在30个工作日内完成确认。自甲方确认之日起，相关资产的风险转移至甲方。若甲方无正当理由逾期未予确认，则自前述确认期限届满之日起，视为甲方已接收相关资产，相关资产的风险同时转移至甲方。</w:t>
      </w:r>
    </w:p>
    <w:p w14:paraId="4D1B0BEE">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第十条 违约处理</w:t>
      </w:r>
    </w:p>
    <w:p w14:paraId="7F54941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(一)违约行为认定</w:t>
      </w:r>
    </w:p>
    <w:p w14:paraId="5FDCD78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除不可抗力情形外，签订本合同任一方不履行本合同的任一条款，均视为违约。</w:t>
      </w:r>
    </w:p>
    <w:p w14:paraId="558E355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(二)违约责任承担方式</w:t>
      </w:r>
    </w:p>
    <w:p w14:paraId="2E418AF8">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1.继续履行</w:t>
      </w:r>
    </w:p>
    <w:p w14:paraId="42554941">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守约方有权暂时停止履行义务，并要求违约方继续履行本合同，待违约方纠正违约行为后恢复履行；守约方根据此款规定暂停履行义务不构成违约。</w:t>
      </w:r>
    </w:p>
    <w:p w14:paraId="35170A88">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2.赔偿</w:t>
      </w:r>
    </w:p>
    <w:p w14:paraId="46EB1958">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任何一方有权获得因另一方违约而使该方遭受的任何损失、支出和费用(包括但不限于评估费、鉴定费、律师费、诉讼费)的赔偿，该项赔偿由违约方支付。</w:t>
      </w:r>
    </w:p>
    <w:p w14:paraId="285C9EF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3.不减免和影响的事项</w:t>
      </w:r>
    </w:p>
    <w:p w14:paraId="2021D10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(1)违约方对违约责任的承担并不能减免其在本合同项下的其他任何义务。</w:t>
      </w:r>
    </w:p>
    <w:p w14:paraId="43C4CF2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(2)双方获得上述违约赔偿的权利不影响其在本合同项下的终止合同权利。</w:t>
      </w:r>
    </w:p>
    <w:p w14:paraId="76B32377">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甲方已在约定付款周期内向财政部门提交支付申请，但财政部门款项未到甲方，导致未在合同规定期限内支付的不视为违约，甲方承诺催促财政部门走审批程序。本合同付款节点均以财政资金到账为准，财政部门资金支付流程所需时间不计入付款方式节点时间内。</w:t>
      </w:r>
    </w:p>
    <w:p w14:paraId="05CC3A6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1"/>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(三)违约赔偿责任</w:t>
      </w:r>
    </w:p>
    <w:p w14:paraId="3EFDD31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在服务期内，云平台每发生1起安全事件，甲方可扣减本项目年度结算费用的1%作为违约金；累计超过3起，甲方有权单方解除合同并扣减本项目年度结算费用的5%作为违约金，违约金不足以弥补甲方损失的，成交供应商还应当继续补足。安全事件认定原则：被省级或国家政务云主管单位、网络安全监管机构(网信、通管、公安、国安等)通报云平台存在安全隐患，云服务商未在24小时内做有效处置或应急防护措施，造成业务系统瘫痪、或被恶意篡改、或敏感信息泄露的事件。</w:t>
      </w:r>
    </w:p>
    <w:p w14:paraId="6FFFAAB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因乙方原因导致未能在本合同约定期限内交付服务的，乙方应向甲方出具书面文件说明延课原因，承诺尽快恢复服务。未能及时按照甲方要求恢复服务的，乙方应当从逾期之日起计算每日按年度服务费的总价万分之三的数额向甲方支付违约金，超过10日，甲方有权单方解除合同。</w:t>
      </w:r>
    </w:p>
    <w:p w14:paraId="7518848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第十一条 争议解决</w:t>
      </w:r>
    </w:p>
    <w:p w14:paraId="40292BB0">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(一)因履行合同所发生的一切争议，双方应当友好协商解决，协商不成的，双方均同意向甲方所在地人民法院提起诉讼。</w:t>
      </w:r>
    </w:p>
    <w:p w14:paraId="798C58E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(二)在诉讼进行过程中，双方应当继续履行本合同未涉诉的其他部分(合同被解除或终止的除外)。</w:t>
      </w:r>
    </w:p>
    <w:p w14:paraId="6920975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(三)双方对于合同履行期间难以确定过错归属的，可以向双方认可的第三方机构申请鉴定，确认责任。鉴定费用由主张对方存在过错的一方先行垫付，最终由鉴定存在过错的一方承担。</w:t>
      </w:r>
    </w:p>
    <w:p w14:paraId="6F769662">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第十二条 其他约定</w:t>
      </w:r>
    </w:p>
    <w:p w14:paraId="6FF203FD">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(一)乙方应当做好安全保密工作，签订保密协议，并组织开展安全教育培训。</w:t>
      </w:r>
    </w:p>
    <w:p w14:paraId="0B64A26E">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(二)合同变更与修订</w:t>
      </w:r>
    </w:p>
    <w:p w14:paraId="0F91B41F">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除另有约定，本合同任何修改、补充或变更必须经双方协商一致，并书面签订补充协议。如果本合同的任何条款不合法、无效或不能执行，则：</w:t>
      </w:r>
    </w:p>
    <w:p w14:paraId="5BA59CF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1.并不影响其他条款的效力和执行；</w:t>
      </w:r>
    </w:p>
    <w:p w14:paraId="0C96593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2.双方应当商定对不合法、无效或不能执行的条款进行修改，使之合法、有效并可执行；修改或更改应当尽可能平衡双方之间的利益。</w:t>
      </w:r>
    </w:p>
    <w:p w14:paraId="0EF478FB">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(三)合同适用法律</w:t>
      </w:r>
    </w:p>
    <w:p w14:paraId="2B3E9DD3">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本合同的成立、有效性、解释、履行、签署、修订、终止和解除以及争议的解决适用中华人民共和国法律法规及相关规定。</w:t>
      </w:r>
    </w:p>
    <w:p w14:paraId="447182C6">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(四)合同生效条件</w:t>
      </w:r>
    </w:p>
    <w:p w14:paraId="1793E11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本合同经双方法定代表人或授权代表签字且单位盖章后生效。</w:t>
      </w:r>
    </w:p>
    <w:p w14:paraId="0ACA4A71">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(五)合同份数</w:t>
      </w:r>
    </w:p>
    <w:p w14:paraId="3B2A58E5">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本合同一式陆份，甲方执叁份，乙方执叁份，具有同等法律效力</w:t>
      </w:r>
    </w:p>
    <w:p w14:paraId="4630F72A">
      <w:pPr>
        <w:pStyle w:val="2"/>
        <w:keepNext w:val="0"/>
        <w:keepLines w:val="0"/>
        <w:pageBreakBefore w:val="0"/>
        <w:widowControl/>
        <w:kinsoku/>
        <w:wordWrap/>
        <w:overflowPunct/>
        <w:topLinePunct w:val="0"/>
        <w:autoSpaceDE/>
        <w:autoSpaceDN/>
        <w:bidi w:val="0"/>
        <w:adjustRightInd/>
        <w:snapToGrid/>
        <w:spacing w:after="0" w:line="400" w:lineRule="exact"/>
        <w:ind w:firstLine="480" w:firstLineChars="200"/>
        <w:textAlignment w:val="auto"/>
        <w:outlineLvl w:val="0"/>
        <w:rPr>
          <w:rFonts w:hint="eastAsia" w:ascii="仿宋_GB2312" w:hAnsi="仿宋_GB2312" w:eastAsia="仿宋_GB2312" w:cs="仿宋_GB2312"/>
          <w:kern w:val="2"/>
          <w:sz w:val="24"/>
          <w:szCs w:val="24"/>
          <w:lang w:val="en" w:eastAsia="zh-CN" w:bidi="ar-SA"/>
        </w:rPr>
      </w:pPr>
    </w:p>
    <w:p w14:paraId="1BF24E91">
      <w:pPr>
        <w:pStyle w:val="2"/>
        <w:keepNext w:val="0"/>
        <w:keepLines w:val="0"/>
        <w:pageBreakBefore w:val="0"/>
        <w:widowControl/>
        <w:tabs>
          <w:tab w:val="left" w:pos="1523"/>
          <w:tab w:val="clear" w:pos="5250"/>
        </w:tabs>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p>
    <w:p w14:paraId="3485B9CB">
      <w:pPr>
        <w:pStyle w:val="2"/>
        <w:keepNext w:val="0"/>
        <w:keepLines w:val="0"/>
        <w:pageBreakBefore w:val="0"/>
        <w:widowControl/>
        <w:tabs>
          <w:tab w:val="left" w:pos="1523"/>
          <w:tab w:val="clear" w:pos="5250"/>
        </w:tabs>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ab/>
      </w:r>
    </w:p>
    <w:p w14:paraId="43494F76">
      <w:pPr>
        <w:spacing w:line="460" w:lineRule="exact"/>
        <w:jc w:val="left"/>
        <w:outlineLvl w:val="0"/>
        <w:rPr>
          <w:rFonts w:ascii="宋体" w:hAnsi="宋体"/>
          <w:b/>
          <w:szCs w:val="21"/>
        </w:rPr>
      </w:pPr>
      <w:r>
        <w:rPr>
          <w:rFonts w:hint="eastAsia" w:ascii="宋体" w:hAnsi="宋体"/>
          <w:b/>
          <w:szCs w:val="21"/>
        </w:rPr>
        <w:t>甲方：</w:t>
      </w:r>
      <w:r>
        <w:rPr>
          <w:rFonts w:hint="eastAsia" w:ascii="宋体"/>
          <w:b/>
          <w:sz w:val="22"/>
          <w:szCs w:val="28"/>
        </w:rPr>
        <w:t>南阳市行政审批和政务信息管理局</w:t>
      </w:r>
      <w:r>
        <w:rPr>
          <w:rFonts w:hint="eastAsia" w:ascii="宋体" w:hAnsi="宋体"/>
          <w:b/>
          <w:szCs w:val="21"/>
        </w:rPr>
        <w:t xml:space="preserve">      乙方：</w:t>
      </w:r>
    </w:p>
    <w:p w14:paraId="5628802C">
      <w:pPr>
        <w:spacing w:line="460" w:lineRule="exact"/>
        <w:jc w:val="left"/>
        <w:rPr>
          <w:rFonts w:ascii="宋体"/>
          <w:b/>
          <w:sz w:val="22"/>
          <w:szCs w:val="28"/>
        </w:rPr>
      </w:pPr>
      <w:r>
        <w:rPr>
          <w:rFonts w:hint="eastAsia" w:ascii="宋体"/>
          <w:b/>
          <w:sz w:val="22"/>
          <w:szCs w:val="28"/>
        </w:rPr>
        <w:t xml:space="preserve">      </w:t>
      </w:r>
    </w:p>
    <w:p w14:paraId="1E9D163F">
      <w:pPr>
        <w:spacing w:line="460" w:lineRule="exact"/>
        <w:ind w:firstLine="420" w:firstLineChars="200"/>
        <w:rPr>
          <w:rFonts w:hint="eastAsia" w:ascii="宋体" w:hAnsi="宋体"/>
          <w:szCs w:val="21"/>
        </w:rPr>
      </w:pPr>
    </w:p>
    <w:p w14:paraId="217CCCB0">
      <w:pPr>
        <w:spacing w:line="460" w:lineRule="exact"/>
        <w:ind w:firstLine="420" w:firstLineChars="200"/>
        <w:outlineLvl w:val="0"/>
        <w:rPr>
          <w:rFonts w:hint="eastAsia" w:ascii="宋体" w:hAnsi="宋体"/>
          <w:szCs w:val="21"/>
        </w:rPr>
      </w:pPr>
      <w:r>
        <w:rPr>
          <w:rFonts w:hint="eastAsia" w:ascii="宋体" w:hAnsi="宋体"/>
          <w:szCs w:val="21"/>
        </w:rPr>
        <w:t>单位盖章：                                 单位盖章：</w:t>
      </w:r>
    </w:p>
    <w:p w14:paraId="758AD831">
      <w:pPr>
        <w:spacing w:line="460" w:lineRule="exact"/>
        <w:rPr>
          <w:rFonts w:hint="eastAsia" w:ascii="宋体" w:hAnsi="宋体"/>
          <w:szCs w:val="21"/>
        </w:rPr>
      </w:pPr>
    </w:p>
    <w:p w14:paraId="14206704">
      <w:pPr>
        <w:spacing w:line="460" w:lineRule="exact"/>
        <w:ind w:firstLine="420" w:firstLineChars="200"/>
        <w:outlineLvl w:val="0"/>
        <w:rPr>
          <w:rFonts w:hint="eastAsia" w:ascii="宋体" w:hAnsi="宋体"/>
          <w:szCs w:val="21"/>
        </w:rPr>
      </w:pPr>
      <w:r>
        <w:rPr>
          <w:rFonts w:hint="eastAsia" w:ascii="宋体" w:hAnsi="宋体"/>
          <w:color w:val="000000"/>
          <w:szCs w:val="21"/>
        </w:rPr>
        <w:t>法人</w:t>
      </w:r>
      <w:r>
        <w:rPr>
          <w:rFonts w:hint="eastAsia" w:ascii="宋体" w:hAnsi="宋体"/>
          <w:szCs w:val="21"/>
        </w:rPr>
        <w:t>授权代表签字：                         法人授权代表签字：</w:t>
      </w:r>
    </w:p>
    <w:p w14:paraId="2A9E436E">
      <w:pPr>
        <w:spacing w:line="460" w:lineRule="exact"/>
        <w:ind w:firstLine="420" w:firstLineChars="200"/>
        <w:outlineLvl w:val="0"/>
        <w:rPr>
          <w:rFonts w:hint="eastAsia" w:ascii="宋体" w:hAnsi="宋体"/>
          <w:szCs w:val="21"/>
        </w:rPr>
      </w:pPr>
      <w:r>
        <w:rPr>
          <w:rFonts w:hint="eastAsia" w:ascii="宋体" w:hAnsi="宋体"/>
          <w:szCs w:val="21"/>
        </w:rPr>
        <w:t xml:space="preserve">通讯地址：                                 通讯地址： </w:t>
      </w:r>
    </w:p>
    <w:p w14:paraId="725C7176">
      <w:pPr>
        <w:spacing w:line="460" w:lineRule="exact"/>
        <w:ind w:firstLine="420" w:firstLineChars="200"/>
        <w:outlineLvl w:val="0"/>
        <w:rPr>
          <w:rFonts w:hint="eastAsia" w:ascii="宋体" w:hAnsi="宋体"/>
          <w:szCs w:val="21"/>
        </w:rPr>
      </w:pPr>
      <w:r>
        <w:rPr>
          <w:rFonts w:hint="eastAsia" w:ascii="宋体" w:hAnsi="宋体"/>
          <w:szCs w:val="21"/>
        </w:rPr>
        <w:t xml:space="preserve">联系电话：                                 联系电话： </w:t>
      </w:r>
    </w:p>
    <w:p w14:paraId="6CAA6653">
      <w:pPr>
        <w:spacing w:line="460" w:lineRule="exact"/>
        <w:ind w:firstLine="420" w:firstLineChars="200"/>
        <w:outlineLvl w:val="0"/>
        <w:rPr>
          <w:rFonts w:hint="eastAsia" w:ascii="宋体" w:hAnsi="宋体"/>
          <w:sz w:val="24"/>
          <w:szCs w:val="24"/>
        </w:rPr>
      </w:pPr>
      <w:r>
        <w:rPr>
          <w:rFonts w:hint="eastAsia" w:ascii="宋体" w:hAnsi="宋体"/>
          <w:szCs w:val="21"/>
        </w:rPr>
        <w:t>签约时间：     年    月   日               签约时间：     年    月   日</w:t>
      </w:r>
    </w:p>
    <w:p w14:paraId="37576961">
      <w:pPr>
        <w:pStyle w:val="3"/>
        <w:keepNext w:val="0"/>
        <w:keepLines w:val="0"/>
        <w:pageBreakBefore w:val="0"/>
        <w:kinsoku/>
        <w:wordWrap w:val="0"/>
        <w:overflowPunct/>
        <w:topLinePunct w:val="0"/>
        <w:bidi w:val="0"/>
        <w:spacing w:before="353" w:line="219" w:lineRule="auto"/>
        <w:ind w:left="2654"/>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14:paraId="3D7DF84D">
      <w:pPr>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sz w:val="21"/>
        </w:rPr>
      </w:pPr>
    </w:p>
    <w:p w14:paraId="5C89F267">
      <w:pPr>
        <w:pStyle w:val="3"/>
        <w:keepNext w:val="0"/>
        <w:keepLines w:val="0"/>
        <w:pageBreakBefore w:val="0"/>
        <w:widowControl/>
        <w:kinsoku/>
        <w:wordWrap w:val="0"/>
        <w:overflowPunct/>
        <w:topLinePunct w:val="0"/>
        <w:autoSpaceDE w:val="0"/>
        <w:autoSpaceDN w:val="0"/>
        <w:bidi w:val="0"/>
        <w:adjustRightInd w:val="0"/>
        <w:snapToGrid w:val="0"/>
        <w:spacing w:before="78" w:line="360" w:lineRule="auto"/>
        <w:ind w:left="154"/>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14:paraId="3BE8AC5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49349A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14:paraId="7FA37FE2">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sectPr>
          <w:headerReference r:id="rId7" w:type="default"/>
          <w:footerReference r:id="rId8" w:type="default"/>
          <w:pgSz w:w="11907" w:h="16840"/>
          <w:pgMar w:top="1440" w:right="1800" w:bottom="1440" w:left="1800" w:header="878" w:footer="886" w:gutter="0"/>
          <w:pgNumType w:fmt="decimal"/>
          <w:cols w:space="720" w:num="1"/>
        </w:sectPr>
      </w:pPr>
    </w:p>
    <w:p w14:paraId="624A7508">
      <w:pPr>
        <w:pStyle w:val="3"/>
        <w:keepNext w:val="0"/>
        <w:keepLines w:val="0"/>
        <w:pageBreakBefore w:val="0"/>
        <w:kinsoku/>
        <w:wordWrap w:val="0"/>
        <w:overflowPunct/>
        <w:topLinePunct w:val="0"/>
        <w:bidi w:val="0"/>
        <w:spacing w:before="78" w:line="360" w:lineRule="auto"/>
        <w:ind w:left="13"/>
        <w:jc w:val="both"/>
        <w:outlineLvl w:val="2"/>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一、资格证明文件格式</w:t>
      </w:r>
    </w:p>
    <w:p w14:paraId="5A4617A5">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1.开标一览表</w:t>
      </w:r>
    </w:p>
    <w:p w14:paraId="38CBEB1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37B67C5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19"/>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14:paraId="352E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23CF49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508121E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2873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7648B0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5127953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1FFB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827CD4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2EB46DC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3428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B4C2E3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0E8D629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大写：百分之（小写：%）</w:t>
            </w:r>
          </w:p>
        </w:tc>
      </w:tr>
      <w:tr w14:paraId="7457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512CB6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21A1572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18F4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7E6035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2DB350C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7757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2D38DEE">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交货期</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1E7C35C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6CB5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7FAC13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7992A2A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2FDB3DF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bl>
    <w:p w14:paraId="372BA0F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注：本项目按费率报价，例如：投标费率为90%，则结算单价金额=分项最高限价×90%，投标报价包含服务于本项目的所有费用。</w:t>
      </w:r>
    </w:p>
    <w:p w14:paraId="233A7A9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14:paraId="656ACDF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2CFCDBD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798A42B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08539DC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14:paraId="484D36E0">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14:paraId="1887B195">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14:paraId="6468CDF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C1CD2B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14:paraId="03F6BD9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14:paraId="306FAD9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14:paraId="5DE2A3A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14:paraId="3F20CFE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14:paraId="308CEF59">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14:paraId="04F5CEC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14:paraId="4EBBF76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14:paraId="3FB9716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14:paraId="62470ED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14:paraId="07C699F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14:paraId="57C45ECE">
      <w:pPr>
        <w:pStyle w:val="5"/>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14:paraId="3B02AF2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14:paraId="086336A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14:paraId="0C83F12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14:paraId="50F761E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3F4562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29B9D0A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14:paraId="524EDC0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0942AAC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DD5D66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35D619D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3446790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04F98C0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259BB82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6108549E">
      <w:pPr>
        <w:keepNext w:val="0"/>
        <w:keepLines w:val="0"/>
        <w:pageBreakBefore w:val="0"/>
        <w:kinsoku/>
        <w:wordWrap w:val="0"/>
        <w:overflowPunct/>
        <w:topLinePunct w:val="0"/>
        <w:bidi w:val="0"/>
        <w:spacing w:line="360" w:lineRule="auto"/>
        <w:jc w:val="both"/>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14:paraId="709038C1">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96267DF">
      <w:pPr>
        <w:keepNext w:val="0"/>
        <w:keepLines w:val="0"/>
        <w:pageBreakBefore w:val="0"/>
        <w:kinsoku/>
        <w:wordWrap w:val="0"/>
        <w:overflowPunct/>
        <w:topLinePunct w:val="0"/>
        <w:bidi w:val="0"/>
        <w:spacing w:line="360" w:lineRule="auto"/>
        <w:jc w:val="center"/>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14:paraId="0A2849F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2002345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5558E5E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14:paraId="225DB79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14:paraId="78FF280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14:paraId="1E46AC9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14:paraId="00CBA46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14:paraId="0758F22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14:paraId="6D31F3D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14:paraId="4D9BFF7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14:paraId="6089C69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0E0B4BC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4A75603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14:paraId="10F65E0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04E392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日期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CCD12E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rPr>
      </w:pPr>
    </w:p>
    <w:p w14:paraId="5F2540D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Theme="minorEastAsia" w:hAnsiTheme="minorEastAsia" w:eastAsiaTheme="minorEastAsia" w:cstheme="minorEastAsia"/>
          <w:sz w:val="24"/>
          <w:szCs w:val="24"/>
          <w:lang w:val="en-US" w:eastAsia="zh-CN"/>
        </w:rPr>
        <w:sectPr>
          <w:headerReference r:id="rId9" w:type="default"/>
          <w:footerReference r:id="rId10"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8"/>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val="en-US" w:eastAsia="zh-CN"/>
        </w:rPr>
        <w:t>处理。</w:t>
      </w:r>
    </w:p>
    <w:p w14:paraId="270B7B1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14:paraId="2DBC309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14:paraId="78CCE29C">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14:paraId="4D7B066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6D30C891">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01CE183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14:paraId="2EE35C5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14:paraId="47E9F26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14:paraId="271006B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14:paraId="54CD1D1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14:paraId="72C1C98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14:paraId="7173A88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14:paraId="74F947B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14:paraId="2D365D3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14:paraId="331BFAB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14:paraId="3D9B9CD7">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169C1CA">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0B0F52AF">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2020400D">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36659D2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B39AE1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C5260D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A769BD0">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14:paraId="3F9B546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14:paraId="01C23F5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14:paraId="4F92FD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14:paraId="5F4BB49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14:paraId="6B5195F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投标人出具参加政府采购活动前三年内，</w:t>
      </w:r>
      <w:r>
        <w:rPr>
          <w:rFonts w:hint="eastAsia" w:asciiTheme="minorEastAsia" w:hAnsiTheme="minorEastAsia" w:eastAsiaTheme="minorEastAsia" w:cstheme="minorEastAsia"/>
          <w:b/>
          <w:bCs/>
          <w:snapToGrid w:val="0"/>
          <w:color w:val="000000"/>
          <w:kern w:val="0"/>
          <w:sz w:val="24"/>
          <w:szCs w:val="24"/>
          <w:lang w:val="en-US" w:eastAsia="zh-CN" w:bidi="ar-SA"/>
        </w:rPr>
        <w:t>在经营活动中没有重大违法记录</w:t>
      </w:r>
      <w:r>
        <w:rPr>
          <w:rFonts w:hint="eastAsia" w:asciiTheme="minorEastAsia" w:hAnsiTheme="minorEastAsia" w:eastAsiaTheme="minorEastAsia" w:cstheme="minorEastAsia"/>
          <w:b/>
          <w:bCs/>
          <w:sz w:val="24"/>
          <w:szCs w:val="24"/>
          <w:lang w:eastAsia="zh-CN"/>
        </w:rPr>
        <w:t>的书面声明（加盖单位公章）</w:t>
      </w:r>
    </w:p>
    <w:p w14:paraId="4DFF1A4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8B1D88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757950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85C1E6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6F7EA4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25B61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FDDB8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574B84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9777C7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071B46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93C1AE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EA0626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304A2B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42373C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B7DA30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75B13A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1934E9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F9629C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450826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164916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14:paraId="4D825AB5">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14:paraId="4D153A19">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14:paraId="246457B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18E10A2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707B253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40BA1CD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25EF7A1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580AB9E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4BEA066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14:paraId="595272E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14:paraId="61C8F9B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14:paraId="0BD38FC8">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3557B3B">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0E32B318">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46C5676B">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14:paraId="440E7E4D">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12.其他资格证明</w:t>
      </w:r>
    </w:p>
    <w:p w14:paraId="21582009">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D6A062D">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30D725E4">
      <w:pPr>
        <w:pStyle w:val="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14:paraId="4C7ACA4F">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19BA1D3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45910F0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5E2D82A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6967F23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767C54AA">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57CB54B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5DE3E53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64FEFA1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666DA98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0A02110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1568991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6390B00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56990A9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47EEC60C">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73ED37C1">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0E921A31">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4946A7B5">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5231B5F2">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5B63E823">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298C6CCA">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301EC899">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14:paraId="0DBCF2E6">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二、技术格式（暗标）</w:t>
      </w:r>
    </w:p>
    <w:p w14:paraId="0665D865">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eastAsia="zh-CN"/>
        </w:rPr>
      </w:pPr>
      <w:r>
        <w:rPr>
          <w:rFonts w:hint="eastAsia" w:asciiTheme="minorEastAsia" w:hAnsiTheme="minorEastAsia" w:eastAsiaTheme="minorEastAsia" w:cstheme="minorEastAsia"/>
          <w:b/>
          <w:bCs w:val="0"/>
          <w:sz w:val="24"/>
          <w:szCs w:val="24"/>
          <w:lang w:val="en-US" w:eastAsia="zh-CN"/>
        </w:rPr>
        <w:t>1.现状分析</w:t>
      </w:r>
    </w:p>
    <w:p w14:paraId="30D8EE3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color w:val="000000"/>
          <w:sz w:val="24"/>
          <w:szCs w:val="24"/>
          <w:lang w:val="en-US" w:eastAsia="zh-CN"/>
        </w:rPr>
        <w:t>2.</w:t>
      </w:r>
      <w:r>
        <w:rPr>
          <w:rFonts w:hint="eastAsia" w:asciiTheme="minorEastAsia" w:hAnsiTheme="minorEastAsia" w:eastAsiaTheme="minorEastAsia" w:cstheme="minorEastAsia"/>
          <w:b/>
          <w:bCs w:val="0"/>
          <w:sz w:val="24"/>
          <w:szCs w:val="24"/>
          <w:lang w:val="en-US" w:eastAsia="zh-CN"/>
        </w:rPr>
        <w:t>项目实施方案</w:t>
      </w:r>
    </w:p>
    <w:p w14:paraId="7EBBCD4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3.一体化运维服务方案</w:t>
      </w:r>
    </w:p>
    <w:p w14:paraId="54519B1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4.故障处理方案</w:t>
      </w:r>
    </w:p>
    <w:p w14:paraId="70B46D4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5.应急响应方案</w:t>
      </w:r>
    </w:p>
    <w:p w14:paraId="3E98C17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6.培训计划和培训方案</w:t>
      </w:r>
    </w:p>
    <w:p w14:paraId="5795FE0B">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7.信息安全保障服务方案</w:t>
      </w:r>
    </w:p>
    <w:p w14:paraId="2F1639E3">
      <w:pP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r>
        <w:rPr>
          <w:rFonts w:hint="eastAsia"/>
        </w:rPr>
        <w:br w:type="page"/>
      </w:r>
    </w:p>
    <w:p w14:paraId="1C6F9ECB">
      <w:pPr>
        <w:pStyle w:val="16"/>
        <w:rPr>
          <w:rFonts w:hint="default"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t>三、商务文件格式</w:t>
      </w:r>
    </w:p>
    <w:p w14:paraId="21AB9F5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14:paraId="281AB316">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lang w:eastAsia="zh-CN"/>
        </w:rPr>
        <w:t>投标书</w:t>
      </w:r>
    </w:p>
    <w:p w14:paraId="5A354F7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4FE95F2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14:paraId="7BB1AA3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根据贵方招标编号为（）的公开招标公告，签字代表（全名、职务）经正式授权并代表投标人（投标人名称、地址）提交电子投标文件一份，并对之负法律责任。</w:t>
      </w:r>
    </w:p>
    <w:p w14:paraId="679D24C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技术文件第1至</w:t>
      </w:r>
      <w:r>
        <w:rPr>
          <w:rFonts w:hint="eastAsia" w:asciiTheme="minorEastAsia" w:hAnsiTheme="minorEastAsia" w:eastAsiaTheme="minorEastAsia" w:cstheme="minorEastAsia"/>
          <w:b w:val="0"/>
          <w:bCs w:val="0"/>
          <w:sz w:val="24"/>
          <w:szCs w:val="24"/>
          <w:u w:val="single"/>
          <w:lang w:val="en-US" w:eastAsia="zh-CN"/>
        </w:rPr>
        <w:t xml:space="preserve">   项</w:t>
      </w:r>
      <w:r>
        <w:rPr>
          <w:rFonts w:hint="eastAsia" w:asciiTheme="minorEastAsia" w:hAnsiTheme="minorEastAsia" w:eastAsiaTheme="minorEastAsia" w:cstheme="minorEastAsia"/>
          <w:b w:val="0"/>
          <w:bCs w:val="0"/>
          <w:sz w:val="24"/>
          <w:szCs w:val="24"/>
          <w:u w:val="none"/>
          <w:lang w:val="en-US" w:eastAsia="zh-CN"/>
        </w:rPr>
        <w:t>，</w:t>
      </w:r>
      <w:r>
        <w:rPr>
          <w:rFonts w:hint="eastAsia" w:asciiTheme="minorEastAsia" w:hAnsiTheme="minorEastAsia" w:eastAsiaTheme="minorEastAsia" w:cstheme="minorEastAsia"/>
          <w:b w:val="0"/>
          <w:bCs w:val="0"/>
          <w:sz w:val="24"/>
          <w:szCs w:val="24"/>
          <w:lang w:eastAsia="zh-CN"/>
        </w:rPr>
        <w:t>商务文件第1</w:t>
      </w:r>
      <w:r>
        <w:rPr>
          <w:rFonts w:hint="eastAsia" w:asciiTheme="minorEastAsia" w:hAnsiTheme="minorEastAsia" w:eastAsiaTheme="minorEastAsia" w:cstheme="minorEastAsia"/>
          <w:b w:val="0"/>
          <w:bCs w:val="0"/>
          <w:color w:val="auto"/>
          <w:sz w:val="24"/>
          <w:szCs w:val="24"/>
          <w:lang w:eastAsia="zh-CN"/>
        </w:rPr>
        <w:t>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p>
    <w:p w14:paraId="1899527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14:paraId="3328503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14:paraId="5A8AE56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14:paraId="3EA3C26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14:paraId="6BB2162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14:paraId="11EF89D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14:paraId="02616DF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地址：</w:t>
      </w:r>
    </w:p>
    <w:p w14:paraId="316BE31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电话（传真）：</w:t>
      </w:r>
    </w:p>
    <w:p w14:paraId="7C84584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14:paraId="35E6904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14:paraId="0B12550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sectPr>
          <w:headerReference r:id="rId11" w:type="default"/>
          <w:footerReference r:id="rId12"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p>
    <w:p w14:paraId="50D7F1D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商务偏差表格式</w:t>
      </w:r>
    </w:p>
    <w:p w14:paraId="2F1D2803">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14:paraId="55EB9C2C">
      <w:pPr>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14:paraId="6A90B62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1401528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76E7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14:paraId="14B8E07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3BB7704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14:paraId="0EFCC8B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757A347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4262FA9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14BE54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79FA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DBC039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6639A3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AA0E30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9715B6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63D283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573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B7DAFA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4658840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66CEA2D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D362B1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32EF1E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69D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5B866E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0B947C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D39D67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43409B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DB4E70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E9B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DB83A6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95EC2C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0169FB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62EE93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3C3C52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0212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AADC7B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9FE309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04EE5B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A8FA72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6206AD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D47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AFB6FB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4B5270F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BE9FB3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2AFFB1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429F7B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998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3D8298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70A3CE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FD9CB6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B2030C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B32F80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638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70DF00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58F8B2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98F2CB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39FB85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0F72F7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7E7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41A3282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199452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C4472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C458D4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79C299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1295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23B5C68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ACE311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074933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82FB2F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CBA6A0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8D7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61E428C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838B4C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7A285E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83E438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507933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781A5AD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4244CD5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7F286435">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06DC72D">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36150D92">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780B3A11">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1ADF509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p>
    <w:p w14:paraId="75BE35F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p>
    <w:p w14:paraId="396AD17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val="0"/>
          <w:sz w:val="24"/>
          <w:szCs w:val="24"/>
          <w:lang w:val="en-US" w:eastAsia="zh-CN"/>
        </w:rPr>
      </w:pPr>
    </w:p>
    <w:p w14:paraId="5D8DDCA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val="0"/>
          <w:sz w:val="24"/>
          <w:szCs w:val="24"/>
          <w:lang w:val="en-US" w:eastAsia="zh-CN"/>
        </w:rPr>
        <w:t>3.</w:t>
      </w:r>
      <w:r>
        <w:rPr>
          <w:rFonts w:hint="eastAsia" w:asciiTheme="minorEastAsia" w:hAnsiTheme="minorEastAsia" w:eastAsiaTheme="minorEastAsia" w:cstheme="minorEastAsia"/>
          <w:b/>
          <w:bCs w:val="0"/>
          <w:sz w:val="24"/>
          <w:szCs w:val="24"/>
          <w:lang w:eastAsia="zh-CN"/>
        </w:rPr>
        <w:t>技术指标响应程度</w:t>
      </w:r>
    </w:p>
    <w:p w14:paraId="54850C9B">
      <w:pPr>
        <w:pStyle w:val="3"/>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bidi="en-US"/>
        </w:rPr>
      </w:pPr>
    </w:p>
    <w:p w14:paraId="73B6E7E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b/>
          <w:bCs/>
          <w:sz w:val="24"/>
          <w:szCs w:val="24"/>
          <w:lang w:eastAsia="zh-CN"/>
        </w:rPr>
      </w:pPr>
    </w:p>
    <w:p w14:paraId="4C743F6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技术偏离表</w:t>
      </w:r>
    </w:p>
    <w:p w14:paraId="4ABF9CF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p w14:paraId="1499C3B2">
      <w:pPr>
        <w:keepNext w:val="0"/>
        <w:keepLines w:val="0"/>
        <w:pageBreakBefore w:val="0"/>
        <w:kinsoku/>
        <w:wordWrap w:val="0"/>
        <w:overflowPunct/>
        <w:topLinePunct w:val="0"/>
        <w:bidi w:val="0"/>
        <w:spacing w:line="240" w:lineRule="atLeast"/>
        <w:ind w:left="1154" w:leftChars="485" w:hanging="136" w:hangingChars="5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14:paraId="4918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117AC54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5485512B">
            <w:pPr>
              <w:keepNext w:val="0"/>
              <w:keepLines w:val="0"/>
              <w:pageBreakBefore w:val="0"/>
              <w:kinsoku/>
              <w:wordWrap w:val="0"/>
              <w:overflowPunct/>
              <w:topLinePunct w:val="0"/>
              <w:bidi w:val="0"/>
              <w:spacing w:line="240" w:lineRule="atLeast"/>
              <w:ind w:firstLine="240" w:firstLineChars="1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A83506D">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招标</w:t>
            </w:r>
            <w:r>
              <w:rPr>
                <w:rFonts w:hint="eastAsia" w:asciiTheme="minorEastAsia" w:hAnsiTheme="minorEastAsia" w:eastAsiaTheme="minorEastAsia" w:cstheme="minorEastAsia"/>
                <w:sz w:val="24"/>
                <w:szCs w:val="24"/>
                <w:lang w:val="en-US" w:eastAsia="zh-CN"/>
              </w:rPr>
              <w:t>要求</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14D34DB6">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lang w:val="en-US" w:eastAsia="zh-CN"/>
              </w:rPr>
              <w:t>响应</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700FFC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7DD9349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14:paraId="26EF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0DA6A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4F04D2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C4CDCD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DFF8F2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B51A0E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906340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C41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9DF0B0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62571F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3ED427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3DC312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6DD8F3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C955B5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2B09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FE3EC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FBDEDA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7DF925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B1FDAF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2EF460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D52D56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F8C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27E240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95C8DC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11D6E1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6C082A7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E4D5F2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CE4BF6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5DF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9426B0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82585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C28C0C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FE6731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E50C13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769672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33E0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3CC831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83BD64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5E7803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18A9A4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31F707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706EC6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6A8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BE8475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B4C1F8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A3C278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0F5439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BFC602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D95236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DBC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5D4462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04987D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364651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454A5B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C100F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EF5C9B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6AE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2B5C54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F775D8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4AF0EF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D004CB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13D6CA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F30306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540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8B89C4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3FF188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4F161C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F522B8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1CE72E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60A6A2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C7C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DB628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3B37A4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08A296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5044E4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AA8E6E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5798BB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FCF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127AE4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B2677B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6E379B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846403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10ED0E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087D384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AF8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CE3FD9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9E40C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A12511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192800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32D858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DADFC4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873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B1B91D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138921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7BFE72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824D4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D04E33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A220D3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72B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D3D9CA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04B25F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5D8127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993F9F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A626AD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B7663F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bl>
    <w:p w14:paraId="14FC5E0C">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5AB6FCEC">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37C20BFE">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4A037C0A">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565EC177">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7D51DF50">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16E39F5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4.总体架构设计</w:t>
      </w:r>
    </w:p>
    <w:p w14:paraId="52B7AF6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5.自主可控</w:t>
      </w:r>
    </w:p>
    <w:p w14:paraId="51724E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6.供电基础设施服务能力</w:t>
      </w:r>
    </w:p>
    <w:p w14:paraId="6067214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7.响应承诺</w:t>
      </w:r>
    </w:p>
    <w:p w14:paraId="3CEE43F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8.云平台网络服务承诺</w:t>
      </w:r>
    </w:p>
    <w:p w14:paraId="13465EC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9.业绩</w:t>
      </w:r>
    </w:p>
    <w:p w14:paraId="6DC33F8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10.电信增值业务能力</w:t>
      </w:r>
    </w:p>
    <w:p w14:paraId="7E2B137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11.项目团队</w:t>
      </w:r>
    </w:p>
    <w:p w14:paraId="47386D0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12.管理体系认证证书</w:t>
      </w:r>
    </w:p>
    <w:p w14:paraId="5A0E476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13.信用评价</w:t>
      </w:r>
    </w:p>
    <w:p w14:paraId="5D61D0C7">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393DDC40">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5405EE3D">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5046C614">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4314FE51">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57AC58FD">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6F1B22B1">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77CE9ACD">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4817FD5D">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591CE8D7">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1D0491CC">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03DE91F7">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77B6126E">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44382FDB">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1D3242CC">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74354C40">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0AC34A78">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1D2A4CEF">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726F758C">
      <w:pPr>
        <w:pStyle w:val="3"/>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1"/>
        </w:rPr>
      </w:pPr>
      <w:r>
        <w:rPr>
          <w:rFonts w:hint="eastAsia" w:eastAsia="Arial" w:cs="Arial"/>
          <w:b/>
          <w:snapToGrid w:val="0"/>
          <w:color w:val="000000"/>
          <w:kern w:val="0"/>
          <w:sz w:val="24"/>
          <w:szCs w:val="24"/>
          <w:lang w:val="en-US" w:eastAsia="zh-CN" w:bidi="ar-SA"/>
        </w:rPr>
        <w:t>14</w:t>
      </w:r>
      <w:r>
        <w:rPr>
          <w:rFonts w:hint="eastAsia" w:ascii="宋体" w:hAnsi="宋体" w:eastAsia="Arial" w:cs="Arial"/>
          <w:b/>
          <w:snapToGrid w:val="0"/>
          <w:color w:val="000000"/>
          <w:kern w:val="0"/>
          <w:sz w:val="24"/>
          <w:szCs w:val="24"/>
          <w:lang w:val="en-US" w:eastAsia="zh-CN" w:bidi="ar-SA"/>
        </w:rPr>
        <w:t>.中小企业、监狱企业或残疾人福利性单位声明函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14:paraId="7390D25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中小企业声明函（工程、服务）格式</w:t>
      </w:r>
    </w:p>
    <w:p w14:paraId="5D45605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F6863F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14:paraId="1C3EA34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14:paraId="1DE6CBF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14:paraId="1C047B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14:paraId="4E8D445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3422A8E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68F7AF2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24" w:firstLineChars="200"/>
        <w:jc w:val="both"/>
        <w:textAlignment w:val="baseline"/>
        <w:rPr>
          <w:rFonts w:hint="eastAsia" w:asciiTheme="minorEastAsia" w:hAnsiTheme="minorEastAsia" w:eastAsiaTheme="minorEastAsia" w:cstheme="minorEastAsia"/>
          <w:spacing w:val="11"/>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w:t>
      </w:r>
      <w:r>
        <w:rPr>
          <w:rFonts w:hint="eastAsia" w:asciiTheme="minorEastAsia" w:hAnsiTheme="minorEastAsia" w:eastAsiaTheme="minorEastAsia" w:cstheme="minorEastAsia"/>
          <w:spacing w:val="10"/>
          <w:position w:val="17"/>
          <w:sz w:val="24"/>
          <w:szCs w:val="24"/>
          <w:lang w:val="en-US" w:eastAsia="zh-CN"/>
        </w:rPr>
        <w:t>不存在与大企业的负责人为同一人的情形。</w:t>
      </w:r>
    </w:p>
    <w:p w14:paraId="3AAD59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14:paraId="39CE8F6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10B215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4FE4CB1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14:paraId="61B7EB06">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C0B217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14:paraId="78D0E0A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14:paraId="7040378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p>
    <w:p w14:paraId="2C16FF3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14:paraId="18696BC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4675BC1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2EED2D7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4DDB870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258F438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74B6815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2BDBEC0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D811EC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B93EB2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52867652">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8D4705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4CC567F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0D6517D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FF9B8F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491E893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AFCF99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D66152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B0DDC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D9510D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5C1F382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4AABB6E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655286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40ABAD3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630D6FA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7665F7D0">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5BB5C66B">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10AEC9CB">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107EC1B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15.招标文件要求的其它材料及投标人认为有必要提供的材料</w:t>
      </w:r>
    </w:p>
    <w:sectPr>
      <w:headerReference r:id="rId13" w:type="default"/>
      <w:footerReference r:id="rId14"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ˎ̥">
    <w:altName w:val="方正公文小标宋"/>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41FF3">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66AA41">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66AA41">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91AC1">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4A44E">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614A44E">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18E7C">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EE164">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DDEE164">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F4402">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2CB37">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472CB37">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5F7BA">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1EF45">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FE1EF45">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7417D">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BE3C1">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C3DC3">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32CF2">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1768A">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26480"/>
    <w:multiLevelType w:val="singleLevel"/>
    <w:tmpl w:val="13B26480"/>
    <w:lvl w:ilvl="0" w:tentative="0">
      <w:start w:val="6"/>
      <w:numFmt w:val="decimal"/>
      <w:pStyle w:val="36"/>
      <w:suff w:val="nothing"/>
      <w:lvlText w:val="%1）"/>
      <w:lvlJc w:val="left"/>
    </w:lvl>
  </w:abstractNum>
  <w:abstractNum w:abstractNumId="1">
    <w:nsid w:val="5D7BE5FA"/>
    <w:multiLevelType w:val="singleLevel"/>
    <w:tmpl w:val="5D7BE5F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ZDU5ODFjOGEyNWRlYTNkMjA0OTNkYmM2YTBlNjc3YTEifQ=="/>
  </w:docVars>
  <w:rsids>
    <w:rsidRoot w:val="00000000"/>
    <w:rsid w:val="00621C19"/>
    <w:rsid w:val="0096273C"/>
    <w:rsid w:val="00D24FF0"/>
    <w:rsid w:val="014E35A1"/>
    <w:rsid w:val="01C02D71"/>
    <w:rsid w:val="023E759B"/>
    <w:rsid w:val="027730B6"/>
    <w:rsid w:val="02FA03F5"/>
    <w:rsid w:val="031427D0"/>
    <w:rsid w:val="03217B69"/>
    <w:rsid w:val="03C26B83"/>
    <w:rsid w:val="03CC315E"/>
    <w:rsid w:val="03DF5A69"/>
    <w:rsid w:val="044921B6"/>
    <w:rsid w:val="046E59EF"/>
    <w:rsid w:val="050D556D"/>
    <w:rsid w:val="05234F67"/>
    <w:rsid w:val="05524AD2"/>
    <w:rsid w:val="05545C1C"/>
    <w:rsid w:val="055748A3"/>
    <w:rsid w:val="0563090D"/>
    <w:rsid w:val="059A3EA8"/>
    <w:rsid w:val="06593C39"/>
    <w:rsid w:val="06787E06"/>
    <w:rsid w:val="06AF4861"/>
    <w:rsid w:val="06B0495B"/>
    <w:rsid w:val="06C93A28"/>
    <w:rsid w:val="06DF3FC3"/>
    <w:rsid w:val="06E37C8B"/>
    <w:rsid w:val="076721B4"/>
    <w:rsid w:val="08CB596A"/>
    <w:rsid w:val="090221EB"/>
    <w:rsid w:val="092D385C"/>
    <w:rsid w:val="09684744"/>
    <w:rsid w:val="09A129E2"/>
    <w:rsid w:val="09CC6764"/>
    <w:rsid w:val="09E3271C"/>
    <w:rsid w:val="0A29644D"/>
    <w:rsid w:val="0A437032"/>
    <w:rsid w:val="0A633B33"/>
    <w:rsid w:val="0AB46C2A"/>
    <w:rsid w:val="0ABC7CF1"/>
    <w:rsid w:val="0ABE6FC5"/>
    <w:rsid w:val="0AC260D6"/>
    <w:rsid w:val="0AD86A92"/>
    <w:rsid w:val="0B3B7AF5"/>
    <w:rsid w:val="0B3C24F6"/>
    <w:rsid w:val="0BC76E66"/>
    <w:rsid w:val="0BF0521B"/>
    <w:rsid w:val="0CB101B0"/>
    <w:rsid w:val="0CBD4DA7"/>
    <w:rsid w:val="0CF900A3"/>
    <w:rsid w:val="0D9A718E"/>
    <w:rsid w:val="0DA859D3"/>
    <w:rsid w:val="0DC1671D"/>
    <w:rsid w:val="0DD30B7C"/>
    <w:rsid w:val="0E307EEE"/>
    <w:rsid w:val="0EE83F9D"/>
    <w:rsid w:val="0F0D035A"/>
    <w:rsid w:val="0FB87AA7"/>
    <w:rsid w:val="0FE34B24"/>
    <w:rsid w:val="102C0845"/>
    <w:rsid w:val="104F3F68"/>
    <w:rsid w:val="109B71AD"/>
    <w:rsid w:val="10B145AD"/>
    <w:rsid w:val="115A7068"/>
    <w:rsid w:val="11620280"/>
    <w:rsid w:val="117D2D56"/>
    <w:rsid w:val="11B43A6A"/>
    <w:rsid w:val="11B5429E"/>
    <w:rsid w:val="121A79BB"/>
    <w:rsid w:val="122675E2"/>
    <w:rsid w:val="12417927"/>
    <w:rsid w:val="126E021D"/>
    <w:rsid w:val="126F5143"/>
    <w:rsid w:val="12C549DA"/>
    <w:rsid w:val="12D746E8"/>
    <w:rsid w:val="12D9220E"/>
    <w:rsid w:val="12FD5FFB"/>
    <w:rsid w:val="1380268A"/>
    <w:rsid w:val="13C5707D"/>
    <w:rsid w:val="13E7095B"/>
    <w:rsid w:val="13F07810"/>
    <w:rsid w:val="1446371A"/>
    <w:rsid w:val="146A5814"/>
    <w:rsid w:val="146B2EC7"/>
    <w:rsid w:val="14C71F7C"/>
    <w:rsid w:val="14EC3DCF"/>
    <w:rsid w:val="15037E2D"/>
    <w:rsid w:val="156B2323"/>
    <w:rsid w:val="15AC3C0A"/>
    <w:rsid w:val="15B05882"/>
    <w:rsid w:val="15E04F64"/>
    <w:rsid w:val="162360B6"/>
    <w:rsid w:val="16465E0D"/>
    <w:rsid w:val="164A7458"/>
    <w:rsid w:val="16F45CE8"/>
    <w:rsid w:val="16FC049F"/>
    <w:rsid w:val="174C193E"/>
    <w:rsid w:val="179B0D80"/>
    <w:rsid w:val="17B27393"/>
    <w:rsid w:val="17E20058"/>
    <w:rsid w:val="18007271"/>
    <w:rsid w:val="183D23CB"/>
    <w:rsid w:val="18510AEB"/>
    <w:rsid w:val="18610CDC"/>
    <w:rsid w:val="186F2AC9"/>
    <w:rsid w:val="19161B44"/>
    <w:rsid w:val="19D46BD3"/>
    <w:rsid w:val="19E260C0"/>
    <w:rsid w:val="1A464AA0"/>
    <w:rsid w:val="1A6B22E0"/>
    <w:rsid w:val="1A9F789A"/>
    <w:rsid w:val="1AAC0209"/>
    <w:rsid w:val="1AC47924"/>
    <w:rsid w:val="1AC6082B"/>
    <w:rsid w:val="1AF57E02"/>
    <w:rsid w:val="1B41049C"/>
    <w:rsid w:val="1B4F168F"/>
    <w:rsid w:val="1B6F0841"/>
    <w:rsid w:val="1B917B2A"/>
    <w:rsid w:val="1C6A3523"/>
    <w:rsid w:val="1C8651B5"/>
    <w:rsid w:val="1D391455"/>
    <w:rsid w:val="1D434E54"/>
    <w:rsid w:val="1D72498F"/>
    <w:rsid w:val="1D9D7C75"/>
    <w:rsid w:val="1E0754FF"/>
    <w:rsid w:val="1E2712E1"/>
    <w:rsid w:val="1E7249AF"/>
    <w:rsid w:val="1F6D4511"/>
    <w:rsid w:val="1F8737CC"/>
    <w:rsid w:val="1F996FAD"/>
    <w:rsid w:val="1FE61854"/>
    <w:rsid w:val="1FF31541"/>
    <w:rsid w:val="20F10837"/>
    <w:rsid w:val="210112AE"/>
    <w:rsid w:val="210939CE"/>
    <w:rsid w:val="212D6A29"/>
    <w:rsid w:val="217E2260"/>
    <w:rsid w:val="21D0592C"/>
    <w:rsid w:val="21DC7625"/>
    <w:rsid w:val="21E33D7D"/>
    <w:rsid w:val="22937C80"/>
    <w:rsid w:val="22E737AC"/>
    <w:rsid w:val="2369313B"/>
    <w:rsid w:val="23B24569"/>
    <w:rsid w:val="23C6058D"/>
    <w:rsid w:val="23D34A58"/>
    <w:rsid w:val="244F0582"/>
    <w:rsid w:val="24C8734D"/>
    <w:rsid w:val="24D8203C"/>
    <w:rsid w:val="24E94D19"/>
    <w:rsid w:val="25052271"/>
    <w:rsid w:val="255045B2"/>
    <w:rsid w:val="256253DA"/>
    <w:rsid w:val="25722260"/>
    <w:rsid w:val="257A4289"/>
    <w:rsid w:val="25A83616"/>
    <w:rsid w:val="25AC0206"/>
    <w:rsid w:val="25D07317"/>
    <w:rsid w:val="260373D2"/>
    <w:rsid w:val="263A5FE5"/>
    <w:rsid w:val="265713EE"/>
    <w:rsid w:val="266177F8"/>
    <w:rsid w:val="26734FA1"/>
    <w:rsid w:val="267811A0"/>
    <w:rsid w:val="2710714F"/>
    <w:rsid w:val="27EF7E63"/>
    <w:rsid w:val="27F6032D"/>
    <w:rsid w:val="2944096C"/>
    <w:rsid w:val="29462E99"/>
    <w:rsid w:val="299A105E"/>
    <w:rsid w:val="29C94933"/>
    <w:rsid w:val="29EF5E58"/>
    <w:rsid w:val="2A5E573D"/>
    <w:rsid w:val="2A756869"/>
    <w:rsid w:val="2A870159"/>
    <w:rsid w:val="2ABA04F6"/>
    <w:rsid w:val="2AD7512C"/>
    <w:rsid w:val="2B296C36"/>
    <w:rsid w:val="2B32017A"/>
    <w:rsid w:val="2B4C1378"/>
    <w:rsid w:val="2BD35370"/>
    <w:rsid w:val="2BEF61A7"/>
    <w:rsid w:val="2CA1464D"/>
    <w:rsid w:val="2CB368C6"/>
    <w:rsid w:val="2CE542E8"/>
    <w:rsid w:val="2D4C797B"/>
    <w:rsid w:val="2D854259"/>
    <w:rsid w:val="2DBD030B"/>
    <w:rsid w:val="2DD5743D"/>
    <w:rsid w:val="2DF6291A"/>
    <w:rsid w:val="2E037ECE"/>
    <w:rsid w:val="2E123636"/>
    <w:rsid w:val="2EC1207D"/>
    <w:rsid w:val="2EDE4089"/>
    <w:rsid w:val="2EF213FD"/>
    <w:rsid w:val="2F795793"/>
    <w:rsid w:val="2F7E5B21"/>
    <w:rsid w:val="2FAF3423"/>
    <w:rsid w:val="301663F8"/>
    <w:rsid w:val="305F18E8"/>
    <w:rsid w:val="311741D6"/>
    <w:rsid w:val="3119309A"/>
    <w:rsid w:val="312A5594"/>
    <w:rsid w:val="312C625F"/>
    <w:rsid w:val="31C81974"/>
    <w:rsid w:val="32230959"/>
    <w:rsid w:val="32EB591A"/>
    <w:rsid w:val="3322495F"/>
    <w:rsid w:val="337450B5"/>
    <w:rsid w:val="33EA3E24"/>
    <w:rsid w:val="344C700B"/>
    <w:rsid w:val="34C22FEC"/>
    <w:rsid w:val="34EB0670"/>
    <w:rsid w:val="34F86C33"/>
    <w:rsid w:val="35197641"/>
    <w:rsid w:val="357D65D2"/>
    <w:rsid w:val="36266C69"/>
    <w:rsid w:val="36B765C5"/>
    <w:rsid w:val="3701395E"/>
    <w:rsid w:val="374E72FE"/>
    <w:rsid w:val="37512649"/>
    <w:rsid w:val="37C036A0"/>
    <w:rsid w:val="37D664EB"/>
    <w:rsid w:val="37E776C2"/>
    <w:rsid w:val="37F92887"/>
    <w:rsid w:val="383C09C6"/>
    <w:rsid w:val="38704382"/>
    <w:rsid w:val="388B2F38"/>
    <w:rsid w:val="399D1B1E"/>
    <w:rsid w:val="3A046503"/>
    <w:rsid w:val="3A386160"/>
    <w:rsid w:val="3B35724B"/>
    <w:rsid w:val="3B362CC8"/>
    <w:rsid w:val="3BB63ADA"/>
    <w:rsid w:val="3BDC4EDA"/>
    <w:rsid w:val="3C336F64"/>
    <w:rsid w:val="3C37498E"/>
    <w:rsid w:val="3C410359"/>
    <w:rsid w:val="3C5C0071"/>
    <w:rsid w:val="3C860462"/>
    <w:rsid w:val="3C94450B"/>
    <w:rsid w:val="3C9E39FD"/>
    <w:rsid w:val="3CD83A9C"/>
    <w:rsid w:val="3D051AB3"/>
    <w:rsid w:val="3D0E0B83"/>
    <w:rsid w:val="3D13022E"/>
    <w:rsid w:val="3D9C0E9C"/>
    <w:rsid w:val="3DD11BB1"/>
    <w:rsid w:val="3DDE7B24"/>
    <w:rsid w:val="3E233D5C"/>
    <w:rsid w:val="3E353902"/>
    <w:rsid w:val="3E60285C"/>
    <w:rsid w:val="3E7A6E5F"/>
    <w:rsid w:val="3E807399"/>
    <w:rsid w:val="3E923BF9"/>
    <w:rsid w:val="3ED454B4"/>
    <w:rsid w:val="3EED7026"/>
    <w:rsid w:val="3F0A4EA1"/>
    <w:rsid w:val="3F487C50"/>
    <w:rsid w:val="3F814E1B"/>
    <w:rsid w:val="3FC65745"/>
    <w:rsid w:val="3FCE3BC4"/>
    <w:rsid w:val="40274071"/>
    <w:rsid w:val="405D1A2A"/>
    <w:rsid w:val="407F405E"/>
    <w:rsid w:val="409370B0"/>
    <w:rsid w:val="40D41902"/>
    <w:rsid w:val="410F0A26"/>
    <w:rsid w:val="41884B35"/>
    <w:rsid w:val="423849B8"/>
    <w:rsid w:val="432D5ADB"/>
    <w:rsid w:val="435F746A"/>
    <w:rsid w:val="4372309F"/>
    <w:rsid w:val="438576C5"/>
    <w:rsid w:val="44093E52"/>
    <w:rsid w:val="444E5D13"/>
    <w:rsid w:val="446F3136"/>
    <w:rsid w:val="44790C24"/>
    <w:rsid w:val="453A628D"/>
    <w:rsid w:val="45570BED"/>
    <w:rsid w:val="45660E30"/>
    <w:rsid w:val="45760C9B"/>
    <w:rsid w:val="45CF0C25"/>
    <w:rsid w:val="45DD7715"/>
    <w:rsid w:val="47503B46"/>
    <w:rsid w:val="476F2CBE"/>
    <w:rsid w:val="47C562E2"/>
    <w:rsid w:val="47C81344"/>
    <w:rsid w:val="480A1F47"/>
    <w:rsid w:val="483B0352"/>
    <w:rsid w:val="488A3088"/>
    <w:rsid w:val="48DF1625"/>
    <w:rsid w:val="48F078C5"/>
    <w:rsid w:val="49320965"/>
    <w:rsid w:val="493A2D00"/>
    <w:rsid w:val="494A73D8"/>
    <w:rsid w:val="49AC2E6D"/>
    <w:rsid w:val="4A3F3154"/>
    <w:rsid w:val="4A4562D3"/>
    <w:rsid w:val="4A52328E"/>
    <w:rsid w:val="4A901028"/>
    <w:rsid w:val="4B050440"/>
    <w:rsid w:val="4B227F62"/>
    <w:rsid w:val="4B6545C2"/>
    <w:rsid w:val="4BBC369E"/>
    <w:rsid w:val="4BC44B03"/>
    <w:rsid w:val="4BE5547B"/>
    <w:rsid w:val="4CEC4659"/>
    <w:rsid w:val="4D493511"/>
    <w:rsid w:val="4D64659D"/>
    <w:rsid w:val="4DDE1EAC"/>
    <w:rsid w:val="4DF21FC2"/>
    <w:rsid w:val="4DF932EA"/>
    <w:rsid w:val="4E201C1D"/>
    <w:rsid w:val="4E3B35B6"/>
    <w:rsid w:val="4E473770"/>
    <w:rsid w:val="4E7A34EC"/>
    <w:rsid w:val="4E861641"/>
    <w:rsid w:val="4F133DD7"/>
    <w:rsid w:val="4FAB04B3"/>
    <w:rsid w:val="4FB426AD"/>
    <w:rsid w:val="4FEE2DC9"/>
    <w:rsid w:val="51346287"/>
    <w:rsid w:val="51850890"/>
    <w:rsid w:val="519F1DA4"/>
    <w:rsid w:val="51BA2C30"/>
    <w:rsid w:val="51C13FBE"/>
    <w:rsid w:val="525210BA"/>
    <w:rsid w:val="52A90328"/>
    <w:rsid w:val="52DC3333"/>
    <w:rsid w:val="52FA1BFE"/>
    <w:rsid w:val="53036690"/>
    <w:rsid w:val="53376A7B"/>
    <w:rsid w:val="533D001D"/>
    <w:rsid w:val="537441A1"/>
    <w:rsid w:val="53B1020C"/>
    <w:rsid w:val="54065481"/>
    <w:rsid w:val="541D6338"/>
    <w:rsid w:val="557169CF"/>
    <w:rsid w:val="557D5D2A"/>
    <w:rsid w:val="55932516"/>
    <w:rsid w:val="55A41C2D"/>
    <w:rsid w:val="565D002E"/>
    <w:rsid w:val="56682D63"/>
    <w:rsid w:val="56905D0D"/>
    <w:rsid w:val="56FB4C08"/>
    <w:rsid w:val="574153BB"/>
    <w:rsid w:val="5813309A"/>
    <w:rsid w:val="583F7093"/>
    <w:rsid w:val="589A668A"/>
    <w:rsid w:val="58AC00F0"/>
    <w:rsid w:val="58C46E3D"/>
    <w:rsid w:val="58D971B2"/>
    <w:rsid w:val="58E16CF4"/>
    <w:rsid w:val="59042C0B"/>
    <w:rsid w:val="59272568"/>
    <w:rsid w:val="594A2AEB"/>
    <w:rsid w:val="59576FB6"/>
    <w:rsid w:val="595E1FC2"/>
    <w:rsid w:val="59981AA8"/>
    <w:rsid w:val="59BC1D1A"/>
    <w:rsid w:val="59C142A0"/>
    <w:rsid w:val="59C641E6"/>
    <w:rsid w:val="59D65347"/>
    <w:rsid w:val="5A2C05B1"/>
    <w:rsid w:val="5A2E3043"/>
    <w:rsid w:val="5A9763C3"/>
    <w:rsid w:val="5A9920D7"/>
    <w:rsid w:val="5AEA63E6"/>
    <w:rsid w:val="5B2C7B17"/>
    <w:rsid w:val="5BCB0AF4"/>
    <w:rsid w:val="5C2D5181"/>
    <w:rsid w:val="5C9B1B86"/>
    <w:rsid w:val="5C9B37C4"/>
    <w:rsid w:val="5CA02E79"/>
    <w:rsid w:val="5CEA5B79"/>
    <w:rsid w:val="5D150553"/>
    <w:rsid w:val="5D3550FB"/>
    <w:rsid w:val="5D902A97"/>
    <w:rsid w:val="5DC32E6C"/>
    <w:rsid w:val="5DFD2403"/>
    <w:rsid w:val="5E0771FD"/>
    <w:rsid w:val="5E3606EF"/>
    <w:rsid w:val="5EDA32DC"/>
    <w:rsid w:val="5F321771"/>
    <w:rsid w:val="5F3A0F0C"/>
    <w:rsid w:val="5F412CC2"/>
    <w:rsid w:val="5FE2771E"/>
    <w:rsid w:val="600E6D7C"/>
    <w:rsid w:val="607F1E09"/>
    <w:rsid w:val="60BD2923"/>
    <w:rsid w:val="61685EE5"/>
    <w:rsid w:val="618C2692"/>
    <w:rsid w:val="62147585"/>
    <w:rsid w:val="622D31D4"/>
    <w:rsid w:val="62A74B0A"/>
    <w:rsid w:val="62E015B0"/>
    <w:rsid w:val="63510510"/>
    <w:rsid w:val="639D4CC6"/>
    <w:rsid w:val="642053CC"/>
    <w:rsid w:val="646A5DEF"/>
    <w:rsid w:val="646F5EF6"/>
    <w:rsid w:val="65785E0F"/>
    <w:rsid w:val="658A75F4"/>
    <w:rsid w:val="65CF7A95"/>
    <w:rsid w:val="66A23F66"/>
    <w:rsid w:val="672526A7"/>
    <w:rsid w:val="680D3662"/>
    <w:rsid w:val="68222C97"/>
    <w:rsid w:val="68333F9A"/>
    <w:rsid w:val="683858D3"/>
    <w:rsid w:val="68645FE7"/>
    <w:rsid w:val="68727968"/>
    <w:rsid w:val="69413090"/>
    <w:rsid w:val="69855FCD"/>
    <w:rsid w:val="698F4735"/>
    <w:rsid w:val="69BC17E8"/>
    <w:rsid w:val="69DD77FF"/>
    <w:rsid w:val="6AE37CE3"/>
    <w:rsid w:val="6AEB3A02"/>
    <w:rsid w:val="6B0625EA"/>
    <w:rsid w:val="6B5442BA"/>
    <w:rsid w:val="6C593408"/>
    <w:rsid w:val="6C68544B"/>
    <w:rsid w:val="6C785167"/>
    <w:rsid w:val="6CCF6A5F"/>
    <w:rsid w:val="6D0715D4"/>
    <w:rsid w:val="6D0D5EB2"/>
    <w:rsid w:val="6D2A6A64"/>
    <w:rsid w:val="6D9000D0"/>
    <w:rsid w:val="6DDB2C74"/>
    <w:rsid w:val="6E0E0C0F"/>
    <w:rsid w:val="6E73193E"/>
    <w:rsid w:val="6E8E7670"/>
    <w:rsid w:val="6EEB0447"/>
    <w:rsid w:val="6FAF3250"/>
    <w:rsid w:val="6FC71762"/>
    <w:rsid w:val="6FFF38F5"/>
    <w:rsid w:val="70312E6C"/>
    <w:rsid w:val="703F6560"/>
    <w:rsid w:val="70447D0C"/>
    <w:rsid w:val="70725ED5"/>
    <w:rsid w:val="70860455"/>
    <w:rsid w:val="70A7268B"/>
    <w:rsid w:val="70B362F9"/>
    <w:rsid w:val="70FC3328"/>
    <w:rsid w:val="71653340"/>
    <w:rsid w:val="71C32FE3"/>
    <w:rsid w:val="71F347D3"/>
    <w:rsid w:val="71FC098F"/>
    <w:rsid w:val="723F6B0D"/>
    <w:rsid w:val="72415D05"/>
    <w:rsid w:val="7296241B"/>
    <w:rsid w:val="732A300A"/>
    <w:rsid w:val="73803FEB"/>
    <w:rsid w:val="73CE2CA8"/>
    <w:rsid w:val="73DC65DE"/>
    <w:rsid w:val="743A4414"/>
    <w:rsid w:val="747F7695"/>
    <w:rsid w:val="748C5DD6"/>
    <w:rsid w:val="754A398B"/>
    <w:rsid w:val="75857AA3"/>
    <w:rsid w:val="758D5DE2"/>
    <w:rsid w:val="75943299"/>
    <w:rsid w:val="75C13CDD"/>
    <w:rsid w:val="76017BAF"/>
    <w:rsid w:val="76197675"/>
    <w:rsid w:val="767A5F36"/>
    <w:rsid w:val="76837B47"/>
    <w:rsid w:val="76B97261"/>
    <w:rsid w:val="76D161A2"/>
    <w:rsid w:val="772D4414"/>
    <w:rsid w:val="7744228A"/>
    <w:rsid w:val="774E15A1"/>
    <w:rsid w:val="77846D70"/>
    <w:rsid w:val="781E668F"/>
    <w:rsid w:val="788C166D"/>
    <w:rsid w:val="78AC0934"/>
    <w:rsid w:val="78BD4DDD"/>
    <w:rsid w:val="78E700F4"/>
    <w:rsid w:val="78EE7B24"/>
    <w:rsid w:val="7907377A"/>
    <w:rsid w:val="792E7F96"/>
    <w:rsid w:val="793B1352"/>
    <w:rsid w:val="793F3897"/>
    <w:rsid w:val="79AB21E7"/>
    <w:rsid w:val="79CC501C"/>
    <w:rsid w:val="79F12DE4"/>
    <w:rsid w:val="7A6D7F90"/>
    <w:rsid w:val="7AEF5B98"/>
    <w:rsid w:val="7B0E17E2"/>
    <w:rsid w:val="7B3E48AE"/>
    <w:rsid w:val="7BC47E86"/>
    <w:rsid w:val="7BF33FAE"/>
    <w:rsid w:val="7C0A49B0"/>
    <w:rsid w:val="7C6203C7"/>
    <w:rsid w:val="7C973C29"/>
    <w:rsid w:val="7CB47DAA"/>
    <w:rsid w:val="7D076A17"/>
    <w:rsid w:val="7D32101D"/>
    <w:rsid w:val="7D462131"/>
    <w:rsid w:val="7DC974CD"/>
    <w:rsid w:val="7E4B00B1"/>
    <w:rsid w:val="7EA62275"/>
    <w:rsid w:val="7F034C8E"/>
    <w:rsid w:val="7F235328"/>
    <w:rsid w:val="7F640382"/>
    <w:rsid w:val="7FB30C7B"/>
    <w:rsid w:val="7FB34697"/>
    <w:rsid w:val="7FD2482E"/>
    <w:rsid w:val="BB9F7759"/>
    <w:rsid w:val="BF4FEFD1"/>
    <w:rsid w:val="D6B9CE2A"/>
    <w:rsid w:val="D7ED2AE5"/>
    <w:rsid w:val="ED7D3E92"/>
    <w:rsid w:val="EDFFC404"/>
    <w:rsid w:val="F3FF426F"/>
    <w:rsid w:val="FF2780D1"/>
    <w:rsid w:val="FF5F5266"/>
    <w:rsid w:val="FFB615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7">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8">
    <w:name w:val="heading 2"/>
    <w:basedOn w:val="1"/>
    <w:next w:val="1"/>
    <w:qFormat/>
    <w:uiPriority w:val="0"/>
    <w:pPr>
      <w:keepNext/>
      <w:keepLines/>
      <w:spacing w:line="360" w:lineRule="auto"/>
      <w:outlineLvl w:val="1"/>
    </w:pPr>
    <w:rPr>
      <w:rFonts w:ascii="Arial" w:hAnsi="Arial"/>
      <w:b/>
      <w:bCs/>
      <w:sz w:val="24"/>
      <w:szCs w:val="32"/>
    </w:rPr>
  </w:style>
  <w:style w:type="paragraph" w:styleId="9">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99"/>
    <w:pPr>
      <w:tabs>
        <w:tab w:val="left" w:pos="5250"/>
      </w:tabs>
      <w:spacing w:after="120"/>
      <w:ind w:firstLine="420" w:firstLineChars="100"/>
      <w:jc w:val="both"/>
    </w:pPr>
    <w:rPr>
      <w:color w:val="auto"/>
      <w:kern w:val="2"/>
      <w:sz w:val="21"/>
      <w:lang w:eastAsia="zh-CN"/>
    </w:rPr>
  </w:style>
  <w:style w:type="paragraph" w:styleId="3">
    <w:name w:val="Body Text"/>
    <w:basedOn w:val="1"/>
    <w:next w:val="4"/>
    <w:qFormat/>
    <w:uiPriority w:val="0"/>
    <w:rPr>
      <w:rFonts w:ascii="宋体" w:hAnsi="宋体" w:eastAsia="宋体" w:cs="宋体"/>
      <w:sz w:val="31"/>
      <w:szCs w:val="31"/>
      <w:lang w:val="en-US" w:eastAsia="en-US" w:bidi="ar-SA"/>
    </w:rPr>
  </w:style>
  <w:style w:type="paragraph" w:styleId="4">
    <w:name w:val="Body Text 2"/>
    <w:basedOn w:val="1"/>
    <w:next w:val="3"/>
    <w:qFormat/>
    <w:uiPriority w:val="0"/>
    <w:pPr>
      <w:spacing w:after="120" w:line="480" w:lineRule="auto"/>
    </w:pPr>
    <w:rPr>
      <w:rFonts w:ascii="Tahoma" w:hAnsi="Tahoma"/>
    </w:rPr>
  </w:style>
  <w:style w:type="paragraph" w:styleId="5">
    <w:name w:val="Body Text First Indent 2"/>
    <w:basedOn w:val="6"/>
    <w:next w:val="1"/>
    <w:qFormat/>
    <w:uiPriority w:val="0"/>
    <w:pPr>
      <w:ind w:firstLine="200" w:firstLineChars="200"/>
    </w:pPr>
    <w:rPr>
      <w:kern w:val="2"/>
      <w:sz w:val="28"/>
      <w:lang w:eastAsia="zh-CN" w:bidi="ar-SA"/>
    </w:rPr>
  </w:style>
  <w:style w:type="paragraph" w:styleId="6">
    <w:name w:val="Body Text Indent"/>
    <w:basedOn w:val="1"/>
    <w:next w:val="5"/>
    <w:qFormat/>
    <w:uiPriority w:val="99"/>
    <w:pPr>
      <w:spacing w:after="120" w:afterLines="0"/>
      <w:ind w:left="420" w:leftChars="200"/>
    </w:pPr>
    <w:rPr>
      <w:kern w:val="2"/>
      <w:sz w:val="21"/>
      <w:lang w:eastAsia="zh-CN" w:bidi="ar-SA"/>
    </w:rPr>
  </w:style>
  <w:style w:type="paragraph" w:styleId="10">
    <w:name w:val="annotation text"/>
    <w:basedOn w:val="1"/>
    <w:qFormat/>
    <w:uiPriority w:val="0"/>
    <w:pPr>
      <w:jc w:val="left"/>
    </w:pPr>
  </w:style>
  <w:style w:type="paragraph" w:styleId="11">
    <w:name w:val="Plain Text"/>
    <w:basedOn w:val="1"/>
    <w:qFormat/>
    <w:uiPriority w:val="0"/>
    <w:rPr>
      <w:rFonts w:ascii="宋体" w:hAnsi="Courier New" w:cs="Courier New"/>
      <w:szCs w:val="21"/>
    </w:rPr>
  </w:style>
  <w:style w:type="paragraph" w:styleId="12">
    <w:name w:val="Date"/>
    <w:basedOn w:val="1"/>
    <w:next w:val="1"/>
    <w:qFormat/>
    <w:uiPriority w:val="0"/>
    <w:rPr>
      <w:kern w:val="2"/>
      <w:sz w:val="21"/>
      <w:lang w:eastAsia="zh-CN" w:bidi="ar-SA"/>
    </w:rPr>
  </w:style>
  <w:style w:type="paragraph" w:styleId="13">
    <w:name w:val="footer"/>
    <w:basedOn w:val="1"/>
    <w:qFormat/>
    <w:uiPriority w:val="0"/>
    <w:pPr>
      <w:tabs>
        <w:tab w:val="center" w:pos="4153"/>
        <w:tab w:val="right" w:pos="8306"/>
      </w:tabs>
      <w:snapToGrid w:val="0"/>
      <w:jc w:val="left"/>
    </w:pPr>
    <w:rPr>
      <w:sz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footnote text"/>
    <w:basedOn w:val="1"/>
    <w:qFormat/>
    <w:uiPriority w:val="0"/>
    <w:pPr>
      <w:snapToGrid w:val="0"/>
      <w:jc w:val="left"/>
    </w:pPr>
    <w:rPr>
      <w:sz w:val="18"/>
      <w:szCs w:val="18"/>
    </w:rPr>
  </w:style>
  <w:style w:type="paragraph" w:styleId="17">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basedOn w:val="21"/>
    <w:qFormat/>
    <w:uiPriority w:val="0"/>
    <w:rPr>
      <w:color w:val="444444"/>
      <w:sz w:val="16"/>
      <w:szCs w:val="16"/>
      <w:u w:val="none"/>
    </w:rPr>
  </w:style>
  <w:style w:type="character" w:styleId="23">
    <w:name w:val="Hyperlink"/>
    <w:basedOn w:val="21"/>
    <w:qFormat/>
    <w:uiPriority w:val="0"/>
    <w:rPr>
      <w:color w:val="0000FF"/>
      <w:u w:val="single"/>
    </w:rPr>
  </w:style>
  <w:style w:type="paragraph" w:customStyle="1" w:styleId="2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5">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Arial" w:hAnsi="Arial" w:eastAsia="Arial" w:cs="Arial"/>
      <w:sz w:val="21"/>
      <w:szCs w:val="21"/>
      <w:lang w:val="en-US" w:eastAsia="en-US" w:bidi="ar-SA"/>
    </w:rPr>
  </w:style>
  <w:style w:type="paragraph" w:customStyle="1" w:styleId="28">
    <w:name w:val="Default"/>
    <w:next w:val="1"/>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29">
    <w:name w:val="Char Char10 Char Char Char Char"/>
    <w:basedOn w:val="1"/>
    <w:next w:val="30"/>
    <w:qFormat/>
    <w:uiPriority w:val="99"/>
    <w:pPr>
      <w:autoSpaceDE w:val="0"/>
      <w:autoSpaceDN w:val="0"/>
      <w:jc w:val="left"/>
    </w:pPr>
    <w:rPr>
      <w:rFonts w:ascii="宋体" w:hAnsi="宋体" w:cs="宋体"/>
      <w:lang w:val="zh-CN" w:bidi="zh-CN"/>
    </w:rPr>
  </w:style>
  <w:style w:type="paragraph" w:customStyle="1" w:styleId="30">
    <w:name w:val="xl87"/>
    <w:basedOn w:val="1"/>
    <w:next w:val="3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31">
    <w:name w:val="xl72"/>
    <w:basedOn w:val="1"/>
    <w:next w:val="12"/>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customStyle="1" w:styleId="32">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character" w:customStyle="1" w:styleId="33">
    <w:name w:val="hover18"/>
    <w:basedOn w:val="21"/>
    <w:qFormat/>
    <w:uiPriority w:val="0"/>
  </w:style>
  <w:style w:type="paragraph" w:customStyle="1" w:styleId="34">
    <w:name w:val="列出段落1"/>
    <w:basedOn w:val="1"/>
    <w:qFormat/>
    <w:uiPriority w:val="0"/>
    <w:pPr>
      <w:ind w:firstLine="420" w:firstLineChars="200"/>
    </w:pPr>
    <w:rPr>
      <w:szCs w:val="21"/>
    </w:rPr>
  </w:style>
  <w:style w:type="paragraph" w:customStyle="1" w:styleId="35">
    <w:name w:val="样式1"/>
    <w:basedOn w:val="1"/>
    <w:qFormat/>
    <w:uiPriority w:val="0"/>
    <w:pPr>
      <w:spacing w:line="240" w:lineRule="auto"/>
      <w:jc w:val="both"/>
    </w:pPr>
    <w:rPr>
      <w:rFonts w:ascii="宋体"/>
      <w:sz w:val="21"/>
      <w:szCs w:val="21"/>
    </w:rPr>
  </w:style>
  <w:style w:type="paragraph" w:styleId="36">
    <w:name w:val="List Paragraph"/>
    <w:basedOn w:val="1"/>
    <w:qFormat/>
    <w:uiPriority w:val="99"/>
    <w:pPr>
      <w:numPr>
        <w:ilvl w:val="0"/>
        <w:numId w:val="1"/>
      </w:numPr>
      <w:spacing w:line="360" w:lineRule="auto"/>
      <w:ind w:left="8" w:firstLine="985"/>
      <w:jc w:val="both"/>
    </w:pPr>
    <w:rPr>
      <w:rFonts w:ascii="宋体" w:hAnsi="宋体" w:eastAsia="宋体" w:cs="宋体"/>
      <w:spacing w:val="7"/>
      <w:sz w:val="20"/>
      <w:szCs w:val="20"/>
      <w:lang w:bidi="ar-SA"/>
    </w:rPr>
  </w:style>
  <w:style w:type="character" w:customStyle="1" w:styleId="37">
    <w:name w:val="font21"/>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72</Pages>
  <Words>6714</Words>
  <Characters>7725</Characters>
  <TotalTime>29</TotalTime>
  <ScaleCrop>false</ScaleCrop>
  <LinksUpToDate>false</LinksUpToDate>
  <CharactersWithSpaces>7932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2023-09-10T09:17:00Z</dcterms:created>
  <dc:creator>尹皓</dc:creator>
  <cp:lastModifiedBy>NTKO</cp:lastModifiedBy>
  <cp:lastPrinted>2024-04-09T03:01:00Z</cp:lastPrinted>
  <dcterms:modified xsi:type="dcterms:W3CDTF">2026-08-04T01:25:34Z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2052-12.1.0.26895</vt:lpwstr>
  </property>
  <property fmtid="{D5CDD505-2E9C-101B-9397-08002B2CF9AE}" pid="5" name="ICV">
    <vt:lpwstr>2975638E01E447C2B85A41B14FBD9E65_13</vt:lpwstr>
  </property>
  <property fmtid="{D5CDD505-2E9C-101B-9397-08002B2CF9AE}" pid="6" name="KSOTemplateDocerSaveRecord">
    <vt:lpwstr>eyJoZGlkIjoiYTUyM2UwYjBmYzc3YmM3ZjI1ODg2NTk3ZGJhZGNiNGIiLCJ1c2VySWQiOiI0MTY3MTE2MDgifQ==</vt:lpwstr>
  </property>
</Properties>
</file>