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49494">
      <w:pPr>
        <w:keepNext w:val="0"/>
        <w:keepLines w:val="0"/>
        <w:pageBreakBefore w:val="0"/>
        <w:kinsoku/>
        <w:wordWrap w:val="0"/>
        <w:overflowPunct/>
        <w:topLinePunct w:val="0"/>
        <w:bidi w:val="0"/>
        <w:spacing w:line="281" w:lineRule="auto"/>
        <w:jc w:val="both"/>
        <w:rPr>
          <w:rFonts w:ascii="Arial"/>
          <w:sz w:val="21"/>
        </w:rPr>
      </w:pPr>
    </w:p>
    <w:p w14:paraId="5CEDFECB">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pacing w:val="-2"/>
          <w:sz w:val="52"/>
          <w:szCs w:val="52"/>
          <w:lang w:eastAsia="zh-CN"/>
          <w14:textOutline w14:w="3844" w14:cap="flat" w14:cmpd="sng">
            <w14:solidFill>
              <w14:srgbClr w14:val="000000"/>
            </w14:solidFill>
            <w14:prstDash w14:val="solid"/>
            <w14:miter w14:val="0"/>
          </w14:textOutline>
        </w:rPr>
      </w:pPr>
    </w:p>
    <w:p w14:paraId="00C738D0">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z w:val="52"/>
          <w:szCs w:val="52"/>
        </w:rPr>
      </w:pPr>
      <w:r>
        <w:rPr>
          <w:rFonts w:hint="eastAsia" w:ascii="宋体" w:hAnsi="宋体" w:eastAsia="宋体" w:cs="宋体"/>
          <w:spacing w:val="-2"/>
          <w:sz w:val="52"/>
          <w:szCs w:val="52"/>
          <w:lang w:eastAsia="zh-CN"/>
          <w14:textOutline w14:w="3844" w14:cap="flat" w14:cmpd="sng">
            <w14:solidFill>
              <w14:srgbClr w14:val="000000"/>
            </w14:solidFill>
            <w14:prstDash w14:val="solid"/>
            <w14:miter w14:val="0"/>
          </w14:textOutline>
        </w:rPr>
        <w:t>南阳市</w:t>
      </w:r>
      <w:r>
        <w:rPr>
          <w:rFonts w:hint="eastAsia" w:ascii="宋体" w:hAnsi="宋体" w:eastAsia="宋体" w:cs="宋体"/>
          <w:spacing w:val="-2"/>
          <w:sz w:val="52"/>
          <w:szCs w:val="52"/>
          <w14:textOutline w14:w="3844" w14:cap="flat" w14:cmpd="sng">
            <w14:solidFill>
              <w14:srgbClr w14:val="000000"/>
            </w14:solidFill>
            <w14:prstDash w14:val="solid"/>
            <w14:miter w14:val="0"/>
          </w14:textOutline>
        </w:rPr>
        <w:t>政府采购项目</w:t>
      </w:r>
    </w:p>
    <w:p w14:paraId="27452B72">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z w:val="52"/>
          <w:szCs w:val="52"/>
        </w:rPr>
      </w:pPr>
      <w:r>
        <w:rPr>
          <w:rFonts w:hint="eastAsia" w:ascii="宋体" w:hAnsi="宋体" w:eastAsia="宋体" w:cs="宋体"/>
          <w:spacing w:val="-1"/>
          <w:sz w:val="52"/>
          <w:szCs w:val="52"/>
          <w14:textOutline w14:w="3844" w14:cap="flat" w14:cmpd="sng">
            <w14:solidFill>
              <w14:srgbClr w14:val="000000"/>
            </w14:solidFill>
            <w14:prstDash w14:val="solid"/>
            <w14:miter w14:val="0"/>
          </w14:textOutline>
        </w:rPr>
        <w:t>竞争性磋商文件</w:t>
      </w:r>
    </w:p>
    <w:p w14:paraId="1C9677C1">
      <w:pPr>
        <w:keepNext w:val="0"/>
        <w:keepLines w:val="0"/>
        <w:pageBreakBefore w:val="0"/>
        <w:kinsoku/>
        <w:wordWrap w:val="0"/>
        <w:overflowPunct/>
        <w:topLinePunct w:val="0"/>
        <w:bidi w:val="0"/>
        <w:spacing w:line="248" w:lineRule="auto"/>
        <w:jc w:val="both"/>
        <w:rPr>
          <w:rFonts w:ascii="Arial"/>
          <w:sz w:val="21"/>
        </w:rPr>
      </w:pPr>
    </w:p>
    <w:p w14:paraId="6814AF9F">
      <w:pPr>
        <w:keepNext w:val="0"/>
        <w:keepLines w:val="0"/>
        <w:pageBreakBefore w:val="0"/>
        <w:kinsoku/>
        <w:wordWrap w:val="0"/>
        <w:overflowPunct/>
        <w:topLinePunct w:val="0"/>
        <w:bidi w:val="0"/>
        <w:spacing w:line="249" w:lineRule="auto"/>
        <w:jc w:val="both"/>
        <w:rPr>
          <w:rFonts w:ascii="Arial"/>
          <w:sz w:val="21"/>
        </w:rPr>
      </w:pPr>
    </w:p>
    <w:p w14:paraId="1FA6797C">
      <w:pPr>
        <w:keepNext w:val="0"/>
        <w:keepLines w:val="0"/>
        <w:pageBreakBefore w:val="0"/>
        <w:kinsoku/>
        <w:wordWrap w:val="0"/>
        <w:overflowPunct/>
        <w:topLinePunct w:val="0"/>
        <w:bidi w:val="0"/>
        <w:spacing w:line="249" w:lineRule="auto"/>
        <w:jc w:val="both"/>
        <w:rPr>
          <w:rFonts w:ascii="Arial"/>
          <w:sz w:val="21"/>
        </w:rPr>
      </w:pPr>
    </w:p>
    <w:p w14:paraId="14764BB1">
      <w:pPr>
        <w:keepNext w:val="0"/>
        <w:keepLines w:val="0"/>
        <w:pageBreakBefore w:val="0"/>
        <w:kinsoku/>
        <w:wordWrap w:val="0"/>
        <w:overflowPunct/>
        <w:topLinePunct w:val="0"/>
        <w:bidi w:val="0"/>
        <w:spacing w:line="249" w:lineRule="auto"/>
        <w:jc w:val="both"/>
        <w:rPr>
          <w:rFonts w:ascii="Arial"/>
          <w:sz w:val="21"/>
        </w:rPr>
      </w:pPr>
    </w:p>
    <w:p w14:paraId="553570E3">
      <w:pPr>
        <w:keepNext w:val="0"/>
        <w:keepLines w:val="0"/>
        <w:pageBreakBefore w:val="0"/>
        <w:kinsoku/>
        <w:wordWrap w:val="0"/>
        <w:overflowPunct/>
        <w:topLinePunct w:val="0"/>
        <w:bidi w:val="0"/>
        <w:spacing w:line="249" w:lineRule="auto"/>
        <w:jc w:val="both"/>
        <w:rPr>
          <w:rFonts w:ascii="Arial"/>
          <w:sz w:val="21"/>
        </w:rPr>
      </w:pPr>
    </w:p>
    <w:p w14:paraId="731CB9B6">
      <w:pPr>
        <w:keepNext w:val="0"/>
        <w:keepLines w:val="0"/>
        <w:pageBreakBefore w:val="0"/>
        <w:kinsoku/>
        <w:wordWrap w:val="0"/>
        <w:overflowPunct/>
        <w:topLinePunct w:val="0"/>
        <w:bidi w:val="0"/>
        <w:spacing w:line="249" w:lineRule="auto"/>
        <w:jc w:val="both"/>
        <w:rPr>
          <w:rFonts w:ascii="Arial"/>
          <w:sz w:val="21"/>
        </w:rPr>
      </w:pPr>
    </w:p>
    <w:p w14:paraId="27D3E29F">
      <w:pPr>
        <w:keepNext w:val="0"/>
        <w:keepLines w:val="0"/>
        <w:pageBreakBefore w:val="0"/>
        <w:kinsoku/>
        <w:wordWrap w:val="0"/>
        <w:overflowPunct/>
        <w:topLinePunct w:val="0"/>
        <w:bidi w:val="0"/>
        <w:spacing w:line="249" w:lineRule="auto"/>
        <w:jc w:val="both"/>
        <w:rPr>
          <w:rFonts w:ascii="Arial"/>
          <w:sz w:val="21"/>
        </w:rPr>
      </w:pPr>
    </w:p>
    <w:p w14:paraId="78423914">
      <w:pPr>
        <w:keepNext w:val="0"/>
        <w:keepLines w:val="0"/>
        <w:pageBreakBefore w:val="0"/>
        <w:kinsoku/>
        <w:wordWrap w:val="0"/>
        <w:overflowPunct/>
        <w:topLinePunct w:val="0"/>
        <w:bidi w:val="0"/>
        <w:spacing w:line="249" w:lineRule="auto"/>
        <w:jc w:val="both"/>
        <w:rPr>
          <w:rFonts w:ascii="Arial"/>
          <w:sz w:val="21"/>
        </w:rPr>
      </w:pPr>
    </w:p>
    <w:p w14:paraId="576198F1">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b/>
          <w:bCs/>
          <w:spacing w:val="-17"/>
          <w:sz w:val="32"/>
          <w:szCs w:val="32"/>
          <w:u w:val="single"/>
          <w:lang w:val="en-US" w:eastAsia="zh-CN"/>
        </w:rPr>
        <w:t xml:space="preserve">    南阳市公安局交通管理支队购买    </w:t>
      </w:r>
    </w:p>
    <w:p w14:paraId="0315D9A1">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u w:val="none"/>
          <w:lang w:val="en-US" w:eastAsia="zh-CN"/>
        </w:rPr>
        <w:t xml:space="preserve">           </w:t>
      </w:r>
      <w:r>
        <w:rPr>
          <w:rFonts w:hint="eastAsia" w:asciiTheme="minorEastAsia" w:hAnsiTheme="minorEastAsia" w:eastAsiaTheme="minorEastAsia" w:cstheme="minorEastAsia"/>
          <w:b/>
          <w:bCs/>
          <w:spacing w:val="-17"/>
          <w:sz w:val="32"/>
          <w:szCs w:val="32"/>
          <w:u w:val="single"/>
          <w:lang w:val="en-US" w:eastAsia="zh-CN"/>
        </w:rPr>
        <w:t xml:space="preserve">    2026至2027年机房维保服务项目    </w:t>
      </w:r>
    </w:p>
    <w:p w14:paraId="2F790692">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w:t>
      </w:r>
      <w:r>
        <w:rPr>
          <w:rFonts w:hint="eastAsia" w:asciiTheme="minorEastAsia" w:hAnsiTheme="minorEastAsia" w:eastAsiaTheme="minorEastAsia" w:cstheme="minorEastAsia"/>
          <w:b/>
          <w:bCs/>
          <w:spacing w:val="-17"/>
          <w:sz w:val="32"/>
          <w:szCs w:val="32"/>
          <w:u w:val="single"/>
          <w:lang w:val="en-US" w:eastAsia="zh-CN"/>
        </w:rPr>
        <w:t xml:space="preserve">        南阳政采磋商-2026-26         </w:t>
      </w:r>
    </w:p>
    <w:p w14:paraId="27F43DAA">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lang w:val="en-US" w:eastAsia="zh-CN"/>
        </w:rPr>
        <w:t>标段编号</w:t>
      </w:r>
      <w:r>
        <w:rPr>
          <w:rFonts w:hint="eastAsia" w:asciiTheme="minorEastAsia" w:hAnsiTheme="minorEastAsia" w:eastAsiaTheme="minorEastAsia" w:cstheme="minorEastAsia"/>
          <w:b/>
          <w:bCs/>
          <w:spacing w:val="-17"/>
          <w:sz w:val="32"/>
          <w:szCs w:val="32"/>
        </w:rPr>
        <w:t>：</w:t>
      </w:r>
      <w:r>
        <w:rPr>
          <w:rFonts w:hint="eastAsia" w:asciiTheme="minorEastAsia" w:hAnsiTheme="minorEastAsia" w:eastAsiaTheme="minorEastAsia" w:cstheme="minorEastAsia"/>
          <w:b/>
          <w:bCs/>
          <w:spacing w:val="-17"/>
          <w:sz w:val="32"/>
          <w:szCs w:val="32"/>
          <w:u w:val="single"/>
          <w:lang w:val="en-US" w:eastAsia="zh-CN"/>
        </w:rPr>
        <w:t xml:space="preserve">       南阳政采磋商-2026-26-1        </w:t>
      </w:r>
    </w:p>
    <w:p w14:paraId="6A9BC991">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lang w:val="en-US"/>
        </w:rPr>
      </w:pPr>
      <w:r>
        <w:rPr>
          <w:rFonts w:hint="eastAsia" w:asciiTheme="minorEastAsia" w:hAnsiTheme="minorEastAsia" w:eastAsiaTheme="minorEastAsia" w:cstheme="minorEastAsia"/>
          <w:b/>
          <w:bCs/>
          <w:spacing w:val="-17"/>
          <w:sz w:val="32"/>
          <w:szCs w:val="32"/>
        </w:rPr>
        <w:t>采购人：</w:t>
      </w:r>
      <w:r>
        <w:rPr>
          <w:rFonts w:hint="eastAsia" w:asciiTheme="minorEastAsia" w:hAnsiTheme="minorEastAsia" w:eastAsiaTheme="minorEastAsia" w:cstheme="minorEastAsia"/>
          <w:b/>
          <w:bCs/>
          <w:spacing w:val="-17"/>
          <w:sz w:val="32"/>
          <w:szCs w:val="32"/>
          <w:u w:val="single"/>
          <w:lang w:val="en-US" w:eastAsia="zh-CN"/>
        </w:rPr>
        <w:t xml:space="preserve">       南阳市公安局交通管理支队       </w:t>
      </w:r>
    </w:p>
    <w:p w14:paraId="02F5CE66">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b/>
          <w:bCs/>
          <w:spacing w:val="-17"/>
          <w:sz w:val="32"/>
          <w:szCs w:val="32"/>
          <w:u w:val="single"/>
          <w:lang w:val="en-US" w:eastAsia="zh-CN"/>
        </w:rPr>
        <w:t xml:space="preserve">     南阳市公共资源交易中心     </w:t>
      </w:r>
    </w:p>
    <w:p w14:paraId="01360E1B">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u w:val="single"/>
          <w:lang w:val="en-US" w:eastAsia="zh-CN"/>
        </w:rPr>
      </w:pPr>
    </w:p>
    <w:p w14:paraId="40EC4A89">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u w:val="single"/>
          <w:lang w:val="en-US" w:eastAsia="zh-CN"/>
        </w:rPr>
      </w:pPr>
    </w:p>
    <w:p w14:paraId="18C81A73">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u w:val="single"/>
          <w:lang w:val="en-US" w:eastAsia="zh-CN"/>
        </w:rPr>
      </w:pPr>
    </w:p>
    <w:p w14:paraId="33F624ED">
      <w:pPr>
        <w:pStyle w:val="2"/>
        <w:bidi w:val="0"/>
      </w:pPr>
    </w:p>
    <w:p w14:paraId="3C301192">
      <w:pPr>
        <w:pStyle w:val="15"/>
      </w:pPr>
    </w:p>
    <w:p w14:paraId="367F6D31"/>
    <w:p w14:paraId="739C0750">
      <w:pPr>
        <w:pStyle w:val="14"/>
      </w:pPr>
    </w:p>
    <w:p w14:paraId="786C6B9B">
      <w:pPr>
        <w:pStyle w:val="2"/>
        <w:keepNext w:val="0"/>
        <w:keepLines w:val="0"/>
        <w:pageBreakBefore w:val="0"/>
        <w:kinsoku/>
        <w:wordWrap w:val="0"/>
        <w:overflowPunct/>
        <w:topLinePunct w:val="0"/>
        <w:bidi w:val="0"/>
        <w:spacing w:before="117" w:line="220" w:lineRule="auto"/>
        <w:ind w:left="3829"/>
        <w:jc w:val="both"/>
        <w:rPr>
          <w:spacing w:val="-3"/>
          <w:sz w:val="44"/>
          <w:szCs w:val="44"/>
          <w14:textOutline w14:w="2306" w14:cap="flat" w14:cmpd="sng">
            <w14:solidFill>
              <w14:srgbClr w14:val="000000"/>
            </w14:solidFill>
            <w14:prstDash w14:val="solid"/>
            <w14:miter w14:val="0"/>
          </w14:textOutline>
        </w:rPr>
      </w:pPr>
    </w:p>
    <w:p w14:paraId="6F1941E7">
      <w:pPr>
        <w:keepNext w:val="0"/>
        <w:keepLines w:val="0"/>
        <w:pageBreakBefore w:val="0"/>
        <w:kinsoku/>
        <w:wordWrap w:val="0"/>
        <w:overflowPunct/>
        <w:topLinePunct w:val="0"/>
        <w:bidi w:val="0"/>
        <w:spacing w:line="326" w:lineRule="auto"/>
        <w:jc w:val="both"/>
        <w:rPr>
          <w:rFonts w:ascii="Arial"/>
          <w:sz w:val="21"/>
        </w:rPr>
      </w:pPr>
    </w:p>
    <w:sdt>
      <w:sdtPr>
        <w:rPr>
          <w:rFonts w:ascii="宋体" w:hAnsi="宋体" w:eastAsia="宋体" w:cs="宋体"/>
          <w:sz w:val="36"/>
          <w:szCs w:val="36"/>
        </w:rPr>
        <w:id w:val="1"/>
        <w:docPartObj>
          <w:docPartGallery w:val="Table of Contents"/>
          <w:docPartUnique/>
        </w:docPartObj>
      </w:sdtPr>
      <w:sdtEndPr>
        <w:rPr>
          <w:rFonts w:hint="eastAsia" w:ascii="宋体" w:hAnsi="宋体" w:eastAsia="宋体" w:cs="宋体"/>
          <w:sz w:val="28"/>
          <w:szCs w:val="28"/>
        </w:rPr>
      </w:sdtEndPr>
      <w:sdtContent>
        <w:p w14:paraId="567956CC">
          <w:pPr>
            <w:pStyle w:val="2"/>
            <w:keepNext w:val="0"/>
            <w:keepLines w:val="0"/>
            <w:pageBreakBefore w:val="0"/>
            <w:kinsoku/>
            <w:wordWrap w:val="0"/>
            <w:overflowPunct/>
            <w:topLinePunct w:val="0"/>
            <w:bidi w:val="0"/>
            <w:spacing w:before="117" w:line="222" w:lineRule="auto"/>
            <w:ind w:left="3716"/>
            <w:jc w:val="both"/>
            <w:rPr>
              <w:sz w:val="36"/>
              <w:szCs w:val="36"/>
            </w:rPr>
          </w:pPr>
          <w:bookmarkStart w:id="0" w:name="bookmark1"/>
          <w:bookmarkEnd w:id="0"/>
          <w:r>
            <w:rPr>
              <w:rFonts w:hint="eastAsia" w:ascii="宋体" w:hAnsi="宋体" w:eastAsia="宋体" w:cs="宋体"/>
              <w:spacing w:val="-42"/>
              <w:sz w:val="36"/>
              <w:szCs w:val="36"/>
              <w14:textOutline w14:w="2306" w14:cap="flat" w14:cmpd="sng">
                <w14:solidFill>
                  <w14:srgbClr w14:val="000000"/>
                </w14:solidFill>
                <w14:prstDash w14:val="solid"/>
                <w14:miter w14:val="0"/>
              </w14:textOutline>
            </w:rPr>
            <w:t>目</w:t>
          </w:r>
          <w:r>
            <w:rPr>
              <w:rFonts w:hint="eastAsia" w:ascii="宋体" w:hAnsi="宋体" w:eastAsia="宋体" w:cs="宋体"/>
              <w:spacing w:val="-42"/>
              <w:sz w:val="36"/>
              <w:szCs w:val="36"/>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42"/>
              <w:sz w:val="36"/>
              <w:szCs w:val="36"/>
              <w14:textOutline w14:w="2306" w14:cap="flat" w14:cmpd="sng">
                <w14:solidFill>
                  <w14:srgbClr w14:val="000000"/>
                </w14:solidFill>
                <w14:prstDash w14:val="solid"/>
                <w14:miter w14:val="0"/>
              </w14:textOutline>
            </w:rPr>
            <w:t>录</w:t>
          </w:r>
        </w:p>
        <w:p w14:paraId="311F5A11">
          <w:pPr>
            <w:keepNext w:val="0"/>
            <w:keepLines w:val="0"/>
            <w:pageBreakBefore w:val="0"/>
            <w:kinsoku/>
            <w:wordWrap w:val="0"/>
            <w:overflowPunct/>
            <w:topLinePunct w:val="0"/>
            <w:bidi w:val="0"/>
            <w:spacing w:line="286" w:lineRule="auto"/>
            <w:jc w:val="both"/>
            <w:rPr>
              <w:rFonts w:ascii="Arial"/>
              <w:sz w:val="21"/>
            </w:rPr>
          </w:pPr>
        </w:p>
        <w:p w14:paraId="4F0E3C30">
          <w:pPr>
            <w:pStyle w:val="2"/>
            <w:bidi w:val="0"/>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HYPERLINK\l"bookmark1"</w:instrText>
          </w:r>
          <w:r>
            <w:rPr>
              <w:rFonts w:hint="eastAsia" w:ascii="宋体" w:hAnsi="宋体" w:eastAsia="宋体" w:cs="宋体"/>
              <w:sz w:val="28"/>
              <w:szCs w:val="28"/>
            </w:rPr>
            <w:fldChar w:fldCharType="separate"/>
          </w:r>
          <w:r>
            <w:rPr>
              <w:rFonts w:hint="eastAsia" w:ascii="宋体" w:hAnsi="宋体" w:eastAsia="宋体" w:cs="宋体"/>
              <w:sz w:val="28"/>
              <w:szCs w:val="28"/>
            </w:rPr>
            <w:t>第一章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竞争性磋商公告</w:t>
          </w:r>
          <w:r>
            <w:rPr>
              <w:rFonts w:hint="eastAsia" w:ascii="宋体" w:hAnsi="宋体" w:eastAsia="宋体" w:cs="宋体"/>
              <w:sz w:val="28"/>
              <w:szCs w:val="28"/>
            </w:rPr>
            <w:fldChar w:fldCharType="end"/>
          </w:r>
        </w:p>
        <w:p w14:paraId="003E2D43">
          <w:pPr>
            <w:pStyle w:val="2"/>
            <w:bidi w:val="0"/>
            <w:spacing w:line="360" w:lineRule="auto"/>
            <w:rPr>
              <w:rFonts w:hint="eastAsia" w:ascii="宋体" w:hAnsi="宋体" w:eastAsia="宋体" w:cs="宋体"/>
              <w:sz w:val="28"/>
              <w:szCs w:val="28"/>
              <w:lang w:eastAsia="zh-CN"/>
            </w:rPr>
          </w:pPr>
          <w:r>
            <w:rPr>
              <w:rFonts w:hint="eastAsia" w:ascii="宋体" w:hAnsi="宋体" w:eastAsia="宋体" w:cs="宋体"/>
              <w:sz w:val="28"/>
              <w:szCs w:val="28"/>
            </w:rPr>
            <w:t>第二章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采购需求</w:t>
          </w:r>
        </w:p>
        <w:p w14:paraId="04D96E96">
          <w:pPr>
            <w:pStyle w:val="2"/>
            <w:bidi w:val="0"/>
            <w:spacing w:line="360" w:lineRule="auto"/>
            <w:rPr>
              <w:rFonts w:hint="eastAsia" w:ascii="宋体" w:hAnsi="宋体" w:eastAsia="宋体" w:cs="宋体"/>
              <w:sz w:val="28"/>
              <w:szCs w:val="28"/>
              <w:lang w:eastAsia="zh-CN"/>
            </w:rPr>
          </w:pPr>
          <w:r>
            <w:rPr>
              <w:rFonts w:hint="eastAsia" w:ascii="宋体" w:hAnsi="宋体" w:eastAsia="宋体" w:cs="宋体"/>
              <w:sz w:val="28"/>
              <w:szCs w:val="28"/>
            </w:rPr>
            <w:t>第三章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供应商须知</w:t>
          </w:r>
        </w:p>
        <w:p w14:paraId="3074FD92">
          <w:pPr>
            <w:pStyle w:val="2"/>
            <w:bidi w:val="0"/>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rPr>
            <w:t>第四章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评</w:t>
          </w:r>
          <w:r>
            <w:rPr>
              <w:rFonts w:hint="eastAsia" w:ascii="宋体" w:hAnsi="宋体" w:eastAsia="宋体" w:cs="宋体"/>
              <w:sz w:val="28"/>
              <w:szCs w:val="28"/>
              <w:lang w:val="en-US" w:eastAsia="zh-CN"/>
            </w:rPr>
            <w:t>审</w:t>
          </w:r>
          <w:r>
            <w:rPr>
              <w:rFonts w:hint="eastAsia" w:ascii="宋体" w:hAnsi="宋体" w:eastAsia="宋体" w:cs="宋体"/>
              <w:sz w:val="28"/>
              <w:szCs w:val="28"/>
            </w:rPr>
            <w:t>程序、评审方法和评审标准</w:t>
          </w:r>
        </w:p>
        <w:p w14:paraId="2063A8B7">
          <w:pPr>
            <w:pStyle w:val="2"/>
            <w:bidi w:val="0"/>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rPr>
            <w:t>第五章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政府采购合同（草案）</w:t>
          </w:r>
        </w:p>
        <w:p w14:paraId="056A18BF">
          <w:pPr>
            <w:pStyle w:val="2"/>
            <w:bidi w:val="0"/>
            <w:spacing w:line="360" w:lineRule="auto"/>
            <w:rPr>
              <w:rFonts w:hint="eastAsia" w:ascii="宋体" w:hAnsi="宋体" w:eastAsia="宋体" w:cs="宋体"/>
              <w:sz w:val="28"/>
              <w:szCs w:val="28"/>
            </w:rPr>
          </w:pPr>
          <w:r>
            <w:rPr>
              <w:rFonts w:hint="eastAsia" w:ascii="宋体" w:hAnsi="宋体" w:eastAsia="宋体" w:cs="宋体"/>
              <w:sz w:val="28"/>
              <w:szCs w:val="28"/>
            </w:rPr>
            <w:t>第六章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响应文件格式</w:t>
          </w:r>
        </w:p>
      </w:sdtContent>
    </w:sdt>
    <w:p w14:paraId="6AFCF144">
      <w:pPr>
        <w:keepNext w:val="0"/>
        <w:keepLines w:val="0"/>
        <w:pageBreakBefore w:val="0"/>
        <w:kinsoku/>
        <w:wordWrap w:val="0"/>
        <w:overflowPunct/>
        <w:topLinePunct w:val="0"/>
        <w:bidi w:val="0"/>
        <w:spacing w:line="219" w:lineRule="auto"/>
        <w:jc w:val="both"/>
        <w:rPr>
          <w:rFonts w:ascii="Arial" w:hAnsi="Arial" w:eastAsia="Arial" w:cs="Arial"/>
          <w:sz w:val="24"/>
          <w:szCs w:val="24"/>
        </w:rPr>
      </w:pPr>
    </w:p>
    <w:p w14:paraId="4E3FAFD9">
      <w:pPr>
        <w:bidi w:val="0"/>
        <w:rPr>
          <w:rFonts w:ascii="Arial" w:hAnsi="Arial" w:eastAsia="Arial" w:cs="Arial"/>
          <w:snapToGrid w:val="0"/>
          <w:color w:val="000000"/>
          <w:kern w:val="0"/>
          <w:sz w:val="21"/>
          <w:szCs w:val="21"/>
          <w:lang w:val="en-US" w:eastAsia="en-US" w:bidi="ar-SA"/>
        </w:rPr>
      </w:pPr>
    </w:p>
    <w:p w14:paraId="562A9177">
      <w:pPr>
        <w:bidi w:val="0"/>
        <w:rPr>
          <w:lang w:val="en-US" w:eastAsia="en-US"/>
        </w:rPr>
      </w:pPr>
    </w:p>
    <w:p w14:paraId="4B73306A">
      <w:pPr>
        <w:bidi w:val="0"/>
        <w:rPr>
          <w:lang w:val="en-US" w:eastAsia="en-US"/>
        </w:rPr>
      </w:pPr>
    </w:p>
    <w:p w14:paraId="0168D35F">
      <w:pPr>
        <w:bidi w:val="0"/>
        <w:rPr>
          <w:lang w:val="en-US" w:eastAsia="en-US"/>
        </w:rPr>
      </w:pPr>
    </w:p>
    <w:p w14:paraId="7BD2C8A4">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4FA26018">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6368F29D">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0B4567E0">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5890CE27">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29CC2AB7">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103A9C6E">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5D88675F">
      <w:pPr>
        <w:pStyle w:val="2"/>
        <w:keepNext w:val="0"/>
        <w:keepLines w:val="0"/>
        <w:pageBreakBefore w:val="0"/>
        <w:kinsoku/>
        <w:wordWrap w:val="0"/>
        <w:overflowPunct/>
        <w:topLinePunct w:val="0"/>
        <w:bidi w:val="0"/>
        <w:spacing w:before="358" w:line="360" w:lineRule="auto"/>
        <w:jc w:val="both"/>
        <w:rPr>
          <w:spacing w:val="-1"/>
          <w:sz w:val="36"/>
          <w:szCs w:val="36"/>
          <w14:textOutline w14:w="2306" w14:cap="flat" w14:cmpd="sng">
            <w14:solidFill>
              <w14:srgbClr w14:val="000000"/>
            </w14:solidFill>
            <w14:prstDash w14:val="solid"/>
            <w14:miter w14:val="0"/>
          </w14:textOutline>
        </w:rPr>
      </w:pPr>
    </w:p>
    <w:p w14:paraId="3B6B01F0">
      <w:pPr>
        <w:pStyle w:val="2"/>
        <w:keepNext w:val="0"/>
        <w:keepLines w:val="0"/>
        <w:pageBreakBefore w:val="0"/>
        <w:kinsoku/>
        <w:wordWrap w:val="0"/>
        <w:overflowPunct/>
        <w:topLinePunct w:val="0"/>
        <w:bidi w:val="0"/>
        <w:spacing w:before="358" w:line="360" w:lineRule="auto"/>
        <w:jc w:val="center"/>
        <w:rPr>
          <w:rFonts w:ascii="Arial"/>
          <w:sz w:val="21"/>
        </w:rPr>
      </w:pPr>
      <w:r>
        <w:rPr>
          <w:spacing w:val="-1"/>
          <w:sz w:val="36"/>
          <w:szCs w:val="36"/>
          <w14:textOutline w14:w="2306" w14:cap="flat" w14:cmpd="sng">
            <w14:solidFill>
              <w14:srgbClr w14:val="000000"/>
            </w14:solidFill>
            <w14:prstDash w14:val="solid"/>
            <w14:miter w14:val="0"/>
          </w14:textOutline>
        </w:rPr>
        <w:t>第一章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lang w:eastAsia="zh-CN"/>
          <w14:textOutline w14:w="2306" w14:cap="flat" w14:cmpd="sng">
            <w14:solidFill>
              <w14:srgbClr w14:val="000000"/>
            </w14:solidFill>
            <w14:prstDash w14:val="solid"/>
            <w14:miter w14:val="0"/>
          </w14:textOutline>
        </w:rPr>
        <w:t>竞争性磋商公告</w:t>
      </w:r>
    </w:p>
    <w:p w14:paraId="11A8D7E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竞争性磋商</w:t>
      </w:r>
      <w:r>
        <w:rPr>
          <w:spacing w:val="-6"/>
          <w:sz w:val="24"/>
          <w:szCs w:val="24"/>
        </w:rPr>
        <w:t>方式组织采购活动，</w:t>
      </w:r>
      <w:r>
        <w:rPr>
          <w:rFonts w:hint="eastAsia"/>
          <w:spacing w:val="-6"/>
          <w:sz w:val="24"/>
          <w:szCs w:val="24"/>
          <w:lang w:val="en-US" w:eastAsia="zh-CN"/>
        </w:rPr>
        <w:t>欢迎潜在供应商</w:t>
      </w:r>
      <w:r>
        <w:rPr>
          <w:spacing w:val="-6"/>
          <w:sz w:val="24"/>
          <w:szCs w:val="24"/>
        </w:rPr>
        <w:t>参与本项目</w:t>
      </w:r>
      <w:r>
        <w:rPr>
          <w:rFonts w:hint="eastAsia"/>
          <w:spacing w:val="-6"/>
          <w:sz w:val="24"/>
          <w:szCs w:val="24"/>
          <w:lang w:val="en-US" w:eastAsia="zh-CN"/>
        </w:rPr>
        <w:t>磋商</w:t>
      </w:r>
      <w:r>
        <w:rPr>
          <w:spacing w:val="-6"/>
          <w:sz w:val="24"/>
          <w:szCs w:val="24"/>
        </w:rPr>
        <w:t>。</w:t>
      </w:r>
    </w:p>
    <w:p w14:paraId="5894CFC2">
      <w:pPr>
        <w:pStyle w:val="2"/>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outlineLvl w:val="1"/>
        <w:rPr>
          <w:sz w:val="24"/>
          <w:szCs w:val="24"/>
        </w:rPr>
      </w:pPr>
      <w:r>
        <w:rPr>
          <w:spacing w:val="-2"/>
          <w:sz w:val="24"/>
          <w:szCs w:val="24"/>
          <w14:textOutline w14:w="1537" w14:cap="flat" w14:cmpd="sng">
            <w14:solidFill>
              <w14:srgbClr w14:val="000000"/>
            </w14:solidFill>
            <w14:prstDash w14:val="solid"/>
            <w14:miter w14:val="0"/>
          </w14:textOutline>
        </w:rPr>
        <w:t>一、项目基本情况</w:t>
      </w:r>
    </w:p>
    <w:p w14:paraId="5670401F">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5"/>
          <w:sz w:val="24"/>
          <w:szCs w:val="24"/>
        </w:rPr>
        <w:t>1.项目编号：南阳政采磋商-2026-26</w:t>
      </w:r>
    </w:p>
    <w:p w14:paraId="7054CDD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2.项目名称：南阳市公安局交通管理支队购买2026至2027年机房维保服务项目</w:t>
      </w:r>
    </w:p>
    <w:p w14:paraId="49E96E7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3.项目预算金额：</w:t>
      </w:r>
      <w:r>
        <w:rPr>
          <w:rFonts w:hint="eastAsia" w:asciiTheme="minorEastAsia" w:hAnsiTheme="minorEastAsia" w:eastAsiaTheme="minorEastAsia" w:cstheme="minorEastAsia"/>
          <w:spacing w:val="-14"/>
          <w:sz w:val="24"/>
          <w:szCs w:val="24"/>
          <w:u w:val="single"/>
          <w:lang w:val="en-US" w:eastAsia="zh-CN"/>
        </w:rPr>
        <w:t xml:space="preserve"> 80.5277 </w:t>
      </w:r>
      <w:r>
        <w:rPr>
          <w:rFonts w:hint="eastAsia" w:asciiTheme="minorEastAsia" w:hAnsiTheme="minorEastAsia" w:eastAsiaTheme="minorEastAsia" w:cstheme="minorEastAsia"/>
          <w:spacing w:val="-14"/>
          <w:sz w:val="24"/>
          <w:szCs w:val="24"/>
        </w:rPr>
        <w:t>万元、项目最高限价（如有</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5"/>
          <w:sz w:val="24"/>
          <w:szCs w:val="24"/>
          <w:u w:val="single"/>
          <w:lang w:val="en-US" w:eastAsia="zh-CN"/>
        </w:rPr>
        <w:t xml:space="preserve"> 80.5277 </w:t>
      </w:r>
      <w:r>
        <w:rPr>
          <w:rFonts w:hint="eastAsia" w:asciiTheme="minorEastAsia" w:hAnsiTheme="minorEastAsia" w:eastAsiaTheme="minorEastAsia" w:cstheme="minorEastAsia"/>
          <w:spacing w:val="-14"/>
          <w:sz w:val="24"/>
          <w:szCs w:val="24"/>
        </w:rPr>
        <w:t>万元</w:t>
      </w:r>
    </w:p>
    <w:p w14:paraId="7CA1D2F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4.采购需求：</w:t>
      </w:r>
    </w:p>
    <w:tbl>
      <w:tblPr>
        <w:tblStyle w:val="17"/>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5"/>
        <w:gridCol w:w="4215"/>
        <w:gridCol w:w="2321"/>
      </w:tblGrid>
      <w:tr w14:paraId="2E180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5" w:type="dxa"/>
            <w:vAlign w:val="center"/>
          </w:tcPr>
          <w:p w14:paraId="0E758181">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4215" w:type="dxa"/>
            <w:vAlign w:val="center"/>
          </w:tcPr>
          <w:p w14:paraId="1F51B355">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包</w:t>
            </w:r>
            <w:r>
              <w:rPr>
                <w:rFonts w:hint="eastAsia" w:asciiTheme="minorEastAsia" w:hAnsiTheme="minorEastAsia" w:eastAsiaTheme="minorEastAsia" w:cstheme="minorEastAsia"/>
                <w:spacing w:val="7"/>
                <w:sz w:val="24"/>
                <w:szCs w:val="24"/>
              </w:rPr>
              <w:t>名称</w:t>
            </w:r>
          </w:p>
        </w:tc>
        <w:tc>
          <w:tcPr>
            <w:tcW w:w="2321" w:type="dxa"/>
            <w:vAlign w:val="center"/>
          </w:tcPr>
          <w:p w14:paraId="41FDF26D">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包预算</w:t>
            </w:r>
            <w:r>
              <w:rPr>
                <w:rFonts w:hint="eastAsia" w:asciiTheme="minorEastAsia" w:hAnsiTheme="minorEastAsia" w:eastAsiaTheme="minorEastAsia" w:cstheme="minorEastAsia"/>
                <w:sz w:val="24"/>
                <w:szCs w:val="24"/>
              </w:rPr>
              <w:t>（元）</w:t>
            </w:r>
          </w:p>
        </w:tc>
      </w:tr>
      <w:tr w14:paraId="7FD96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635" w:type="dxa"/>
            <w:vAlign w:val="center"/>
          </w:tcPr>
          <w:p w14:paraId="18AA9EE1">
            <w:pPr>
              <w:pStyle w:val="18"/>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val="en-US" w:eastAsia="zh-CN"/>
              </w:rPr>
              <w:t>南阳政采磋商-2026-26-</w:t>
            </w:r>
            <w:r>
              <w:rPr>
                <w:rFonts w:hint="eastAsia" w:asciiTheme="minorEastAsia" w:hAnsiTheme="minorEastAsia" w:eastAsiaTheme="minorEastAsia" w:cstheme="minorEastAsia"/>
                <w:spacing w:val="14"/>
                <w:sz w:val="24"/>
                <w:szCs w:val="24"/>
              </w:rPr>
              <w:t>1</w:t>
            </w:r>
          </w:p>
        </w:tc>
        <w:tc>
          <w:tcPr>
            <w:tcW w:w="4215" w:type="dxa"/>
            <w:vAlign w:val="center"/>
          </w:tcPr>
          <w:p w14:paraId="2CC99FB1">
            <w:pPr>
              <w:pStyle w:val="18"/>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南阳市公安局交通管理支队购买2026至2027年机房维保服务项目</w:t>
            </w:r>
          </w:p>
        </w:tc>
        <w:tc>
          <w:tcPr>
            <w:tcW w:w="2321" w:type="dxa"/>
            <w:vAlign w:val="center"/>
          </w:tcPr>
          <w:p w14:paraId="4C3204E8">
            <w:pPr>
              <w:pStyle w:val="18"/>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805277</w:t>
            </w:r>
          </w:p>
        </w:tc>
      </w:tr>
    </w:tbl>
    <w:p w14:paraId="7B9223DE">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left"/>
        <w:textAlignment w:val="baseline"/>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5.服务要求</w:t>
      </w:r>
    </w:p>
    <w:p w14:paraId="4FF09138">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380" w:firstLineChars="200"/>
        <w:jc w:val="both"/>
        <w:textAlignment w:val="baseline"/>
        <w:rPr>
          <w:rFonts w:hint="default" w:asciiTheme="minorEastAsia" w:hAnsiTheme="minorEastAsia" w:eastAsiaTheme="minorEastAsia" w:cstheme="minorEastAsia"/>
          <w:spacing w:val="-25"/>
          <w:sz w:val="24"/>
          <w:szCs w:val="24"/>
          <w:lang w:val="en-US" w:eastAsia="zh-CN"/>
        </w:rPr>
      </w:pPr>
      <w:r>
        <w:rPr>
          <w:rFonts w:hint="eastAsia" w:asciiTheme="minorEastAsia" w:hAnsiTheme="minorEastAsia" w:eastAsiaTheme="minorEastAsia" w:cstheme="minorEastAsia"/>
          <w:spacing w:val="-25"/>
          <w:sz w:val="24"/>
          <w:szCs w:val="24"/>
          <w:lang w:val="en-US" w:eastAsia="zh-CN"/>
        </w:rPr>
        <w:t>为做好我市交通网络及业务应用系统维护工作，保证各项系统正常运行，现需为支队机房设施购买维保服务，提升系统运行效能。本次维保服务范围包括支队指挥中心2楼机房、3楼机房、车管所机房、考务机房等区域相关设备，以及公安网、视频专网、互联网等网络的业务应用软件系统及数据库。</w:t>
      </w:r>
    </w:p>
    <w:p w14:paraId="54ED1D6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left"/>
        <w:textAlignment w:val="baseline"/>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5"/>
          <w:sz w:val="24"/>
          <w:szCs w:val="24"/>
          <w:lang w:val="en-US" w:eastAsia="zh-CN"/>
        </w:rPr>
        <w:t>6</w:t>
      </w:r>
      <w:r>
        <w:rPr>
          <w:rFonts w:hint="eastAsia" w:asciiTheme="minorEastAsia" w:hAnsiTheme="minorEastAsia" w:eastAsiaTheme="minorEastAsia" w:cstheme="minorEastAsia"/>
          <w:spacing w:val="-5"/>
          <w:sz w:val="24"/>
          <w:szCs w:val="24"/>
        </w:rPr>
        <w:t>.合同履行期限：</w:t>
      </w:r>
      <w:r>
        <w:rPr>
          <w:rFonts w:hint="eastAsia" w:asciiTheme="minorEastAsia" w:hAnsiTheme="minorEastAsia" w:eastAsiaTheme="minorEastAsia" w:cstheme="minorEastAsia"/>
          <w:spacing w:val="-5"/>
          <w:sz w:val="24"/>
          <w:szCs w:val="24"/>
          <w:lang w:val="en-US" w:eastAsia="zh-CN"/>
        </w:rPr>
        <w:t>一年</w:t>
      </w:r>
    </w:p>
    <w:p w14:paraId="2AE4D43B">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.本项目是否接受联合体：</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否。</w:t>
      </w:r>
    </w:p>
    <w:p w14:paraId="21B426E4">
      <w:pPr>
        <w:pStyle w:val="2"/>
        <w:keepNext w:val="0"/>
        <w:keepLines w:val="0"/>
        <w:pageBreakBefore w:val="0"/>
        <w:widowControl/>
        <w:kinsoku/>
        <w:wordWrap w:val="0"/>
        <w:overflowPunct/>
        <w:topLinePunct w:val="0"/>
        <w:bidi w:val="0"/>
        <w:spacing w:line="360" w:lineRule="auto"/>
        <w:jc w:val="both"/>
        <w:outlineLvl w:val="1"/>
        <w:rPr>
          <w:spacing w:val="-1"/>
          <w:sz w:val="24"/>
          <w:szCs w:val="24"/>
          <w14:textOutline w14:w="1537" w14:cap="flat" w14:cmpd="sng">
            <w14:solidFill>
              <w14:srgbClr w14:val="000000"/>
            </w14:solidFill>
            <w14:prstDash w14:val="solid"/>
            <w14:miter w14:val="0"/>
          </w14:textOutline>
        </w:rPr>
      </w:pPr>
    </w:p>
    <w:p w14:paraId="7AF32EEC">
      <w:pPr>
        <w:pStyle w:val="2"/>
        <w:keepNext w:val="0"/>
        <w:keepLines w:val="0"/>
        <w:pageBreakBefore w:val="0"/>
        <w:widowControl/>
        <w:kinsoku/>
        <w:wordWrap w:val="0"/>
        <w:overflowPunct/>
        <w:topLinePunct w:val="0"/>
        <w:bidi w:val="0"/>
        <w:spacing w:line="360" w:lineRule="auto"/>
        <w:jc w:val="both"/>
        <w:outlineLvl w:val="1"/>
        <w:rPr>
          <w:sz w:val="24"/>
          <w:szCs w:val="24"/>
        </w:rPr>
      </w:pPr>
      <w:r>
        <w:rPr>
          <w:spacing w:val="-1"/>
          <w:sz w:val="24"/>
          <w:szCs w:val="24"/>
          <w14:textOutline w14:w="1537" w14:cap="flat" w14:cmpd="sng">
            <w14:solidFill>
              <w14:srgbClr w14:val="000000"/>
            </w14:solidFill>
            <w14:prstDash w14:val="solid"/>
            <w14:miter w14:val="0"/>
          </w14:textOutline>
        </w:rPr>
        <w:t>二、申请人的资格要求（须同时满足）</w:t>
      </w:r>
    </w:p>
    <w:p w14:paraId="03322E8F">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p>
    <w:p w14:paraId="173A5FF0">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14:paraId="43BEC7CA">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14:paraId="6591DACF">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14:paraId="02EA3434">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5.参加政府采购活动前三年内，在经营活动中没有重大违法记录；</w:t>
      </w:r>
    </w:p>
    <w:p w14:paraId="7A122212">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31E46D65">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14:paraId="04221820">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14:paraId="71FE2B2C">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14:paraId="0C07E208">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val="en-US" w:eastAsia="zh-CN"/>
        </w:rPr>
        <w:t>1.</w:t>
      </w:r>
      <w:r>
        <w:rPr>
          <w:rFonts w:hint="eastAsia" w:asciiTheme="minorEastAsia" w:hAnsiTheme="minorEastAsia" w:eastAsiaTheme="minorEastAsia" w:cstheme="minorEastAsia"/>
          <w:color w:val="auto"/>
          <w:spacing w:val="1"/>
          <w:sz w:val="24"/>
          <w:szCs w:val="24"/>
        </w:rPr>
        <w:t>中小企业政策</w:t>
      </w:r>
    </w:p>
    <w:p w14:paraId="02EB330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28" w:firstLineChars="200"/>
        <w:jc w:val="both"/>
        <w:textAlignment w:val="baseline"/>
        <w:rPr>
          <w:rFonts w:hint="eastAsia" w:asciiTheme="minorEastAsia" w:hAnsiTheme="minorEastAsia" w:eastAsiaTheme="minorEastAsia" w:cstheme="minorEastAsia"/>
          <w:color w:val="FF0000"/>
          <w:spacing w:val="-2"/>
          <w:position w:val="17"/>
          <w:sz w:val="24"/>
          <w:szCs w:val="24"/>
        </w:rPr>
      </w:pPr>
      <w:r>
        <w:rPr>
          <w:rFonts w:hint="eastAsia" w:asciiTheme="minorEastAsia" w:hAnsiTheme="minorEastAsia" w:eastAsiaTheme="minorEastAsia" w:cstheme="minorEastAsia"/>
          <w:color w:val="auto"/>
          <w:spacing w:val="12"/>
          <w:position w:val="17"/>
          <w:sz w:val="24"/>
          <w:szCs w:val="24"/>
          <w:lang w:eastAsia="zh-CN"/>
        </w:rPr>
        <w:t>☑</w:t>
      </w:r>
      <w:r>
        <w:rPr>
          <w:rFonts w:hint="eastAsia" w:asciiTheme="minorEastAsia" w:hAnsiTheme="minorEastAsia" w:eastAsiaTheme="minorEastAsia" w:cstheme="minorEastAsia"/>
          <w:color w:val="auto"/>
          <w:spacing w:val="12"/>
          <w:position w:val="17"/>
          <w:sz w:val="24"/>
          <w:szCs w:val="24"/>
        </w:rPr>
        <w:t>本项目专门面向中小企业采购。</w:t>
      </w:r>
      <w:r>
        <w:rPr>
          <w:rFonts w:hint="eastAsia" w:asciiTheme="minorEastAsia" w:hAnsiTheme="minorEastAsia" w:eastAsiaTheme="minorEastAsia" w:cstheme="minorEastAsia"/>
          <w:color w:val="auto"/>
          <w:spacing w:val="-2"/>
          <w:position w:val="17"/>
          <w:sz w:val="24"/>
          <w:szCs w:val="24"/>
        </w:rPr>
        <w:t>即：</w:t>
      </w:r>
      <w:r>
        <w:rPr>
          <w:rFonts w:hint="eastAsia" w:asciiTheme="minorEastAsia" w:hAnsiTheme="minorEastAsia" w:eastAsiaTheme="minorEastAsia" w:cstheme="minorEastAsia"/>
          <w:color w:val="auto"/>
          <w:spacing w:val="-2"/>
          <w:position w:val="17"/>
          <w:sz w:val="24"/>
          <w:szCs w:val="24"/>
          <w:lang w:val="en-US" w:eastAsia="zh-CN"/>
        </w:rPr>
        <w:t>提</w:t>
      </w:r>
      <w:r>
        <w:rPr>
          <w:rFonts w:hint="eastAsia" w:asciiTheme="minorEastAsia" w:hAnsiTheme="minorEastAsia" w:eastAsiaTheme="minorEastAsia" w:cstheme="minorEastAsia"/>
          <w:color w:val="auto"/>
          <w:spacing w:val="-2"/>
          <w:position w:val="17"/>
          <w:sz w:val="24"/>
          <w:szCs w:val="24"/>
        </w:rPr>
        <w:t>供的货物全部由符合政策要求的中小</w:t>
      </w:r>
      <w:r>
        <w:rPr>
          <w:rFonts w:hint="eastAsia" w:asciiTheme="minorEastAsia" w:hAnsiTheme="minorEastAsia" w:eastAsiaTheme="minorEastAsia" w:cstheme="minorEastAsia"/>
          <w:color w:val="auto"/>
          <w:spacing w:val="1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企业制造、服务全部由符合政策要求的中小</w:t>
      </w:r>
      <w:r>
        <w:rPr>
          <w:rFonts w:hint="eastAsia" w:asciiTheme="minorEastAsia" w:hAnsiTheme="minorEastAsia" w:eastAsiaTheme="minorEastAsia" w:cstheme="minorEastAsia"/>
          <w:color w:val="auto"/>
          <w:spacing w:val="-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企业承接。</w:t>
      </w:r>
    </w:p>
    <w:p w14:paraId="72382F1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color w:val="auto"/>
          <w:spacing w:val="-2"/>
          <w:position w:val="17"/>
          <w:sz w:val="24"/>
          <w:szCs w:val="24"/>
          <w:lang w:val="en-US" w:eastAsia="zh-CN"/>
        </w:rPr>
        <w:t>2.</w:t>
      </w:r>
      <w:r>
        <w:rPr>
          <w:rFonts w:hint="eastAsia" w:asciiTheme="minorEastAsia" w:hAnsiTheme="minorEastAsia" w:eastAsiaTheme="minorEastAsia" w:cstheme="minorEastAsia"/>
          <w:color w:val="auto"/>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21279E85">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r>
        <w:rPr>
          <w:rFonts w:hint="eastAsia" w:asciiTheme="minorEastAsia" w:hAnsiTheme="minorEastAsia" w:eastAsiaTheme="minorEastAsia" w:cstheme="minorEastAsia"/>
          <w:spacing w:val="-2"/>
          <w:position w:val="17"/>
          <w:sz w:val="24"/>
          <w:szCs w:val="24"/>
          <w:lang w:val="en-US" w:eastAsia="zh-CN"/>
        </w:rPr>
        <w:t>和</w:t>
      </w:r>
      <w:r>
        <w:rPr>
          <w:rFonts w:hint="eastAsia" w:asciiTheme="minorEastAsia" w:hAnsiTheme="minorEastAsia" w:eastAsiaTheme="minorEastAsia" w:cstheme="minorEastAsia"/>
          <w:spacing w:val="-2"/>
          <w:position w:val="17"/>
          <w:sz w:val="24"/>
          <w:szCs w:val="24"/>
          <w:lang w:eastAsia="zh-CN"/>
        </w:rPr>
        <w:t>资格信用承诺制。</w:t>
      </w:r>
    </w:p>
    <w:p w14:paraId="20CBB9D9">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lang w:val="en-US" w:eastAsia="zh-CN"/>
        </w:rPr>
        <w:t>4</w:t>
      </w:r>
      <w:r>
        <w:rPr>
          <w:rFonts w:hint="eastAsia" w:asciiTheme="minorEastAsia" w:hAnsiTheme="minorEastAsia" w:eastAsiaTheme="minorEastAsia" w:cstheme="minorEastAsia"/>
          <w:spacing w:val="-5"/>
          <w:sz w:val="24"/>
          <w:szCs w:val="24"/>
        </w:rPr>
        <w:t>.本项目是否属于政府购买服务：</w:t>
      </w:r>
    </w:p>
    <w:p w14:paraId="26955257">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□否</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□接受进口产品</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lang w:val="en-US" w:eastAsia="zh-CN"/>
        </w:rPr>
        <w:t>不</w:t>
      </w:r>
      <w:r>
        <w:rPr>
          <w:rFonts w:hint="eastAsia" w:asciiTheme="minorEastAsia" w:hAnsiTheme="minorEastAsia" w:eastAsiaTheme="minorEastAsia" w:cstheme="minorEastAsia"/>
          <w:spacing w:val="-2"/>
          <w:position w:val="17"/>
          <w:sz w:val="24"/>
          <w:szCs w:val="24"/>
          <w:lang w:eastAsia="zh-CN"/>
        </w:rPr>
        <w:t>接受进口产品</w:t>
      </w:r>
    </w:p>
    <w:p w14:paraId="289D94BA">
      <w:pPr>
        <w:keepNext w:val="0"/>
        <w:keepLines w:val="0"/>
        <w:pageBreakBefore w:val="0"/>
        <w:kinsoku/>
        <w:wordWrap w:val="0"/>
        <w:overflowPunct/>
        <w:topLinePunct w:val="0"/>
        <w:bidi w:val="0"/>
        <w:spacing w:line="259" w:lineRule="auto"/>
        <w:ind w:firstLine="472" w:firstLineChars="200"/>
        <w:jc w:val="both"/>
        <w:rPr>
          <w:rFonts w:ascii="Arial"/>
          <w:sz w:val="21"/>
        </w:rPr>
      </w:pP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是，公益一类事业单位、使用事业编制且由财政</w:t>
      </w:r>
      <w:r>
        <w:rPr>
          <w:rFonts w:hint="eastAsia" w:asciiTheme="minorEastAsia" w:hAnsiTheme="minorEastAsia" w:eastAsiaTheme="minorEastAsia" w:cstheme="minorEastAsia"/>
          <w:spacing w:val="-3"/>
          <w:sz w:val="24"/>
          <w:szCs w:val="24"/>
        </w:rPr>
        <w:t>拨款保障的群团组织，不得</w:t>
      </w:r>
      <w:r>
        <w:rPr>
          <w:rFonts w:hint="eastAsia" w:asciiTheme="minorEastAsia" w:hAnsiTheme="minorEastAsia" w:eastAsiaTheme="minorEastAsia" w:cstheme="minorEastAsia"/>
          <w:spacing w:val="-9"/>
          <w:sz w:val="24"/>
          <w:szCs w:val="24"/>
        </w:rPr>
        <w:t>作为承接主体</w:t>
      </w:r>
      <w:r>
        <w:rPr>
          <w:rFonts w:hint="eastAsia" w:asciiTheme="minorEastAsia" w:hAnsiTheme="minorEastAsia" w:eastAsiaTheme="minorEastAsia" w:cstheme="minorEastAsia"/>
          <w:spacing w:val="-12"/>
          <w:sz w:val="24"/>
          <w:szCs w:val="24"/>
        </w:rPr>
        <w:t>。</w:t>
      </w:r>
    </w:p>
    <w:p w14:paraId="341A703F">
      <w:pPr>
        <w:keepNext w:val="0"/>
        <w:keepLines w:val="0"/>
        <w:pageBreakBefore w:val="0"/>
        <w:kinsoku/>
        <w:wordWrap w:val="0"/>
        <w:overflowPunct/>
        <w:topLinePunct w:val="0"/>
        <w:bidi w:val="0"/>
        <w:spacing w:line="259" w:lineRule="auto"/>
        <w:jc w:val="both"/>
        <w:rPr>
          <w:rFonts w:ascii="Arial"/>
          <w:sz w:val="21"/>
        </w:rPr>
      </w:pPr>
    </w:p>
    <w:p w14:paraId="60A1200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rFonts w:hint="eastAsia"/>
          <w:spacing w:val="-1"/>
          <w:sz w:val="24"/>
          <w:szCs w:val="24"/>
          <w:lang w:val="en-US" w:eastAsia="zh-CN"/>
          <w14:textOutline w14:w="1537" w14:cap="flat" w14:cmpd="sng">
            <w14:solidFill>
              <w14:srgbClr w14:val="000000"/>
            </w14:solidFill>
            <w14:prstDash w14:val="solid"/>
            <w14:miter w14:val="0"/>
          </w14:textOutline>
        </w:rPr>
      </w:pPr>
    </w:p>
    <w:p w14:paraId="51BA6EE2">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1"/>
          <w:sz w:val="24"/>
          <w:szCs w:val="24"/>
          <w:lang w:val="en-US" w:eastAsia="zh-CN"/>
          <w14:textOutline w14:w="1537" w14:cap="flat" w14:cmpd="sng">
            <w14:solidFill>
              <w14:srgbClr w14:val="000000"/>
            </w14:solidFill>
            <w14:prstDash w14:val="solid"/>
            <w14:miter w14:val="0"/>
          </w14:textOutline>
        </w:rPr>
        <w:t>四</w:t>
      </w:r>
      <w:r>
        <w:rPr>
          <w:spacing w:val="-1"/>
          <w:sz w:val="24"/>
          <w:szCs w:val="24"/>
          <w14:textOutline w14:w="1537" w14:cap="flat" w14:cmpd="sng">
            <w14:solidFill>
              <w14:srgbClr w14:val="000000"/>
            </w14:solidFill>
            <w14:prstDash w14:val="solid"/>
            <w14:miter w14:val="0"/>
          </w14:textOutline>
        </w:rPr>
        <w:t>、获取采购文件</w:t>
      </w:r>
    </w:p>
    <w:p w14:paraId="42B474C2">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1.时间：</w:t>
      </w:r>
      <w:r>
        <w:rPr>
          <w:rFonts w:hint="eastAsia" w:asciiTheme="minorEastAsia" w:hAnsiTheme="minorEastAsia" w:eastAsiaTheme="minorEastAsia" w:cstheme="minorEastAsia"/>
          <w:spacing w:val="-13"/>
          <w:sz w:val="24"/>
          <w:szCs w:val="24"/>
          <w:u w:val="single"/>
          <w:lang w:val="en-US" w:eastAsia="zh-CN"/>
        </w:rPr>
        <w:t xml:space="preserve"> 2026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highlight w:val="none"/>
          <w:u w:val="single"/>
          <w:lang w:val="en-US" w:eastAsia="zh-CN"/>
        </w:rPr>
        <w:t xml:space="preserve"> 8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8 </w:t>
      </w:r>
      <w:r>
        <w:rPr>
          <w:rFonts w:hint="eastAsia" w:asciiTheme="minorEastAsia" w:hAnsiTheme="minorEastAsia" w:eastAsiaTheme="minorEastAsia" w:cstheme="minorEastAsia"/>
          <w:spacing w:val="-13"/>
          <w:sz w:val="24"/>
          <w:szCs w:val="24"/>
          <w:highlight w:val="none"/>
        </w:rPr>
        <w:t>日至</w:t>
      </w:r>
      <w:r>
        <w:rPr>
          <w:rFonts w:hint="eastAsia" w:asciiTheme="minorEastAsia" w:hAnsiTheme="minorEastAsia" w:eastAsiaTheme="minorEastAsia" w:cstheme="minorEastAsia"/>
          <w:spacing w:val="-13"/>
          <w:sz w:val="24"/>
          <w:szCs w:val="24"/>
          <w:highlight w:val="none"/>
          <w:u w:val="single"/>
          <w:lang w:val="en-US" w:eastAsia="zh-CN"/>
        </w:rPr>
        <w:t xml:space="preserve"> 2026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8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14 </w:t>
      </w:r>
      <w:r>
        <w:rPr>
          <w:rFonts w:hint="eastAsia" w:asciiTheme="minorEastAsia" w:hAnsiTheme="minorEastAsia" w:eastAsiaTheme="minorEastAsia" w:cstheme="minorEastAsia"/>
          <w:spacing w:val="-13"/>
          <w:sz w:val="24"/>
          <w:szCs w:val="24"/>
          <w:highlight w:val="none"/>
        </w:rPr>
        <w:t>日，</w:t>
      </w:r>
      <w:r>
        <w:rPr>
          <w:rFonts w:hint="eastAsia" w:asciiTheme="minorEastAsia" w:hAnsiTheme="minorEastAsia" w:eastAsiaTheme="minorEastAsia" w:cstheme="minorEastAsia"/>
          <w:spacing w:val="-14"/>
          <w:sz w:val="24"/>
          <w:szCs w:val="24"/>
        </w:rPr>
        <w:t>每天上午</w:t>
      </w:r>
      <w:r>
        <w:rPr>
          <w:rFonts w:hint="eastAsia" w:asciiTheme="minorEastAsia" w:hAnsiTheme="minorEastAsia" w:eastAsiaTheme="minorEastAsia" w:cstheme="minorEastAsia"/>
          <w:spacing w:val="-13"/>
          <w:sz w:val="24"/>
          <w:szCs w:val="24"/>
          <w:u w:val="single"/>
          <w:lang w:val="en-US" w:eastAsia="zh-CN"/>
        </w:rPr>
        <w:t xml:space="preserve"> 0:00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3"/>
          <w:sz w:val="24"/>
          <w:szCs w:val="24"/>
          <w:u w:val="single"/>
          <w:lang w:val="en-US" w:eastAsia="zh-CN"/>
        </w:rPr>
        <w:t xml:space="preserve"> 12:00 </w:t>
      </w:r>
      <w:r>
        <w:rPr>
          <w:rFonts w:hint="eastAsia" w:asciiTheme="minorEastAsia" w:hAnsiTheme="minorEastAsia" w:eastAsiaTheme="minorEastAsia" w:cstheme="minorEastAsia"/>
          <w:spacing w:val="-14"/>
          <w:sz w:val="24"/>
          <w:szCs w:val="24"/>
        </w:rPr>
        <w:t>，下午</w:t>
      </w:r>
      <w:r>
        <w:rPr>
          <w:rFonts w:hint="eastAsia" w:asciiTheme="minorEastAsia" w:hAnsiTheme="minorEastAsia" w:eastAsiaTheme="minorEastAsia" w:cstheme="minorEastAsia"/>
          <w:spacing w:val="-13"/>
          <w:sz w:val="24"/>
          <w:szCs w:val="24"/>
          <w:u w:val="single"/>
          <w:lang w:val="en-US" w:eastAsia="zh-CN"/>
        </w:rPr>
        <w:t xml:space="preserve"> 12:00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3"/>
          <w:sz w:val="24"/>
          <w:szCs w:val="24"/>
          <w:u w:val="single"/>
          <w:lang w:val="en-US" w:eastAsia="zh-CN"/>
        </w:rPr>
        <w:t xml:space="preserve"> 23:59 </w:t>
      </w:r>
      <w:r>
        <w:rPr>
          <w:rFonts w:hint="eastAsia" w:asciiTheme="minorEastAsia" w:hAnsiTheme="minorEastAsia" w:eastAsiaTheme="minorEastAsia" w:cstheme="minorEastAsia"/>
          <w:spacing w:val="-14"/>
          <w:sz w:val="24"/>
          <w:szCs w:val="24"/>
        </w:rPr>
        <w:t>（北京时</w:t>
      </w:r>
      <w:r>
        <w:rPr>
          <w:rFonts w:hint="eastAsia" w:asciiTheme="minorEastAsia" w:hAnsiTheme="minorEastAsia" w:eastAsiaTheme="minorEastAsia" w:cstheme="minorEastAsia"/>
          <w:spacing w:val="-15"/>
          <w:sz w:val="24"/>
          <w:szCs w:val="24"/>
        </w:rPr>
        <w:t>间，法定节假日除外）。</w:t>
      </w:r>
    </w:p>
    <w:p w14:paraId="7AF6218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2.地点：</w:t>
      </w:r>
      <w:r>
        <w:rPr>
          <w:rFonts w:hint="eastAsia" w:asciiTheme="minorEastAsia" w:hAnsiTheme="minorEastAsia" w:eastAsiaTheme="minorEastAsia" w:cstheme="minorEastAsia"/>
          <w:sz w:val="24"/>
          <w:szCs w:val="24"/>
          <w:lang w:eastAsia="zh-CN"/>
        </w:rPr>
        <w:t>全国公共资源交易平台（河南省·南阳市）</w:t>
      </w:r>
      <w:r>
        <w:rPr>
          <w:rFonts w:hint="eastAsia" w:asciiTheme="minorEastAsia" w:hAnsiTheme="minorEastAsia" w:eastAsiaTheme="minorEastAsia" w:cstheme="minorEastAsia"/>
          <w:sz w:val="24"/>
          <w:szCs w:val="24"/>
        </w:rPr>
        <w:t>https://ggzyjy.nanyang.gov.cn</w:t>
      </w:r>
    </w:p>
    <w:p w14:paraId="1CCAA8D9">
      <w:pPr>
        <w:keepNext w:val="0"/>
        <w:keepLines w:val="0"/>
        <w:pageBreakBefore w:val="0"/>
        <w:kinsoku/>
        <w:wordWrap w:val="0"/>
        <w:overflowPunct/>
        <w:topLinePunct w:val="0"/>
        <w:bidi w:val="0"/>
        <w:spacing w:line="360" w:lineRule="auto"/>
        <w:ind w:firstLine="464" w:firstLineChars="200"/>
        <w:jc w:val="both"/>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rPr>
        <w:t>3.方式：</w:t>
      </w: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登录全国公共资源交易平台（河南省·南阳市）（https://ggzyjy.nanyang.gov.cn），注册后凭办理的企业身份认证锁（CA数字证书）登录会员系统按网上提示下载招标文件(*.nyzf格式)及资料（操作程序详见全国公共资源交易平台（河南省·南阳市）下载专区）</w:t>
      </w:r>
      <w:r>
        <w:rPr>
          <w:rFonts w:hint="eastAsia" w:asciiTheme="minorEastAsia" w:hAnsiTheme="minorEastAsia" w:eastAsiaTheme="minorEastAsia" w:cstheme="minorEastAsia"/>
          <w:snapToGrid w:val="0"/>
          <w:color w:val="000000"/>
          <w:kern w:val="0"/>
          <w:sz w:val="24"/>
          <w:szCs w:val="24"/>
          <w:lang w:val="en-US" w:eastAsia="zh-CN" w:bidi="ar-SA"/>
        </w:rPr>
        <w:t>，电子交易系统技术支持电话：0512-58188538，</w:t>
      </w:r>
      <w:r>
        <w:rPr>
          <w:rFonts w:hint="eastAsia" w:asciiTheme="minorEastAsia" w:hAnsiTheme="minorEastAsia" w:eastAsiaTheme="minorEastAsia" w:cstheme="minorEastAsia"/>
          <w:spacing w:val="-4"/>
          <w:sz w:val="24"/>
          <w:szCs w:val="24"/>
          <w:lang w:eastAsia="zh-CN"/>
        </w:rPr>
        <w:t>CA数字证书技术支持电话：15672779650。</w:t>
      </w:r>
    </w:p>
    <w:p w14:paraId="3406530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4.售价：0元。</w:t>
      </w:r>
    </w:p>
    <w:p w14:paraId="31A5AF8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7B544C78">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jc w:val="both"/>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五、响应文件的制作及上传</w:t>
      </w:r>
    </w:p>
    <w:p w14:paraId="3F8E42F4">
      <w:pPr>
        <w:keepNext w:val="0"/>
        <w:keepLines w:val="0"/>
        <w:pageBreakBefore w:val="0"/>
        <w:shd w:val="clear" w:color="auto" w:fill="FFFFFF"/>
        <w:kinsoku/>
        <w:wordWrap w:val="0"/>
        <w:overflowPunct/>
        <w:topLinePunct w:val="0"/>
        <w:bidi w:val="0"/>
        <w:spacing w:line="360" w:lineRule="auto"/>
        <w:ind w:firstLine="600" w:firstLineChars="200"/>
        <w:jc w:val="both"/>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须</w:t>
      </w:r>
      <w:r>
        <w:rPr>
          <w:rFonts w:hint="eastAsia" w:asciiTheme="minorEastAsia" w:hAnsiTheme="minorEastAsia" w:eastAsiaTheme="minorEastAsia" w:cstheme="minorEastAsia"/>
          <w:spacing w:val="-4"/>
          <w:sz w:val="24"/>
          <w:szCs w:val="24"/>
          <w:lang w:val="en-US" w:eastAsia="zh-CN"/>
        </w:rPr>
        <w:t>上传加密</w:t>
      </w:r>
      <w:r>
        <w:rPr>
          <w:rFonts w:hint="eastAsia" w:asciiTheme="minorEastAsia" w:hAnsiTheme="minorEastAsia" w:eastAsiaTheme="minorEastAsia" w:cstheme="minorEastAsia"/>
          <w:spacing w:val="-4"/>
          <w:sz w:val="24"/>
          <w:szCs w:val="24"/>
          <w:lang w:eastAsia="zh-CN"/>
        </w:rPr>
        <w:t>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文件需要使用投标文件制作工具制作，制作工具及操作手册可在全国公共资源交易平台（河南省·南阳市）“下载专区”中下载。</w:t>
      </w:r>
      <w:r>
        <w:rPr>
          <w:rFonts w:hint="eastAsia" w:asciiTheme="minorEastAsia" w:hAnsiTheme="minorEastAsia" w:eastAsiaTheme="minorEastAsia" w:cstheme="minorEastAsia"/>
          <w:spacing w:val="-4"/>
          <w:sz w:val="24"/>
          <w:szCs w:val="24"/>
          <w:lang w:val="en-US" w:eastAsia="zh-CN"/>
        </w:rPr>
        <w:t>加密</w:t>
      </w:r>
      <w:r>
        <w:rPr>
          <w:rFonts w:hint="eastAsia" w:asciiTheme="minorEastAsia" w:hAnsiTheme="minorEastAsia" w:eastAsiaTheme="minorEastAsia" w:cstheme="minorEastAsia"/>
          <w:spacing w:val="-4"/>
          <w:sz w:val="24"/>
          <w:szCs w:val="24"/>
          <w:lang w:eastAsia="zh-CN"/>
        </w:rPr>
        <w:t>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文件应在</w:t>
      </w:r>
      <w:r>
        <w:rPr>
          <w:rFonts w:hint="eastAsia" w:asciiTheme="minorEastAsia" w:hAnsiTheme="minorEastAsia" w:eastAsiaTheme="minorEastAsia" w:cstheme="minorEastAsia"/>
          <w:spacing w:val="-4"/>
          <w:sz w:val="24"/>
          <w:szCs w:val="24"/>
          <w:lang w:val="en-US" w:eastAsia="zh-CN"/>
        </w:rPr>
        <w:t>竞争性磋商</w:t>
      </w:r>
      <w:r>
        <w:rPr>
          <w:rFonts w:hint="eastAsia" w:asciiTheme="minorEastAsia" w:hAnsiTheme="minorEastAsia" w:eastAsiaTheme="minorEastAsia" w:cstheme="minorEastAsia"/>
          <w:spacing w:val="-4"/>
          <w:sz w:val="24"/>
          <w:szCs w:val="24"/>
          <w:lang w:eastAsia="zh-CN"/>
        </w:rPr>
        <w:t>文件规定的</w:t>
      </w:r>
      <w:r>
        <w:rPr>
          <w:rFonts w:hint="eastAsia" w:asciiTheme="minorEastAsia" w:hAnsiTheme="minorEastAsia" w:eastAsiaTheme="minorEastAsia" w:cstheme="minorEastAsia"/>
          <w:spacing w:val="-4"/>
          <w:sz w:val="24"/>
          <w:szCs w:val="24"/>
          <w:lang w:val="en-US" w:eastAsia="zh-CN"/>
        </w:rPr>
        <w:t>上传</w:t>
      </w:r>
      <w:r>
        <w:rPr>
          <w:rFonts w:hint="eastAsia" w:asciiTheme="minorEastAsia" w:hAnsiTheme="minorEastAsia" w:eastAsiaTheme="minorEastAsia" w:cstheme="minorEastAsia"/>
          <w:spacing w:val="-4"/>
          <w:sz w:val="24"/>
          <w:szCs w:val="24"/>
          <w:lang w:eastAsia="zh-CN"/>
        </w:rPr>
        <w:t>截止时间前到达交易系统。逾期到达交易系统的电子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文件视为放弃本次</w:t>
      </w:r>
      <w:r>
        <w:rPr>
          <w:rFonts w:hint="eastAsia" w:asciiTheme="minorEastAsia" w:hAnsiTheme="minorEastAsia" w:eastAsiaTheme="minorEastAsia" w:cstheme="minorEastAsia"/>
          <w:spacing w:val="-4"/>
          <w:sz w:val="24"/>
          <w:szCs w:val="24"/>
          <w:lang w:val="en-US" w:eastAsia="zh-CN"/>
        </w:rPr>
        <w:t>磋商</w:t>
      </w:r>
      <w:r>
        <w:rPr>
          <w:rFonts w:hint="eastAsia" w:asciiTheme="minorEastAsia" w:hAnsiTheme="minorEastAsia" w:eastAsiaTheme="minorEastAsia" w:cstheme="minorEastAsia"/>
          <w:spacing w:val="-4"/>
          <w:sz w:val="24"/>
          <w:szCs w:val="24"/>
          <w:lang w:eastAsia="zh-CN"/>
        </w:rPr>
        <w:t>。</w:t>
      </w:r>
    </w:p>
    <w:p w14:paraId="5338FC57">
      <w:pPr>
        <w:keepNext w:val="0"/>
        <w:keepLines w:val="0"/>
        <w:pageBreakBefore w:val="0"/>
        <w:shd w:val="clear" w:color="auto" w:fill="FFFFFF"/>
        <w:kinsoku/>
        <w:wordWrap w:val="0"/>
        <w:overflowPunct/>
        <w:topLinePunct w:val="0"/>
        <w:bidi w:val="0"/>
        <w:spacing w:line="360" w:lineRule="auto"/>
        <w:ind w:firstLine="464" w:firstLineChars="200"/>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pacing w:val="-4"/>
          <w:sz w:val="24"/>
          <w:szCs w:val="24"/>
          <w:lang w:eastAsia="zh-CN"/>
        </w:rPr>
        <w:t>本项目采用全流程电子化，供应商应在电子响应文件上传截止时间前登录不见面开标大厅，所有准备工作需要自行到位。</w:t>
      </w:r>
      <w:r>
        <w:rPr>
          <w:rFonts w:hint="eastAsia" w:asciiTheme="minorEastAsia" w:hAnsiTheme="minorEastAsia" w:eastAsiaTheme="minorEastAsia" w:cstheme="minorEastAsia"/>
          <w:spacing w:val="-4"/>
          <w:sz w:val="24"/>
          <w:szCs w:val="24"/>
          <w:lang w:val="en-US" w:eastAsia="zh-CN"/>
        </w:rPr>
        <w:t>开启</w:t>
      </w:r>
      <w:r>
        <w:rPr>
          <w:rFonts w:hint="eastAsia" w:asciiTheme="minorEastAsia" w:hAnsiTheme="minorEastAsia" w:eastAsiaTheme="minorEastAsia" w:cstheme="minorEastAsia"/>
          <w:spacing w:val="-4"/>
          <w:sz w:val="24"/>
          <w:szCs w:val="24"/>
          <w:lang w:eastAsia="zh-CN"/>
        </w:rPr>
        <w:t>过程中如遇到紧急事项，可在不见面开标大厅中进行提出异议或文字交流，严重问题可拨打技术支持电话0377-61176137。</w:t>
      </w:r>
      <w:r>
        <w:rPr>
          <w:rFonts w:hint="eastAsia" w:asciiTheme="minorEastAsia" w:hAnsiTheme="minorEastAsia" w:eastAsiaTheme="minorEastAsia" w:cstheme="minorEastAsia"/>
          <w:spacing w:val="-4"/>
          <w:sz w:val="24"/>
          <w:szCs w:val="24"/>
          <w:lang w:val="en-US" w:eastAsia="zh-CN"/>
        </w:rPr>
        <w:t>开启</w:t>
      </w:r>
      <w:r>
        <w:rPr>
          <w:rFonts w:hint="eastAsia" w:asciiTheme="minorEastAsia" w:hAnsiTheme="minorEastAsia" w:eastAsiaTheme="minorEastAsia" w:cstheme="minorEastAsia"/>
          <w:spacing w:val="-4"/>
          <w:sz w:val="24"/>
          <w:szCs w:val="24"/>
          <w:lang w:eastAsia="zh-CN"/>
        </w:rPr>
        <w:t>过程中，如</w:t>
      </w:r>
      <w:r>
        <w:rPr>
          <w:rFonts w:hint="eastAsia" w:asciiTheme="minorEastAsia" w:hAnsiTheme="minorEastAsia" w:eastAsiaTheme="minorEastAsia" w:cstheme="minorEastAsia"/>
          <w:spacing w:val="-4"/>
          <w:sz w:val="24"/>
          <w:szCs w:val="24"/>
          <w:lang w:val="en-US" w:eastAsia="zh-CN"/>
        </w:rPr>
        <w:t>因供应商</w:t>
      </w:r>
      <w:r>
        <w:rPr>
          <w:rFonts w:hint="eastAsia" w:asciiTheme="minorEastAsia" w:hAnsiTheme="minorEastAsia" w:eastAsiaTheme="minorEastAsia" w:cstheme="minorEastAsia"/>
          <w:spacing w:val="-4"/>
          <w:sz w:val="24"/>
          <w:szCs w:val="24"/>
          <w:lang w:eastAsia="zh-CN"/>
        </w:rPr>
        <w:t>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w:t>
      </w:r>
      <w:r>
        <w:rPr>
          <w:rFonts w:hint="eastAsia" w:asciiTheme="minorEastAsia" w:hAnsiTheme="minorEastAsia" w:eastAsiaTheme="minorEastAsia" w:cstheme="minorEastAsia"/>
          <w:spacing w:val="-4"/>
          <w:sz w:val="24"/>
          <w:szCs w:val="24"/>
          <w:lang w:eastAsia="zh-CN"/>
        </w:rPr>
        <w:t>造成无法及时解密的，视为该</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自动放弃，将被退回</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文件”。电子交易系统技术支持电话：0512-58188538</w:t>
      </w:r>
      <w:r>
        <w:rPr>
          <w:rFonts w:hint="eastAsia" w:asciiTheme="minorEastAsia" w:hAnsiTheme="minorEastAsia" w:eastAsiaTheme="minorEastAsia" w:cstheme="minorEastAsia"/>
          <w:spacing w:val="-4"/>
          <w:sz w:val="24"/>
          <w:szCs w:val="24"/>
          <w:lang w:val="en-US" w:eastAsia="zh-CN"/>
        </w:rPr>
        <w:t>。</w:t>
      </w:r>
    </w:p>
    <w:p w14:paraId="02E08383">
      <w:pPr>
        <w:pStyle w:val="2"/>
        <w:keepNext w:val="0"/>
        <w:keepLines w:val="0"/>
        <w:pageBreakBefore w:val="0"/>
        <w:kinsoku/>
        <w:wordWrap w:val="0"/>
        <w:overflowPunct/>
        <w:topLinePunct w:val="0"/>
        <w:bidi w:val="0"/>
        <w:spacing w:before="79" w:line="222" w:lineRule="auto"/>
        <w:ind w:left="15"/>
        <w:jc w:val="both"/>
        <w:outlineLvl w:val="1"/>
        <w:rPr>
          <w:rFonts w:hint="eastAsia"/>
          <w:spacing w:val="-3"/>
          <w:sz w:val="24"/>
          <w:szCs w:val="24"/>
          <w:lang w:val="en-US" w:eastAsia="zh-CN"/>
          <w14:textOutline w14:w="1537" w14:cap="flat" w14:cmpd="sng">
            <w14:solidFill>
              <w14:srgbClr w14:val="000000"/>
            </w14:solidFill>
            <w14:prstDash w14:val="solid"/>
            <w14:miter w14:val="0"/>
          </w14:textOutline>
        </w:rPr>
      </w:pPr>
    </w:p>
    <w:p w14:paraId="3ACEACEA">
      <w:pPr>
        <w:pStyle w:val="2"/>
        <w:keepNext w:val="0"/>
        <w:keepLines w:val="0"/>
        <w:pageBreakBefore w:val="0"/>
        <w:kinsoku/>
        <w:wordWrap w:val="0"/>
        <w:overflowPunct/>
        <w:topLinePunct w:val="0"/>
        <w:bidi w:val="0"/>
        <w:spacing w:before="79" w:line="222" w:lineRule="auto"/>
        <w:ind w:left="15"/>
        <w:jc w:val="both"/>
        <w:outlineLvl w:val="1"/>
        <w:rPr>
          <w:rFonts w:hint="default" w:eastAsia="宋体"/>
          <w:sz w:val="24"/>
          <w:szCs w:val="24"/>
          <w:lang w:val="en-US" w:eastAsia="zh-CN"/>
        </w:rPr>
      </w:pPr>
      <w:r>
        <w:rPr>
          <w:rFonts w:hint="eastAsia"/>
          <w:spacing w:val="-3"/>
          <w:sz w:val="24"/>
          <w:szCs w:val="24"/>
          <w:lang w:val="en-US" w:eastAsia="zh-CN"/>
          <w14:textOutline w14:w="1537" w14:cap="flat" w14:cmpd="sng">
            <w14:solidFill>
              <w14:srgbClr w14:val="000000"/>
            </w14:solidFill>
            <w14:prstDash w14:val="solid"/>
            <w14:miter w14:val="0"/>
          </w14:textOutline>
        </w:rPr>
        <w:t>六</w:t>
      </w:r>
      <w:r>
        <w:rPr>
          <w:spacing w:val="-3"/>
          <w:sz w:val="24"/>
          <w:szCs w:val="24"/>
          <w14:textOutline w14:w="1537" w14:cap="flat" w14:cmpd="sng">
            <w14:solidFill>
              <w14:srgbClr w14:val="000000"/>
            </w14:solidFill>
            <w14:prstDash w14:val="solid"/>
            <w14:miter w14:val="0"/>
          </w14:textOutline>
        </w:rPr>
        <w:t>、</w:t>
      </w:r>
      <w:r>
        <w:rPr>
          <w:rFonts w:hint="eastAsia"/>
          <w:spacing w:val="-3"/>
          <w:sz w:val="24"/>
          <w:szCs w:val="24"/>
          <w:lang w:val="en-US" w:eastAsia="zh-CN"/>
          <w14:textOutline w14:w="1537" w14:cap="flat" w14:cmpd="sng">
            <w14:solidFill>
              <w14:srgbClr w14:val="000000"/>
            </w14:solidFill>
            <w14:prstDash w14:val="solid"/>
            <w14:miter w14:val="0"/>
          </w14:textOutline>
        </w:rPr>
        <w:t>上传截止时间、</w:t>
      </w:r>
      <w:r>
        <w:rPr>
          <w:spacing w:val="-3"/>
          <w:sz w:val="24"/>
          <w:szCs w:val="24"/>
          <w14:textOutline w14:w="1537" w14:cap="flat" w14:cmpd="sng">
            <w14:solidFill>
              <w14:srgbClr w14:val="000000"/>
            </w14:solidFill>
            <w14:prstDash w14:val="solid"/>
            <w14:miter w14:val="0"/>
          </w14:textOutline>
        </w:rPr>
        <w:t>开启</w:t>
      </w:r>
      <w:r>
        <w:rPr>
          <w:rFonts w:hint="eastAsia"/>
          <w:spacing w:val="-3"/>
          <w:sz w:val="24"/>
          <w:szCs w:val="24"/>
          <w:lang w:val="en-US" w:eastAsia="zh-CN"/>
          <w14:textOutline w14:w="1537" w14:cap="flat" w14:cmpd="sng">
            <w14:solidFill>
              <w14:srgbClr w14:val="000000"/>
            </w14:solidFill>
            <w14:prstDash w14:val="solid"/>
            <w14:miter w14:val="0"/>
          </w14:textOutline>
        </w:rPr>
        <w:t>响应文件时间和地点</w:t>
      </w:r>
    </w:p>
    <w:p w14:paraId="726404A7">
      <w:pPr>
        <w:pStyle w:val="2"/>
        <w:keepNext w:val="0"/>
        <w:keepLines w:val="0"/>
        <w:pageBreakBefore w:val="0"/>
        <w:kinsoku/>
        <w:wordWrap w:val="0"/>
        <w:overflowPunct/>
        <w:topLinePunct w:val="0"/>
        <w:bidi w:val="0"/>
        <w:spacing w:before="181" w:line="220" w:lineRule="auto"/>
        <w:jc w:val="both"/>
        <w:rPr>
          <w:sz w:val="24"/>
          <w:szCs w:val="24"/>
          <w:highlight w:val="none"/>
        </w:rPr>
      </w:pPr>
      <w:r>
        <w:rPr>
          <w:spacing w:val="-25"/>
          <w:sz w:val="24"/>
          <w:szCs w:val="24"/>
          <w:highlight w:val="none"/>
        </w:rPr>
        <w:t>时间：</w:t>
      </w:r>
      <w:r>
        <w:rPr>
          <w:rFonts w:hint="eastAsia" w:asciiTheme="minorEastAsia" w:hAnsiTheme="minorEastAsia" w:eastAsiaTheme="minorEastAsia" w:cstheme="minorEastAsia"/>
          <w:spacing w:val="-14"/>
          <w:sz w:val="24"/>
          <w:szCs w:val="24"/>
          <w:highlight w:val="none"/>
          <w:u w:val="single"/>
          <w:lang w:val="en-US" w:eastAsia="zh-CN"/>
        </w:rPr>
        <w:t xml:space="preserve"> 2026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年</w:t>
      </w:r>
      <w:r>
        <w:rPr>
          <w:rFonts w:hint="eastAsia" w:asciiTheme="minorEastAsia" w:hAnsiTheme="minorEastAsia" w:eastAsiaTheme="minorEastAsia" w:cstheme="minorEastAsia"/>
          <w:snapToGrid w:val="0"/>
          <w:color w:val="000000"/>
          <w:spacing w:val="-4"/>
          <w:kern w:val="0"/>
          <w:sz w:val="24"/>
          <w:szCs w:val="24"/>
          <w:highlight w:val="none"/>
          <w:u w:val="single"/>
          <w:lang w:val="en-US" w:eastAsia="zh-CN" w:bidi="ar-SA"/>
        </w:rPr>
        <w:t xml:space="preserve"> 8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月</w:t>
      </w:r>
      <w:r>
        <w:rPr>
          <w:rFonts w:hint="eastAsia" w:asciiTheme="minorEastAsia" w:hAnsiTheme="minorEastAsia" w:eastAsiaTheme="minorEastAsia" w:cstheme="minorEastAsia"/>
          <w:snapToGrid w:val="0"/>
          <w:color w:val="000000"/>
          <w:spacing w:val="-4"/>
          <w:kern w:val="0"/>
          <w:sz w:val="24"/>
          <w:szCs w:val="24"/>
          <w:highlight w:val="none"/>
          <w:u w:val="single"/>
          <w:lang w:val="en-US" w:eastAsia="zh-CN" w:bidi="ar-SA"/>
        </w:rPr>
        <w:t xml:space="preserve"> 19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日</w:t>
      </w:r>
      <w:r>
        <w:rPr>
          <w:rFonts w:hint="eastAsia" w:asciiTheme="minorEastAsia" w:hAnsiTheme="minorEastAsia" w:eastAsiaTheme="minorEastAsia" w:cstheme="minorEastAsia"/>
          <w:snapToGrid w:val="0"/>
          <w:color w:val="000000"/>
          <w:spacing w:val="-4"/>
          <w:kern w:val="0"/>
          <w:sz w:val="24"/>
          <w:szCs w:val="24"/>
          <w:highlight w:val="none"/>
          <w:u w:val="single"/>
          <w:lang w:val="en-US" w:eastAsia="zh-CN" w:bidi="ar-SA"/>
        </w:rPr>
        <w:t xml:space="preserve"> 9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点</w:t>
      </w:r>
      <w:r>
        <w:rPr>
          <w:rFonts w:hint="eastAsia" w:asciiTheme="minorEastAsia" w:hAnsiTheme="minorEastAsia" w:eastAsiaTheme="minorEastAsia" w:cstheme="minorEastAsia"/>
          <w:snapToGrid w:val="0"/>
          <w:color w:val="000000"/>
          <w:spacing w:val="-4"/>
          <w:kern w:val="0"/>
          <w:sz w:val="24"/>
          <w:szCs w:val="24"/>
          <w:highlight w:val="none"/>
          <w:u w:val="single"/>
          <w:lang w:val="en-US" w:eastAsia="zh-CN" w:bidi="ar-SA"/>
        </w:rPr>
        <w:t xml:space="preserve"> 00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分</w:t>
      </w:r>
      <w:r>
        <w:rPr>
          <w:spacing w:val="-25"/>
          <w:sz w:val="24"/>
          <w:szCs w:val="24"/>
          <w:highlight w:val="none"/>
        </w:rPr>
        <w:t>（北京时间）。</w:t>
      </w:r>
    </w:p>
    <w:p w14:paraId="5CB54715">
      <w:pPr>
        <w:pStyle w:val="2"/>
        <w:keepNext w:val="0"/>
        <w:keepLines w:val="0"/>
        <w:pageBreakBefore w:val="0"/>
        <w:kinsoku/>
        <w:wordWrap w:val="0"/>
        <w:overflowPunct/>
        <w:topLinePunct w:val="0"/>
        <w:bidi w:val="0"/>
        <w:spacing w:before="180" w:line="189" w:lineRule="auto"/>
        <w:jc w:val="both"/>
        <w:rPr>
          <w:rFonts w:hint="eastAsia" w:ascii="Arial" w:hAnsi="Arial" w:eastAsia="宋体" w:cs="Arial"/>
          <w:sz w:val="24"/>
          <w:szCs w:val="24"/>
          <w:highlight w:val="none"/>
          <w:lang w:eastAsia="zh-CN"/>
        </w:rPr>
      </w:pPr>
      <w:r>
        <w:rPr>
          <w:spacing w:val="-31"/>
          <w:sz w:val="24"/>
          <w:szCs w:val="24"/>
          <w:highlight w:val="none"/>
        </w:rPr>
        <w:t>地点：</w:t>
      </w:r>
      <w:r>
        <w:rPr>
          <w:rFonts w:hint="eastAsia" w:asciiTheme="minorEastAsia" w:hAnsiTheme="minorEastAsia" w:eastAsiaTheme="minorEastAsia" w:cstheme="minorEastAsia"/>
          <w:sz w:val="24"/>
          <w:szCs w:val="24"/>
          <w:highlight w:val="none"/>
          <w:lang w:eastAsia="zh-CN"/>
        </w:rPr>
        <w:t>全国公共资源交易平台（河南省·南阳市）</w:t>
      </w:r>
      <w:r>
        <w:rPr>
          <w:rFonts w:hint="eastAsia" w:asciiTheme="minorEastAsia" w:hAnsiTheme="minorEastAsia" w:eastAsiaTheme="minorEastAsia" w:cstheme="minorEastAsia"/>
          <w:sz w:val="24"/>
          <w:szCs w:val="24"/>
          <w:highlight w:val="none"/>
        </w:rPr>
        <w:t>https://ggzyjy.nanyang.gov.cn</w:t>
      </w:r>
    </w:p>
    <w:p w14:paraId="14F3D842">
      <w:pPr>
        <w:keepNext w:val="0"/>
        <w:keepLines w:val="0"/>
        <w:pageBreakBefore w:val="0"/>
        <w:kinsoku/>
        <w:wordWrap w:val="0"/>
        <w:overflowPunct/>
        <w:topLinePunct w:val="0"/>
        <w:bidi w:val="0"/>
        <w:spacing w:line="269" w:lineRule="auto"/>
        <w:jc w:val="both"/>
        <w:rPr>
          <w:rFonts w:ascii="Arial"/>
          <w:sz w:val="21"/>
          <w:highlight w:val="none"/>
        </w:rPr>
      </w:pPr>
    </w:p>
    <w:p w14:paraId="3D2DB298">
      <w:pPr>
        <w:keepNext w:val="0"/>
        <w:keepLines w:val="0"/>
        <w:pageBreakBefore w:val="0"/>
        <w:kinsoku/>
        <w:wordWrap w:val="0"/>
        <w:overflowPunct/>
        <w:topLinePunct w:val="0"/>
        <w:bidi w:val="0"/>
        <w:spacing w:line="269" w:lineRule="auto"/>
        <w:jc w:val="both"/>
        <w:rPr>
          <w:rFonts w:ascii="Arial"/>
          <w:sz w:val="21"/>
          <w:highlight w:val="none"/>
        </w:rPr>
      </w:pPr>
    </w:p>
    <w:p w14:paraId="4E5E71A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highlight w:val="none"/>
        </w:rPr>
      </w:pPr>
      <w:r>
        <w:rPr>
          <w:rFonts w:hint="eastAsia"/>
          <w:spacing w:val="-2"/>
          <w:sz w:val="24"/>
          <w:szCs w:val="24"/>
          <w:highlight w:val="none"/>
          <w:lang w:val="en-US" w:eastAsia="zh-CN"/>
          <w14:textOutline w14:w="1537" w14:cap="flat" w14:cmpd="sng">
            <w14:solidFill>
              <w14:srgbClr w14:val="000000"/>
            </w14:solidFill>
            <w14:prstDash w14:val="solid"/>
            <w14:miter w14:val="0"/>
          </w14:textOutline>
        </w:rPr>
        <w:t>七</w:t>
      </w:r>
      <w:r>
        <w:rPr>
          <w:spacing w:val="-2"/>
          <w:sz w:val="24"/>
          <w:szCs w:val="24"/>
          <w:highlight w:val="none"/>
          <w14:textOutline w14:w="1537" w14:cap="flat" w14:cmpd="sng">
            <w14:solidFill>
              <w14:srgbClr w14:val="000000"/>
            </w14:solidFill>
            <w14:prstDash w14:val="solid"/>
            <w14:miter w14:val="0"/>
          </w14:textOutline>
        </w:rPr>
        <w:t>、公告期限</w:t>
      </w:r>
      <w:bookmarkStart w:id="16" w:name="_GoBack"/>
      <w:bookmarkEnd w:id="16"/>
    </w:p>
    <w:p w14:paraId="6B51204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3"/>
          <w:sz w:val="24"/>
          <w:szCs w:val="24"/>
          <w:highlight w:val="none"/>
          <w:lang w:eastAsia="zh-CN"/>
        </w:rPr>
      </w:pPr>
      <w:r>
        <w:rPr>
          <w:rFonts w:hint="eastAsia" w:asciiTheme="minorEastAsia" w:hAnsiTheme="minorEastAsia" w:eastAsiaTheme="minorEastAsia" w:cstheme="minorEastAsia"/>
          <w:spacing w:val="-13"/>
          <w:sz w:val="24"/>
          <w:szCs w:val="24"/>
          <w:highlight w:val="none"/>
          <w:u w:val="single"/>
          <w:lang w:val="en-US" w:eastAsia="zh-CN"/>
        </w:rPr>
        <w:t xml:space="preserve"> 2026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8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8 </w:t>
      </w:r>
      <w:r>
        <w:rPr>
          <w:rFonts w:hint="eastAsia" w:asciiTheme="minorEastAsia" w:hAnsiTheme="minorEastAsia" w:eastAsiaTheme="minorEastAsia" w:cstheme="minorEastAsia"/>
          <w:spacing w:val="-13"/>
          <w:sz w:val="24"/>
          <w:szCs w:val="24"/>
          <w:highlight w:val="none"/>
        </w:rPr>
        <w:t>日至</w:t>
      </w:r>
      <w:r>
        <w:rPr>
          <w:rFonts w:hint="eastAsia" w:asciiTheme="minorEastAsia" w:hAnsiTheme="minorEastAsia" w:eastAsiaTheme="minorEastAsia" w:cstheme="minorEastAsia"/>
          <w:spacing w:val="-13"/>
          <w:sz w:val="24"/>
          <w:szCs w:val="24"/>
          <w:highlight w:val="none"/>
          <w:u w:val="single"/>
          <w:lang w:val="en-US" w:eastAsia="zh-CN"/>
        </w:rPr>
        <w:t xml:space="preserve"> 2026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8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12 </w:t>
      </w:r>
      <w:r>
        <w:rPr>
          <w:rFonts w:hint="eastAsia" w:asciiTheme="minorEastAsia" w:hAnsiTheme="minorEastAsia" w:eastAsiaTheme="minorEastAsia" w:cstheme="minorEastAsia"/>
          <w:spacing w:val="-13"/>
          <w:sz w:val="24"/>
          <w:szCs w:val="24"/>
          <w:highlight w:val="none"/>
        </w:rPr>
        <w:t>日</w:t>
      </w:r>
      <w:r>
        <w:rPr>
          <w:rFonts w:hint="eastAsia" w:asciiTheme="minorEastAsia" w:hAnsiTheme="minorEastAsia" w:eastAsiaTheme="minorEastAsia" w:cstheme="minorEastAsia"/>
          <w:spacing w:val="-13"/>
          <w:sz w:val="24"/>
          <w:szCs w:val="24"/>
          <w:highlight w:val="none"/>
          <w:lang w:eastAsia="zh-CN"/>
        </w:rPr>
        <w:t>。</w:t>
      </w:r>
    </w:p>
    <w:p w14:paraId="7DDFB747">
      <w:pPr>
        <w:keepNext w:val="0"/>
        <w:keepLines w:val="0"/>
        <w:pageBreakBefore w:val="0"/>
        <w:kinsoku/>
        <w:wordWrap w:val="0"/>
        <w:overflowPunct/>
        <w:topLinePunct w:val="0"/>
        <w:bidi w:val="0"/>
        <w:spacing w:line="259" w:lineRule="auto"/>
        <w:jc w:val="both"/>
        <w:rPr>
          <w:rFonts w:ascii="Arial"/>
          <w:sz w:val="21"/>
        </w:rPr>
      </w:pPr>
    </w:p>
    <w:p w14:paraId="7F109EAC">
      <w:pPr>
        <w:keepNext w:val="0"/>
        <w:keepLines w:val="0"/>
        <w:pageBreakBefore w:val="0"/>
        <w:kinsoku/>
        <w:wordWrap w:val="0"/>
        <w:overflowPunct/>
        <w:topLinePunct w:val="0"/>
        <w:bidi w:val="0"/>
        <w:spacing w:line="260" w:lineRule="auto"/>
        <w:jc w:val="both"/>
        <w:rPr>
          <w:rFonts w:ascii="Arial"/>
          <w:sz w:val="21"/>
        </w:rPr>
      </w:pPr>
    </w:p>
    <w:p w14:paraId="3991422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1"/>
          <w:sz w:val="24"/>
          <w:szCs w:val="24"/>
          <w:lang w:val="en-US" w:eastAsia="zh-CN"/>
          <w14:textOutline w14:w="1537" w14:cap="flat" w14:cmpd="sng">
            <w14:solidFill>
              <w14:srgbClr w14:val="000000"/>
            </w14:solidFill>
            <w14:prstDash w14:val="solid"/>
            <w14:miter w14:val="0"/>
          </w14:textOutline>
        </w:rPr>
        <w:t>八</w:t>
      </w:r>
      <w:r>
        <w:rPr>
          <w:spacing w:val="-1"/>
          <w:sz w:val="24"/>
          <w:szCs w:val="24"/>
          <w14:textOutline w14:w="1537" w14:cap="flat" w14:cmpd="sng">
            <w14:solidFill>
              <w14:srgbClr w14:val="000000"/>
            </w14:solidFill>
            <w14:prstDash w14:val="solid"/>
            <w14:miter w14:val="0"/>
          </w14:textOutline>
        </w:rPr>
        <w:t>、其他补充事宜</w:t>
      </w:r>
    </w:p>
    <w:p w14:paraId="05BFB54F">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4" w:firstLineChars="200"/>
        <w:jc w:val="both"/>
        <w:textAlignment w:val="baseline"/>
        <w:rPr>
          <w:rFonts w:hint="default" w:asciiTheme="minorEastAsia" w:hAnsiTheme="minorEastAsia" w:eastAsiaTheme="minorEastAsia" w:cstheme="minorEastAsia"/>
          <w:spacing w:val="-9"/>
          <w:sz w:val="24"/>
          <w:szCs w:val="24"/>
          <w:u w:val="none"/>
          <w:lang w:val="en-US" w:eastAsia="zh-CN"/>
        </w:rPr>
      </w:pPr>
      <w:r>
        <w:rPr>
          <w:rFonts w:hint="eastAsia" w:asciiTheme="minorEastAsia" w:hAnsiTheme="minorEastAsia" w:eastAsiaTheme="minorEastAsia" w:cstheme="minorEastAsia"/>
          <w:spacing w:val="-9"/>
          <w:sz w:val="24"/>
          <w:szCs w:val="24"/>
          <w:lang w:val="en-US" w:eastAsia="zh-CN"/>
        </w:rPr>
        <w:t>本次招标公告在河南省政府采购网、全国公共资源交易平台（河南省·南阳市）发布</w:t>
      </w:r>
    </w:p>
    <w:p w14:paraId="25D8ED4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p>
    <w:p w14:paraId="2218B1C6">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采购提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14:paraId="6BC8528D">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t>1.采购人信息</w:t>
      </w:r>
    </w:p>
    <w:p w14:paraId="537811D5">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名称：南阳市公安局交通管理支队</w:t>
      </w:r>
    </w:p>
    <w:p w14:paraId="42B07D56">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地址：南阳市新华路166号</w:t>
      </w:r>
    </w:p>
    <w:p w14:paraId="3AFBF81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color w:val="auto"/>
          <w:spacing w:val="-15"/>
          <w:sz w:val="24"/>
          <w:szCs w:val="24"/>
          <w:lang w:val="en-US" w:eastAsia="zh-CN"/>
        </w:rPr>
      </w:pPr>
      <w:r>
        <w:rPr>
          <w:rFonts w:hint="eastAsia" w:asciiTheme="minorEastAsia" w:hAnsiTheme="minorEastAsia" w:eastAsiaTheme="minorEastAsia" w:cstheme="minorEastAsia"/>
          <w:color w:val="auto"/>
          <w:spacing w:val="-15"/>
          <w:sz w:val="24"/>
          <w:szCs w:val="24"/>
          <w:lang w:val="en-US" w:eastAsia="zh-CN"/>
        </w:rPr>
        <w:t>联系人：陈先生</w:t>
      </w:r>
    </w:p>
    <w:p w14:paraId="36C87243">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pacing w:val="-15"/>
          <w:sz w:val="24"/>
          <w:szCs w:val="24"/>
        </w:rPr>
        <w:t>联系方式：</w:t>
      </w:r>
      <w:r>
        <w:rPr>
          <w:rFonts w:hint="eastAsia" w:asciiTheme="minorEastAsia" w:hAnsiTheme="minorEastAsia" w:eastAsiaTheme="minorEastAsia" w:cstheme="minorEastAsia"/>
          <w:color w:val="auto"/>
          <w:spacing w:val="-15"/>
          <w:sz w:val="24"/>
          <w:szCs w:val="24"/>
          <w:lang w:val="en-US" w:eastAsia="zh-CN"/>
        </w:rPr>
        <w:t>0377-61231106</w:t>
      </w:r>
    </w:p>
    <w:p w14:paraId="00BD71D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b/>
          <w:bCs/>
          <w:spacing w:val="4"/>
          <w:sz w:val="24"/>
          <w:szCs w:val="24"/>
        </w:rPr>
      </w:pPr>
    </w:p>
    <w:p w14:paraId="0A643EE2">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14:paraId="7FC0990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名称：南阳市公共资源交易中心</w:t>
      </w:r>
    </w:p>
    <w:p w14:paraId="291A66C5">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地址：南阳市范蠡东路与南都路交叉口市民服务中心中区3号楼5楼</w:t>
      </w:r>
    </w:p>
    <w:p w14:paraId="06858FDF">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联系人：黄先生</w:t>
      </w:r>
    </w:p>
    <w:p w14:paraId="61262AD7">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联系方式：0377-61176178</w:t>
      </w:r>
    </w:p>
    <w:p w14:paraId="422C713D">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b/>
          <w:bCs/>
          <w:spacing w:val="5"/>
          <w:sz w:val="24"/>
          <w:szCs w:val="24"/>
        </w:rPr>
      </w:pPr>
    </w:p>
    <w:p w14:paraId="24CC280C">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spacing w:val="5"/>
          <w:sz w:val="24"/>
          <w:szCs w:val="24"/>
          <w:u w:val="single"/>
          <w:lang w:val="en-US" w:eastAsia="zh-CN"/>
        </w:rPr>
      </w:pPr>
      <w:r>
        <w:rPr>
          <w:rFonts w:hint="eastAsia" w:asciiTheme="minorEastAsia" w:hAnsiTheme="minorEastAsia" w:eastAsiaTheme="minorEastAsia" w:cstheme="minorEastAsia"/>
          <w:spacing w:val="4"/>
          <w:sz w:val="24"/>
          <w:szCs w:val="24"/>
          <w:lang w:val="en-US" w:eastAsia="zh-CN"/>
          <w14:textOutline w14:w="1537" w14:cap="flat" w14:cmpd="sng">
            <w14:solidFill>
              <w14:srgbClr w14:val="000000"/>
            </w14:solidFill>
            <w14:prstDash w14:val="solid"/>
            <w14:miter w14:val="0"/>
          </w14:textOutline>
        </w:rPr>
        <w:t>3、网址：</w:t>
      </w:r>
      <w:r>
        <w:rPr>
          <w:rFonts w:hint="eastAsia" w:asciiTheme="minorEastAsia" w:hAnsiTheme="minorEastAsia" w:eastAsiaTheme="minorEastAsia" w:cstheme="minorEastAsia"/>
          <w:spacing w:val="-15"/>
          <w:sz w:val="24"/>
          <w:szCs w:val="24"/>
          <w:lang w:val="en-US" w:eastAsia="zh-CN"/>
        </w:rPr>
        <w:t>https://ggzyjy.nanyang.gov.cn   E-mail:nyszfcgzx@126.com</w:t>
      </w:r>
    </w:p>
    <w:p w14:paraId="6971A5A7">
      <w:pPr>
        <w:pStyle w:val="2"/>
        <w:keepNext w:val="0"/>
        <w:keepLines w:val="0"/>
        <w:pageBreakBefore w:val="0"/>
        <w:numPr>
          <w:ilvl w:val="0"/>
          <w:numId w:val="0"/>
        </w:numPr>
        <w:kinsoku/>
        <w:wordWrap w:val="0"/>
        <w:overflowPunct/>
        <w:topLinePunct w:val="0"/>
        <w:bidi w:val="0"/>
        <w:spacing w:before="352" w:line="690" w:lineRule="exact"/>
        <w:jc w:val="both"/>
        <w:rPr>
          <w:rFonts w:hint="eastAsia" w:ascii="仿宋_GB2312" w:hAnsi="宋体" w:eastAsia="仿宋_GB2312"/>
          <w:color w:val="0000FF"/>
          <w:sz w:val="28"/>
          <w:szCs w:val="28"/>
          <w:lang w:val="en-US" w:eastAsia="zh-CN"/>
        </w:rPr>
      </w:pPr>
    </w:p>
    <w:p w14:paraId="69AA50F5">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250" w:firstLineChars="2500"/>
        <w:jc w:val="both"/>
        <w:textAlignment w:val="baseline"/>
        <w:outlineLvl w:val="1"/>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南阳市公共资源交易中心</w:t>
      </w:r>
    </w:p>
    <w:p w14:paraId="56642D5D">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564" w:firstLineChars="2600"/>
        <w:jc w:val="both"/>
        <w:textAlignment w:val="baseline"/>
        <w:outlineLvl w:val="1"/>
        <w:rPr>
          <w:rFonts w:hint="default" w:asciiTheme="minorEastAsia" w:hAnsiTheme="minorEastAsia" w:eastAsiaTheme="minorEastAsia" w:cstheme="minorEastAsia"/>
          <w:spacing w:val="-15"/>
          <w:sz w:val="24"/>
          <w:szCs w:val="24"/>
          <w:highlight w:val="none"/>
          <w:lang w:val="en-US" w:eastAsia="zh-CN"/>
        </w:rPr>
      </w:pPr>
      <w:r>
        <w:rPr>
          <w:rFonts w:hint="eastAsia" w:asciiTheme="minorEastAsia" w:hAnsiTheme="minorEastAsia" w:eastAsiaTheme="minorEastAsia" w:cstheme="minorEastAsia"/>
          <w:spacing w:val="-13"/>
          <w:sz w:val="24"/>
          <w:szCs w:val="24"/>
          <w:highlight w:val="none"/>
          <w:u w:val="single"/>
          <w:lang w:val="en-US" w:eastAsia="zh-CN"/>
        </w:rPr>
        <w:t xml:space="preserve"> 2026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8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7 </w:t>
      </w:r>
      <w:r>
        <w:rPr>
          <w:rFonts w:hint="eastAsia" w:asciiTheme="minorEastAsia" w:hAnsiTheme="minorEastAsia" w:eastAsiaTheme="minorEastAsia" w:cstheme="minorEastAsia"/>
          <w:spacing w:val="-13"/>
          <w:sz w:val="24"/>
          <w:szCs w:val="24"/>
          <w:highlight w:val="none"/>
        </w:rPr>
        <w:t>日</w:t>
      </w:r>
    </w:p>
    <w:p w14:paraId="22F4F369">
      <w:pPr>
        <w:pStyle w:val="2"/>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14:paraId="21C4EB0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32BFD67">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A2DD3A1">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F73716C">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5E89D0E">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A4F9D5D">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BD2DC00">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7E3B5B3">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5631344">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39FCD9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14:paraId="0C89639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40948CE2">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p>
    <w:p w14:paraId="706CA714">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（一）维保设备及系统范围：</w:t>
      </w:r>
    </w:p>
    <w:p w14:paraId="09779613">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此次维保设备共有473台，涉及类型为：服务器、存储、交换机、安全设备、光电设备、多计算机切换器、分组传送设备（PTN）、电话交换机、负载均衡、硬盘录像机等。</w:t>
      </w:r>
    </w:p>
    <w:p w14:paraId="7044AF43">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rPr>
        <w:t>注：以上设备数量为参考数据，实际设备数量以现场踏勘为准。上述设备在质保期内出现质量问题由承建单位负责维保，其余非质量问题由维保公司承担。由于涉及信息安全，想了解详情的请到现场了解。</w:t>
      </w:r>
    </w:p>
    <w:p w14:paraId="2533A64E">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200" w:right="0" w:rightChars="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主要应用系统（参考）</w:t>
      </w:r>
    </w:p>
    <w:p w14:paraId="58DEF36E">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主要信息系统共计31套，全国统一版系统6套，自建系统25套。涉及公安网、互联网、视频专网、社会化专网、驻地外网。由于涉及信息安全，需了解详情的请到现场调研。</w:t>
      </w:r>
    </w:p>
    <w:p w14:paraId="363586E6">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default"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供应商持公司踏勘函及踏勘人员身份证复印件提交甲方踏勘后即视为认可现场全部现状，了解机房设备、系统、网络、环境等维保范围，中标后不得以此为由调整报价或缩减服务范围。</w:t>
      </w:r>
    </w:p>
    <w:p w14:paraId="76A1F54F">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200" w:right="0" w:rightChars="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（二）总体服务内容</w:t>
      </w:r>
    </w:p>
    <w:p w14:paraId="18E7B7DA">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服务内容包括但不限于以下内容：</w:t>
      </w:r>
    </w:p>
    <w:p w14:paraId="509D890B">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1、基础环境运维</w:t>
      </w:r>
    </w:p>
    <w:p w14:paraId="385CADE4">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空气调节、电气系统、安全防护等涉及基础环境系统、设备及设施。</w:t>
      </w:r>
    </w:p>
    <w:p w14:paraId="30FCE734">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2、硬件运维</w:t>
      </w:r>
    </w:p>
    <w:p w14:paraId="2736E62B">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对硬件设备的例行检查及状态监控、响应支持、故障处理、性能优化等服务。服务对象包括网络运维服务、主机运维服务、存储运维服务、桌面运维服务以及其他硬件运维服务。</w:t>
      </w:r>
    </w:p>
    <w:p w14:paraId="5F1918EA">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3、安全运维</w:t>
      </w:r>
    </w:p>
    <w:p w14:paraId="4D1D6886">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安全运维对象为物理环境、网络平台、主机系统、应用系统、安全设施、信息数据六类实体对象。</w:t>
      </w:r>
    </w:p>
    <w:p w14:paraId="4BBF9EBB">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4、软件运维</w:t>
      </w:r>
    </w:p>
    <w:p w14:paraId="52CFD43F">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highlight w:val="none"/>
          <w:lang w:val="en-US" w:eastAsia="zh-CN"/>
        </w:rPr>
        <w:t>应当</w:t>
      </w:r>
      <w:r>
        <w:rPr>
          <w:rFonts w:hint="eastAsia" w:asciiTheme="minorEastAsia" w:hAnsiTheme="minorEastAsia" w:eastAsiaTheme="minorEastAsia" w:cstheme="minorEastAsia"/>
          <w:spacing w:val="-1"/>
          <w:sz w:val="24"/>
          <w:szCs w:val="24"/>
          <w:highlight w:val="none"/>
        </w:rPr>
        <w:t>具有自主知识产权或具有知识产权的正版运维工具使用权证明资料，且能满足日常运维灵活部署及要求</w:t>
      </w:r>
      <w:r>
        <w:rPr>
          <w:rFonts w:hint="eastAsia" w:asciiTheme="minorEastAsia" w:hAnsiTheme="minorEastAsia" w:eastAsiaTheme="minorEastAsia" w:cstheme="minorEastAsia"/>
          <w:spacing w:val="-1"/>
          <w:sz w:val="24"/>
          <w:szCs w:val="24"/>
          <w:highlight w:val="none"/>
          <w:lang w:eastAsia="zh-CN"/>
        </w:rPr>
        <w:t>。</w:t>
      </w:r>
      <w:r>
        <w:rPr>
          <w:rFonts w:hint="eastAsia" w:asciiTheme="minorEastAsia" w:hAnsiTheme="minorEastAsia" w:eastAsiaTheme="minorEastAsia" w:cstheme="minorEastAsia"/>
          <w:spacing w:val="-1"/>
          <w:sz w:val="24"/>
          <w:szCs w:val="24"/>
        </w:rPr>
        <w:t>软件运维对象为各系统的操作系统、数据库、中间件、应用、存储、数据，以及业务系统的定时任务等。</w:t>
      </w:r>
    </w:p>
    <w:p w14:paraId="48EFF12F">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5、运维管理</w:t>
      </w:r>
    </w:p>
    <w:p w14:paraId="6628193D">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硬件、软件、安全等综合性运维而提供的管理服务，主要包含制定整体服务规划、建立运维服务流程，对其他各服务厂商的监督管理、服务工作汇总、组织技术培训、在职员工考评及淘汰机制等。</w:t>
      </w:r>
    </w:p>
    <w:p w14:paraId="196297C1">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（三）项目服务要求</w:t>
      </w:r>
    </w:p>
    <w:p w14:paraId="0A59B099">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1、故障处理</w:t>
      </w:r>
    </w:p>
    <w:p w14:paraId="40253555">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成交供应商应可预见相关故障，并制定故障处理预案。对不可预见的突发故障，采购人应根据故障的影响范围，采取必要的服务措施，尽快修复故障，如设备出现不可预见的硬件故障应及时向甲方提出维修/更换故障设备的必要性和可行性结论，确保业务系统的不间断。</w:t>
      </w:r>
    </w:p>
    <w:p w14:paraId="67654054">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2、人员要求</w:t>
      </w:r>
    </w:p>
    <w:p w14:paraId="7E0309B6">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驻场服务人员整体要求</w:t>
      </w:r>
    </w:p>
    <w:p w14:paraId="3018C9B5">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b w:val="0"/>
          <w:bCs w:val="0"/>
          <w:spacing w:val="-1"/>
          <w:sz w:val="24"/>
          <w:szCs w:val="24"/>
          <w:highlight w:val="none"/>
          <w:lang w:val="en-US" w:eastAsia="zh-CN"/>
        </w:rPr>
        <w:t>供应商应完成驻场人员入职前无犯罪记录审查。</w:t>
      </w:r>
      <w:r>
        <w:rPr>
          <w:rFonts w:hint="eastAsia" w:asciiTheme="minorEastAsia" w:hAnsiTheme="minorEastAsia" w:eastAsiaTheme="minorEastAsia" w:cstheme="minorEastAsia"/>
          <w:spacing w:val="-1"/>
          <w:sz w:val="24"/>
          <w:szCs w:val="24"/>
          <w:highlight w:val="none"/>
        </w:rPr>
        <w:t>法定</w:t>
      </w:r>
      <w:r>
        <w:rPr>
          <w:rFonts w:hint="eastAsia" w:asciiTheme="minorEastAsia" w:hAnsiTheme="minorEastAsia" w:eastAsiaTheme="minorEastAsia" w:cstheme="minorEastAsia"/>
          <w:spacing w:val="-1"/>
          <w:sz w:val="24"/>
          <w:szCs w:val="24"/>
        </w:rPr>
        <w:t>工作日至少安排4人驻场坐班服务，其中一人应具备可查询到的“计算机技术与软件专业技术资格”中级以上技术水平资格，非国家级证书不予认可。其他时期安排不少于1人驻场服务，具体需求按采购人的实际要求执行，其他时期包括但不限于节假日、等级勤务等采购方因工作需要提出的工作需求。工作日提供不少于10小时驻场服务，节假日提供不少于8小时服务，其他时间根据采购人要求确定。超出的工作时长，采购方不再另外支付费用。驻场人员名单及相关资料，应在投标时一并提供。且中标后不得变更，如必须变更需按照相关约定执行。</w:t>
      </w:r>
    </w:p>
    <w:p w14:paraId="0A4F9156">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管理岗人员和职责：驻场服务人员需要设技术负责人一名，应至少具备可查询到的“计算机技术与软件专业技术资格”中级以上技术水平资格。具有技术及管理能力和突发事件处理经验，在运行维护服务中负责管理运行维护服务；能够与需方建立顺畅的沟通渠道，准确地将需方的需求传递到运维团队；熟悉并执行规划、检查运行维护服务的各个过程，对运行维护服务的策划、实施、检查、改进的范围、过程、信息安全和成果负责；能够独立完成总结、汇报、演示、培训等与职责相关的能力和技术水平。不能够满足工作要求的，采购方将按照驻场人员比例从总费用中扣除同比例费用。</w:t>
      </w:r>
    </w:p>
    <w:p w14:paraId="75C7A4E3">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技术支持岗人员和职责：具备熟悉网络、操作系统、数据库、中间件、应用开发、硬件、集成、信息安全等相关知识及操作命令，并能够熟练执行相关操作；具备培训驻场人员业务的能力。在运行维护服务中负责技术支持，包括网络、操作系统、数据库、中间件、应用开发、硬件、集成、信息安全等；对运行维护服务过程中的请求、事件和问题做出响应，保障信息安全并对处理结果负责。</w:t>
      </w:r>
    </w:p>
    <w:p w14:paraId="48281AD0">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操作岗人员和职责：具备熟悉网络、操作系统、数据库、中间件、应用开发、硬件、集成、信息安全等相关知识及操作命令，并能够熟练执行相关操作；对上述内容产生的报错、故障代码、故障现象能够掌握故障原理，提出解决意见，实施解决方案。</w:t>
      </w:r>
    </w:p>
    <w:p w14:paraId="60D5EA22">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能够严格按照法律法规、厂家操作手册、系统相关资料、现行技术方法完成运维服务全过程。并对其执行结果负责。</w:t>
      </w:r>
    </w:p>
    <w:p w14:paraId="0E7EEE9E">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供方应建立运行维护服务相关的人员储备计划和考评、淘汰机制，确保有足够的人员以满足与需方约定的当前和未来的运行维护服务需求及服务能力；应建立运行可辨识的维护服务相关的培训体系或机制，以现行的法律法规、国家标准、行业准则、行业技术要求进行定期培训，并书面提交给采购方。</w:t>
      </w:r>
    </w:p>
    <w:p w14:paraId="6DD1AA9F">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default"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rPr>
        <w:t>为避免恶意竞争，投标方应就报价的合理性作出说明，并同时提供驻场人员、技术支持人员名单。成交供应商派驻本项目的运维服务人员应保持人员队伍的稳定，如有变更，必须提前 1 个月向采购人提出申请，且变更人员应具备可查询到的“计算机技术与软件专业技术资格”“中级以上技术水平资格”，并提供人员变更承诺函，保证人员满足相关要求，人员变更申请需经采购人书面同意，方可执行。否则，采购方将按照中标时驻场</w:t>
      </w:r>
      <w:r>
        <w:rPr>
          <w:rFonts w:hint="eastAsia" w:asciiTheme="minorEastAsia" w:hAnsiTheme="minorEastAsia" w:eastAsiaTheme="minorEastAsia" w:cstheme="minorEastAsia"/>
          <w:spacing w:val="-1"/>
          <w:sz w:val="24"/>
          <w:szCs w:val="24"/>
          <w:highlight w:val="none"/>
        </w:rPr>
        <w:t>人员</w:t>
      </w:r>
      <w:r>
        <w:rPr>
          <w:rFonts w:hint="eastAsia" w:asciiTheme="minorEastAsia" w:hAnsiTheme="minorEastAsia" w:eastAsiaTheme="minorEastAsia" w:cstheme="minorEastAsia"/>
          <w:spacing w:val="-1"/>
          <w:sz w:val="24"/>
          <w:szCs w:val="24"/>
          <w:highlight w:val="none"/>
          <w:lang w:val="en-US" w:eastAsia="zh-CN"/>
        </w:rPr>
        <w:t>总数为分母，更换人员数量为分子</w:t>
      </w:r>
      <w:r>
        <w:rPr>
          <w:rFonts w:hint="eastAsia" w:asciiTheme="minorEastAsia" w:hAnsiTheme="minorEastAsia" w:eastAsiaTheme="minorEastAsia" w:cstheme="minorEastAsia"/>
          <w:spacing w:val="-1"/>
          <w:sz w:val="24"/>
          <w:szCs w:val="24"/>
          <w:highlight w:val="none"/>
        </w:rPr>
        <w:t>的比例，同比例从</w:t>
      </w:r>
      <w:r>
        <w:rPr>
          <w:rFonts w:hint="eastAsia" w:asciiTheme="minorEastAsia" w:hAnsiTheme="minorEastAsia" w:eastAsiaTheme="minorEastAsia" w:cstheme="minorEastAsia"/>
          <w:spacing w:val="-1"/>
          <w:sz w:val="24"/>
          <w:szCs w:val="24"/>
          <w:highlight w:val="none"/>
          <w:lang w:val="en-US" w:eastAsia="zh-CN"/>
        </w:rPr>
        <w:t>更换人员之日起至满足要求之日止的</w:t>
      </w:r>
      <w:r>
        <w:rPr>
          <w:rFonts w:hint="eastAsia" w:asciiTheme="minorEastAsia" w:hAnsiTheme="minorEastAsia" w:eastAsiaTheme="minorEastAsia" w:cstheme="minorEastAsia"/>
          <w:spacing w:val="-1"/>
          <w:sz w:val="24"/>
          <w:szCs w:val="24"/>
          <w:highlight w:val="none"/>
        </w:rPr>
        <w:t>总费用中扣除。</w:t>
      </w:r>
      <w:r>
        <w:rPr>
          <w:rFonts w:hint="eastAsia" w:asciiTheme="minorEastAsia" w:hAnsiTheme="minorEastAsia" w:eastAsiaTheme="minorEastAsia" w:cstheme="minorEastAsia"/>
          <w:spacing w:val="-1"/>
          <w:sz w:val="24"/>
          <w:szCs w:val="24"/>
          <w:highlight w:val="none"/>
          <w:lang w:val="en-US" w:eastAsia="zh-CN"/>
        </w:rPr>
        <w:t>未经甲方书面同意累计更换人员两人次，甲方可单方解约。</w:t>
      </w:r>
    </w:p>
    <w:p w14:paraId="4E58105A">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3、资源要求</w:t>
      </w:r>
    </w:p>
    <w:p w14:paraId="4116EC30">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运维工具：a)监控工具，对运行维护服务对象进行数据的采集和监控，评估可能导致运行维护服务对象故障的因素；b) 专用工具， 根据服务要求配备的安全工具和用于特殊要求的工具。</w:t>
      </w:r>
    </w:p>
    <w:p w14:paraId="7DC4E2B9">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投标人应使用具有自主知识产权的运维管理工具，能够通过运维管理工具形成整个运维工作记录的闭环；不具有自主知识产权的工具，应采购符合国家法律法规、行业要求，能够满足采购方工作需要的具有知识产权的正版软件。</w:t>
      </w:r>
    </w:p>
    <w:p w14:paraId="25DF0337">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4、技术要求</w:t>
      </w:r>
    </w:p>
    <w:p w14:paraId="548D2796">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与发现问题相关的技术：a) 具有信息采集和监控的手段；b) 具有诊断和分析问题的方法。</w:t>
      </w:r>
    </w:p>
    <w:p w14:paraId="11656061">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与解决问题相关的技术：a)与解决问题相关的技术；b) 解决问题的方案或手册；c) 测试环境、测试标准和方法。</w:t>
      </w:r>
    </w:p>
    <w:p w14:paraId="305CBB1A">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投标方使用的相关技术，能够通过运维软件实现灵活的监控与部署，应具备对硬件、软件、程序、任务、网络等运维的要求，实现故障的及时发现与提醒。</w:t>
      </w:r>
    </w:p>
    <w:p w14:paraId="24B910D0">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5、过程要求</w:t>
      </w:r>
    </w:p>
    <w:p w14:paraId="3BA165A8">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服务报告：a) 与服务报告过程一致的活动，包括建立、审批、分发、归档等；b) 服务报告计划，包括提交方式、时间、需方接收对象等；c) 服务报告模板，包括格式、提纲等。</w:t>
      </w:r>
    </w:p>
    <w:p w14:paraId="5247CF51">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信息安全管理：a) 符合相关法律法规的规定，满足需方对运行维护服务过程的信息安全需求和供方本身信息安全需求；b) 建立与信息安全管理过程一致的活动，包括识别、评估、处置和改进等。</w:t>
      </w:r>
    </w:p>
    <w:p w14:paraId="218B9720">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投标方应通过信息系统实现运维工作的无缝衔接，确保不因人员交接班、岗位调整、调休等因素造成延误及管理漏洞，并能够完整记录整个运维过程，形成工作闭环。其它人工记录日志等，仅作为参考。</w:t>
      </w:r>
    </w:p>
    <w:p w14:paraId="7AB1838D">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6、设备要求</w:t>
      </w:r>
    </w:p>
    <w:p w14:paraId="19AF78F8">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维护过程中所需要的一切日常办公设备及技术装备，由成交供应商自行负责。相关设备应符合国家法律法规、行业规范等要求，且必须经采购方批准才能进入办公场所。非办公场所设备，不得存储、传输采购方的任何资料。</w:t>
      </w:r>
    </w:p>
    <w:p w14:paraId="5E4B4943">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(四)其它要求</w:t>
      </w:r>
    </w:p>
    <w:p w14:paraId="2215E599">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1、成交供应商现场开展运维服务工作，应符合国家相关标准及采购人的要求。能够实施较为系统的运维服务能力管理，并形成了较为完善的人员、过程、技术和资源方面的管理制度，且得到有效实施。</w:t>
      </w:r>
    </w:p>
    <w:p w14:paraId="3653AC12">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2、成交供应商必须配合采购人积极参与对其派驻工程师的监督和管理，遵守采购人的相关规章制度。</w:t>
      </w:r>
    </w:p>
    <w:p w14:paraId="76FCF38B">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如因成交供应商运维工程师而发生安全问题，采购人有权做出相应处理，直至终止合同并追究成交供应商的相应责任。因安全问题造成业务中断、社会负面影响，投标方应承担相关消除影响的费用、经济损失。</w:t>
      </w:r>
    </w:p>
    <w:p w14:paraId="735B5720">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如发现成交供应商运维工程师工作上有弄虚作假情况，采购人有权做出相应处理，直至终止合同并追究成交供应商相应的责任。对尚不构成违法犯罪的，采购方以发现之日起回溯至本年度入职之日，期间该工程师的相关费用按比例扣除；构成犯罪的，采购人应终止合同履行，且投标方应就犯罪造成的经济损失、社会影响予以赔偿与消除。</w:t>
      </w:r>
    </w:p>
    <w:p w14:paraId="2A8FC370">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5、成交供应商未经采购人同意，不得将所接触到的相关技术或业务资料、 数据用作其他用途或以任何形式向第三方泄露，如遇泄露问题是可直接终止合同，根据情况进行起诉。同时成交供应商需承担由此引起的法律责任和采购人的泄密损失。</w:t>
      </w:r>
    </w:p>
    <w:p w14:paraId="230E1A38">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6、成交供应商及驻场服务人员工作上需要遵守采购人有关工作制度及保密制度，并与采购人签订保密协议。</w:t>
      </w:r>
    </w:p>
    <w:p w14:paraId="57C06DD7">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7、因项目特殊性和重要性，需到南阳市公安局交通管理支队机房现场</w:t>
      </w:r>
      <w:r>
        <w:rPr>
          <w:rFonts w:hint="eastAsia" w:asciiTheme="minorEastAsia" w:hAnsiTheme="minorEastAsia" w:eastAsiaTheme="minorEastAsia" w:cstheme="minorEastAsia"/>
          <w:spacing w:val="-1"/>
          <w:sz w:val="24"/>
          <w:szCs w:val="24"/>
          <w:highlight w:val="none"/>
          <w:lang w:val="en-US" w:eastAsia="zh-CN"/>
        </w:rPr>
        <w:t>踏勘调研、</w:t>
      </w:r>
      <w:r>
        <w:rPr>
          <w:rFonts w:hint="eastAsia" w:asciiTheme="minorEastAsia" w:hAnsiTheme="minorEastAsia" w:eastAsiaTheme="minorEastAsia" w:cstheme="minorEastAsia"/>
          <w:spacing w:val="-1"/>
          <w:sz w:val="24"/>
          <w:szCs w:val="24"/>
        </w:rPr>
        <w:t>考察评估的请联系：陈警官18537797289。</w:t>
      </w:r>
    </w:p>
    <w:p w14:paraId="3BBB5240">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（五）服务响应要求</w:t>
      </w:r>
    </w:p>
    <w:p w14:paraId="695D644B">
      <w:pPr>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t>响应时间计时起点：以甲方向乙方发出故障运维通知为准。</w:t>
      </w:r>
    </w:p>
    <w:p w14:paraId="19574B3B">
      <w:pPr>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rFonts w:hint="default" w:asciiTheme="minorEastAsia" w:hAnsiTheme="minorEastAsia" w:eastAsiaTheme="minorEastAsia" w:cstheme="minorEastAsia"/>
          <w:snapToGrid w:val="0"/>
          <w:color w:val="000000"/>
          <w:spacing w:val="-1"/>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t>方式包括但不限于：即时通讯软件、电话、电子邮件、书面通知、环控报警信息等</w:t>
      </w:r>
    </w:p>
    <w:tbl>
      <w:tblPr>
        <w:tblStyle w:val="12"/>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000"/>
        <w:gridCol w:w="2025"/>
        <w:gridCol w:w="1977"/>
        <w:gridCol w:w="2300"/>
      </w:tblGrid>
      <w:tr w14:paraId="7506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00" w:type="dxa"/>
            <w:tcBorders>
              <w:top w:val="single" w:color="000000" w:sz="0" w:space="0"/>
              <w:left w:val="single" w:color="000000" w:sz="0" w:space="0"/>
              <w:bottom w:val="single" w:color="000000" w:sz="0" w:space="0"/>
              <w:right w:val="single" w:color="000000" w:sz="0" w:space="0"/>
            </w:tcBorders>
            <w:shd w:val="clear" w:color="auto" w:fill="auto"/>
            <w:tcMar>
              <w:top w:w="100" w:type="dxa"/>
              <w:left w:w="120" w:type="dxa"/>
              <w:bottom w:w="100" w:type="dxa"/>
              <w:right w:w="120" w:type="dxa"/>
            </w:tcMar>
            <w:vAlign w:val="center"/>
          </w:tcPr>
          <w:p w14:paraId="233F8ED5">
            <w:pPr>
              <w:pStyle w:val="3"/>
              <w:keepNext/>
              <w:keepLines/>
              <w:pageBreakBefore w:val="0"/>
              <w:kinsoku/>
              <w:wordWrap/>
              <w:overflowPunct/>
              <w:topLinePunct w:val="0"/>
              <w:autoSpaceDE/>
              <w:autoSpaceDN/>
              <w:bidi w:val="0"/>
              <w:adjustRightInd/>
              <w:snapToGrid/>
              <w:spacing w:before="0" w:after="0" w:line="500" w:lineRule="exact"/>
              <w:ind w:left="0"/>
              <w:jc w:val="center"/>
              <w:textAlignment w:val="auto"/>
              <w:rPr>
                <w:rFonts w:hint="eastAsia" w:ascii="宋体" w:hAnsi="宋体" w:eastAsia="宋体" w:cs="宋体"/>
                <w:color w:val="auto"/>
                <w:sz w:val="22"/>
                <w:szCs w:val="22"/>
              </w:rPr>
            </w:pPr>
            <w:r>
              <w:rPr>
                <w:rFonts w:hint="eastAsia" w:ascii="宋体" w:hAnsi="宋体" w:eastAsia="宋体" w:cs="宋体"/>
                <w:b/>
                <w:bCs/>
                <w:color w:val="auto"/>
                <w:sz w:val="22"/>
                <w:szCs w:val="22"/>
              </w:rPr>
              <w:t>故障等级</w:t>
            </w:r>
          </w:p>
        </w:tc>
        <w:tc>
          <w:tcPr>
            <w:tcW w:w="2025" w:type="dxa"/>
            <w:tcBorders>
              <w:top w:val="single" w:color="000000" w:sz="0" w:space="0"/>
              <w:left w:val="single" w:color="000000" w:sz="0" w:space="0"/>
              <w:bottom w:val="single" w:color="000000" w:sz="0" w:space="0"/>
              <w:right w:val="single" w:color="000000" w:sz="0" w:space="0"/>
            </w:tcBorders>
            <w:shd w:val="clear" w:color="auto" w:fill="auto"/>
            <w:tcMar>
              <w:top w:w="100" w:type="dxa"/>
              <w:left w:w="120" w:type="dxa"/>
              <w:bottom w:w="100" w:type="dxa"/>
              <w:right w:w="120" w:type="dxa"/>
            </w:tcMar>
            <w:vAlign w:val="center"/>
          </w:tcPr>
          <w:p w14:paraId="3FDA0835">
            <w:pPr>
              <w:pStyle w:val="3"/>
              <w:keepNext/>
              <w:keepLines/>
              <w:pageBreakBefore w:val="0"/>
              <w:kinsoku/>
              <w:wordWrap/>
              <w:overflowPunct/>
              <w:topLinePunct w:val="0"/>
              <w:autoSpaceDE/>
              <w:autoSpaceDN/>
              <w:bidi w:val="0"/>
              <w:adjustRightInd/>
              <w:snapToGrid/>
              <w:spacing w:before="0" w:after="0" w:line="500" w:lineRule="exact"/>
              <w:ind w:left="0"/>
              <w:jc w:val="center"/>
              <w:textAlignment w:val="auto"/>
              <w:rPr>
                <w:rFonts w:hint="eastAsia" w:ascii="宋体" w:hAnsi="宋体" w:eastAsia="宋体" w:cs="宋体"/>
                <w:color w:val="auto"/>
                <w:sz w:val="22"/>
                <w:szCs w:val="22"/>
              </w:rPr>
            </w:pPr>
            <w:r>
              <w:rPr>
                <w:rFonts w:hint="eastAsia" w:ascii="宋体" w:hAnsi="宋体" w:eastAsia="宋体" w:cs="宋体"/>
                <w:b/>
                <w:bCs/>
                <w:color w:val="auto"/>
                <w:sz w:val="22"/>
                <w:szCs w:val="22"/>
              </w:rPr>
              <w:t>响应时间</w:t>
            </w:r>
          </w:p>
        </w:tc>
        <w:tc>
          <w:tcPr>
            <w:tcW w:w="1977" w:type="dxa"/>
            <w:tcBorders>
              <w:top w:val="single" w:color="000000" w:sz="0" w:space="0"/>
              <w:left w:val="single" w:color="000000" w:sz="0" w:space="0"/>
              <w:bottom w:val="single" w:color="000000" w:sz="0" w:space="0"/>
              <w:right w:val="single" w:color="000000" w:sz="0" w:space="0"/>
            </w:tcBorders>
            <w:shd w:val="clear" w:color="auto" w:fill="auto"/>
            <w:tcMar>
              <w:top w:w="100" w:type="dxa"/>
              <w:left w:w="120" w:type="dxa"/>
              <w:bottom w:w="100" w:type="dxa"/>
              <w:right w:w="120" w:type="dxa"/>
            </w:tcMar>
            <w:vAlign w:val="center"/>
          </w:tcPr>
          <w:p w14:paraId="23229FEB">
            <w:pPr>
              <w:pStyle w:val="3"/>
              <w:keepNext/>
              <w:keepLines/>
              <w:pageBreakBefore w:val="0"/>
              <w:kinsoku/>
              <w:wordWrap/>
              <w:overflowPunct/>
              <w:topLinePunct w:val="0"/>
              <w:autoSpaceDE/>
              <w:autoSpaceDN/>
              <w:bidi w:val="0"/>
              <w:adjustRightInd/>
              <w:snapToGrid/>
              <w:spacing w:before="0" w:after="0" w:line="500" w:lineRule="exact"/>
              <w:ind w:left="0"/>
              <w:jc w:val="center"/>
              <w:textAlignment w:val="auto"/>
              <w:rPr>
                <w:rFonts w:hint="eastAsia" w:ascii="宋体" w:hAnsi="宋体" w:eastAsia="宋体" w:cs="宋体"/>
                <w:color w:val="auto"/>
                <w:sz w:val="22"/>
                <w:szCs w:val="22"/>
              </w:rPr>
            </w:pPr>
            <w:r>
              <w:rPr>
                <w:rFonts w:hint="eastAsia" w:ascii="宋体" w:hAnsi="宋体" w:eastAsia="宋体" w:cs="宋体"/>
                <w:b/>
                <w:bCs/>
                <w:color w:val="auto"/>
                <w:sz w:val="22"/>
                <w:szCs w:val="22"/>
              </w:rPr>
              <w:t>解决时间</w:t>
            </w:r>
          </w:p>
        </w:tc>
        <w:tc>
          <w:tcPr>
            <w:tcW w:w="2300" w:type="dxa"/>
            <w:tcBorders>
              <w:top w:val="single" w:color="000000" w:sz="0" w:space="0"/>
              <w:left w:val="single" w:color="000000" w:sz="0" w:space="0"/>
              <w:bottom w:val="single" w:color="000000" w:sz="0" w:space="0"/>
              <w:right w:val="single" w:color="000000" w:sz="0" w:space="0"/>
            </w:tcBorders>
            <w:shd w:val="clear" w:color="auto" w:fill="auto"/>
            <w:tcMar>
              <w:top w:w="100" w:type="dxa"/>
              <w:left w:w="120" w:type="dxa"/>
              <w:bottom w:w="100" w:type="dxa"/>
              <w:right w:w="120" w:type="dxa"/>
            </w:tcMar>
            <w:vAlign w:val="center"/>
          </w:tcPr>
          <w:p w14:paraId="78DB7733">
            <w:pPr>
              <w:pStyle w:val="3"/>
              <w:keepNext/>
              <w:keepLines/>
              <w:pageBreakBefore w:val="0"/>
              <w:kinsoku/>
              <w:wordWrap/>
              <w:overflowPunct/>
              <w:topLinePunct w:val="0"/>
              <w:autoSpaceDE/>
              <w:autoSpaceDN/>
              <w:bidi w:val="0"/>
              <w:adjustRightInd/>
              <w:snapToGrid/>
              <w:spacing w:before="0" w:after="0" w:line="500" w:lineRule="exact"/>
              <w:ind w:left="0"/>
              <w:jc w:val="center"/>
              <w:textAlignment w:val="auto"/>
              <w:rPr>
                <w:rFonts w:hint="eastAsia" w:ascii="宋体" w:hAnsi="宋体" w:eastAsia="宋体" w:cs="宋体"/>
                <w:color w:val="auto"/>
                <w:sz w:val="22"/>
                <w:szCs w:val="22"/>
              </w:rPr>
            </w:pPr>
            <w:r>
              <w:rPr>
                <w:rFonts w:hint="eastAsia" w:ascii="宋体" w:hAnsi="宋体" w:eastAsia="宋体" w:cs="宋体"/>
                <w:b/>
                <w:bCs/>
                <w:color w:val="auto"/>
                <w:sz w:val="22"/>
                <w:szCs w:val="22"/>
              </w:rPr>
              <w:t>适用范围</w:t>
            </w:r>
          </w:p>
        </w:tc>
      </w:tr>
      <w:tr w14:paraId="72C84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62" w:hRule="atLeast"/>
          <w:jc w:val="center"/>
        </w:trPr>
        <w:tc>
          <w:tcPr>
            <w:tcW w:w="2000" w:type="dxa"/>
            <w:tcBorders>
              <w:top w:val="single" w:color="000000" w:sz="0" w:space="0"/>
              <w:left w:val="single" w:color="000000" w:sz="0" w:space="0"/>
              <w:bottom w:val="single" w:color="000000" w:sz="0" w:space="0"/>
              <w:right w:val="single" w:color="000000" w:sz="0" w:space="0"/>
            </w:tcBorders>
            <w:tcMar>
              <w:top w:w="100" w:type="dxa"/>
              <w:left w:w="120" w:type="dxa"/>
              <w:bottom w:w="100" w:type="dxa"/>
              <w:right w:w="120" w:type="dxa"/>
            </w:tcMar>
            <w:vAlign w:val="center"/>
          </w:tcPr>
          <w:p w14:paraId="569A2083">
            <w:pPr>
              <w:pageBreakBefore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2"/>
                <w:szCs w:val="22"/>
              </w:rPr>
            </w:pPr>
            <w:r>
              <w:rPr>
                <w:rFonts w:hint="eastAsia" w:ascii="宋体" w:hAnsi="宋体" w:eastAsia="宋体" w:cs="宋体"/>
                <w:color w:val="000000"/>
                <w:sz w:val="22"/>
                <w:szCs w:val="22"/>
              </w:rPr>
              <w:t>一级（重大故障）</w:t>
            </w:r>
          </w:p>
        </w:tc>
        <w:tc>
          <w:tcPr>
            <w:tcW w:w="2025" w:type="dxa"/>
            <w:tcBorders>
              <w:top w:val="single" w:color="000000" w:sz="0" w:space="0"/>
              <w:left w:val="single" w:color="000000" w:sz="0" w:space="0"/>
              <w:bottom w:val="single" w:color="000000" w:sz="0" w:space="0"/>
              <w:right w:val="single" w:color="000000" w:sz="0" w:space="0"/>
            </w:tcBorders>
            <w:tcMar>
              <w:top w:w="100" w:type="dxa"/>
              <w:left w:w="120" w:type="dxa"/>
              <w:bottom w:w="100" w:type="dxa"/>
              <w:right w:w="120" w:type="dxa"/>
            </w:tcMar>
            <w:vAlign w:val="center"/>
          </w:tcPr>
          <w:p w14:paraId="41EC0577">
            <w:pPr>
              <w:pageBreakBefore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15分钟</w:t>
            </w:r>
          </w:p>
        </w:tc>
        <w:tc>
          <w:tcPr>
            <w:tcW w:w="1977" w:type="dxa"/>
            <w:tcBorders>
              <w:top w:val="single" w:color="000000" w:sz="0" w:space="0"/>
              <w:left w:val="single" w:color="000000" w:sz="0" w:space="0"/>
              <w:bottom w:val="single" w:color="000000" w:sz="0" w:space="0"/>
              <w:right w:val="single" w:color="000000" w:sz="0" w:space="0"/>
            </w:tcBorders>
            <w:tcMar>
              <w:top w:w="100" w:type="dxa"/>
              <w:left w:w="120" w:type="dxa"/>
              <w:bottom w:w="100" w:type="dxa"/>
              <w:right w:w="120" w:type="dxa"/>
            </w:tcMar>
            <w:vAlign w:val="center"/>
          </w:tcPr>
          <w:p w14:paraId="4ECB9EAB">
            <w:pPr>
              <w:pageBreakBefore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2小时内</w:t>
            </w:r>
          </w:p>
        </w:tc>
        <w:tc>
          <w:tcPr>
            <w:tcW w:w="2300" w:type="dxa"/>
            <w:tcBorders>
              <w:top w:val="single" w:color="000000" w:sz="0" w:space="0"/>
              <w:left w:val="single" w:color="000000" w:sz="0" w:space="0"/>
              <w:bottom w:val="single" w:color="000000" w:sz="0" w:space="0"/>
              <w:right w:val="single" w:color="000000" w:sz="0" w:space="0"/>
            </w:tcBorders>
            <w:tcMar>
              <w:top w:w="100" w:type="dxa"/>
              <w:left w:w="120" w:type="dxa"/>
              <w:bottom w:w="100" w:type="dxa"/>
              <w:right w:w="120" w:type="dxa"/>
            </w:tcMar>
            <w:vAlign w:val="center"/>
          </w:tcPr>
          <w:p w14:paraId="1D03B55F">
            <w:pPr>
              <w:pageBreakBefore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系统瘫痪、数据丢失、核心业务中断</w:t>
            </w:r>
          </w:p>
        </w:tc>
      </w:tr>
      <w:tr w14:paraId="22D4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00" w:type="dxa"/>
            <w:tcBorders>
              <w:top w:val="single" w:color="000000" w:sz="0" w:space="0"/>
              <w:left w:val="single" w:color="000000" w:sz="0" w:space="0"/>
              <w:bottom w:val="single" w:color="000000" w:sz="0" w:space="0"/>
              <w:right w:val="single" w:color="000000" w:sz="0" w:space="0"/>
            </w:tcBorders>
            <w:shd w:val="clear" w:color="auto" w:fill="F5F5F5"/>
            <w:tcMar>
              <w:top w:w="100" w:type="dxa"/>
              <w:left w:w="120" w:type="dxa"/>
              <w:bottom w:w="100" w:type="dxa"/>
              <w:right w:w="120" w:type="dxa"/>
            </w:tcMar>
            <w:vAlign w:val="center"/>
          </w:tcPr>
          <w:p w14:paraId="052458D3">
            <w:pPr>
              <w:pageBreakBefore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二级（严重故障）</w:t>
            </w:r>
          </w:p>
        </w:tc>
        <w:tc>
          <w:tcPr>
            <w:tcW w:w="2025" w:type="dxa"/>
            <w:tcBorders>
              <w:top w:val="single" w:color="000000" w:sz="0" w:space="0"/>
              <w:left w:val="single" w:color="000000" w:sz="0" w:space="0"/>
              <w:bottom w:val="single" w:color="000000" w:sz="0" w:space="0"/>
              <w:right w:val="single" w:color="000000" w:sz="0" w:space="0"/>
            </w:tcBorders>
            <w:shd w:val="clear" w:color="auto" w:fill="F5F5F5"/>
            <w:tcMar>
              <w:top w:w="100" w:type="dxa"/>
              <w:left w:w="120" w:type="dxa"/>
              <w:bottom w:w="100" w:type="dxa"/>
              <w:right w:w="120" w:type="dxa"/>
            </w:tcMar>
            <w:vAlign w:val="center"/>
          </w:tcPr>
          <w:p w14:paraId="25AF7C02">
            <w:pPr>
              <w:pageBreakBefore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30分钟</w:t>
            </w:r>
          </w:p>
        </w:tc>
        <w:tc>
          <w:tcPr>
            <w:tcW w:w="1977" w:type="dxa"/>
            <w:tcBorders>
              <w:top w:val="single" w:color="000000" w:sz="0" w:space="0"/>
              <w:left w:val="single" w:color="000000" w:sz="0" w:space="0"/>
              <w:bottom w:val="single" w:color="000000" w:sz="0" w:space="0"/>
              <w:right w:val="single" w:color="000000" w:sz="0" w:space="0"/>
            </w:tcBorders>
            <w:shd w:val="clear" w:color="auto" w:fill="F5F5F5"/>
            <w:tcMar>
              <w:top w:w="100" w:type="dxa"/>
              <w:left w:w="120" w:type="dxa"/>
              <w:bottom w:w="100" w:type="dxa"/>
              <w:right w:w="120" w:type="dxa"/>
            </w:tcMar>
            <w:vAlign w:val="center"/>
          </w:tcPr>
          <w:p w14:paraId="19F12EF3">
            <w:pPr>
              <w:pageBreakBefore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4小时内</w:t>
            </w:r>
          </w:p>
        </w:tc>
        <w:tc>
          <w:tcPr>
            <w:tcW w:w="2300" w:type="dxa"/>
            <w:tcBorders>
              <w:top w:val="single" w:color="000000" w:sz="0" w:space="0"/>
              <w:left w:val="single" w:color="000000" w:sz="0" w:space="0"/>
              <w:bottom w:val="single" w:color="000000" w:sz="0" w:space="0"/>
              <w:right w:val="single" w:color="000000" w:sz="0" w:space="0"/>
            </w:tcBorders>
            <w:shd w:val="clear" w:color="auto" w:fill="F5F5F5"/>
            <w:tcMar>
              <w:top w:w="100" w:type="dxa"/>
              <w:left w:w="120" w:type="dxa"/>
              <w:bottom w:w="100" w:type="dxa"/>
              <w:right w:w="120" w:type="dxa"/>
            </w:tcMar>
            <w:vAlign w:val="center"/>
          </w:tcPr>
          <w:p w14:paraId="32AF61F4">
            <w:pPr>
              <w:pageBreakBefore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部分功能失效、性能严重下降</w:t>
            </w:r>
          </w:p>
        </w:tc>
      </w:tr>
      <w:tr w14:paraId="6A8D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00" w:type="dxa"/>
            <w:tcBorders>
              <w:top w:val="single" w:color="000000" w:sz="0" w:space="0"/>
              <w:left w:val="single" w:color="000000" w:sz="0" w:space="0"/>
              <w:bottom w:val="single" w:color="000000" w:sz="0" w:space="0"/>
              <w:right w:val="single" w:color="000000" w:sz="0" w:space="0"/>
            </w:tcBorders>
            <w:tcMar>
              <w:top w:w="100" w:type="dxa"/>
              <w:left w:w="120" w:type="dxa"/>
              <w:bottom w:w="100" w:type="dxa"/>
              <w:right w:w="120" w:type="dxa"/>
            </w:tcMar>
            <w:vAlign w:val="center"/>
          </w:tcPr>
          <w:p w14:paraId="27CC78FC">
            <w:pPr>
              <w:pageBreakBefore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三级（一般故障）</w:t>
            </w:r>
          </w:p>
        </w:tc>
        <w:tc>
          <w:tcPr>
            <w:tcW w:w="2025" w:type="dxa"/>
            <w:tcBorders>
              <w:top w:val="single" w:color="000000" w:sz="0" w:space="0"/>
              <w:left w:val="single" w:color="000000" w:sz="0" w:space="0"/>
              <w:bottom w:val="single" w:color="000000" w:sz="0" w:space="0"/>
              <w:right w:val="single" w:color="000000" w:sz="0" w:space="0"/>
            </w:tcBorders>
            <w:tcMar>
              <w:top w:w="100" w:type="dxa"/>
              <w:left w:w="120" w:type="dxa"/>
              <w:bottom w:w="100" w:type="dxa"/>
              <w:right w:w="120" w:type="dxa"/>
            </w:tcMar>
            <w:vAlign w:val="center"/>
          </w:tcPr>
          <w:p w14:paraId="75536B79">
            <w:pPr>
              <w:pageBreakBefore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1小时</w:t>
            </w:r>
          </w:p>
        </w:tc>
        <w:tc>
          <w:tcPr>
            <w:tcW w:w="1977" w:type="dxa"/>
            <w:tcBorders>
              <w:top w:val="single" w:color="000000" w:sz="0" w:space="0"/>
              <w:left w:val="single" w:color="000000" w:sz="0" w:space="0"/>
              <w:bottom w:val="single" w:color="000000" w:sz="0" w:space="0"/>
              <w:right w:val="single" w:color="000000" w:sz="0" w:space="0"/>
            </w:tcBorders>
            <w:tcMar>
              <w:top w:w="100" w:type="dxa"/>
              <w:left w:w="120" w:type="dxa"/>
              <w:bottom w:w="100" w:type="dxa"/>
              <w:right w:w="120" w:type="dxa"/>
            </w:tcMar>
            <w:vAlign w:val="center"/>
          </w:tcPr>
          <w:p w14:paraId="7BB000AF">
            <w:pPr>
              <w:pageBreakBefore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8小时内</w:t>
            </w:r>
          </w:p>
        </w:tc>
        <w:tc>
          <w:tcPr>
            <w:tcW w:w="2300" w:type="dxa"/>
            <w:tcBorders>
              <w:top w:val="single" w:color="000000" w:sz="0" w:space="0"/>
              <w:left w:val="single" w:color="000000" w:sz="0" w:space="0"/>
              <w:bottom w:val="single" w:color="000000" w:sz="0" w:space="0"/>
              <w:right w:val="single" w:color="000000" w:sz="0" w:space="0"/>
            </w:tcBorders>
            <w:tcMar>
              <w:top w:w="100" w:type="dxa"/>
              <w:left w:w="120" w:type="dxa"/>
              <w:bottom w:w="100" w:type="dxa"/>
              <w:right w:w="120" w:type="dxa"/>
            </w:tcMar>
            <w:vAlign w:val="center"/>
          </w:tcPr>
          <w:p w14:paraId="6B54DE90">
            <w:pPr>
              <w:pageBreakBefore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个别功能异常、非关键设备故障</w:t>
            </w:r>
          </w:p>
        </w:tc>
      </w:tr>
      <w:tr w14:paraId="66B59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00" w:type="dxa"/>
            <w:tcBorders>
              <w:top w:val="single" w:color="000000" w:sz="0" w:space="0"/>
              <w:left w:val="single" w:color="000000" w:sz="0" w:space="0"/>
              <w:bottom w:val="single" w:color="000000" w:sz="0" w:space="0"/>
              <w:right w:val="single" w:color="000000" w:sz="0" w:space="0"/>
            </w:tcBorders>
            <w:shd w:val="clear" w:color="auto" w:fill="F5F5F5"/>
            <w:tcMar>
              <w:top w:w="100" w:type="dxa"/>
              <w:left w:w="120" w:type="dxa"/>
              <w:bottom w:w="100" w:type="dxa"/>
              <w:right w:w="120" w:type="dxa"/>
            </w:tcMar>
            <w:vAlign w:val="center"/>
          </w:tcPr>
          <w:p w14:paraId="59934344">
            <w:pPr>
              <w:pageBreakBefore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四级（轻微问题）</w:t>
            </w:r>
          </w:p>
        </w:tc>
        <w:tc>
          <w:tcPr>
            <w:tcW w:w="2025" w:type="dxa"/>
            <w:tcBorders>
              <w:top w:val="single" w:color="000000" w:sz="0" w:space="0"/>
              <w:left w:val="single" w:color="000000" w:sz="0" w:space="0"/>
              <w:bottom w:val="single" w:color="000000" w:sz="0" w:space="0"/>
              <w:right w:val="single" w:color="000000" w:sz="0" w:space="0"/>
            </w:tcBorders>
            <w:shd w:val="clear" w:color="auto" w:fill="F5F5F5"/>
            <w:tcMar>
              <w:top w:w="100" w:type="dxa"/>
              <w:left w:w="120" w:type="dxa"/>
              <w:bottom w:w="100" w:type="dxa"/>
              <w:right w:w="120" w:type="dxa"/>
            </w:tcMar>
            <w:vAlign w:val="center"/>
          </w:tcPr>
          <w:p w14:paraId="21E0A4CC">
            <w:pPr>
              <w:pageBreakBefore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2小时</w:t>
            </w:r>
          </w:p>
        </w:tc>
        <w:tc>
          <w:tcPr>
            <w:tcW w:w="1977" w:type="dxa"/>
            <w:tcBorders>
              <w:top w:val="single" w:color="000000" w:sz="0" w:space="0"/>
              <w:left w:val="single" w:color="000000" w:sz="0" w:space="0"/>
              <w:bottom w:val="single" w:color="000000" w:sz="0" w:space="0"/>
              <w:right w:val="single" w:color="000000" w:sz="0" w:space="0"/>
            </w:tcBorders>
            <w:shd w:val="clear" w:color="auto" w:fill="F5F5F5"/>
            <w:tcMar>
              <w:top w:w="100" w:type="dxa"/>
              <w:left w:w="120" w:type="dxa"/>
              <w:bottom w:w="100" w:type="dxa"/>
              <w:right w:w="120" w:type="dxa"/>
            </w:tcMar>
            <w:vAlign w:val="center"/>
          </w:tcPr>
          <w:p w14:paraId="54A67ED1">
            <w:pPr>
              <w:pageBreakBefore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24小时内</w:t>
            </w:r>
          </w:p>
        </w:tc>
        <w:tc>
          <w:tcPr>
            <w:tcW w:w="2300" w:type="dxa"/>
            <w:tcBorders>
              <w:top w:val="single" w:color="000000" w:sz="0" w:space="0"/>
              <w:left w:val="single" w:color="000000" w:sz="0" w:space="0"/>
              <w:bottom w:val="single" w:color="000000" w:sz="0" w:space="0"/>
              <w:right w:val="single" w:color="000000" w:sz="0" w:space="0"/>
            </w:tcBorders>
            <w:shd w:val="clear" w:color="auto" w:fill="F5F5F5"/>
            <w:tcMar>
              <w:top w:w="100" w:type="dxa"/>
              <w:left w:w="120" w:type="dxa"/>
              <w:bottom w:w="100" w:type="dxa"/>
              <w:right w:w="120" w:type="dxa"/>
            </w:tcMar>
            <w:vAlign w:val="center"/>
          </w:tcPr>
          <w:p w14:paraId="41BF1874">
            <w:pPr>
              <w:pageBreakBefore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咨询、建议、非功能性优化</w:t>
            </w:r>
          </w:p>
        </w:tc>
      </w:tr>
    </w:tbl>
    <w:p w14:paraId="6C1DDF43">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p>
    <w:p w14:paraId="4D4A2F6A">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250DB995">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p>
    <w:p w14:paraId="07EDA380">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服务</w:t>
      </w:r>
      <w:r>
        <w:rPr>
          <w:rFonts w:hint="eastAsia" w:asciiTheme="minorEastAsia" w:hAnsiTheme="minorEastAsia" w:eastAsiaTheme="minorEastAsia" w:cstheme="minorEastAsia"/>
          <w:spacing w:val="-1"/>
          <w:sz w:val="24"/>
          <w:szCs w:val="24"/>
        </w:rPr>
        <w:t>期限</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一年</w:t>
      </w:r>
    </w:p>
    <w:p w14:paraId="5DFFD4C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val="en-US" w:eastAsia="zh-CN"/>
        </w:rPr>
        <w:t>2.服务</w:t>
      </w:r>
      <w:r>
        <w:rPr>
          <w:rFonts w:hint="eastAsia" w:asciiTheme="minorEastAsia" w:hAnsiTheme="minorEastAsia" w:eastAsiaTheme="minorEastAsia" w:cstheme="minorEastAsia"/>
          <w:spacing w:val="-1"/>
          <w:sz w:val="24"/>
          <w:szCs w:val="24"/>
        </w:rPr>
        <w:t>地点</w:t>
      </w:r>
      <w:r>
        <w:rPr>
          <w:rFonts w:hint="eastAsia" w:asciiTheme="minorEastAsia" w:hAnsiTheme="minorEastAsia" w:eastAsiaTheme="minorEastAsia" w:cstheme="minorEastAsia"/>
          <w:spacing w:val="-1"/>
          <w:sz w:val="24"/>
          <w:szCs w:val="24"/>
          <w:lang w:eastAsia="zh-CN"/>
        </w:rPr>
        <w:t>：采购人指定驻场地点</w:t>
      </w:r>
    </w:p>
    <w:p w14:paraId="346CF012">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3.付款方式：合同签订后支付合同金额的3</w:t>
      </w:r>
      <w:r>
        <w:rPr>
          <w:rFonts w:hint="eastAsia" w:asciiTheme="minorEastAsia" w:hAnsiTheme="minorEastAsia" w:eastAsiaTheme="minorEastAsia" w:cstheme="minorEastAsia"/>
          <w:spacing w:val="-2"/>
          <w:sz w:val="24"/>
          <w:szCs w:val="24"/>
          <w:highlight w:val="none"/>
          <w:lang w:val="en-US" w:eastAsia="zh-CN"/>
        </w:rPr>
        <w:t>0%</w:t>
      </w:r>
      <w:r>
        <w:rPr>
          <w:rFonts w:hint="eastAsia" w:asciiTheme="minorEastAsia" w:hAnsiTheme="minorEastAsia" w:eastAsiaTheme="minorEastAsia" w:cstheme="minorEastAsia"/>
          <w:spacing w:val="-2"/>
          <w:sz w:val="24"/>
          <w:szCs w:val="24"/>
          <w:lang w:val="en-US" w:eastAsia="zh-CN"/>
        </w:rPr>
        <w:t>，剩余款项待服务期满且验收合格经内部审计后进行支付。</w:t>
      </w:r>
    </w:p>
    <w:p w14:paraId="66715972">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考核要求：采购人将定期对</w:t>
      </w:r>
      <w:r>
        <w:rPr>
          <w:rFonts w:hint="eastAsia" w:asciiTheme="minorEastAsia" w:hAnsiTheme="minorEastAsia" w:eastAsiaTheme="minorEastAsia" w:cstheme="minorEastAsia"/>
          <w:spacing w:val="-1"/>
          <w:sz w:val="24"/>
          <w:szCs w:val="24"/>
        </w:rPr>
        <w:t>成交供应商</w:t>
      </w:r>
      <w:r>
        <w:rPr>
          <w:rFonts w:hint="eastAsia" w:asciiTheme="minorEastAsia" w:hAnsiTheme="minorEastAsia" w:eastAsiaTheme="minorEastAsia" w:cstheme="minorEastAsia"/>
          <w:spacing w:val="-2"/>
          <w:sz w:val="24"/>
          <w:szCs w:val="24"/>
          <w:lang w:val="en-US" w:eastAsia="zh-CN"/>
        </w:rPr>
        <w:t>的服务质量进行考核，考核结果作为付款的依据。考核内容包括：</w:t>
      </w:r>
    </w:p>
    <w:p w14:paraId="2BD3622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宋体" w:hAnsi="宋体" w:eastAsia="宋体" w:cs="宋体"/>
          <w:spacing w:val="-2"/>
          <w:sz w:val="24"/>
          <w:szCs w:val="24"/>
          <w:lang w:val="en-US" w:eastAsia="zh-CN"/>
        </w:rPr>
        <w:t>①</w:t>
      </w:r>
      <w:r>
        <w:rPr>
          <w:rFonts w:hint="eastAsia" w:asciiTheme="minorEastAsia" w:hAnsiTheme="minorEastAsia" w:eastAsiaTheme="minorEastAsia" w:cstheme="minorEastAsia"/>
          <w:spacing w:val="-2"/>
          <w:sz w:val="24"/>
          <w:szCs w:val="24"/>
          <w:lang w:val="en-US" w:eastAsia="zh-CN"/>
        </w:rPr>
        <w:t>故障响应和解决时间是否符合要求；</w:t>
      </w:r>
    </w:p>
    <w:p w14:paraId="3BD6FA3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宋体" w:hAnsi="宋体" w:eastAsia="宋体" w:cs="宋体"/>
          <w:spacing w:val="-2"/>
          <w:sz w:val="24"/>
          <w:szCs w:val="24"/>
          <w:lang w:val="en-US" w:eastAsia="zh-CN"/>
        </w:rPr>
        <w:t>②</w:t>
      </w:r>
      <w:r>
        <w:rPr>
          <w:rFonts w:hint="eastAsia" w:asciiTheme="minorEastAsia" w:hAnsiTheme="minorEastAsia" w:eastAsiaTheme="minorEastAsia" w:cstheme="minorEastAsia"/>
          <w:spacing w:val="-2"/>
          <w:sz w:val="24"/>
          <w:szCs w:val="24"/>
          <w:lang w:val="en-US" w:eastAsia="zh-CN"/>
        </w:rPr>
        <w:t>驻场人员的服务态度和专业技能；</w:t>
      </w:r>
    </w:p>
    <w:p w14:paraId="586DC4C0">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宋体" w:hAnsi="宋体" w:eastAsia="宋体" w:cs="宋体"/>
          <w:spacing w:val="-2"/>
          <w:sz w:val="24"/>
          <w:szCs w:val="24"/>
          <w:lang w:val="en-US" w:eastAsia="zh-CN"/>
        </w:rPr>
        <w:t>③</w:t>
      </w:r>
      <w:r>
        <w:rPr>
          <w:rFonts w:hint="eastAsia" w:asciiTheme="minorEastAsia" w:hAnsiTheme="minorEastAsia" w:eastAsiaTheme="minorEastAsia" w:cstheme="minorEastAsia"/>
          <w:spacing w:val="-2"/>
          <w:sz w:val="24"/>
          <w:szCs w:val="24"/>
          <w:lang w:val="en-US" w:eastAsia="zh-CN"/>
        </w:rPr>
        <w:t>巡检记录、运维台账等文档是否完整规范。</w:t>
      </w:r>
    </w:p>
    <w:p w14:paraId="7D6DCBC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outlineLvl w:val="9"/>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5</w:t>
      </w:r>
      <w:r>
        <w:rPr>
          <w:rFonts w:hint="eastAsia" w:asciiTheme="minorEastAsia" w:hAnsiTheme="minorEastAsia" w:eastAsiaTheme="minorEastAsia" w:cstheme="minorEastAsia"/>
          <w:spacing w:val="-8"/>
          <w:sz w:val="24"/>
          <w:szCs w:val="24"/>
        </w:rPr>
        <w:t>.本次维护采取购买服务的全包方式，由</w:t>
      </w:r>
      <w:r>
        <w:rPr>
          <w:rFonts w:hint="eastAsia" w:asciiTheme="minorEastAsia" w:hAnsiTheme="minorEastAsia" w:eastAsiaTheme="minorEastAsia" w:cstheme="minorEastAsia"/>
          <w:spacing w:val="-1"/>
          <w:sz w:val="24"/>
          <w:szCs w:val="24"/>
        </w:rPr>
        <w:t>成交供应商</w:t>
      </w:r>
      <w:r>
        <w:rPr>
          <w:rFonts w:hint="eastAsia" w:asciiTheme="minorEastAsia" w:hAnsiTheme="minorEastAsia" w:eastAsiaTheme="minorEastAsia" w:cstheme="minorEastAsia"/>
          <w:spacing w:val="-8"/>
          <w:sz w:val="24"/>
          <w:szCs w:val="24"/>
        </w:rPr>
        <w:t>按其报价承担全部维护责任，不再增加任何费用。全包服务内容包括：</w:t>
      </w:r>
    </w:p>
    <w:p w14:paraId="7AA253B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eastAsia" w:asciiTheme="minorEastAsia" w:hAnsiTheme="minorEastAsia" w:eastAsiaTheme="minorEastAsia" w:cstheme="minorEastAsia"/>
          <w:spacing w:val="-8"/>
          <w:sz w:val="24"/>
          <w:szCs w:val="24"/>
        </w:rPr>
      </w:pPr>
      <w:r>
        <w:rPr>
          <w:rFonts w:hint="eastAsia" w:ascii="宋体" w:hAnsi="宋体" w:eastAsia="宋体" w:cs="宋体"/>
          <w:spacing w:val="-2"/>
          <w:sz w:val="24"/>
          <w:szCs w:val="24"/>
          <w:lang w:val="en-US" w:eastAsia="zh-CN"/>
        </w:rPr>
        <w:t>①</w:t>
      </w:r>
      <w:r>
        <w:rPr>
          <w:rFonts w:hint="eastAsia" w:asciiTheme="minorEastAsia" w:hAnsiTheme="minorEastAsia" w:eastAsiaTheme="minorEastAsia" w:cstheme="minorEastAsia"/>
          <w:spacing w:val="-8"/>
          <w:sz w:val="24"/>
          <w:szCs w:val="24"/>
        </w:rPr>
        <w:t>设备巡检、保养、调试等人工费用由</w:t>
      </w:r>
      <w:r>
        <w:rPr>
          <w:rFonts w:hint="eastAsia" w:asciiTheme="minorEastAsia" w:hAnsiTheme="minorEastAsia" w:eastAsiaTheme="minorEastAsia" w:cstheme="minorEastAsia"/>
          <w:spacing w:val="-1"/>
          <w:sz w:val="24"/>
          <w:szCs w:val="24"/>
        </w:rPr>
        <w:t>成交供应商</w:t>
      </w:r>
      <w:r>
        <w:rPr>
          <w:rFonts w:hint="eastAsia" w:asciiTheme="minorEastAsia" w:hAnsiTheme="minorEastAsia" w:eastAsiaTheme="minorEastAsia" w:cstheme="minorEastAsia"/>
          <w:spacing w:val="-8"/>
          <w:sz w:val="24"/>
          <w:szCs w:val="24"/>
        </w:rPr>
        <w:t>承担；</w:t>
      </w:r>
    </w:p>
    <w:p w14:paraId="1FC34AE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eastAsia" w:asciiTheme="minorEastAsia" w:hAnsiTheme="minorEastAsia" w:eastAsiaTheme="minorEastAsia" w:cstheme="minorEastAsia"/>
          <w:spacing w:val="-8"/>
          <w:sz w:val="24"/>
          <w:szCs w:val="24"/>
        </w:rPr>
      </w:pPr>
      <w:r>
        <w:rPr>
          <w:rFonts w:hint="eastAsia" w:ascii="宋体" w:hAnsi="宋体" w:eastAsia="宋体" w:cs="宋体"/>
          <w:spacing w:val="-2"/>
          <w:sz w:val="24"/>
          <w:szCs w:val="24"/>
          <w:lang w:val="en-US" w:eastAsia="zh-CN"/>
        </w:rPr>
        <w:t>②</w:t>
      </w:r>
      <w:r>
        <w:rPr>
          <w:rFonts w:hint="eastAsia" w:asciiTheme="minorEastAsia" w:hAnsiTheme="minorEastAsia" w:eastAsiaTheme="minorEastAsia" w:cstheme="minorEastAsia"/>
          <w:spacing w:val="-8"/>
          <w:sz w:val="24"/>
          <w:szCs w:val="24"/>
        </w:rPr>
        <w:t>软件系统维护、升级、优化等技术支持费用由</w:t>
      </w:r>
      <w:r>
        <w:rPr>
          <w:rFonts w:hint="eastAsia" w:asciiTheme="minorEastAsia" w:hAnsiTheme="minorEastAsia" w:eastAsiaTheme="minorEastAsia" w:cstheme="minorEastAsia"/>
          <w:spacing w:val="-1"/>
          <w:sz w:val="24"/>
          <w:szCs w:val="24"/>
        </w:rPr>
        <w:t>成交供应商</w:t>
      </w:r>
      <w:r>
        <w:rPr>
          <w:rFonts w:hint="eastAsia" w:asciiTheme="minorEastAsia" w:hAnsiTheme="minorEastAsia" w:eastAsiaTheme="minorEastAsia" w:cstheme="minorEastAsia"/>
          <w:spacing w:val="-8"/>
          <w:sz w:val="24"/>
          <w:szCs w:val="24"/>
        </w:rPr>
        <w:t>承担。</w:t>
      </w:r>
    </w:p>
    <w:p w14:paraId="714DBBC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0" w:firstLineChars="200"/>
        <w:jc w:val="both"/>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6.</w:t>
      </w:r>
      <w:r>
        <w:rPr>
          <w:rFonts w:hint="eastAsia" w:asciiTheme="minorEastAsia" w:hAnsiTheme="minorEastAsia" w:eastAsiaTheme="minorEastAsia" w:cstheme="minorEastAsia"/>
          <w:sz w:val="24"/>
          <w:szCs w:val="24"/>
        </w:rPr>
        <w:t>验收标准</w:t>
      </w:r>
      <w:r>
        <w:rPr>
          <w:rFonts w:hint="eastAsia" w:asciiTheme="minorEastAsia" w:hAnsiTheme="minorEastAsia" w:eastAsiaTheme="minorEastAsia" w:cstheme="minorEastAsia"/>
          <w:sz w:val="24"/>
          <w:szCs w:val="24"/>
          <w:lang w:val="en-US" w:eastAsia="zh-CN"/>
        </w:rPr>
        <w:t>及方式</w:t>
      </w:r>
    </w:p>
    <w:p w14:paraId="5B371AB0">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完成阶段服务或服务期满后，由采购人对服务的质量进行详细而全面的检验。检验合格后，由采购人组成的验收小组签署验收报告，作为付款的凭据之一。</w:t>
      </w:r>
    </w:p>
    <w:p w14:paraId="07BE9E5A">
      <w:pPr>
        <w:pStyle w:val="2"/>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14:paraId="7F176200">
      <w:pPr>
        <w:pStyle w:val="2"/>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14:paraId="61BCE2A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供应商须知</w:t>
      </w:r>
    </w:p>
    <w:p w14:paraId="4DE6411C">
      <w:pPr>
        <w:pStyle w:val="2"/>
        <w:keepNext w:val="0"/>
        <w:keepLines w:val="0"/>
        <w:pageBreakBefore w:val="0"/>
        <w:kinsoku/>
        <w:wordWrap w:val="0"/>
        <w:overflowPunct/>
        <w:topLinePunct w:val="0"/>
        <w:bidi w:val="0"/>
        <w:spacing w:line="220" w:lineRule="auto"/>
        <w:ind w:left="3861"/>
        <w:jc w:val="both"/>
        <w:rPr>
          <w:spacing w:val="-1"/>
          <w:sz w:val="28"/>
          <w:szCs w:val="28"/>
          <w14:textOutline w14:w="1800" w14:cap="flat" w14:cmpd="sng">
            <w14:solidFill>
              <w14:srgbClr w14:val="000000"/>
            </w14:solidFill>
            <w14:prstDash w14:val="solid"/>
            <w14:miter w14:val="0"/>
          </w14:textOutline>
        </w:rPr>
      </w:pPr>
    </w:p>
    <w:p w14:paraId="15FEA1C6">
      <w:pPr>
        <w:pStyle w:val="2"/>
        <w:keepNext w:val="0"/>
        <w:keepLines w:val="0"/>
        <w:pageBreakBefore w:val="0"/>
        <w:kinsoku/>
        <w:wordWrap w:val="0"/>
        <w:overflowPunct/>
        <w:topLinePunct w:val="0"/>
        <w:bidi w:val="0"/>
        <w:spacing w:line="220" w:lineRule="auto"/>
        <w:jc w:val="center"/>
        <w:rPr>
          <w:spacing w:val="-1"/>
          <w:sz w:val="28"/>
          <w:szCs w:val="28"/>
          <w14:textOutline w14:w="1800" w14:cap="flat" w14:cmpd="sng">
            <w14:solidFill>
              <w14:srgbClr w14:val="000000"/>
            </w14:solidFill>
            <w14:prstDash w14:val="solid"/>
            <w14:miter w14:val="0"/>
          </w14:textOutline>
        </w:rPr>
      </w:pPr>
      <w:r>
        <w:rPr>
          <w:spacing w:val="-1"/>
          <w:sz w:val="28"/>
          <w:szCs w:val="28"/>
          <w14:textOutline w14:w="1800" w14:cap="flat" w14:cmpd="sng">
            <w14:solidFill>
              <w14:srgbClr w14:val="000000"/>
            </w14:solidFill>
            <w14:prstDash w14:val="solid"/>
            <w14:miter w14:val="0"/>
          </w14:textOutline>
        </w:rPr>
        <w:t>供应商须知表</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6B0447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14:paraId="623E94D4">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14:paraId="26AE218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365F07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006A6BC">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30A89FD">
            <w:pPr>
              <w:pStyle w:val="18"/>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14:paraId="64220AEC">
            <w:pPr>
              <w:pStyle w:val="18"/>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9"/>
                <w:sz w:val="24"/>
                <w:szCs w:val="24"/>
              </w:rPr>
              <w:t>□货物</w:t>
            </w:r>
          </w:p>
          <w:p w14:paraId="26D7DC7B">
            <w:pPr>
              <w:pStyle w:val="18"/>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lang w:val="en-US" w:eastAsia="zh-CN"/>
              </w:rPr>
            </w:pP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19"/>
                <w:sz w:val="24"/>
                <w:szCs w:val="24"/>
                <w:lang w:val="en-US" w:eastAsia="zh-CN"/>
              </w:rPr>
              <w:t>工程</w:t>
            </w:r>
          </w:p>
          <w:p w14:paraId="2CC4F1EB">
            <w:pPr>
              <w:pStyle w:val="18"/>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lang w:val="en-US" w:eastAsia="zh-CN"/>
              </w:rPr>
            </w:pPr>
            <w:r>
              <w:rPr>
                <w:rFonts w:hint="eastAsia" w:asciiTheme="minorEastAsia" w:hAnsiTheme="minorEastAsia" w:eastAsiaTheme="minorEastAsia" w:cstheme="minorEastAsia"/>
                <w:spacing w:val="19"/>
                <w:sz w:val="24"/>
                <w:szCs w:val="24"/>
                <w:lang w:eastAsia="zh-CN"/>
              </w:rPr>
              <w:t>【供应商对</w:t>
            </w:r>
            <w:r>
              <w:rPr>
                <w:rFonts w:hint="eastAsia" w:asciiTheme="minorEastAsia" w:hAnsiTheme="minorEastAsia" w:eastAsiaTheme="minorEastAsia" w:cstheme="minorEastAsia"/>
                <w:spacing w:val="19"/>
                <w:sz w:val="24"/>
                <w:szCs w:val="24"/>
                <w:lang w:val="en-US" w:eastAsia="zh-CN"/>
              </w:rPr>
              <w:t>其</w:t>
            </w:r>
            <w:r>
              <w:rPr>
                <w:rFonts w:hint="eastAsia" w:asciiTheme="minorEastAsia" w:hAnsiTheme="minorEastAsia" w:eastAsiaTheme="minorEastAsia" w:cstheme="minorEastAsia"/>
                <w:spacing w:val="19"/>
                <w:sz w:val="24"/>
                <w:szCs w:val="24"/>
                <w:lang w:eastAsia="zh-CN"/>
              </w:rPr>
              <w:t>提供的产品</w:t>
            </w:r>
            <w:r>
              <w:rPr>
                <w:rFonts w:hint="eastAsia" w:asciiTheme="minorEastAsia" w:hAnsiTheme="minorEastAsia" w:eastAsiaTheme="minorEastAsia" w:cstheme="minorEastAsia"/>
                <w:spacing w:val="19"/>
                <w:sz w:val="24"/>
                <w:szCs w:val="24"/>
                <w:lang w:val="en-US" w:eastAsia="zh-CN"/>
              </w:rPr>
              <w:t>应</w:t>
            </w:r>
            <w:r>
              <w:rPr>
                <w:rFonts w:hint="eastAsia" w:asciiTheme="minorEastAsia" w:hAnsiTheme="minorEastAsia" w:eastAsiaTheme="minorEastAsia" w:cstheme="minorEastAsia"/>
                <w:spacing w:val="19"/>
                <w:sz w:val="24"/>
                <w:szCs w:val="24"/>
                <w:lang w:eastAsia="zh-CN"/>
              </w:rPr>
              <w:t>出具《关于符合本国产品标准的声明函》（</w:t>
            </w:r>
            <w:r>
              <w:rPr>
                <w:rFonts w:hint="eastAsia" w:asciiTheme="minorEastAsia" w:hAnsiTheme="minorEastAsia" w:eastAsiaTheme="minorEastAsia" w:cstheme="minorEastAsia"/>
                <w:spacing w:val="19"/>
                <w:sz w:val="24"/>
                <w:szCs w:val="24"/>
                <w:lang w:val="en-US" w:eastAsia="zh-CN"/>
              </w:rPr>
              <w:t>后附</w:t>
            </w:r>
            <w:r>
              <w:rPr>
                <w:rFonts w:hint="eastAsia" w:asciiTheme="minorEastAsia" w:hAnsiTheme="minorEastAsia" w:eastAsiaTheme="minorEastAsia" w:cstheme="minorEastAsia"/>
                <w:spacing w:val="19"/>
                <w:sz w:val="24"/>
                <w:szCs w:val="24"/>
                <w:lang w:eastAsia="zh-CN"/>
              </w:rPr>
              <w:t>）或财政部会同有关部门规定的有关证明文件。】</w:t>
            </w:r>
          </w:p>
        </w:tc>
      </w:tr>
      <w:tr w14:paraId="6530BA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1A6FD37F">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0D548153">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14:paraId="1851D173">
            <w:pPr>
              <w:pStyle w:val="18"/>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14:paraId="54CA3E67">
            <w:pPr>
              <w:pStyle w:val="18"/>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14:paraId="007D9C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E051A1D">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7C58FDD">
            <w:pPr>
              <w:pStyle w:val="18"/>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tc>
      </w:tr>
      <w:tr w14:paraId="77A4BE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3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472080A">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78D89C4">
            <w:pPr>
              <w:pStyle w:val="18"/>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tc>
      </w:tr>
      <w:tr w14:paraId="5B5120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C1B4B9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91A243C">
            <w:pPr>
              <w:pStyle w:val="18"/>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auto"/>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1、本项目采购标的</w:t>
            </w:r>
            <w:r>
              <w:rPr>
                <w:rFonts w:hint="eastAsia" w:asciiTheme="minorEastAsia" w:hAnsiTheme="minorEastAsia" w:eastAsiaTheme="minorEastAsia" w:cstheme="minorEastAsia"/>
                <w:snapToGrid w:val="0"/>
                <w:color w:val="auto"/>
                <w:spacing w:val="14"/>
                <w:kern w:val="0"/>
                <w:sz w:val="24"/>
                <w:szCs w:val="24"/>
                <w:lang w:val="en-US" w:eastAsia="zh-CN" w:bidi="ar-SA"/>
              </w:rPr>
              <w:t>按照中小企业划分标准属于：</w:t>
            </w:r>
            <w:r>
              <w:rPr>
                <w:rFonts w:hint="eastAsia" w:asciiTheme="minorEastAsia" w:hAnsiTheme="minorEastAsia" w:eastAsiaTheme="minorEastAsia" w:cstheme="minorEastAsia"/>
                <w:snapToGrid w:val="0"/>
                <w:color w:val="auto"/>
                <w:spacing w:val="29"/>
                <w:kern w:val="0"/>
                <w:sz w:val="24"/>
                <w:szCs w:val="24"/>
                <w:u w:val="single"/>
                <w:lang w:val="en-US" w:eastAsia="zh-CN" w:bidi="ar-SA"/>
              </w:rPr>
              <w:t xml:space="preserve"> 软件和信息技术服务业 </w:t>
            </w:r>
          </w:p>
          <w:p w14:paraId="3B58EF0C">
            <w:pPr>
              <w:pStyle w:val="18"/>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auto"/>
                <w:spacing w:val="14"/>
                <w:kern w:val="0"/>
                <w:sz w:val="24"/>
                <w:szCs w:val="24"/>
                <w:lang w:val="en-US" w:eastAsia="zh-CN" w:bidi="ar-SA"/>
              </w:rPr>
            </w:pPr>
            <w:r>
              <w:rPr>
                <w:rFonts w:hint="eastAsia" w:asciiTheme="minorEastAsia" w:hAnsiTheme="minorEastAsia" w:eastAsiaTheme="minorEastAsia" w:cstheme="minorEastAsia"/>
                <w:snapToGrid w:val="0"/>
                <w:color w:val="auto"/>
                <w:spacing w:val="14"/>
                <w:kern w:val="0"/>
                <w:sz w:val="24"/>
                <w:szCs w:val="24"/>
                <w:lang w:val="en-US" w:eastAsia="zh-CN" w:bidi="ar-SA"/>
              </w:rPr>
              <w:t>☑本项目专门面向中小企业采购。</w:t>
            </w:r>
          </w:p>
          <w:p w14:paraId="20F6AC58">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color w:val="auto"/>
                <w:spacing w:val="-13"/>
                <w:sz w:val="24"/>
                <w:szCs w:val="24"/>
                <w:lang w:eastAsia="zh-CN"/>
              </w:rPr>
              <w:t>□</w:t>
            </w:r>
            <w:r>
              <w:rPr>
                <w:rFonts w:hint="eastAsia" w:asciiTheme="minorEastAsia" w:hAnsiTheme="minorEastAsia" w:eastAsiaTheme="minorEastAsia" w:cstheme="minorEastAsia"/>
                <w:snapToGrid w:val="0"/>
                <w:color w:val="auto"/>
                <w:spacing w:val="29"/>
                <w:kern w:val="0"/>
                <w:sz w:val="24"/>
                <w:szCs w:val="24"/>
                <w:lang w:val="en-US" w:eastAsia="zh-CN" w:bidi="ar-SA"/>
              </w:rPr>
              <w:t>本项目小微企业价格折扣比例</w:t>
            </w:r>
            <w:r>
              <w:rPr>
                <w:rFonts w:hint="eastAsia" w:asciiTheme="minorEastAsia" w:hAnsiTheme="minorEastAsia" w:eastAsiaTheme="minorEastAsia" w:cstheme="minorEastAsia"/>
                <w:snapToGrid w:val="0"/>
                <w:color w:val="auto"/>
                <w:spacing w:val="29"/>
                <w:kern w:val="0"/>
                <w:sz w:val="24"/>
                <w:szCs w:val="24"/>
                <w:u w:val="single"/>
                <w:lang w:val="en-US" w:eastAsia="zh-CN" w:bidi="ar-SA"/>
              </w:rPr>
              <w:t xml:space="preserve">  </w:t>
            </w:r>
            <w:r>
              <w:rPr>
                <w:rFonts w:hint="eastAsia" w:asciiTheme="minorEastAsia" w:hAnsiTheme="minorEastAsia" w:eastAsiaTheme="minorEastAsia" w:cstheme="minorEastAsia"/>
                <w:snapToGrid w:val="0"/>
                <w:color w:val="auto"/>
                <w:spacing w:val="29"/>
                <w:kern w:val="0"/>
                <w:sz w:val="24"/>
                <w:szCs w:val="24"/>
                <w:lang w:val="en-US" w:eastAsia="zh-CN" w:bidi="ar-SA"/>
              </w:rPr>
              <w:t>%</w:t>
            </w:r>
            <w:r>
              <w:rPr>
                <w:rFonts w:hint="eastAsia" w:asciiTheme="minorEastAsia" w:hAnsiTheme="minorEastAsia" w:eastAsiaTheme="minorEastAsia" w:cstheme="minorEastAsia"/>
                <w:snapToGrid w:val="0"/>
                <w:color w:val="000000"/>
                <w:spacing w:val="29"/>
                <w:kern w:val="0"/>
                <w:sz w:val="24"/>
                <w:szCs w:val="24"/>
                <w:lang w:val="en-US" w:eastAsia="zh-CN" w:bidi="ar-SA"/>
              </w:rPr>
              <w:t>。</w:t>
            </w:r>
          </w:p>
          <w:p w14:paraId="005923E8">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14:paraId="74006E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14:paraId="406E1CF0">
            <w:pPr>
              <w:pStyle w:val="18"/>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1983C7F8">
            <w:pPr>
              <w:keepNext w:val="0"/>
              <w:keepLines w:val="0"/>
              <w:pageBreakBefore w:val="0"/>
              <w:kinsoku/>
              <w:wordWrap w:val="0"/>
              <w:overflowPunct/>
              <w:topLinePunct w:val="0"/>
              <w:bidi w:val="0"/>
              <w:spacing w:before="78" w:line="219" w:lineRule="auto"/>
              <w:ind w:left="377" w:left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磋商</w:t>
            </w:r>
            <w:r>
              <w:rPr>
                <w:rFonts w:hint="eastAsia" w:asciiTheme="minorEastAsia" w:hAnsiTheme="minorEastAsia" w:eastAsiaTheme="minorEastAsia" w:cstheme="minorEastAsia"/>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64F65940">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7"/>
                <w:sz w:val="24"/>
                <w:szCs w:val="24"/>
              </w:rPr>
              <w:t>报价的特殊规定：</w:t>
            </w:r>
          </w:p>
          <w:p w14:paraId="4EBA5CE7">
            <w:pPr>
              <w:pStyle w:val="18"/>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14:paraId="4D55C8CD">
            <w:pPr>
              <w:pStyle w:val="18"/>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14:paraId="2AA9A159">
            <w:pPr>
              <w:pStyle w:val="18"/>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14:paraId="7D2E4D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7682C3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2DE643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80.5277 </w:t>
            </w:r>
            <w:r>
              <w:rPr>
                <w:rFonts w:hint="eastAsia" w:asciiTheme="minorEastAsia" w:hAnsiTheme="minorEastAsia" w:eastAsiaTheme="minorEastAsia" w:cstheme="minorEastAsia"/>
                <w:b w:val="0"/>
                <w:bCs/>
                <w:sz w:val="24"/>
                <w:szCs w:val="24"/>
                <w:lang w:val="en-US" w:eastAsia="zh-CN"/>
              </w:rPr>
              <w:t>万元</w:t>
            </w:r>
          </w:p>
        </w:tc>
      </w:tr>
      <w:tr w14:paraId="736E80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A1D77F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595EA05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14:paraId="1C6BE6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19F78A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F981D0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文件：1份</w:t>
            </w:r>
          </w:p>
        </w:tc>
      </w:tr>
      <w:tr w14:paraId="1DC2A1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EDCA52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上传</w:t>
            </w:r>
            <w:r>
              <w:rPr>
                <w:rFonts w:hint="eastAsia" w:asciiTheme="minorEastAsia" w:hAnsiTheme="minorEastAsia" w:eastAsiaTheme="minorEastAsia" w:cstheme="minorEastAsia"/>
                <w:sz w:val="24"/>
                <w:szCs w:val="24"/>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6080A3F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12"/>
                <w:sz w:val="24"/>
                <w:szCs w:val="24"/>
                <w:highlight w:val="none"/>
                <w:u w:val="single"/>
                <w:lang w:val="en-US" w:eastAsia="zh-CN"/>
              </w:rPr>
              <w:t xml:space="preserve"> 2026 </w:t>
            </w:r>
            <w:r>
              <w:rPr>
                <w:rFonts w:hint="eastAsia" w:asciiTheme="minorEastAsia" w:hAnsiTheme="minorEastAsia" w:eastAsiaTheme="minorEastAsia" w:cstheme="minorEastAsia"/>
                <w:spacing w:val="-12"/>
                <w:sz w:val="24"/>
                <w:szCs w:val="24"/>
                <w:highlight w:val="none"/>
              </w:rPr>
              <w:t>年</w:t>
            </w:r>
            <w:r>
              <w:rPr>
                <w:rFonts w:hint="eastAsia" w:asciiTheme="minorEastAsia" w:hAnsiTheme="minorEastAsia" w:eastAsiaTheme="minorEastAsia" w:cstheme="minorEastAsia"/>
                <w:spacing w:val="-12"/>
                <w:sz w:val="24"/>
                <w:szCs w:val="24"/>
                <w:highlight w:val="none"/>
                <w:u w:val="single"/>
                <w:lang w:val="en-US" w:eastAsia="zh-CN"/>
              </w:rPr>
              <w:t xml:space="preserve"> 8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19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highlight w:val="none"/>
                <w:u w:val="single"/>
                <w:lang w:val="en-US" w:eastAsia="zh-CN"/>
              </w:rPr>
              <w:t xml:space="preserve"> 9 </w:t>
            </w:r>
            <w:r>
              <w:rPr>
                <w:rFonts w:hint="eastAsia" w:asciiTheme="minorEastAsia" w:hAnsiTheme="minorEastAsia" w:eastAsiaTheme="minorEastAsia" w:cstheme="minorEastAsia"/>
                <w:spacing w:val="-12"/>
                <w:sz w:val="24"/>
                <w:szCs w:val="24"/>
                <w:highlight w:val="none"/>
              </w:rPr>
              <w:t>点</w:t>
            </w:r>
            <w:r>
              <w:rPr>
                <w:rFonts w:hint="eastAsia" w:asciiTheme="minorEastAsia" w:hAnsiTheme="minorEastAsia" w:eastAsiaTheme="minorEastAsia" w:cstheme="minorEastAsia"/>
                <w:spacing w:val="-12"/>
                <w:sz w:val="24"/>
                <w:szCs w:val="24"/>
                <w:highlight w:val="none"/>
                <w:u w:val="single"/>
                <w:lang w:val="en-US" w:eastAsia="zh-CN"/>
              </w:rPr>
              <w:t xml:space="preserve"> 00 </w:t>
            </w:r>
            <w:r>
              <w:rPr>
                <w:rFonts w:hint="eastAsia" w:asciiTheme="minorEastAsia" w:hAnsiTheme="minorEastAsia" w:eastAsiaTheme="minorEastAsia" w:cstheme="minorEastAsia"/>
                <w:spacing w:val="-12"/>
                <w:sz w:val="24"/>
                <w:szCs w:val="24"/>
                <w:highlight w:val="none"/>
              </w:rPr>
              <w:t>分</w:t>
            </w: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（北京时间）</w:t>
            </w:r>
          </w:p>
        </w:tc>
      </w:tr>
      <w:tr w14:paraId="6E70B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BD68A8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响应文件开启</w:t>
            </w:r>
            <w:r>
              <w:rPr>
                <w:rFonts w:hint="eastAsia" w:asciiTheme="minorEastAsia" w:hAnsiTheme="minorEastAsia" w:eastAsiaTheme="minorEastAsia" w:cstheme="minorEastAsia"/>
                <w:sz w:val="24"/>
                <w:szCs w:val="24"/>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EF525A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u w:val="single"/>
                <w:lang w:eastAsia="zh-CN"/>
              </w:rPr>
            </w:pPr>
            <w:r>
              <w:rPr>
                <w:rFonts w:hint="eastAsia" w:asciiTheme="minorEastAsia" w:hAnsiTheme="minorEastAsia" w:eastAsiaTheme="minorEastAsia" w:cstheme="minorEastAsia"/>
                <w:spacing w:val="-12"/>
                <w:sz w:val="24"/>
                <w:szCs w:val="24"/>
                <w:highlight w:val="none"/>
                <w:u w:val="single"/>
                <w:lang w:val="en-US" w:eastAsia="zh-CN"/>
              </w:rPr>
              <w:t xml:space="preserve"> 2026 </w:t>
            </w:r>
            <w:r>
              <w:rPr>
                <w:rFonts w:hint="eastAsia" w:asciiTheme="minorEastAsia" w:hAnsiTheme="minorEastAsia" w:eastAsiaTheme="minorEastAsia" w:cstheme="minorEastAsia"/>
                <w:spacing w:val="-12"/>
                <w:sz w:val="24"/>
                <w:szCs w:val="24"/>
                <w:highlight w:val="none"/>
              </w:rPr>
              <w:t>年</w:t>
            </w:r>
            <w:r>
              <w:rPr>
                <w:rFonts w:hint="eastAsia" w:asciiTheme="minorEastAsia" w:hAnsiTheme="minorEastAsia" w:eastAsiaTheme="minorEastAsia" w:cstheme="minorEastAsia"/>
                <w:spacing w:val="-12"/>
                <w:sz w:val="24"/>
                <w:szCs w:val="24"/>
                <w:highlight w:val="none"/>
                <w:u w:val="single"/>
                <w:lang w:val="en-US" w:eastAsia="zh-CN"/>
              </w:rPr>
              <w:t xml:space="preserve"> 8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19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highlight w:val="none"/>
                <w:u w:val="single"/>
                <w:lang w:val="en-US" w:eastAsia="zh-CN"/>
              </w:rPr>
              <w:t xml:space="preserve"> 9 </w:t>
            </w:r>
            <w:r>
              <w:rPr>
                <w:rFonts w:hint="eastAsia" w:asciiTheme="minorEastAsia" w:hAnsiTheme="minorEastAsia" w:eastAsiaTheme="minorEastAsia" w:cstheme="minorEastAsia"/>
                <w:spacing w:val="-12"/>
                <w:sz w:val="24"/>
                <w:szCs w:val="24"/>
                <w:highlight w:val="none"/>
              </w:rPr>
              <w:t>点</w:t>
            </w:r>
            <w:r>
              <w:rPr>
                <w:rFonts w:hint="eastAsia" w:asciiTheme="minorEastAsia" w:hAnsiTheme="minorEastAsia" w:eastAsiaTheme="minorEastAsia" w:cstheme="minorEastAsia"/>
                <w:spacing w:val="-12"/>
                <w:sz w:val="24"/>
                <w:szCs w:val="24"/>
                <w:highlight w:val="none"/>
                <w:u w:val="single"/>
                <w:lang w:val="en-US" w:eastAsia="zh-CN"/>
              </w:rPr>
              <w:t xml:space="preserve"> 00 </w:t>
            </w:r>
            <w:r>
              <w:rPr>
                <w:rFonts w:hint="eastAsia" w:asciiTheme="minorEastAsia" w:hAnsiTheme="minorEastAsia" w:eastAsiaTheme="minorEastAsia" w:cstheme="minorEastAsia"/>
                <w:spacing w:val="-12"/>
                <w:sz w:val="24"/>
                <w:szCs w:val="24"/>
                <w:highlight w:val="none"/>
              </w:rPr>
              <w:t>分</w:t>
            </w: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（北京时间）</w:t>
            </w:r>
          </w:p>
        </w:tc>
      </w:tr>
      <w:tr w14:paraId="74884C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7B91B3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B08F1A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综合评分法</w:t>
            </w:r>
          </w:p>
        </w:tc>
      </w:tr>
      <w:tr w14:paraId="1F149B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178366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CE53014">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w:t>
            </w:r>
            <w:r>
              <w:rPr>
                <w:rFonts w:hint="eastAsia" w:asciiTheme="minorEastAsia" w:hAnsiTheme="minorEastAsia" w:eastAsiaTheme="minorEastAsia" w:cstheme="minorEastAsia"/>
                <w:sz w:val="24"/>
                <w:szCs w:val="24"/>
                <w:lang w:val="en-US" w:eastAsia="zh-CN"/>
              </w:rPr>
              <w:t>磋商小组</w:t>
            </w:r>
            <w:r>
              <w:rPr>
                <w:rFonts w:hint="eastAsia" w:asciiTheme="minorEastAsia" w:hAnsiTheme="minorEastAsia" w:eastAsiaTheme="minorEastAsia" w:cstheme="minorEastAsia"/>
                <w:sz w:val="24"/>
                <w:szCs w:val="24"/>
                <w:lang w:eastAsia="zh-CN"/>
              </w:rPr>
              <w:t>直接确定</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lang w:eastAsia="zh-CN"/>
              </w:rPr>
              <w:t>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否</w:t>
            </w:r>
          </w:p>
        </w:tc>
      </w:tr>
      <w:tr w14:paraId="1BD5C0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14:paraId="794BDBD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z w:val="24"/>
                <w:szCs w:val="24"/>
                <w:lang w:val="en-US" w:eastAsia="zh-CN"/>
              </w:rPr>
              <w:t>代理费</w:t>
            </w:r>
          </w:p>
        </w:tc>
        <w:tc>
          <w:tcPr>
            <w:tcW w:w="7305" w:type="dxa"/>
            <w:tcBorders>
              <w:top w:val="single" w:color="auto" w:sz="6" w:space="0"/>
              <w:left w:val="single" w:color="auto" w:sz="6" w:space="0"/>
              <w:bottom w:val="single" w:color="auto" w:sz="12" w:space="0"/>
              <w:right w:val="single" w:color="auto" w:sz="12" w:space="0"/>
            </w:tcBorders>
            <w:noWrap w:val="0"/>
            <w:vAlign w:val="center"/>
          </w:tcPr>
          <w:p w14:paraId="1CC40175">
            <w:pPr>
              <w:pStyle w:val="18"/>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z w:val="24"/>
                <w:szCs w:val="24"/>
                <w:lang w:val="en-US" w:eastAsia="zh-CN"/>
              </w:rPr>
              <w:t>集中采购机构不收费</w:t>
            </w:r>
          </w:p>
        </w:tc>
      </w:tr>
    </w:tbl>
    <w:p w14:paraId="18BDD227">
      <w:pPr>
        <w:keepNext w:val="0"/>
        <w:keepLines w:val="0"/>
        <w:pageBreakBefore w:val="0"/>
        <w:kinsoku/>
        <w:wordWrap w:val="0"/>
        <w:overflowPunct/>
        <w:topLinePunct w:val="0"/>
        <w:bidi w:val="0"/>
        <w:spacing w:line="371" w:lineRule="auto"/>
        <w:jc w:val="both"/>
        <w:rPr>
          <w:rFonts w:ascii="Arial"/>
          <w:sz w:val="21"/>
        </w:rPr>
      </w:pPr>
    </w:p>
    <w:p w14:paraId="311E73F5">
      <w:pPr>
        <w:pStyle w:val="2"/>
        <w:keepNext w:val="0"/>
        <w:keepLines w:val="0"/>
        <w:pageBreakBefore w:val="0"/>
        <w:kinsoku/>
        <w:wordWrap w:val="0"/>
        <w:overflowPunct/>
        <w:topLinePunct w:val="0"/>
        <w:bidi w:val="0"/>
        <w:spacing w:before="91" w:line="360" w:lineRule="auto"/>
        <w:jc w:val="center"/>
        <w:rPr>
          <w:spacing w:val="-1"/>
          <w:sz w:val="28"/>
          <w:szCs w:val="28"/>
          <w14:textOutline w14:w="1800" w14:cap="flat" w14:cmpd="sng">
            <w14:solidFill>
              <w14:srgbClr w14:val="000000"/>
            </w14:solidFill>
            <w14:prstDash w14:val="solid"/>
            <w14:miter w14:val="0"/>
          </w14:textOutline>
        </w:rPr>
      </w:pPr>
    </w:p>
    <w:p w14:paraId="69893EB0">
      <w:pPr>
        <w:pStyle w:val="2"/>
        <w:keepNext w:val="0"/>
        <w:keepLines w:val="0"/>
        <w:pageBreakBefore w:val="0"/>
        <w:kinsoku/>
        <w:wordWrap w:val="0"/>
        <w:overflowPunct/>
        <w:topLinePunct w:val="0"/>
        <w:bidi w:val="0"/>
        <w:spacing w:before="91" w:line="360" w:lineRule="auto"/>
        <w:jc w:val="center"/>
        <w:rPr>
          <w:sz w:val="28"/>
          <w:szCs w:val="28"/>
        </w:rPr>
      </w:pPr>
      <w:r>
        <w:rPr>
          <w:spacing w:val="-1"/>
          <w:sz w:val="28"/>
          <w:szCs w:val="28"/>
          <w14:textOutline w14:w="1800" w14:cap="flat" w14:cmpd="sng">
            <w14:solidFill>
              <w14:srgbClr w14:val="000000"/>
            </w14:solidFill>
            <w14:prstDash w14:val="solid"/>
            <w14:miter w14:val="0"/>
          </w14:textOutline>
        </w:rPr>
        <w:t>供应商须知</w:t>
      </w:r>
    </w:p>
    <w:p w14:paraId="4FB3EA13">
      <w:pPr>
        <w:pStyle w:val="2"/>
        <w:keepNext w:val="0"/>
        <w:keepLines w:val="0"/>
        <w:pageBreakBefore w:val="0"/>
        <w:kinsoku/>
        <w:wordWrap w:val="0"/>
        <w:overflowPunct/>
        <w:topLinePunct w:val="0"/>
        <w:bidi w:val="0"/>
        <w:spacing w:before="270" w:line="360" w:lineRule="auto"/>
        <w:jc w:val="both"/>
        <w:rPr>
          <w:rFonts w:hint="eastAsia" w:asciiTheme="minorEastAsia" w:hAnsiTheme="minorEastAsia" w:eastAsiaTheme="minorEastAsia" w:cstheme="minorEastAsia"/>
          <w:spacing w:val="-1"/>
          <w:sz w:val="24"/>
          <w:szCs w:val="24"/>
        </w:rPr>
      </w:pPr>
      <w:r>
        <w:rPr>
          <w:spacing w:val="-10"/>
          <w:sz w:val="28"/>
          <w:szCs w:val="28"/>
          <w14:textOutline w14:w="1800" w14:cap="flat" w14:cmpd="sng">
            <w14:solidFill>
              <w14:srgbClr w14:val="000000"/>
            </w14:solidFill>
            <w14:prstDash w14:val="solid"/>
            <w14:miter w14:val="0"/>
          </w14:textOutline>
        </w:rPr>
        <w:t>一</w:t>
      </w:r>
      <w:r>
        <w:rPr>
          <w:rFonts w:hint="eastAsia"/>
          <w:spacing w:val="5"/>
          <w:sz w:val="28"/>
          <w:szCs w:val="28"/>
          <w:lang w:eastAsia="zh-CN"/>
        </w:rPr>
        <w:t>、</w:t>
      </w:r>
      <w:r>
        <w:rPr>
          <w:spacing w:val="-10"/>
          <w:sz w:val="28"/>
          <w:szCs w:val="28"/>
          <w14:textOutline w14:w="1800" w14:cap="flat" w14:cmpd="sng">
            <w14:solidFill>
              <w14:srgbClr w14:val="000000"/>
            </w14:solidFill>
            <w14:prstDash w14:val="solid"/>
            <w14:miter w14:val="0"/>
          </w14:textOutline>
        </w:rPr>
        <w:t>说明</w:t>
      </w:r>
    </w:p>
    <w:p w14:paraId="330AD8A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val="en-US" w:eastAsia="zh-CN"/>
        </w:rPr>
        <w:t>供应商</w:t>
      </w:r>
      <w:r>
        <w:rPr>
          <w:rFonts w:hint="eastAsia" w:asciiTheme="minorEastAsia" w:hAnsiTheme="minorEastAsia" w:eastAsiaTheme="minorEastAsia" w:cstheme="minorEastAsia"/>
          <w:b/>
          <w:bCs/>
          <w:spacing w:val="-1"/>
          <w:sz w:val="24"/>
          <w:szCs w:val="24"/>
        </w:rPr>
        <w:t>、联合体</w:t>
      </w:r>
    </w:p>
    <w:p w14:paraId="07B6304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p>
    <w:p w14:paraId="26051EBA">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供应商（也称申请人）：指向采购人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14:paraId="0BA9B36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14:paraId="5246237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资金来源、项目属性、科研仪器设备采购</w:t>
      </w:r>
    </w:p>
    <w:p w14:paraId="629FED2F">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资金来源为财政性资金</w:t>
      </w:r>
      <w:r>
        <w:rPr>
          <w:rFonts w:hint="eastAsia" w:asciiTheme="minorEastAsia" w:hAnsiTheme="minorEastAsia" w:eastAsiaTheme="minorEastAsia" w:cstheme="minorEastAsia"/>
          <w:spacing w:val="7"/>
          <w:sz w:val="24"/>
          <w:szCs w:val="24"/>
          <w:u w:val="single"/>
          <w:lang w:val="en-US" w:eastAsia="zh-CN"/>
        </w:rPr>
        <w:t xml:space="preserve"> 80.5277 </w:t>
      </w:r>
      <w:r>
        <w:rPr>
          <w:rFonts w:hint="eastAsia" w:asciiTheme="minorEastAsia" w:hAnsiTheme="minorEastAsia" w:eastAsiaTheme="minorEastAsia" w:cstheme="minorEastAsia"/>
          <w:spacing w:val="7"/>
          <w:sz w:val="24"/>
          <w:szCs w:val="24"/>
          <w:u w:val="none"/>
          <w:lang w:val="en-US" w:eastAsia="zh-CN"/>
        </w:rPr>
        <w:t>万元</w:t>
      </w:r>
      <w:r>
        <w:rPr>
          <w:rFonts w:hint="eastAsia" w:asciiTheme="minorEastAsia" w:hAnsiTheme="minorEastAsia" w:eastAsiaTheme="minorEastAsia" w:cstheme="minorEastAsia"/>
          <w:spacing w:val="-9"/>
          <w:sz w:val="24"/>
          <w:szCs w:val="24"/>
        </w:rPr>
        <w:t>。</w:t>
      </w:r>
    </w:p>
    <w:p w14:paraId="044841D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项目属性见《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14:paraId="03EA03D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是否属于科研仪器设备采购见《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14:paraId="28F5141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14:paraId="3EADFB1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val="en-US" w:eastAsia="zh-CN"/>
        </w:rPr>
        <w:t>供应商</w:t>
      </w:r>
      <w:r>
        <w:rPr>
          <w:rFonts w:hint="eastAsia" w:asciiTheme="minorEastAsia" w:hAnsiTheme="minorEastAsia" w:eastAsiaTheme="minorEastAsia" w:cstheme="minorEastAsia"/>
          <w:spacing w:val="3"/>
          <w:sz w:val="24"/>
          <w:szCs w:val="24"/>
          <w:lang w:eastAsia="zh-CN"/>
        </w:rPr>
        <w:t>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前答疑会，则供应商</w:t>
      </w:r>
      <w:r>
        <w:rPr>
          <w:rFonts w:hint="eastAsia" w:asciiTheme="minorEastAsia" w:hAnsiTheme="minorEastAsia" w:eastAsiaTheme="minorEastAsia" w:cstheme="minorEastAsia"/>
          <w:spacing w:val="-3"/>
          <w:sz w:val="24"/>
          <w:szCs w:val="24"/>
        </w:rPr>
        <w:t>应按要求在规定的时间和地点参加。</w:t>
      </w:r>
    </w:p>
    <w:p w14:paraId="47E67B0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前答疑会而导致对项目实际情况不了解，影响</w:t>
      </w:r>
      <w:r>
        <w:rPr>
          <w:rFonts w:hint="eastAsia" w:asciiTheme="minorEastAsia" w:hAnsiTheme="minorEastAsia" w:eastAsiaTheme="minorEastAsia" w:cstheme="minorEastAsia"/>
          <w:spacing w:val="2"/>
          <w:sz w:val="24"/>
          <w:szCs w:val="24"/>
          <w:lang w:val="en-US" w:eastAsia="zh-CN"/>
        </w:rPr>
        <w:t>响应</w:t>
      </w:r>
      <w:r>
        <w:rPr>
          <w:rFonts w:hint="eastAsia" w:asciiTheme="minorEastAsia" w:hAnsiTheme="minorEastAsia" w:eastAsiaTheme="minorEastAsia" w:cstheme="minorEastAsia"/>
          <w:spacing w:val="2"/>
          <w:sz w:val="24"/>
          <w:szCs w:val="24"/>
        </w:rPr>
        <w:t>文件编制、</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报价准确性、综合因素响应不全面等问题的，由</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rPr>
        <w:t>自行承担不利评审后果。</w:t>
      </w:r>
    </w:p>
    <w:p w14:paraId="191A837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14:paraId="3951E3D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14:paraId="2C73498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14:paraId="73A28A01">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14:paraId="7194D8C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14:paraId="5ED0DBF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14:paraId="10CB7294">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14:paraId="2B36DC73">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HYPERLINK"5.2.1.1"</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14:paraId="4739E124">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HYPERLINK"5.2.1.2"</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14:paraId="5BE473E6">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14:paraId="7EC1F065">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14:paraId="49889CF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14:paraId="6E88E34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HYPERLINK"5.2.1.3"</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14:paraId="5C350DF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HYPERLINK"5.2.1.4"</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14:paraId="3186089E">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14:paraId="50B9F9B2">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14:paraId="461D5BC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14:paraId="1EB120E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14:paraId="28CA0CC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14:paraId="61A3B80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14:paraId="466FBA1C">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14:paraId="3FADDD7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02C7884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val="en-US" w:eastAsia="zh-CN"/>
        </w:rPr>
        <w:t>竞争性磋商公告</w:t>
      </w:r>
      <w:r>
        <w:rPr>
          <w:rFonts w:hint="eastAsia" w:asciiTheme="minorEastAsia" w:hAnsiTheme="minorEastAsia" w:eastAsiaTheme="minorEastAsia" w:cstheme="minorEastAsia"/>
          <w:spacing w:val="-8"/>
          <w:sz w:val="24"/>
          <w:szCs w:val="24"/>
        </w:rPr>
        <w:t>》。</w:t>
      </w:r>
    </w:p>
    <w:p w14:paraId="7CA3E6D1">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val="en-US" w:eastAsia="zh-CN"/>
        </w:rPr>
        <w:t>供应商</w:t>
      </w:r>
      <w:r>
        <w:rPr>
          <w:rFonts w:hint="eastAsia" w:asciiTheme="minorEastAsia" w:hAnsiTheme="minorEastAsia" w:eastAsiaTheme="minorEastAsia" w:cstheme="minorEastAsia"/>
          <w:spacing w:val="-8"/>
          <w:sz w:val="24"/>
          <w:szCs w:val="24"/>
          <w:lang w:eastAsia="zh-CN"/>
        </w:rPr>
        <w:t>须知表</w:t>
      </w:r>
      <w:r>
        <w:rPr>
          <w:rFonts w:hint="eastAsia" w:asciiTheme="minorEastAsia" w:hAnsiTheme="minorEastAsia" w:eastAsiaTheme="minorEastAsia" w:cstheme="minorEastAsia"/>
          <w:spacing w:val="-8"/>
          <w:sz w:val="24"/>
          <w:szCs w:val="24"/>
        </w:rPr>
        <w:t>》。</w:t>
      </w:r>
    </w:p>
    <w:p w14:paraId="5A411E3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w:t>
      </w:r>
    </w:p>
    <w:p w14:paraId="680452C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w:t>
      </w:r>
    </w:p>
    <w:p w14:paraId="5E84B910">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671416B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.3.2</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57EAB9D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val="en-US" w:eastAsia="zh-CN"/>
        </w:rPr>
        <w:t>响应</w:t>
      </w:r>
      <w:r>
        <w:rPr>
          <w:rFonts w:hint="eastAsia" w:asciiTheme="minorEastAsia" w:hAnsiTheme="minorEastAsia" w:eastAsiaTheme="minorEastAsia" w:cstheme="minorEastAsia"/>
          <w:b/>
          <w:bCs/>
          <w:spacing w:val="-8"/>
          <w:sz w:val="24"/>
          <w:szCs w:val="24"/>
        </w:rPr>
        <w:t>无效；</w:t>
      </w:r>
    </w:p>
    <w:p w14:paraId="66CE20D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程序、评审方法和评审标准》。（如涉及）。</w:t>
      </w:r>
    </w:p>
    <w:p w14:paraId="06A5F72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正版软件</w:t>
      </w:r>
    </w:p>
    <w:p w14:paraId="042801EF">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val="en-US" w:eastAsia="zh-CN"/>
        </w:rPr>
        <w:t>响应</w:t>
      </w:r>
      <w:r>
        <w:rPr>
          <w:rFonts w:hint="eastAsia" w:asciiTheme="minorEastAsia" w:hAnsiTheme="minorEastAsia" w:eastAsiaTheme="minorEastAsia" w:cstheme="minorEastAsia"/>
          <w:spacing w:val="-8"/>
          <w:sz w:val="24"/>
          <w:szCs w:val="24"/>
        </w:rPr>
        <w:t>无效。财政部、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14:paraId="15BF787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14:paraId="18F9136F">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网络安全专用产品</w:t>
      </w:r>
    </w:p>
    <w:p w14:paraId="20E0116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14:paraId="2DA78472">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6 </w:t>
      </w:r>
      <w:r>
        <w:rPr>
          <w:rFonts w:hint="eastAsia" w:asciiTheme="minorEastAsia" w:hAnsiTheme="minorEastAsia" w:eastAsiaTheme="minorEastAsia" w:cstheme="minorEastAsia"/>
          <w:spacing w:val="2"/>
          <w:sz w:val="24"/>
          <w:szCs w:val="24"/>
        </w:rPr>
        <w:t>采购需求标准</w:t>
      </w:r>
    </w:p>
    <w:p w14:paraId="7347262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14:paraId="0BE9AFC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14:paraId="34D3AA1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14:paraId="227AAD7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4"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lang w:val="en-US" w:eastAsia="zh-CN"/>
        </w:rPr>
        <w:t>5.采购</w:t>
      </w:r>
      <w:r>
        <w:rPr>
          <w:rFonts w:hint="eastAsia" w:asciiTheme="minorEastAsia" w:hAnsiTheme="minorEastAsia" w:eastAsiaTheme="minorEastAsia" w:cstheme="minorEastAsia"/>
          <w:b/>
          <w:bCs/>
          <w:spacing w:val="-2"/>
          <w:sz w:val="24"/>
          <w:szCs w:val="24"/>
        </w:rPr>
        <w:t>费用</w:t>
      </w:r>
    </w:p>
    <w:p w14:paraId="2A39A76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val="en-US"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14:paraId="3ED8C92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6.采购范围及适用法律</w:t>
      </w:r>
    </w:p>
    <w:p w14:paraId="3C2F84B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14:paraId="74CFB97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南阳市财政局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14:paraId="2C675C8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6.3 “货物”指供应商按采购文件规定，须向采购人提供的与本次采购相关的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 </w:t>
      </w:r>
      <w:r>
        <w:rPr>
          <w:rFonts w:hint="eastAsia" w:asciiTheme="minorEastAsia" w:hAnsiTheme="minorEastAsia" w:eastAsiaTheme="minorEastAsia" w:cstheme="minorEastAsia"/>
          <w:snapToGrid w:val="0"/>
          <w:color w:val="000000"/>
          <w:spacing w:val="-12"/>
          <w:kern w:val="0"/>
          <w:sz w:val="24"/>
          <w:szCs w:val="24"/>
          <w:lang w:val="en-US" w:eastAsia="zh-CN" w:bidi="ar-SA"/>
        </w:rPr>
        <w:t>。</w:t>
      </w:r>
    </w:p>
    <w:p w14:paraId="2F60E81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6.4 “服务”指采购文件规定供应商应承担的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机房维保 </w:t>
      </w:r>
      <w:r>
        <w:rPr>
          <w:rFonts w:hint="eastAsia" w:asciiTheme="minorEastAsia" w:hAnsiTheme="minorEastAsia" w:eastAsiaTheme="minorEastAsia" w:cstheme="minorEastAsia"/>
          <w:snapToGrid w:val="0"/>
          <w:color w:val="000000"/>
          <w:spacing w:val="-12"/>
          <w:kern w:val="0"/>
          <w:sz w:val="24"/>
          <w:szCs w:val="24"/>
          <w:lang w:val="en-US" w:eastAsia="zh-CN" w:bidi="ar-SA"/>
        </w:rPr>
        <w:t>服务。</w:t>
      </w:r>
    </w:p>
    <w:p w14:paraId="222C53B4">
      <w:pPr>
        <w:keepNext w:val="0"/>
        <w:keepLines w:val="0"/>
        <w:pageBreakBefore w:val="0"/>
        <w:kinsoku/>
        <w:wordWrap w:val="0"/>
        <w:overflowPunct/>
        <w:topLinePunct w:val="0"/>
        <w:bidi w:val="0"/>
        <w:spacing w:line="292" w:lineRule="auto"/>
        <w:jc w:val="both"/>
        <w:rPr>
          <w:rFonts w:ascii="Arial"/>
          <w:sz w:val="21"/>
        </w:rPr>
      </w:pPr>
    </w:p>
    <w:p w14:paraId="19E92AA8">
      <w:pPr>
        <w:pStyle w:val="2"/>
        <w:keepNext w:val="0"/>
        <w:keepLines w:val="0"/>
        <w:pageBreakBefore w:val="0"/>
        <w:kinsoku/>
        <w:wordWrap w:val="0"/>
        <w:overflowPunct/>
        <w:topLinePunct w:val="0"/>
        <w:bidi w:val="0"/>
        <w:spacing w:before="91" w:line="360" w:lineRule="auto"/>
        <w:jc w:val="both"/>
        <w:rPr>
          <w:rFonts w:hint="eastAsia"/>
          <w:sz w:val="24"/>
          <w:szCs w:val="24"/>
          <w:lang w:val="en-US" w:eastAsia="zh-CN"/>
        </w:rPr>
      </w:pPr>
      <w:r>
        <w:rPr>
          <w:spacing w:val="-1"/>
          <w:sz w:val="28"/>
          <w:szCs w:val="28"/>
          <w14:textOutline w14:w="1800" w14:cap="flat" w14:cmpd="sng">
            <w14:solidFill>
              <w14:srgbClr w14:val="000000"/>
            </w14:solidFill>
            <w14:prstDash w14:val="solid"/>
            <w14:miter w14:val="0"/>
          </w14:textOutline>
        </w:rPr>
        <w:t>二</w:t>
      </w:r>
      <w:r>
        <w:rPr>
          <w:rFonts w:hint="eastAsia"/>
          <w:spacing w:val="-1"/>
          <w:sz w:val="28"/>
          <w:szCs w:val="28"/>
          <w:lang w:eastAsia="zh-CN"/>
        </w:rPr>
        <w:t>、</w:t>
      </w:r>
      <w:r>
        <w:rPr>
          <w:spacing w:val="-1"/>
          <w:sz w:val="28"/>
          <w:szCs w:val="28"/>
          <w14:textOutline w14:w="1800" w14:cap="flat" w14:cmpd="sng">
            <w14:solidFill>
              <w14:srgbClr w14:val="000000"/>
            </w14:solidFill>
            <w14:prstDash w14:val="solid"/>
            <w14:miter w14:val="0"/>
          </w14:textOutline>
        </w:rPr>
        <w:t>竞争性磋商文件</w:t>
      </w:r>
    </w:p>
    <w:p w14:paraId="1CA62664">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b/>
          <w:bCs/>
          <w:sz w:val="24"/>
          <w:szCs w:val="24"/>
        </w:rPr>
      </w:pPr>
      <w:r>
        <w:rPr>
          <w:rFonts w:hint="eastAsia"/>
          <w:b/>
          <w:bCs/>
          <w:sz w:val="24"/>
          <w:szCs w:val="24"/>
          <w:lang w:val="en-US" w:eastAsia="zh-CN"/>
        </w:rPr>
        <w:t>7.</w:t>
      </w:r>
      <w:r>
        <w:rPr>
          <w:b/>
          <w:bCs/>
          <w:sz w:val="24"/>
          <w:szCs w:val="24"/>
        </w:rPr>
        <w:t>竞争性磋商文件构成</w:t>
      </w:r>
    </w:p>
    <w:p w14:paraId="78D3DA42">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rFonts w:hint="eastAsia"/>
          <w:spacing w:val="-1"/>
          <w:sz w:val="24"/>
          <w:szCs w:val="24"/>
          <w:lang w:val="en-US" w:eastAsia="zh-CN"/>
        </w:rPr>
        <w:t>7</w:t>
      </w:r>
      <w:r>
        <w:rPr>
          <w:spacing w:val="-1"/>
          <w:sz w:val="24"/>
          <w:szCs w:val="24"/>
        </w:rPr>
        <w:t>.1</w:t>
      </w:r>
      <w:r>
        <w:rPr>
          <w:rFonts w:hint="eastAsia"/>
          <w:spacing w:val="-1"/>
          <w:sz w:val="24"/>
          <w:szCs w:val="24"/>
          <w:lang w:val="en-US" w:eastAsia="zh-CN"/>
        </w:rPr>
        <w:t xml:space="preserve"> </w:t>
      </w:r>
      <w:r>
        <w:rPr>
          <w:spacing w:val="-1"/>
          <w:sz w:val="24"/>
          <w:szCs w:val="24"/>
        </w:rPr>
        <w:t>竞争性磋商文件包括以下部分：</w:t>
      </w:r>
    </w:p>
    <w:p w14:paraId="7ACF1D2F">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val="en-US" w:eastAsia="zh-CN"/>
        </w:rPr>
        <w:t xml:space="preserve"> </w:t>
      </w:r>
      <w:r>
        <w:rPr>
          <w:rFonts w:hint="eastAsia"/>
          <w:spacing w:val="-1"/>
          <w:sz w:val="24"/>
          <w:szCs w:val="24"/>
          <w:lang w:eastAsia="zh-CN"/>
        </w:rPr>
        <w:t>竞争性磋商公告</w:t>
      </w:r>
      <w:r>
        <w:rPr>
          <w:spacing w:val="-1"/>
          <w:sz w:val="24"/>
          <w:szCs w:val="24"/>
        </w:rPr>
        <w:fldChar w:fldCharType="end"/>
      </w:r>
    </w:p>
    <w:p w14:paraId="291254C7">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第二章</w:t>
      </w:r>
      <w:r>
        <w:rPr>
          <w:rFonts w:hint="eastAsia"/>
          <w:spacing w:val="-1"/>
          <w:sz w:val="24"/>
          <w:szCs w:val="24"/>
          <w:lang w:val="en-US" w:eastAsia="zh-CN"/>
        </w:rPr>
        <w:t xml:space="preserve"> </w:t>
      </w:r>
      <w:r>
        <w:rPr>
          <w:spacing w:val="-1"/>
          <w:sz w:val="24"/>
          <w:szCs w:val="24"/>
        </w:rPr>
        <w:t>采购需求</w:t>
      </w:r>
    </w:p>
    <w:p w14:paraId="28874EFF">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第三章</w:t>
      </w:r>
      <w:r>
        <w:rPr>
          <w:rFonts w:hint="eastAsia"/>
          <w:spacing w:val="-1"/>
          <w:sz w:val="24"/>
          <w:szCs w:val="24"/>
          <w:lang w:val="en-US" w:eastAsia="zh-CN"/>
        </w:rPr>
        <w:t xml:space="preserve"> </w:t>
      </w:r>
      <w:r>
        <w:rPr>
          <w:spacing w:val="-1"/>
          <w:sz w:val="24"/>
          <w:szCs w:val="24"/>
        </w:rPr>
        <w:t>供应商须知</w:t>
      </w:r>
    </w:p>
    <w:p w14:paraId="40031706">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第四章</w:t>
      </w:r>
      <w:r>
        <w:rPr>
          <w:rFonts w:hint="eastAsia"/>
          <w:spacing w:val="-1"/>
          <w:sz w:val="24"/>
          <w:szCs w:val="24"/>
          <w:lang w:val="en-US" w:eastAsia="zh-CN"/>
        </w:rPr>
        <w:t xml:space="preserve"> </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p>
    <w:p w14:paraId="0F4781F1">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第五章</w:t>
      </w:r>
      <w:r>
        <w:rPr>
          <w:rFonts w:hint="eastAsia"/>
          <w:spacing w:val="-1"/>
          <w:sz w:val="24"/>
          <w:szCs w:val="24"/>
          <w:lang w:val="en-US" w:eastAsia="zh-CN"/>
        </w:rPr>
        <w:t xml:space="preserve"> </w:t>
      </w:r>
      <w:r>
        <w:rPr>
          <w:rFonts w:hint="eastAsia"/>
          <w:spacing w:val="-1"/>
          <w:sz w:val="24"/>
          <w:szCs w:val="24"/>
          <w:lang w:eastAsia="zh-CN"/>
        </w:rPr>
        <w:t>政府采购合同（草案）</w:t>
      </w:r>
    </w:p>
    <w:p w14:paraId="0746D1E3">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第六章</w:t>
      </w:r>
      <w:r>
        <w:rPr>
          <w:rFonts w:hint="eastAsia"/>
          <w:spacing w:val="-1"/>
          <w:sz w:val="24"/>
          <w:szCs w:val="24"/>
          <w:lang w:val="en-US" w:eastAsia="zh-CN"/>
        </w:rPr>
        <w:t xml:space="preserve"> </w:t>
      </w:r>
      <w:r>
        <w:rPr>
          <w:spacing w:val="-1"/>
          <w:sz w:val="24"/>
          <w:szCs w:val="24"/>
        </w:rPr>
        <w:t>响应文件格式</w:t>
      </w:r>
    </w:p>
    <w:p w14:paraId="5743571A">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7.2 供应商应认真阅读竞争性磋商文件的全部内容。供应商应按照竞争性磋商文件要求提交响应文件并保证所提供的全部资料的真实性，并对竞争性磋商文件做出实质性响应，否则响应无效。</w:t>
      </w:r>
    </w:p>
    <w:p w14:paraId="2A02B701">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8.对竞争性磋商文件的澄清或修改</w:t>
      </w:r>
    </w:p>
    <w:p w14:paraId="1F74520B">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8.1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可用补充文件的方式修正竞争性磋商文件，补充文件内容以公告的形式告知所有竞争性磋商文件收受人，该补充文件将成为竞争性磋商文件的组成部分，并替代所修正的部分。</w:t>
      </w:r>
    </w:p>
    <w:p w14:paraId="38E94198">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8.2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可以酌情延长上传截止时间，并将此变更以公告形式通知所有竞争性磋商文件收受人。</w:t>
      </w:r>
    </w:p>
    <w:p w14:paraId="65B501AA">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lang w:val="en-US" w:eastAsia="zh-CN"/>
        </w:rPr>
        <w:t>（必须在原公告发布媒体上发布公告）</w:t>
      </w:r>
      <w:r>
        <w:rPr>
          <w:rFonts w:hint="eastAsia"/>
          <w:spacing w:val="-1"/>
          <w:sz w:val="24"/>
          <w:szCs w:val="24"/>
          <w:lang w:val="en-US" w:eastAsia="zh-CN"/>
        </w:rPr>
        <w:t>通知所有获取磋商文件的供应商；不足5日的，将顺延上传响应文件截止时间。</w:t>
      </w:r>
    </w:p>
    <w:p w14:paraId="744A1B6C">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8.4 政府采购项目实行网上受理，开标前所有信息保密。因此，</w:t>
      </w:r>
      <w:r>
        <w:rPr>
          <w:rFonts w:hint="eastAsia" w:asciiTheme="minorEastAsia" w:hAnsiTheme="minorEastAsia" w:eastAsiaTheme="minorEastAsia" w:cstheme="minorEastAsia"/>
          <w:b/>
          <w:bCs/>
          <w:spacing w:val="-8"/>
          <w:sz w:val="24"/>
          <w:szCs w:val="24"/>
          <w:lang w:val="en-US" w:eastAsia="zh-CN"/>
        </w:rPr>
        <w:t>采购人或采购代理机构</w:t>
      </w:r>
      <w:r>
        <w:rPr>
          <w:rFonts w:hint="eastAsia"/>
          <w:b/>
          <w:bCs/>
          <w:spacing w:val="-1"/>
          <w:sz w:val="24"/>
          <w:szCs w:val="24"/>
          <w:lang w:val="en-US" w:eastAsia="zh-CN"/>
        </w:rPr>
        <w:t>发布的一切公告信息（包括采购公告、变更公告、澄清公告等）均在“河南省政府采购网”“全国公共资源交易平台（河南省·南阳市）”等媒体发布，请潜在供应商随时查询有关公告信息。若因潜在供应商没有及时查看到公告信息而造成的失误，责任自负。</w:t>
      </w:r>
    </w:p>
    <w:p w14:paraId="228D994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8.5 供应商应关注是否有发布最新的澄清更正公告和更正的最新磋商文件（电子答疑文件），如有则需下载最新的磋商文件，并在此基础上制作最新的响应文件并上传。</w:t>
      </w:r>
    </w:p>
    <w:p w14:paraId="0F5CB85F">
      <w:pPr>
        <w:pStyle w:val="2"/>
        <w:keepNext w:val="0"/>
        <w:keepLines w:val="0"/>
        <w:pageBreakBefore w:val="0"/>
        <w:kinsoku/>
        <w:wordWrap w:val="0"/>
        <w:overflowPunct/>
        <w:topLinePunct w:val="0"/>
        <w:bidi w:val="0"/>
        <w:spacing w:before="179" w:line="220" w:lineRule="auto"/>
        <w:jc w:val="both"/>
        <w:rPr>
          <w:sz w:val="24"/>
          <w:szCs w:val="24"/>
        </w:rPr>
      </w:pPr>
    </w:p>
    <w:p w14:paraId="261FE33C">
      <w:pPr>
        <w:pStyle w:val="2"/>
        <w:keepNext w:val="0"/>
        <w:keepLines w:val="0"/>
        <w:pageBreakBefore w:val="0"/>
        <w:kinsoku/>
        <w:wordWrap w:val="0"/>
        <w:overflowPunct/>
        <w:topLinePunct w:val="0"/>
        <w:bidi w:val="0"/>
        <w:spacing w:before="91" w:line="360" w:lineRule="auto"/>
        <w:jc w:val="both"/>
        <w:rPr>
          <w:rFonts w:hint="eastAsia" w:ascii="Arial" w:hAnsi="Arial" w:eastAsia="宋体" w:cs="Arial"/>
          <w:sz w:val="24"/>
          <w:szCs w:val="24"/>
          <w:lang w:val="en-US" w:eastAsia="zh-CN"/>
        </w:rPr>
      </w:pPr>
      <w:r>
        <w:rPr>
          <w:spacing w:val="-4"/>
          <w:sz w:val="28"/>
          <w:szCs w:val="28"/>
          <w14:textOutline w14:w="1800" w14:cap="flat" w14:cmpd="sng">
            <w14:solidFill>
              <w14:srgbClr w14:val="000000"/>
            </w14:solidFill>
            <w14:prstDash w14:val="solid"/>
            <w14:miter w14:val="0"/>
          </w14:textOutline>
        </w:rPr>
        <w:t>三</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响应文件的编制</w:t>
      </w:r>
    </w:p>
    <w:p w14:paraId="65D4D3E7">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9.响应范围、竞争性磋商文件中计量单位的使用及磋商语言</w:t>
      </w:r>
    </w:p>
    <w:p w14:paraId="73BB65A8">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14:paraId="7D62EFE5">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9.2 除竞争性磋商文件有特殊要求外，本项目磋商所使用的计量单位，应采用中华人民共和国法定计量单位。</w:t>
      </w:r>
    </w:p>
    <w:p w14:paraId="0F65D139">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671A8B98">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10.响应文件构成</w:t>
      </w:r>
    </w:p>
    <w:p w14:paraId="382E39D1">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10.1 供应商应当按照竞争性磋商文件的要求编制响应文件，并对其提交的响应文件的真实性、合法性承担法律责任。响应文件的部分格式要求，见第六章《响应文件格式》。</w:t>
      </w:r>
    </w:p>
    <w:p w14:paraId="1B3FE0B0">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14:paraId="52942B5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根据磋商文件中规定的下载平台要求，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文件，将被平台系统拒绝。</w:t>
      </w:r>
    </w:p>
    <w:p w14:paraId="4E91A662">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10.4 </w:t>
      </w:r>
      <w:r>
        <w:rPr>
          <w:rFonts w:hint="eastAsia" w:asciiTheme="minorEastAsia" w:hAnsiTheme="minorEastAsia" w:eastAsiaTheme="minorEastAsia" w:cstheme="minorEastAsia"/>
          <w:sz w:val="24"/>
          <w:szCs w:val="24"/>
        </w:rPr>
        <w:t>第四章《</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r>
        <w:rPr>
          <w:rFonts w:hint="eastAsia" w:asciiTheme="minorEastAsia" w:hAnsiTheme="minorEastAsia" w:eastAsiaTheme="minorEastAsia" w:cstheme="minorEastAsia"/>
          <w:sz w:val="24"/>
          <w:szCs w:val="24"/>
        </w:rPr>
        <w:t>》中涉及的证明文件。</w:t>
      </w:r>
    </w:p>
    <w:p w14:paraId="3000A5B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val="en-US"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14:paraId="03DB0969">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10.6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编制响应文件时，涉及营业执照、资质、业绩、财务、社保、纳税及各类证书、报告等内容，必须是原件的扫描件。</w:t>
      </w:r>
    </w:p>
    <w:p w14:paraId="305D8D60">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10.7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认为应附的其他材料。</w:t>
      </w:r>
    </w:p>
    <w:p w14:paraId="7CBE2C35">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11.报价</w:t>
      </w:r>
    </w:p>
    <w:p w14:paraId="270FD6B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报价</w:t>
      </w:r>
      <w:r>
        <w:rPr>
          <w:rFonts w:hint="eastAsia" w:asciiTheme="minorEastAsia" w:hAnsiTheme="minorEastAsia" w:eastAsiaTheme="minorEastAsia" w:cstheme="minorEastAsia"/>
          <w:sz w:val="24"/>
          <w:szCs w:val="24"/>
        </w:rPr>
        <w:t>均以人民币报价。</w:t>
      </w:r>
    </w:p>
    <w:p w14:paraId="20BB357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val="en-US" w:eastAsia="zh-CN"/>
        </w:rPr>
        <w:t>磋商文件</w:t>
      </w:r>
      <w:r>
        <w:rPr>
          <w:rFonts w:hint="eastAsia" w:asciiTheme="minorEastAsia" w:hAnsiTheme="minorEastAsia" w:eastAsiaTheme="minorEastAsia" w:cstheme="minorEastAsia"/>
          <w:sz w:val="24"/>
          <w:szCs w:val="24"/>
        </w:rPr>
        <w:t>中有特殊规定的，从其规定。</w:t>
      </w:r>
    </w:p>
    <w:p w14:paraId="3EFF02D8">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1 </w:t>
      </w:r>
      <w:r>
        <w:rPr>
          <w:rFonts w:hint="eastAsia" w:asciiTheme="minorEastAsia" w:hAnsiTheme="minorEastAsia" w:eastAsiaTheme="minorEastAsia" w:cstheme="minorEastAsia"/>
          <w:sz w:val="24"/>
          <w:szCs w:val="24"/>
          <w:lang w:eastAsia="zh-CN"/>
        </w:rPr>
        <w:t>所投</w:t>
      </w:r>
      <w:r>
        <w:rPr>
          <w:rFonts w:hint="eastAsia" w:asciiTheme="minorEastAsia" w:hAnsiTheme="minorEastAsia" w:eastAsiaTheme="minorEastAsia" w:cstheme="minorEastAsia"/>
          <w:sz w:val="24"/>
          <w:szCs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14:paraId="75CBE5C7">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文件要求完成本项目的全部相关费用。</w:t>
      </w:r>
    </w:p>
    <w:p w14:paraId="7AFAA4D2">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14:paraId="4991789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无效。</w:t>
      </w:r>
    </w:p>
    <w:p w14:paraId="4502A54A">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11.5 本项目将按供应商所提交的单价和总价来支付本项目所需的费用。对供应商没有填写单价和总价的内容,将被认为这些项目费用已包括在报价中。</w:t>
      </w:r>
    </w:p>
    <w:p w14:paraId="101EC134">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11.6 磋商结束，供应商进行网上最终报价。</w:t>
      </w:r>
    </w:p>
    <w:p w14:paraId="26793D9E">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11.7 本次采购设有预算，供应商最终报价超过预算的，磋商小组将不予评议。</w:t>
      </w:r>
    </w:p>
    <w:p w14:paraId="5825D775">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11.8 供应商的所有报价不得低于成本恶意竞争。</w:t>
      </w:r>
    </w:p>
    <w:p w14:paraId="414C64A8">
      <w:pPr>
        <w:keepNext w:val="0"/>
        <w:keepLines w:val="0"/>
        <w:pageBreakBefore w:val="0"/>
        <w:widowControl/>
        <w:kinsoku/>
        <w:wordWrap w:val="0"/>
        <w:overflowPunct/>
        <w:topLinePunct w:val="0"/>
        <w:autoSpaceDE/>
        <w:autoSpaceDN/>
        <w:bidi w:val="0"/>
        <w:adjustRightInd/>
        <w:snapToGrid/>
        <w:spacing w:after="0" w:line="360" w:lineRule="auto"/>
        <w:ind w:firstLine="478" w:firstLineChars="200"/>
        <w:jc w:val="both"/>
        <w:textAlignment w:val="auto"/>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12.响应有效期</w:t>
      </w:r>
    </w:p>
    <w:p w14:paraId="2498C9FF">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12.1 响应文件应在本竞争性磋商文件《供应商须知表》中规定的响应有效期内保持有效，响应有效期少于磋商文件规定期限的，其响应无效。成交人的响应有效期延长至项目验收合格之日。</w:t>
      </w:r>
    </w:p>
    <w:p w14:paraId="25D706B5">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12.2 特别情况下，采购代理机构、采购人可于响应有效期满之前要求供应商同意延长有效期，要求与答复均为书面形式。供应商可以拒绝上述要求。对于同意该要求的供应商，既不要求也不允许其修改响应文件。</w:t>
      </w:r>
    </w:p>
    <w:p w14:paraId="09764522">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13.响应</w:t>
      </w:r>
      <w:r>
        <w:rPr>
          <w:rFonts w:hint="eastAsia" w:asciiTheme="minorEastAsia" w:hAnsiTheme="minorEastAsia" w:eastAsiaTheme="minorEastAsia" w:cstheme="minorEastAsia"/>
          <w:b/>
          <w:bCs/>
          <w:sz w:val="24"/>
          <w:szCs w:val="24"/>
        </w:rPr>
        <w:t>文件的签署、盖章</w:t>
      </w:r>
    </w:p>
    <w:p w14:paraId="42AF4288">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13.1 电子响应文件必须在规定签章处电子签章或手写签字后扫描上传进响应文件。</w:t>
      </w:r>
    </w:p>
    <w:p w14:paraId="2DB29EB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13.2 竞争性磋商文件要求盖章的内容，一般通过CA加盖电子签章。</w:t>
      </w:r>
    </w:p>
    <w:p w14:paraId="0D554DF6">
      <w:pPr>
        <w:pStyle w:val="2"/>
        <w:keepNext w:val="0"/>
        <w:keepLines w:val="0"/>
        <w:pageBreakBefore w:val="0"/>
        <w:kinsoku/>
        <w:wordWrap w:val="0"/>
        <w:overflowPunct/>
        <w:topLinePunct w:val="0"/>
        <w:bidi w:val="0"/>
        <w:spacing w:before="122" w:line="190" w:lineRule="auto"/>
        <w:jc w:val="both"/>
        <w:rPr>
          <w:spacing w:val="-4"/>
          <w:sz w:val="28"/>
          <w:szCs w:val="28"/>
          <w14:textOutline w14:w="1800" w14:cap="flat" w14:cmpd="sng">
            <w14:solidFill>
              <w14:srgbClr w14:val="000000"/>
            </w14:solidFill>
            <w14:prstDash w14:val="solid"/>
            <w14:miter w14:val="0"/>
          </w14:textOutline>
        </w:rPr>
      </w:pPr>
    </w:p>
    <w:p w14:paraId="30E4A91B">
      <w:pPr>
        <w:pStyle w:val="2"/>
        <w:keepNext w:val="0"/>
        <w:keepLines w:val="0"/>
        <w:pageBreakBefore w:val="0"/>
        <w:kinsoku/>
        <w:wordWrap w:val="0"/>
        <w:overflowPunct/>
        <w:topLinePunct w:val="0"/>
        <w:bidi w:val="0"/>
        <w:spacing w:before="122" w:line="360" w:lineRule="auto"/>
        <w:jc w:val="both"/>
        <w:rPr>
          <w:rFonts w:hint="eastAsia" w:ascii="宋体" w:hAnsi="宋体" w:eastAsia="宋体" w:cs="宋体"/>
          <w:snapToGrid w:val="0"/>
          <w:color w:val="000000"/>
          <w:spacing w:val="-1"/>
          <w:kern w:val="0"/>
          <w:sz w:val="24"/>
          <w:szCs w:val="24"/>
          <w:lang w:val="en-US" w:eastAsia="zh-CN" w:bidi="ar-SA"/>
        </w:rPr>
      </w:pPr>
      <w:r>
        <w:rPr>
          <w:spacing w:val="-4"/>
          <w:sz w:val="28"/>
          <w:szCs w:val="28"/>
          <w14:textOutline w14:w="1800" w14:cap="flat" w14:cmpd="sng">
            <w14:solidFill>
              <w14:srgbClr w14:val="000000"/>
            </w14:solidFill>
            <w14:prstDash w14:val="solid"/>
            <w14:miter w14:val="0"/>
          </w14:textOutline>
        </w:rPr>
        <w:t>四</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spacing w:val="-4"/>
          <w:sz w:val="28"/>
          <w:szCs w:val="28"/>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spacing w:val="-4"/>
          <w:sz w:val="28"/>
          <w:szCs w:val="28"/>
          <w14:textOutline w14:w="1800" w14:cap="flat" w14:cmpd="sng">
            <w14:solidFill>
              <w14:srgbClr w14:val="000000"/>
            </w14:solidFill>
            <w14:prstDash w14:val="solid"/>
            <w14:miter w14:val="0"/>
          </w14:textOutline>
        </w:rPr>
        <w:t>交</w:t>
      </w:r>
    </w:p>
    <w:p w14:paraId="76F6E66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14.响应文件的提交</w:t>
      </w:r>
    </w:p>
    <w:p w14:paraId="215D86A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电子响应文件的提交是指使用南阳市公共资源交易中心交易系统在上传截止时间前完成制作软件生成的加密电子响应文件的上传。未在上传截止时间前完成上传的，视为逾期提交。逾期提交的响应文件不予受理。</w:t>
      </w:r>
    </w:p>
    <w:p w14:paraId="6DFB70A7">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采购人及采购代理机构拒绝接受通过电子交易平台以外任何形式提交的响应文件。</w:t>
      </w:r>
    </w:p>
    <w:p w14:paraId="1473D4B0">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15.响应文件上传截止时间</w:t>
      </w:r>
    </w:p>
    <w:p w14:paraId="42ABC4E6">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供应商应在竞争性磋商文件要求响应文件上传截止时间前，将电子响应文件提交至电子交易平台。</w:t>
      </w:r>
    </w:p>
    <w:p w14:paraId="10C7083C">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16.响应文件的修改与撤回</w:t>
      </w:r>
    </w:p>
    <w:p w14:paraId="471F2F9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在采购文件规定的电子响应文件上传截止时间前，供应商可以修改或撤回已上传的电子响应文件，最终电子响应文件以上传截止时间前完成上传至南阳市公共资源交易电子交易平台最后一份加密电子响应文件为准。</w:t>
      </w:r>
      <w:r>
        <w:rPr>
          <w:rFonts w:hint="eastAsia" w:asciiTheme="minorEastAsia" w:hAnsiTheme="minorEastAsia" w:eastAsiaTheme="minorEastAsia" w:cstheme="minorEastAsia"/>
          <w:spacing w:val="3"/>
          <w:sz w:val="24"/>
          <w:szCs w:val="24"/>
          <w:lang w:val="en-US" w:eastAsia="zh-CN"/>
        </w:rPr>
        <w:t>上传截止时间之后，供应商不得修改或撤回电子响应文件。</w:t>
      </w:r>
    </w:p>
    <w:p w14:paraId="6C6A3968">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45E3AEBD">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3C257F4B"/>
    <w:p w14:paraId="0F87EC33">
      <w:pPr>
        <w:pStyle w:val="2"/>
        <w:keepNext w:val="0"/>
        <w:keepLines w:val="0"/>
        <w:pageBreakBefore w:val="0"/>
        <w:kinsoku/>
        <w:wordWrap w:val="0"/>
        <w:overflowPunct/>
        <w:topLinePunct w:val="0"/>
        <w:bidi w:val="0"/>
        <w:spacing w:before="358" w:line="360" w:lineRule="auto"/>
        <w:jc w:val="center"/>
        <w:rPr>
          <w:spacing w:val="-2"/>
          <w:sz w:val="24"/>
          <w:szCs w:val="24"/>
          <w14:textOutline w14:w="1537" w14:cap="flat" w14:cmpd="sng">
            <w14:solidFill>
              <w14:srgbClr w14:val="000000"/>
            </w14:solidFill>
            <w14:prstDash w14:val="solid"/>
            <w14:miter w14:val="0"/>
          </w14:textOutline>
        </w:rPr>
      </w:pPr>
      <w:r>
        <w:rPr>
          <w:spacing w:val="-1"/>
          <w:sz w:val="36"/>
          <w:szCs w:val="36"/>
          <w14:textOutline w14:w="2306" w14:cap="flat" w14:cmpd="sng">
            <w14:solidFill>
              <w14:srgbClr w14:val="000000"/>
            </w14:solidFill>
            <w14:prstDash w14:val="solid"/>
            <w14:miter w14:val="0"/>
          </w14:textOutline>
        </w:rPr>
        <w:t>第</w:t>
      </w:r>
      <w:r>
        <w:rPr>
          <w:rFonts w:hint="eastAsia"/>
          <w:spacing w:val="-1"/>
          <w:sz w:val="36"/>
          <w:szCs w:val="36"/>
          <w:lang w:val="en-US" w:eastAsia="zh-CN"/>
          <w14:textOutline w14:w="2306" w14:cap="flat" w14:cmpd="sng">
            <w14:solidFill>
              <w14:srgbClr w14:val="000000"/>
            </w14:solidFill>
            <w14:prstDash w14:val="solid"/>
            <w14:miter w14:val="0"/>
          </w14:textOutline>
        </w:rPr>
        <w:t>四</w:t>
      </w:r>
      <w:r>
        <w:rPr>
          <w:spacing w:val="-1"/>
          <w:sz w:val="36"/>
          <w:szCs w:val="36"/>
          <w14:textOutline w14:w="2306" w14:cap="flat" w14:cmpd="sng">
            <w14:solidFill>
              <w14:srgbClr w14:val="000000"/>
            </w14:solidFill>
            <w14:prstDash w14:val="solid"/>
            <w14:miter w14:val="0"/>
          </w14:textOutline>
        </w:rPr>
        <w:t>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14:textOutline w14:w="2306" w14:cap="flat" w14:cmpd="sng">
            <w14:solidFill>
              <w14:srgbClr w14:val="000000"/>
            </w14:solidFill>
            <w14:prstDash w14:val="solid"/>
            <w14:miter w14:val="0"/>
          </w14:textOutline>
        </w:rPr>
        <w:t>评</w:t>
      </w:r>
      <w:r>
        <w:rPr>
          <w:rFonts w:hint="eastAsia"/>
          <w:spacing w:val="-1"/>
          <w:sz w:val="36"/>
          <w:szCs w:val="36"/>
          <w:lang w:val="en-US" w:eastAsia="zh-CN"/>
          <w14:textOutline w14:w="2306" w14:cap="flat" w14:cmpd="sng">
            <w14:solidFill>
              <w14:srgbClr w14:val="000000"/>
            </w14:solidFill>
            <w14:prstDash w14:val="solid"/>
            <w14:miter w14:val="0"/>
          </w14:textOutline>
        </w:rPr>
        <w:t>审</w:t>
      </w:r>
      <w:r>
        <w:rPr>
          <w:rFonts w:hint="eastAsia"/>
          <w:spacing w:val="-1"/>
          <w:sz w:val="36"/>
          <w:szCs w:val="36"/>
          <w14:textOutline w14:w="2306" w14:cap="flat" w14:cmpd="sng">
            <w14:solidFill>
              <w14:srgbClr w14:val="000000"/>
            </w14:solidFill>
            <w14:prstDash w14:val="solid"/>
            <w14:miter w14:val="0"/>
          </w14:textOutline>
        </w:rPr>
        <w:t>程序、</w:t>
      </w:r>
      <w:r>
        <w:rPr>
          <w:spacing w:val="-1"/>
          <w:sz w:val="36"/>
          <w:szCs w:val="36"/>
          <w14:textOutline w14:w="2306" w14:cap="flat" w14:cmpd="sng">
            <w14:solidFill>
              <w14:srgbClr w14:val="000000"/>
            </w14:solidFill>
            <w14:prstDash w14:val="solid"/>
            <w14:miter w14:val="0"/>
          </w14:textOutline>
        </w:rPr>
        <w:t>评审方法和评审标准</w:t>
      </w:r>
    </w:p>
    <w:p w14:paraId="6BE26114">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421FF409">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一、编制、确认竞争性磋商文件</w:t>
      </w:r>
    </w:p>
    <w:p w14:paraId="5598FA47">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pacing w:val="3"/>
          <w:sz w:val="24"/>
          <w:szCs w:val="24"/>
          <w:lang w:val="en-US" w:eastAsia="zh-CN"/>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zh-CN" w:bidi="ar-SA"/>
        </w:rPr>
        <w:t>根据采购项目特点和采购实际需求编制竞争性磋商文件，编制的竞争性磋商文件应由采购人审核并确认。</w:t>
      </w:r>
    </w:p>
    <w:p w14:paraId="50595657">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33894F4F">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二、发布竞争性磋商公告，邀请供应商参加磋商</w:t>
      </w:r>
    </w:p>
    <w:p w14:paraId="65BFC286">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竞争性磋商文件经采购人书面确认后，将在指定媒体和全国公共资源交易平台（河南省·南阳市）发布竞争性磋商公告。供应商按照公告和竞争性磋商文件要求制作并递交响应文件。</w:t>
      </w:r>
    </w:p>
    <w:p w14:paraId="63401CAE">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3310D43F">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三、组建磋商小组</w:t>
      </w:r>
    </w:p>
    <w:p w14:paraId="7976F263">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根据</w:t>
      </w:r>
      <w:r>
        <w:rPr>
          <w:rFonts w:hint="eastAsia" w:asciiTheme="minorEastAsia" w:hAnsiTheme="minorEastAsia" w:eastAsiaTheme="minorEastAsia" w:cstheme="minorEastAsia"/>
          <w:snapToGrid w:val="0"/>
          <w:color w:val="000000"/>
          <w:spacing w:val="-2"/>
          <w:kern w:val="0"/>
          <w:sz w:val="24"/>
          <w:szCs w:val="24"/>
          <w:lang w:val="en-US" w:eastAsia="zh-CN" w:bidi="ar-SA"/>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napToGrid w:val="0"/>
          <w:color w:val="000000"/>
          <w:spacing w:val="3"/>
          <w:kern w:val="0"/>
          <w:sz w:val="24"/>
          <w:szCs w:val="24"/>
          <w:lang w:val="en-US" w:eastAsia="zh-CN" w:bidi="ar-SA"/>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14:paraId="567BF284">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竞争性磋商小组负责对响应文件进行评审、质疑、评估、比较、评分，组织磋商和最后报价。</w:t>
      </w:r>
    </w:p>
    <w:p w14:paraId="135FC310">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评审专家应当严格遵守评审工作纪律，按照客观、公正、审慎的原则，根据磋商文件规定的评审程序、评审方法和评审标准进行独立评审。</w:t>
      </w:r>
    </w:p>
    <w:p w14:paraId="26329F81">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14:paraId="26EA3620">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评审活动结束，按照《河南省政府采购评审专家劳务报酬支付标准》的通知(豫财购〔2017〕9号)的规定，发放劳务报酬。</w:t>
      </w:r>
    </w:p>
    <w:p w14:paraId="0F12D142">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14:paraId="5E14CE46">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1779BD2E">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四、解密电子响应文件</w:t>
      </w:r>
    </w:p>
    <w:p w14:paraId="7132C692">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92" w:firstLineChars="200"/>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解密：供应商制作电子响应文件时，必须使用本单位的CA进行加密，供应商在解密前须自行检查CA的有效性。解密时未在开启响应文件时间后30分钟内进行解密成功的视为撤销其响应文件（因电子开标系统原因除外）。</w:t>
      </w:r>
    </w:p>
    <w:p w14:paraId="6220E979">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6488FB94">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五、评审</w:t>
      </w:r>
    </w:p>
    <w:p w14:paraId="3966D6E5">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磋商小组对供应商提交的响应文件进行评审。主要对响应文件的有效性、完整性和响应程度进行审查，具体包括：</w:t>
      </w:r>
    </w:p>
    <w:p w14:paraId="3703ACD4">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4" w:firstLineChars="200"/>
        <w:jc w:val="center"/>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资格性审查</w:t>
      </w:r>
    </w:p>
    <w:tbl>
      <w:tblPr>
        <w:tblStyle w:val="17"/>
        <w:tblW w:w="8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3851"/>
        <w:gridCol w:w="2662"/>
      </w:tblGrid>
      <w:tr w14:paraId="2A9F8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1" w:type="dxa"/>
            <w:vAlign w:val="top"/>
          </w:tcPr>
          <w:p w14:paraId="3BEDBD52">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058" w:type="dxa"/>
            <w:vAlign w:val="top"/>
          </w:tcPr>
          <w:p w14:paraId="2A57E001">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3851" w:type="dxa"/>
            <w:vAlign w:val="top"/>
          </w:tcPr>
          <w:p w14:paraId="029C5DC4">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2662" w:type="dxa"/>
            <w:vAlign w:val="top"/>
          </w:tcPr>
          <w:p w14:paraId="682F89F8">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14:paraId="0A1FF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21" w:type="dxa"/>
            <w:vAlign w:val="center"/>
          </w:tcPr>
          <w:p w14:paraId="09F787EF">
            <w:pPr>
              <w:pStyle w:val="18"/>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14:paraId="3074D9F5">
            <w:pPr>
              <w:pStyle w:val="18"/>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58" w:type="dxa"/>
            <w:vAlign w:val="center"/>
          </w:tcPr>
          <w:p w14:paraId="6C6F944B">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2"/>
                <w:sz w:val="24"/>
                <w:szCs w:val="24"/>
                <w:lang w:val="en-US" w:eastAsia="zh-CN"/>
              </w:rPr>
              <w:t>具备的</w:t>
            </w:r>
            <w:r>
              <w:rPr>
                <w:rFonts w:hint="eastAsia" w:asciiTheme="minorEastAsia" w:hAnsiTheme="minorEastAsia" w:eastAsiaTheme="minorEastAsia" w:cstheme="minorEastAsia"/>
                <w:spacing w:val="-2"/>
                <w:sz w:val="24"/>
                <w:szCs w:val="24"/>
              </w:rPr>
              <w:t>资格要求</w:t>
            </w:r>
          </w:p>
        </w:tc>
        <w:tc>
          <w:tcPr>
            <w:tcW w:w="3851" w:type="dxa"/>
            <w:vAlign w:val="top"/>
          </w:tcPr>
          <w:p w14:paraId="3A687DA3">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1.</w:t>
            </w:r>
            <w:r>
              <w:rPr>
                <w:rFonts w:hint="eastAsia" w:asciiTheme="minorEastAsia" w:hAnsiTheme="minorEastAsia" w:eastAsiaTheme="minorEastAsia" w:cstheme="minorEastAsia"/>
                <w:spacing w:val="-2"/>
                <w:sz w:val="24"/>
                <w:szCs w:val="24"/>
                <w:lang w:val="en-US" w:eastAsia="zh-CN"/>
              </w:rPr>
              <w:t>注册于中华人民共和国境内，具有独立承担民事责任能力；</w:t>
            </w:r>
          </w:p>
          <w:p w14:paraId="79808546">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2.具有良好的商业信誉和健全的财务会计制度；</w:t>
            </w:r>
          </w:p>
          <w:p w14:paraId="3FD1E69C">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3.具有履行合同所必需的设备和专业技术能力；</w:t>
            </w:r>
          </w:p>
          <w:p w14:paraId="3A6CEF17">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4.有依法缴纳税收和社会保障资金的良好记录；</w:t>
            </w:r>
          </w:p>
          <w:p w14:paraId="4753736B">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napToGrid w:val="0"/>
                <w:color w:val="000000"/>
                <w:spacing w:val="-14"/>
                <w:kern w:val="0"/>
                <w:sz w:val="24"/>
                <w:szCs w:val="24"/>
                <w:lang w:val="en-US" w:eastAsia="zh-CN" w:bidi="ar-SA"/>
              </w:rPr>
              <w:t>参加政府采购活动前三年内，在经营活动中没有重大违法记录；</w:t>
            </w:r>
          </w:p>
          <w:p w14:paraId="5DC4903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val="en-US"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7BD2A4B4">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7.遵守国家有关法律、法规、规章。</w:t>
            </w:r>
          </w:p>
        </w:tc>
        <w:tc>
          <w:tcPr>
            <w:tcW w:w="2662" w:type="dxa"/>
            <w:vAlign w:val="top"/>
          </w:tcPr>
          <w:p w14:paraId="2A33BFD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供应商为企业（包括合伙企业、个体工商户）的，应提供有效的营业执照；</w:t>
            </w:r>
          </w:p>
          <w:p w14:paraId="7F053493">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供应商为事业单位的，应提供有效的事业单位法人证书；</w:t>
            </w:r>
          </w:p>
          <w:p w14:paraId="71D8E01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供应商是非企业机构的，应提供有效的执业许可证、登记证书等证明文件；</w:t>
            </w:r>
          </w:p>
          <w:p w14:paraId="0FE058B7">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供应商是自然人的，应提供有效的自然人身份证明。</w:t>
            </w:r>
          </w:p>
          <w:p w14:paraId="6035E7C7">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1603C9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1" w:type="dxa"/>
            <w:vAlign w:val="top"/>
          </w:tcPr>
          <w:p w14:paraId="3BF6E20E">
            <w:pPr>
              <w:pStyle w:val="18"/>
              <w:keepNext w:val="0"/>
              <w:keepLines w:val="0"/>
              <w:pageBreakBefore w:val="0"/>
              <w:kinsoku/>
              <w:wordWrap w:val="0"/>
              <w:overflowPunct/>
              <w:topLinePunct w:val="0"/>
              <w:bidi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1058" w:type="dxa"/>
            <w:vAlign w:val="top"/>
          </w:tcPr>
          <w:p w14:paraId="7F2DDC56">
            <w:pPr>
              <w:keepNext w:val="0"/>
              <w:keepLines w:val="0"/>
              <w:pageBreakBefore w:val="0"/>
              <w:kinsoku/>
              <w:wordWrap w:val="0"/>
              <w:overflowPunct/>
              <w:topLinePunct w:val="0"/>
              <w:bidi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3851" w:type="dxa"/>
            <w:vAlign w:val="top"/>
          </w:tcPr>
          <w:p w14:paraId="35D7530B">
            <w:pPr>
              <w:keepNext w:val="0"/>
              <w:keepLines w:val="0"/>
              <w:pageBreakBefore w:val="0"/>
              <w:kinsoku/>
              <w:wordWrap w:val="0"/>
              <w:overflowPunct/>
              <w:topLinePunct w:val="0"/>
              <w:bidi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c>
          <w:tcPr>
            <w:tcW w:w="2662" w:type="dxa"/>
            <w:vAlign w:val="top"/>
          </w:tcPr>
          <w:p w14:paraId="0D917407">
            <w:pPr>
              <w:pStyle w:val="18"/>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r w14:paraId="3FE501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4" w:hRule="atLeast"/>
        </w:trPr>
        <w:tc>
          <w:tcPr>
            <w:tcW w:w="721" w:type="dxa"/>
            <w:vAlign w:val="top"/>
          </w:tcPr>
          <w:p w14:paraId="41598C8F">
            <w:pPr>
              <w:pStyle w:val="18"/>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610598FD">
            <w:pPr>
              <w:pStyle w:val="18"/>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0BC1D36D">
            <w:pPr>
              <w:pStyle w:val="18"/>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195B03CD">
            <w:pPr>
              <w:pStyle w:val="18"/>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0C6336D8">
            <w:pPr>
              <w:pStyle w:val="18"/>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3F23A948">
            <w:pPr>
              <w:pStyle w:val="18"/>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479AC4D9">
            <w:pPr>
              <w:pStyle w:val="18"/>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2457C250">
            <w:pPr>
              <w:pStyle w:val="18"/>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5B9C35B5">
            <w:pPr>
              <w:pStyle w:val="18"/>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25A9E41A">
            <w:pPr>
              <w:pStyle w:val="18"/>
              <w:keepNext w:val="0"/>
              <w:keepLines w:val="0"/>
              <w:pageBreakBefore w:val="0"/>
              <w:kinsoku/>
              <w:wordWrap w:val="0"/>
              <w:overflowPunct/>
              <w:topLinePunct w:val="0"/>
              <w:bidi w:val="0"/>
              <w:spacing w:before="49" w:line="199" w:lineRule="auto"/>
              <w:ind w:firstLine="256" w:firstLineChars="1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058" w:type="dxa"/>
            <w:vAlign w:val="top"/>
          </w:tcPr>
          <w:p w14:paraId="3D603ABD">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A1228F4">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5813FE2">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DCE6AED">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C58C75E">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668CD499">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6EFFACEE">
            <w:pPr>
              <w:pStyle w:val="18"/>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70D30396">
            <w:pPr>
              <w:pStyle w:val="18"/>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406ED3DE">
            <w:pPr>
              <w:pStyle w:val="18"/>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6D293096">
            <w:pPr>
              <w:keepNext w:val="0"/>
              <w:keepLines w:val="0"/>
              <w:pageBreakBefore w:val="0"/>
              <w:kinsoku/>
              <w:wordWrap w:val="0"/>
              <w:overflowPunct/>
              <w:topLinePunct w:val="0"/>
              <w:bidi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3851" w:type="dxa"/>
            <w:vAlign w:val="top"/>
          </w:tcPr>
          <w:p w14:paraId="74260378">
            <w:pPr>
              <w:keepNext w:val="0"/>
              <w:keepLines w:val="0"/>
              <w:pageBreakBefore w:val="0"/>
              <w:kinsoku/>
              <w:wordWrap w:val="0"/>
              <w:overflowPunct/>
              <w:topLinePunct w:val="0"/>
              <w:bidi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w:t>
            </w:r>
          </w:p>
          <w:p w14:paraId="09FC4DD5">
            <w:pPr>
              <w:pStyle w:val="18"/>
              <w:keepNext w:val="0"/>
              <w:keepLines w:val="0"/>
              <w:pageBreakBefore w:val="0"/>
              <w:kinsoku/>
              <w:wordWrap w:val="0"/>
              <w:overflowPunct/>
              <w:topLinePunct w:val="0"/>
              <w:bidi w:val="0"/>
              <w:spacing w:before="4" w:line="22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5"/>
                <w:sz w:val="24"/>
                <w:szCs w:val="24"/>
              </w:rPr>
              <w:t>单独</w:t>
            </w:r>
            <w:r>
              <w:rPr>
                <w:rFonts w:hint="eastAsia" w:asciiTheme="minorEastAsia" w:hAnsiTheme="minorEastAsia" w:eastAsiaTheme="minorEastAsia" w:cstheme="minorEastAsia"/>
                <w:spacing w:val="-5"/>
                <w:sz w:val="24"/>
                <w:szCs w:val="24"/>
                <w:lang w:val="en-US" w:eastAsia="zh-CN"/>
              </w:rPr>
              <w:t>参与</w:t>
            </w:r>
            <w:r>
              <w:rPr>
                <w:rFonts w:hint="eastAsia" w:asciiTheme="minorEastAsia" w:hAnsiTheme="minorEastAsia" w:eastAsiaTheme="minorEastAsia" w:cstheme="minorEastAsia"/>
                <w:spacing w:val="-5"/>
                <w:sz w:val="24"/>
                <w:szCs w:val="24"/>
              </w:rPr>
              <w:t>的，应</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14:paraId="0FCF79EA">
            <w:pPr>
              <w:pStyle w:val="18"/>
              <w:keepNext w:val="0"/>
              <w:keepLines w:val="0"/>
              <w:pageBreakBefore w:val="0"/>
              <w:kinsoku/>
              <w:wordWrap w:val="0"/>
              <w:overflowPunct/>
              <w:topLinePunct w:val="0"/>
              <w:bidi w:val="0"/>
              <w:spacing w:before="20" w:line="236" w:lineRule="auto"/>
              <w:ind w:left="113" w:right="102" w:firstLine="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w:t>
            </w:r>
            <w:r>
              <w:rPr>
                <w:rFonts w:hint="eastAsia" w:asciiTheme="minorEastAsia" w:hAnsiTheme="minorEastAsia" w:eastAsiaTheme="minorEastAsia" w:cstheme="minorEastAsia"/>
                <w:spacing w:val="-6"/>
                <w:sz w:val="24"/>
                <w:szCs w:val="24"/>
                <w:lang w:eastAsia="zh-CN"/>
              </w:rPr>
              <w:t>采购</w:t>
            </w:r>
            <w:r>
              <w:rPr>
                <w:rFonts w:hint="eastAsia" w:asciiTheme="minorEastAsia" w:hAnsiTheme="minorEastAsia" w:eastAsiaTheme="minorEastAsia" w:cstheme="minorEastAsia"/>
                <w:spacing w:val="-6"/>
                <w:sz w:val="24"/>
                <w:szCs w:val="24"/>
              </w:rPr>
              <w:t>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4"/>
                <w:sz w:val="24"/>
                <w:szCs w:val="24"/>
              </w:rPr>
              <w:t>关于预留份额的要求。</w:t>
            </w:r>
          </w:p>
        </w:tc>
        <w:tc>
          <w:tcPr>
            <w:tcW w:w="2662" w:type="dxa"/>
            <w:vAlign w:val="top"/>
          </w:tcPr>
          <w:p w14:paraId="2141F142">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7F876E71">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314950B6">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734FAD62">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5EE21C3">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7F8D108">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4718B32B">
            <w:pPr>
              <w:pStyle w:val="18"/>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73DCA9C5">
            <w:pPr>
              <w:pStyle w:val="18"/>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536063B7">
            <w:pPr>
              <w:pStyle w:val="18"/>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49A4031B">
            <w:pPr>
              <w:keepNext w:val="0"/>
              <w:keepLines w:val="0"/>
              <w:pageBreakBefore w:val="0"/>
              <w:kinsoku/>
              <w:wordWrap w:val="0"/>
              <w:overflowPunct/>
              <w:topLinePunct w:val="0"/>
              <w:bidi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w:t>
            </w:r>
            <w:r>
              <w:rPr>
                <w:rFonts w:hint="eastAsia" w:asciiTheme="minorEastAsia" w:hAnsiTheme="minorEastAsia" w:eastAsiaTheme="minorEastAsia" w:cstheme="minorEastAsia"/>
                <w:spacing w:val="-6"/>
                <w:sz w:val="24"/>
                <w:szCs w:val="24"/>
                <w:lang w:val="en-US" w:eastAsia="zh-CN"/>
              </w:rPr>
              <w:t>响应</w:t>
            </w:r>
            <w:r>
              <w:rPr>
                <w:rFonts w:hint="eastAsia" w:asciiTheme="minorEastAsia" w:hAnsiTheme="minorEastAsia" w:eastAsiaTheme="minorEastAsia" w:cstheme="minorEastAsia"/>
                <w:spacing w:val="-4"/>
                <w:sz w:val="24"/>
                <w:szCs w:val="24"/>
              </w:rPr>
              <w:t>文件格式》</w:t>
            </w:r>
          </w:p>
        </w:tc>
      </w:tr>
      <w:tr w14:paraId="4BBC9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1" w:type="dxa"/>
            <w:vAlign w:val="top"/>
          </w:tcPr>
          <w:p w14:paraId="5B4CE7A1">
            <w:pPr>
              <w:pStyle w:val="18"/>
              <w:keepNext w:val="0"/>
              <w:keepLines w:val="0"/>
              <w:pageBreakBefore w:val="0"/>
              <w:kinsoku/>
              <w:wordWrap w:val="0"/>
              <w:overflowPunct/>
              <w:topLinePunct w:val="0"/>
              <w:bidi w:val="0"/>
              <w:spacing w:before="213" w:line="201" w:lineRule="auto"/>
              <w:ind w:left="36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58" w:type="dxa"/>
            <w:vAlign w:val="top"/>
          </w:tcPr>
          <w:p w14:paraId="0360A221">
            <w:pPr>
              <w:keepNext w:val="0"/>
              <w:keepLines w:val="0"/>
              <w:pageBreakBefore w:val="0"/>
              <w:kinsoku/>
              <w:wordWrap w:val="0"/>
              <w:overflowPunct/>
              <w:topLinePunct w:val="0"/>
              <w:bidi w:val="0"/>
              <w:spacing w:before="35" w:line="224" w:lineRule="auto"/>
              <w:ind w:left="113"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val="en-US"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格要求</w:t>
            </w:r>
          </w:p>
        </w:tc>
        <w:tc>
          <w:tcPr>
            <w:tcW w:w="3851" w:type="dxa"/>
            <w:vAlign w:val="top"/>
          </w:tcPr>
          <w:p w14:paraId="30D28650">
            <w:pPr>
              <w:keepNext w:val="0"/>
              <w:keepLines w:val="0"/>
              <w:pageBreakBefore w:val="0"/>
              <w:kinsoku/>
              <w:wordWrap w:val="0"/>
              <w:overflowPunct/>
              <w:topLinePunct w:val="0"/>
              <w:bidi w:val="0"/>
              <w:spacing w:before="192" w:line="219"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p>
        </w:tc>
        <w:tc>
          <w:tcPr>
            <w:tcW w:w="2662" w:type="dxa"/>
            <w:vAlign w:val="top"/>
          </w:tcPr>
          <w:p w14:paraId="56770F74">
            <w:pPr>
              <w:pStyle w:val="18"/>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6DB4FB60">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说明：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序号1中1-5项证明材料”。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val="en-US"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14:paraId="38CEDD8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4" w:firstLineChars="200"/>
        <w:jc w:val="both"/>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2.</w:t>
      </w:r>
      <w:r>
        <w:rPr>
          <w:rFonts w:hint="eastAsia" w:asciiTheme="minorEastAsia" w:hAnsiTheme="minorEastAsia" w:eastAsiaTheme="minorEastAsia" w:cstheme="minorEastAsia"/>
          <w:snapToGrid w:val="0"/>
          <w:color w:val="000000"/>
          <w:spacing w:val="1"/>
          <w:kern w:val="0"/>
          <w:sz w:val="24"/>
          <w:szCs w:val="24"/>
          <w:lang w:val="en-US" w:eastAsia="en-US" w:bidi="ar-SA"/>
        </w:rPr>
        <w:t>符合性审查</w:t>
      </w:r>
      <w:r>
        <w:rPr>
          <w:rFonts w:hint="eastAsia" w:asciiTheme="minorEastAsia" w:hAnsiTheme="minorEastAsia" w:eastAsiaTheme="minorEastAsia" w:cstheme="minorEastAsia"/>
          <w:snapToGrid w:val="0"/>
          <w:color w:val="000000"/>
          <w:spacing w:val="1"/>
          <w:kern w:val="0"/>
          <w:sz w:val="24"/>
          <w:szCs w:val="24"/>
          <w:lang w:val="en-US" w:eastAsia="zh-CN" w:bidi="ar-SA"/>
        </w:rPr>
        <w:t>。</w:t>
      </w:r>
    </w:p>
    <w:p w14:paraId="274D3BA7">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磋商小组依据竞争性磋商文件的规定检查供应商</w:t>
      </w:r>
      <w:r>
        <w:rPr>
          <w:rFonts w:hint="eastAsia" w:asciiTheme="minorEastAsia" w:hAnsiTheme="minorEastAsia" w:eastAsiaTheme="minorEastAsia" w:cstheme="minorEastAsia"/>
          <w:snapToGrid w:val="0"/>
          <w:color w:val="000000"/>
          <w:spacing w:val="3"/>
          <w:kern w:val="0"/>
          <w:sz w:val="24"/>
          <w:szCs w:val="24"/>
          <w:lang w:val="en-US" w:eastAsia="zh-CN" w:bidi="ar-SA"/>
        </w:rPr>
        <w:t>响应文件</w:t>
      </w:r>
      <w:r>
        <w:rPr>
          <w:rFonts w:hint="eastAsia" w:asciiTheme="minorEastAsia" w:hAnsiTheme="minorEastAsia" w:eastAsiaTheme="minorEastAsia" w:cstheme="minorEastAsia"/>
          <w:snapToGrid w:val="0"/>
          <w:color w:val="000000"/>
          <w:spacing w:val="3"/>
          <w:kern w:val="0"/>
          <w:sz w:val="24"/>
          <w:szCs w:val="24"/>
          <w:lang w:val="en-US" w:eastAsia="en-US" w:bidi="ar-SA"/>
        </w:rPr>
        <w:t>制作内容</w:t>
      </w:r>
      <w:r>
        <w:rPr>
          <w:rFonts w:hint="eastAsia" w:asciiTheme="minorEastAsia" w:hAnsiTheme="minorEastAsia" w:eastAsiaTheme="minorEastAsia" w:cstheme="minorEastAsia"/>
          <w:snapToGrid w:val="0"/>
          <w:color w:val="000000"/>
          <w:spacing w:val="3"/>
          <w:kern w:val="0"/>
          <w:sz w:val="24"/>
          <w:szCs w:val="24"/>
          <w:lang w:val="en-US" w:eastAsia="zh-CN" w:bidi="ar-SA"/>
        </w:rPr>
        <w:t>的完整度和符合性</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是否符合竞争性磋商文件的各项要求。</w:t>
      </w:r>
    </w:p>
    <w:p w14:paraId="50ECC427">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只有通过以上审查的供应商的响应文件，方可进入商务和技术评估，综合比较与评价。</w:t>
      </w:r>
    </w:p>
    <w:p w14:paraId="5132F55A">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3.</w:t>
      </w:r>
      <w:r>
        <w:rPr>
          <w:rFonts w:hint="eastAsia" w:asciiTheme="minorEastAsia" w:hAnsiTheme="minorEastAsia" w:eastAsiaTheme="minorEastAsia" w:cstheme="minorEastAsia"/>
          <w:snapToGrid w:val="0"/>
          <w:color w:val="000000"/>
          <w:spacing w:val="3"/>
          <w:kern w:val="0"/>
          <w:sz w:val="24"/>
          <w:szCs w:val="24"/>
          <w:lang w:val="en-US" w:eastAsia="en-US" w:bidi="ar-SA"/>
        </w:rPr>
        <w:t>技术（服务）审查。磋商小组依据竞争性磋商文件的规定审查各供应商</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所响应的相关技术方案</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是否符合最低要求。</w:t>
      </w:r>
    </w:p>
    <w:p w14:paraId="225C2606">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4.</w:t>
      </w:r>
      <w:r>
        <w:rPr>
          <w:rFonts w:hint="eastAsia" w:asciiTheme="minorEastAsia" w:hAnsiTheme="minorEastAsia" w:eastAsiaTheme="minorEastAsia" w:cstheme="minorEastAsia"/>
          <w:snapToGrid w:val="0"/>
          <w:color w:val="000000"/>
          <w:spacing w:val="3"/>
          <w:kern w:val="0"/>
          <w:sz w:val="24"/>
          <w:szCs w:val="24"/>
          <w:lang w:val="en-US" w:eastAsia="en-US" w:bidi="ar-SA"/>
        </w:rPr>
        <w:t>综合比较与评价。对各供应商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对磋商文件的符合性和技术响应程度、项目方案或技术响应程度、综合实力、售后服务以及报价等因素，</w:t>
      </w:r>
      <w:r>
        <w:rPr>
          <w:rFonts w:hint="eastAsia" w:asciiTheme="minorEastAsia" w:hAnsiTheme="minorEastAsia" w:eastAsiaTheme="minorEastAsia" w:cstheme="minorEastAsia"/>
          <w:snapToGrid w:val="0"/>
          <w:color w:val="000000"/>
          <w:spacing w:val="3"/>
          <w:kern w:val="0"/>
          <w:sz w:val="24"/>
          <w:szCs w:val="24"/>
          <w:lang w:val="en-US" w:eastAsia="en-US" w:bidi="ar-SA"/>
        </w:rPr>
        <w:t>进行综合评比。</w:t>
      </w:r>
    </w:p>
    <w:p w14:paraId="352A81C5">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5.</w:t>
      </w:r>
      <w:r>
        <w:rPr>
          <w:rFonts w:hint="eastAsia" w:asciiTheme="minorEastAsia" w:hAnsiTheme="minorEastAsia" w:eastAsiaTheme="minorEastAsia" w:cstheme="minorEastAsia"/>
          <w:snapToGrid w:val="0"/>
          <w:color w:val="000000"/>
          <w:spacing w:val="3"/>
          <w:kern w:val="0"/>
          <w:sz w:val="24"/>
          <w:szCs w:val="24"/>
          <w:lang w:val="en-US" w:eastAsia="en-US" w:bidi="ar-SA"/>
        </w:rPr>
        <w:t>未实质性响应磋商文件的响应文件按无效响应处理，磋商小组应当告知提交响应文件的供应商。</w:t>
      </w:r>
    </w:p>
    <w:p w14:paraId="6A6A609B">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响应文件无效的情形：</w:t>
      </w:r>
    </w:p>
    <w:p w14:paraId="2A276917">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在资格性和符合性审查时，如发现下列情形之一的，响应文件将被视为无效：</w:t>
      </w:r>
    </w:p>
    <w:p w14:paraId="36B5F92E">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5.1.1 </w:t>
      </w:r>
      <w:r>
        <w:rPr>
          <w:rFonts w:hint="eastAsia" w:asciiTheme="minorEastAsia" w:hAnsiTheme="minorEastAsia" w:eastAsiaTheme="minorEastAsia" w:cstheme="minorEastAsia"/>
          <w:b/>
          <w:bCs/>
          <w:snapToGrid w:val="0"/>
          <w:color w:val="000000"/>
          <w:spacing w:val="3"/>
          <w:kern w:val="0"/>
          <w:sz w:val="24"/>
          <w:szCs w:val="24"/>
          <w:lang w:val="en-US" w:eastAsia="en-US" w:bidi="ar-SA"/>
        </w:rPr>
        <w:t>资格证明文件不全的，或者不符合竞争性磋商文件标明的资格要求的；</w:t>
      </w:r>
    </w:p>
    <w:p w14:paraId="4997C85D">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000000"/>
          <w:spacing w:val="3"/>
          <w:kern w:val="0"/>
          <w:sz w:val="24"/>
          <w:szCs w:val="24"/>
          <w:lang w:val="en-US" w:eastAsia="zh-CN" w:bidi="ar-SA"/>
        </w:rPr>
        <w:t>承诺</w:t>
      </w:r>
      <w:r>
        <w:rPr>
          <w:rFonts w:hint="eastAsia" w:asciiTheme="minorEastAsia" w:hAnsiTheme="minorEastAsia" w:eastAsiaTheme="minorEastAsia" w:cstheme="minorEastAsia"/>
          <w:b/>
          <w:bCs/>
          <w:snapToGrid w:val="0"/>
          <w:color w:val="000000"/>
          <w:spacing w:val="3"/>
          <w:kern w:val="0"/>
          <w:sz w:val="24"/>
          <w:szCs w:val="24"/>
          <w:lang w:val="en-US" w:eastAsia="en-US" w:bidi="ar-SA"/>
        </w:rPr>
        <w:t>书或者填写项目不齐全的；</w:t>
      </w:r>
    </w:p>
    <w:p w14:paraId="0577CE4B">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授权代表人未能出具身份证明或与法定代表人或负责人授权委托人身份不符的；</w:t>
      </w:r>
    </w:p>
    <w:p w14:paraId="2E481FA2">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5.1.4 </w:t>
      </w:r>
      <w:r>
        <w:rPr>
          <w:rFonts w:hint="eastAsia" w:asciiTheme="minorEastAsia" w:hAnsiTheme="minorEastAsia" w:eastAsiaTheme="minorEastAsia" w:cstheme="minorEastAsia"/>
          <w:b/>
          <w:bCs/>
          <w:snapToGrid w:val="0"/>
          <w:color w:val="000000"/>
          <w:spacing w:val="3"/>
          <w:kern w:val="0"/>
          <w:sz w:val="24"/>
          <w:szCs w:val="24"/>
          <w:lang w:val="en-US" w:eastAsia="en-US" w:bidi="ar-SA"/>
        </w:rPr>
        <w:t>电子响应文件未使用</w:t>
      </w:r>
      <w:r>
        <w:rPr>
          <w:rFonts w:hint="eastAsia" w:asciiTheme="minorEastAsia" w:hAnsiTheme="minorEastAsia" w:eastAsiaTheme="minorEastAsia" w:cstheme="minorEastAsia"/>
          <w:b/>
          <w:bCs/>
          <w:snapToGrid w:val="0"/>
          <w:color w:val="000000"/>
          <w:spacing w:val="3"/>
          <w:kern w:val="0"/>
          <w:sz w:val="24"/>
          <w:szCs w:val="24"/>
          <w:lang w:val="en-US" w:eastAsia="zh-CN" w:bidi="ar-SA"/>
        </w:rPr>
        <w:t>CA</w:t>
      </w:r>
      <w:r>
        <w:rPr>
          <w:rFonts w:hint="eastAsia" w:asciiTheme="minorEastAsia" w:hAnsiTheme="minorEastAsia" w:eastAsiaTheme="minorEastAsia" w:cstheme="minorEastAsia"/>
          <w:b/>
          <w:bCs/>
          <w:snapToGrid w:val="0"/>
          <w:color w:val="000000"/>
          <w:spacing w:val="3"/>
          <w:kern w:val="0"/>
          <w:sz w:val="24"/>
          <w:szCs w:val="24"/>
          <w:lang w:val="en-US" w:eastAsia="en-US" w:bidi="ar-SA"/>
        </w:rPr>
        <w:t>认证并加密的；</w:t>
      </w:r>
    </w:p>
    <w:p w14:paraId="1A232BC9">
      <w:pPr>
        <w:keepNext w:val="0"/>
        <w:keepLines w:val="0"/>
        <w:pageBreakBefore w:val="0"/>
        <w:kinsoku/>
        <w:wordWrap w:val="0"/>
        <w:overflowPunct/>
        <w:topLinePunct w:val="0"/>
        <w:bidi w:val="0"/>
        <w:spacing w:after="0" w:line="360" w:lineRule="auto"/>
        <w:ind w:firstLine="494" w:firstLineChars="200"/>
        <w:jc w:val="both"/>
        <w:rPr>
          <w:rFonts w:hint="default"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5.1.5 其他不符合磋商文件实质性要求的。</w:t>
      </w:r>
    </w:p>
    <w:p w14:paraId="6D35F4DC">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在报价评审时，如发现下列情形之一的，响应文件将被视为无效：</w:t>
      </w:r>
    </w:p>
    <w:p w14:paraId="7304C4F9">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5.2.1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未采用人民币报价的；</w:t>
      </w:r>
    </w:p>
    <w:p w14:paraId="78947D7A">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5.2.2 </w:t>
      </w:r>
      <w:r>
        <w:rPr>
          <w:rFonts w:hint="eastAsia" w:asciiTheme="minorEastAsia" w:hAnsiTheme="minorEastAsia" w:eastAsiaTheme="minorEastAsia" w:cstheme="minorEastAsia"/>
          <w:b/>
          <w:bCs/>
          <w:snapToGrid w:val="0"/>
          <w:color w:val="000000"/>
          <w:spacing w:val="3"/>
          <w:kern w:val="0"/>
          <w:sz w:val="24"/>
          <w:szCs w:val="24"/>
          <w:lang w:val="en-US" w:eastAsia="en-US" w:bidi="ar-SA"/>
        </w:rPr>
        <w:t>报价具有选择性；</w:t>
      </w:r>
    </w:p>
    <w:p w14:paraId="78AF01E6">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未进行最后报价或最后报价高于采购人预算的</w:t>
      </w:r>
      <w:r>
        <w:rPr>
          <w:rFonts w:hint="eastAsia" w:asciiTheme="minorEastAsia" w:hAnsiTheme="minorEastAsia" w:eastAsiaTheme="minorEastAsia" w:cstheme="minorEastAsia"/>
          <w:b/>
          <w:bCs/>
          <w:snapToGrid w:val="0"/>
          <w:color w:val="000000"/>
          <w:spacing w:val="3"/>
          <w:kern w:val="0"/>
          <w:sz w:val="24"/>
          <w:szCs w:val="24"/>
          <w:lang w:val="en-US" w:eastAsia="zh-CN" w:bidi="ar-SA"/>
        </w:rPr>
        <w:t>。</w:t>
      </w:r>
    </w:p>
    <w:p w14:paraId="3711EAB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磋商、响应文件有关事项的澄清、说明或者更正和最后报价</w:t>
      </w:r>
    </w:p>
    <w:p w14:paraId="53ABC4A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.1</w:t>
      </w:r>
      <w:r>
        <w:rPr>
          <w:rFonts w:hint="eastAsia"/>
          <w:sz w:val="24"/>
          <w:szCs w:val="24"/>
          <w:lang w:val="en-US" w:eastAsia="zh-CN"/>
        </w:rPr>
        <w:t xml:space="preserve"> </w:t>
      </w:r>
      <w:r>
        <w:rPr>
          <w:sz w:val="24"/>
          <w:szCs w:val="24"/>
        </w:rPr>
        <w:t>磋商小组所有成员将集中与单一供应商分别进行磋商，并给予所有参加磋商的供应商平等的磋商机会。</w:t>
      </w:r>
    </w:p>
    <w:p w14:paraId="353A836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.2</w:t>
      </w:r>
      <w:r>
        <w:rPr>
          <w:rFonts w:hint="eastAsia"/>
          <w:sz w:val="24"/>
          <w:szCs w:val="24"/>
          <w:lang w:val="en-US" w:eastAsia="zh-CN"/>
        </w:rPr>
        <w:t xml:space="preserve"> </w:t>
      </w:r>
      <w:r>
        <w:rPr>
          <w:sz w:val="24"/>
          <w:szCs w:val="24"/>
        </w:rPr>
        <w:t>在磋商过程中，磋商小组可以根据磋商文件和磋商情况实质性变动采购需求中的技术、服务要求以及合同草案条款，但不得变动磋商文件中的其他内容。实质性变动的内容，须经采购人代表确认。</w:t>
      </w:r>
    </w:p>
    <w:p w14:paraId="269B68F1">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.3</w:t>
      </w:r>
      <w:r>
        <w:rPr>
          <w:rFonts w:hint="eastAsia"/>
          <w:sz w:val="24"/>
          <w:szCs w:val="24"/>
          <w:lang w:val="en-US" w:eastAsia="zh-CN"/>
        </w:rPr>
        <w:t xml:space="preserve"> </w:t>
      </w:r>
      <w:r>
        <w:rPr>
          <w:sz w:val="24"/>
          <w:szCs w:val="24"/>
        </w:rPr>
        <w:t>对磋商文件作出的实质性变动是磋商文件的有效组成部分，磋商小组应当及时</w:t>
      </w:r>
      <w:r>
        <w:rPr>
          <w:rFonts w:hint="eastAsia"/>
          <w:sz w:val="24"/>
          <w:szCs w:val="24"/>
          <w:lang w:val="en-US" w:eastAsia="zh-CN"/>
        </w:rPr>
        <w:t>通过</w:t>
      </w:r>
      <w:r>
        <w:rPr>
          <w:rFonts w:hint="eastAsia"/>
          <w:sz w:val="24"/>
          <w:szCs w:val="24"/>
        </w:rPr>
        <w:t>评标系统通知</w:t>
      </w:r>
      <w:r>
        <w:rPr>
          <w:sz w:val="24"/>
          <w:szCs w:val="24"/>
        </w:rPr>
        <w:t>所有参加磋商的供应商。</w:t>
      </w:r>
      <w:r>
        <w:rPr>
          <w:rFonts w:hint="eastAsia"/>
          <w:sz w:val="24"/>
          <w:szCs w:val="24"/>
        </w:rPr>
        <w:t>具体磋商内容由磋商小组根据磋商实际情况确定。</w:t>
      </w:r>
    </w:p>
    <w:p w14:paraId="75EAF6D8">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.4</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供应商应当按照竞争性磋商文件的变动情况和磋商小组的要求，通过</w:t>
      </w:r>
      <w:r>
        <w:rPr>
          <w:rFonts w:hint="eastAsia" w:ascii="宋体" w:hAnsi="宋体" w:eastAsia="宋体" w:cs="宋体"/>
          <w:snapToGrid w:val="0"/>
          <w:color w:val="000000"/>
          <w:kern w:val="0"/>
          <w:sz w:val="24"/>
          <w:szCs w:val="24"/>
          <w:lang w:val="en-US" w:eastAsia="zh-CN" w:bidi="ar-SA"/>
        </w:rPr>
        <w:t>评标</w:t>
      </w:r>
      <w:r>
        <w:rPr>
          <w:rFonts w:hint="eastAsia" w:ascii="宋体" w:hAnsi="宋体" w:eastAsia="宋体" w:cs="宋体"/>
          <w:snapToGrid w:val="0"/>
          <w:color w:val="000000"/>
          <w:kern w:val="0"/>
          <w:sz w:val="24"/>
          <w:szCs w:val="24"/>
          <w:lang w:val="en-US" w:eastAsia="en-US" w:bidi="ar-SA"/>
        </w:rPr>
        <w:t>系统以在线形式提交承诺，并用</w:t>
      </w:r>
      <w:r>
        <w:rPr>
          <w:rFonts w:hint="eastAsia" w:ascii="宋体" w:hAnsi="宋体" w:eastAsia="宋体" w:cs="宋体"/>
          <w:snapToGrid w:val="0"/>
          <w:color w:val="000000"/>
          <w:kern w:val="0"/>
          <w:sz w:val="24"/>
          <w:szCs w:val="24"/>
          <w:lang w:val="en-US" w:eastAsia="zh-CN" w:bidi="ar-SA"/>
        </w:rPr>
        <w:t>CA</w:t>
      </w:r>
      <w:r>
        <w:rPr>
          <w:rFonts w:hint="eastAsia" w:ascii="宋体" w:hAnsi="宋体" w:eastAsia="宋体" w:cs="宋体"/>
          <w:snapToGrid w:val="0"/>
          <w:color w:val="000000"/>
          <w:kern w:val="0"/>
          <w:sz w:val="24"/>
          <w:szCs w:val="24"/>
          <w:lang w:val="en-US" w:eastAsia="en-US" w:bidi="ar-SA"/>
        </w:rPr>
        <w:t>签章。</w:t>
      </w:r>
    </w:p>
    <w:p w14:paraId="6CE8032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 </w:t>
      </w:r>
      <w:r>
        <w:rPr>
          <w:rFonts w:ascii="宋体" w:hAnsi="宋体" w:eastAsia="宋体" w:cs="宋体"/>
          <w:snapToGrid w:val="0"/>
          <w:color w:val="000000"/>
          <w:kern w:val="0"/>
          <w:sz w:val="24"/>
          <w:szCs w:val="24"/>
          <w:lang w:val="en-US" w:eastAsia="en-US" w:bidi="ar-SA"/>
        </w:rPr>
        <w:t>响应文件的澄清、说明或者更正：</w:t>
      </w:r>
    </w:p>
    <w:p w14:paraId="55AE1E13">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.5.1</w:t>
      </w:r>
      <w:r>
        <w:rPr>
          <w:rFonts w:hint="eastAsia"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磋商小组在对响应文件的有效性、完整性和响应程度进行审查时，可以要求供应商对响应文件中含义不明确、同类问题表述不一致或者有明显文字和计算错误的内容等作出必要的澄清、说明或者更正。</w:t>
      </w:r>
    </w:p>
    <w:p w14:paraId="37220384">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2 </w:t>
      </w:r>
      <w:r>
        <w:rPr>
          <w:rFonts w:hint="eastAsia" w:ascii="宋体" w:hAnsi="宋体" w:eastAsia="宋体" w:cs="宋体"/>
          <w:snapToGrid w:val="0"/>
          <w:color w:val="000000"/>
          <w:kern w:val="0"/>
          <w:sz w:val="24"/>
          <w:szCs w:val="24"/>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加盖公章。供应商为自然人的，应当由本人签字并附身份证明。澄清、说明或者更正文件将作为响应文件内容的一部分。</w:t>
      </w:r>
    </w:p>
    <w:p w14:paraId="3D72AAAB">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.6</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磋商结束后，磋商小组通过电子评标系统向所有实质性响应的供应商发出最后报价要求，各供应商在会员系统中收到有关信息后，必须在规定时间内给出答复，并在签章后提交。提交最后报价的供应商不</w:t>
      </w:r>
      <w:r>
        <w:rPr>
          <w:rFonts w:hint="eastAsia" w:ascii="宋体" w:hAnsi="宋体" w:eastAsia="宋体" w:cs="宋体"/>
          <w:snapToGrid w:val="0"/>
          <w:color w:val="000000"/>
          <w:kern w:val="0"/>
          <w:sz w:val="24"/>
          <w:szCs w:val="24"/>
          <w:lang w:val="en-US" w:eastAsia="zh-CN" w:bidi="ar-SA"/>
        </w:rPr>
        <w:t>得</w:t>
      </w:r>
      <w:r>
        <w:rPr>
          <w:rFonts w:hint="eastAsia" w:ascii="宋体" w:hAnsi="宋体" w:eastAsia="宋体" w:cs="宋体"/>
          <w:snapToGrid w:val="0"/>
          <w:color w:val="000000"/>
          <w:kern w:val="0"/>
          <w:sz w:val="24"/>
          <w:szCs w:val="24"/>
          <w:lang w:val="en-US" w:eastAsia="en-US" w:bidi="ar-SA"/>
        </w:rPr>
        <w:t>少于</w:t>
      </w: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家。《</w:t>
      </w:r>
      <w:r>
        <w:rPr>
          <w:rFonts w:hint="eastAsia" w:asciiTheme="minorEastAsia" w:hAnsiTheme="minorEastAsia" w:eastAsiaTheme="minorEastAsia" w:cstheme="minorEastAsia"/>
          <w:snapToGrid w:val="0"/>
          <w:color w:val="000000"/>
          <w:spacing w:val="-2"/>
          <w:kern w:val="0"/>
          <w:sz w:val="24"/>
          <w:szCs w:val="24"/>
          <w:lang w:val="en-US" w:eastAsia="zh-CN" w:bidi="ar-SA"/>
        </w:rPr>
        <w:t>政府采购竞争性磋商采购方式管理暂行办法</w:t>
      </w:r>
      <w:r>
        <w:rPr>
          <w:rFonts w:hint="eastAsia" w:ascii="宋体" w:hAnsi="宋体" w:eastAsia="宋体" w:cs="宋体"/>
          <w:snapToGrid w:val="0"/>
          <w:color w:val="000000"/>
          <w:kern w:val="0"/>
          <w:sz w:val="24"/>
          <w:szCs w:val="24"/>
          <w:lang w:val="en-US" w:eastAsia="en-US" w:bidi="ar-SA"/>
        </w:rPr>
        <w:t>》第</w:t>
      </w:r>
      <w:r>
        <w:rPr>
          <w:rFonts w:hint="eastAsia" w:ascii="宋体" w:hAnsi="宋体" w:eastAsia="宋体" w:cs="宋体"/>
          <w:snapToGrid w:val="0"/>
          <w:color w:val="000000"/>
          <w:kern w:val="0"/>
          <w:sz w:val="24"/>
          <w:szCs w:val="24"/>
          <w:lang w:val="en-US" w:eastAsia="zh-CN" w:bidi="ar-SA"/>
        </w:rPr>
        <w:t>三</w:t>
      </w:r>
      <w:r>
        <w:rPr>
          <w:rFonts w:hint="eastAsia" w:ascii="宋体" w:hAnsi="宋体" w:eastAsia="宋体" w:cs="宋体"/>
          <w:snapToGrid w:val="0"/>
          <w:color w:val="000000"/>
          <w:kern w:val="0"/>
          <w:sz w:val="24"/>
          <w:szCs w:val="24"/>
          <w:lang w:val="en-US" w:eastAsia="en-US" w:bidi="ar-SA"/>
        </w:rPr>
        <w:t>条第</w:t>
      </w:r>
      <w:r>
        <w:rPr>
          <w:rFonts w:hint="eastAsia" w:ascii="宋体" w:hAnsi="宋体" w:eastAsia="宋体" w:cs="宋体"/>
          <w:snapToGrid w:val="0"/>
          <w:color w:val="000000"/>
          <w:kern w:val="0"/>
          <w:sz w:val="24"/>
          <w:szCs w:val="24"/>
          <w:lang w:val="en-US" w:eastAsia="zh-CN" w:bidi="ar-SA"/>
        </w:rPr>
        <w:t>四项</w:t>
      </w:r>
      <w:r>
        <w:rPr>
          <w:rFonts w:hint="eastAsia" w:ascii="宋体" w:hAnsi="宋体" w:eastAsia="宋体" w:cs="宋体"/>
          <w:snapToGrid w:val="0"/>
          <w:color w:val="000000"/>
          <w:kern w:val="0"/>
          <w:sz w:val="24"/>
          <w:szCs w:val="24"/>
          <w:lang w:val="en-US" w:eastAsia="en-US" w:bidi="ar-SA"/>
        </w:rPr>
        <w:t>规定的情形除外。最后报价是响应文件的有效组成部分。</w:t>
      </w:r>
    </w:p>
    <w:p w14:paraId="01D3F0B2">
      <w:pPr>
        <w:keepNext w:val="0"/>
        <w:keepLines w:val="0"/>
        <w:pageBreakBefore w:val="0"/>
        <w:kinsoku/>
        <w:wordWrap w:val="0"/>
        <w:overflowPunct/>
        <w:topLinePunct w:val="0"/>
        <w:bidi w:val="0"/>
        <w:spacing w:after="0" w:line="360" w:lineRule="auto"/>
        <w:ind w:firstLine="480" w:firstLineChars="200"/>
        <w:jc w:val="both"/>
        <w:rPr>
          <w:sz w:val="24"/>
          <w:szCs w:val="24"/>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.7</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磋商文件不能详细列明采购标的的技术、服务要求，需经磋商由供应商</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交最后报价。市场竞争不充分的科研项目，以及需要扶持的科技成果转化项目，</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交最后报价的供应商可以为2家；政府购买服务项目（含政府和社会资本合作项目），在采购过程中符合要求的供应商（社会资本）只有2家的，竞争性磋商采购活动可以继续进行。</w:t>
      </w:r>
    </w:p>
    <w:p w14:paraId="4C1F0C5F">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 xml:space="preserve">8 </w:t>
      </w:r>
      <w:r>
        <w:rPr>
          <w:rFonts w:hint="eastAsia" w:cs="宋体"/>
          <w:snapToGrid w:val="0"/>
          <w:color w:val="000000"/>
          <w:kern w:val="0"/>
          <w:sz w:val="24"/>
          <w:szCs w:val="24"/>
          <w:lang w:val="en-US" w:eastAsia="en-US" w:bidi="ar-SA"/>
        </w:rPr>
        <w:t>已</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交响应文件的供应商，在</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交最后报价之前，可以根据磋商情况退出磋商。</w:t>
      </w:r>
    </w:p>
    <w:p w14:paraId="56F9346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7.</w:t>
      </w:r>
      <w:r>
        <w:rPr>
          <w:rFonts w:hint="eastAsia" w:cs="宋体"/>
          <w:snapToGrid w:val="0"/>
          <w:color w:val="000000"/>
          <w:kern w:val="0"/>
          <w:sz w:val="24"/>
          <w:szCs w:val="24"/>
          <w:lang w:val="en-US" w:eastAsia="en-US" w:bidi="ar-SA"/>
        </w:rPr>
        <w:t>最后报价的算术修正及政策调整</w:t>
      </w:r>
    </w:p>
    <w:p w14:paraId="5586F5C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eastAsia="宋体" w:cs="宋体"/>
          <w:snapToGrid w:val="0"/>
          <w:color w:val="000000"/>
          <w:kern w:val="0"/>
          <w:sz w:val="24"/>
          <w:szCs w:val="24"/>
          <w:lang w:val="en-US" w:eastAsia="zh-CN" w:bidi="ar-SA"/>
        </w:rPr>
      </w:pPr>
      <w:r>
        <w:rPr>
          <w:rFonts w:hint="eastAsia" w:cs="宋体"/>
          <w:snapToGrid w:val="0"/>
          <w:color w:val="000000"/>
          <w:kern w:val="0"/>
          <w:sz w:val="24"/>
          <w:szCs w:val="24"/>
          <w:lang w:val="en-US" w:eastAsia="en-US" w:bidi="ar-SA"/>
        </w:rPr>
        <w:t>最后报价须包含竞争性磋商文件全部内容，最后报价出现大写金额和小写金额不一致的，以大写金额为准</w:t>
      </w:r>
      <w:r>
        <w:rPr>
          <w:rFonts w:hint="eastAsia" w:cs="宋体"/>
          <w:snapToGrid w:val="0"/>
          <w:color w:val="000000"/>
          <w:kern w:val="0"/>
          <w:sz w:val="24"/>
          <w:szCs w:val="24"/>
          <w:lang w:val="en-US" w:eastAsia="zh-CN" w:bidi="ar-SA"/>
        </w:rPr>
        <w:t>。</w:t>
      </w:r>
    </w:p>
    <w:p w14:paraId="6E9B4A0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评审方法和评审标准</w:t>
      </w:r>
    </w:p>
    <w:p w14:paraId="0AACB05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本项目采用的评审方法为</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综合评分法。综合评分法，是指响应文件满足磋商文件全部实质性要求且按评审因素的量化指标评审得分最高的供应商为成交候选供应商的评审方法。</w:t>
      </w:r>
    </w:p>
    <w:p w14:paraId="5B67B56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.2</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竞争性磋商文件中没有规定的评审标准不得作为评审依据。</w:t>
      </w:r>
    </w:p>
    <w:p w14:paraId="149B82D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.3</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非政府强制采购的节能产品或环境标志产品，依据品目清单和认证证书实施政府优先采购。优先采购的具体规定（如涉及</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w:t>
      </w:r>
    </w:p>
    <w:p w14:paraId="5A19AA4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.4</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关于无线局域网认证产品政府采购清单中的产品，优先采购的具体规定（如涉及）</w:t>
      </w:r>
      <w:r>
        <w:rPr>
          <w:spacing w:val="-25"/>
          <w:sz w:val="24"/>
          <w:szCs w:val="24"/>
        </w:rPr>
        <w:t>。</w:t>
      </w:r>
    </w:p>
    <w:p w14:paraId="4E2FDA5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确定成交候选人名单</w:t>
      </w:r>
    </w:p>
    <w:p w14:paraId="5BF7D61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14:paraId="38F8C1F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cs="宋体"/>
          <w:b/>
          <w:bCs/>
          <w:snapToGrid w:val="0"/>
          <w:color w:val="000000"/>
          <w:kern w:val="0"/>
          <w:sz w:val="24"/>
          <w:szCs w:val="24"/>
          <w:lang w:val="en-US" w:eastAsia="en-US" w:bidi="ar-SA"/>
        </w:rPr>
      </w:pPr>
      <w:r>
        <w:rPr>
          <w:rFonts w:hint="eastAsia" w:cs="宋体"/>
          <w:b/>
          <w:bCs/>
          <w:snapToGrid w:val="0"/>
          <w:color w:val="000000"/>
          <w:kern w:val="0"/>
          <w:sz w:val="24"/>
          <w:szCs w:val="24"/>
          <w:lang w:val="en-US" w:eastAsia="zh-CN" w:bidi="ar-SA"/>
        </w:rPr>
        <w:t>9</w:t>
      </w:r>
      <w:r>
        <w:rPr>
          <w:rFonts w:hint="eastAsia" w:cs="宋体"/>
          <w:b/>
          <w:bCs/>
          <w:snapToGrid w:val="0"/>
          <w:color w:val="000000"/>
          <w:kern w:val="0"/>
          <w:sz w:val="24"/>
          <w:szCs w:val="24"/>
          <w:lang w:val="en-US" w:eastAsia="en-US" w:bidi="ar-SA"/>
        </w:rPr>
        <w:t>.</w:t>
      </w:r>
      <w:r>
        <w:rPr>
          <w:rFonts w:hint="eastAsia" w:cs="宋体"/>
          <w:b/>
          <w:bCs/>
          <w:snapToGrid w:val="0"/>
          <w:color w:val="000000"/>
          <w:kern w:val="0"/>
          <w:sz w:val="24"/>
          <w:szCs w:val="24"/>
          <w:lang w:val="en-US" w:eastAsia="zh-CN" w:bidi="ar-SA"/>
        </w:rPr>
        <w:t xml:space="preserve">2 </w:t>
      </w:r>
      <w:r>
        <w:rPr>
          <w:rFonts w:hint="eastAsia" w:cs="宋体"/>
          <w:b/>
          <w:bCs/>
          <w:snapToGrid w:val="0"/>
          <w:color w:val="000000"/>
          <w:kern w:val="0"/>
          <w:sz w:val="24"/>
          <w:szCs w:val="24"/>
          <w:lang w:val="en-US" w:eastAsia="en-US" w:bidi="ar-SA"/>
        </w:rPr>
        <w:t>磋商小组要对评分汇总情况进行复核，特别是对排名第一的、报价最低的、响应文件被认定为无效的情形进行重点复核。</w:t>
      </w:r>
    </w:p>
    <w:p w14:paraId="524128D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3 ☑</w:t>
      </w:r>
      <w:r>
        <w:rPr>
          <w:rFonts w:hint="eastAsia" w:cs="宋体"/>
          <w:snapToGrid w:val="0"/>
          <w:color w:val="000000"/>
          <w:kern w:val="0"/>
          <w:sz w:val="24"/>
          <w:szCs w:val="24"/>
          <w:lang w:val="en-US" w:eastAsia="en-US" w:bidi="ar-SA"/>
        </w:rPr>
        <w:t>磋商小组根据上述供应商排序，依次推荐排序前</w:t>
      </w:r>
      <w:r>
        <w:rPr>
          <w:rFonts w:hint="eastAsia" w:cs="宋体"/>
          <w:snapToGrid w:val="0"/>
          <w:color w:val="000000"/>
          <w:kern w:val="0"/>
          <w:sz w:val="24"/>
          <w:szCs w:val="24"/>
          <w:lang w:val="en-US" w:eastAsia="zh-CN" w:bidi="ar-SA"/>
        </w:rPr>
        <w:t>3</w:t>
      </w:r>
      <w:r>
        <w:rPr>
          <w:rFonts w:hint="eastAsia" w:cs="宋体"/>
          <w:snapToGrid w:val="0"/>
          <w:color w:val="000000"/>
          <w:kern w:val="0"/>
          <w:sz w:val="24"/>
          <w:szCs w:val="24"/>
          <w:lang w:val="en-US" w:eastAsia="en-US" w:bidi="ar-SA"/>
        </w:rPr>
        <w:t>名的供应商为成交候选供应商。采购人应当自收到评审报告之日起5个工作日内在评审报告推荐的成交候选人中按顺序确定成交供应商。</w:t>
      </w:r>
    </w:p>
    <w:p w14:paraId="7E1A31D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采购人书面授权磋商小组直接确定成交供应商。</w:t>
      </w:r>
    </w:p>
    <w:p w14:paraId="3F946C20">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报告违法行为</w:t>
      </w:r>
    </w:p>
    <w:p w14:paraId="7073CDD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Arial"/>
          <w:sz w:val="21"/>
        </w:rPr>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磋商小组在评审过程中发现供应商有行贿、</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供虚假材料或者串通等违法行为时，有向采购人、采购代理机构或者有关部门报告的职责。</w:t>
      </w:r>
    </w:p>
    <w:p w14:paraId="7B285AA5">
      <w:pPr>
        <w:pStyle w:val="2"/>
        <w:keepNext w:val="0"/>
        <w:keepLines w:val="0"/>
        <w:pageBreakBefore w:val="0"/>
        <w:kinsoku/>
        <w:wordWrap w:val="0"/>
        <w:overflowPunct/>
        <w:topLinePunct w:val="0"/>
        <w:bidi w:val="0"/>
        <w:spacing w:before="78" w:line="221" w:lineRule="auto"/>
        <w:jc w:val="center"/>
        <w:outlineLvl w:val="1"/>
        <w:rPr>
          <w:spacing w:val="-2"/>
          <w:sz w:val="24"/>
          <w:szCs w:val="24"/>
          <w14:textOutline w14:w="1537" w14:cap="flat" w14:cmpd="sng">
            <w14:solidFill>
              <w14:srgbClr w14:val="000000"/>
            </w14:solidFill>
            <w14:prstDash w14:val="solid"/>
            <w14:miter w14:val="0"/>
          </w14:textOutline>
        </w:rPr>
      </w:pPr>
      <w:r>
        <w:rPr>
          <w:spacing w:val="-2"/>
          <w:sz w:val="24"/>
          <w:szCs w:val="24"/>
          <w14:textOutline w14:w="1537" w14:cap="flat" w14:cmpd="sng">
            <w14:solidFill>
              <w14:srgbClr w14:val="000000"/>
            </w14:solidFill>
            <w14:prstDash w14:val="solid"/>
            <w14:miter w14:val="0"/>
          </w14:textOutline>
        </w:rPr>
        <w:t>评审标准</w:t>
      </w:r>
    </w:p>
    <w:p w14:paraId="0CE2C7D6">
      <w:pPr>
        <w:pStyle w:val="15"/>
      </w:pPr>
    </w:p>
    <w:tbl>
      <w:tblPr>
        <w:tblStyle w:val="17"/>
        <w:tblW w:w="85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1680"/>
        <w:gridCol w:w="1031"/>
        <w:gridCol w:w="5215"/>
      </w:tblGrid>
      <w:tr w14:paraId="3BC47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06" w:type="dxa"/>
            <w:vAlign w:val="center"/>
          </w:tcPr>
          <w:p w14:paraId="222DA5D4">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680" w:type="dxa"/>
            <w:vAlign w:val="center"/>
          </w:tcPr>
          <w:p w14:paraId="0C91E542">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评分因素</w:t>
            </w:r>
          </w:p>
        </w:tc>
        <w:tc>
          <w:tcPr>
            <w:tcW w:w="1031" w:type="dxa"/>
            <w:vAlign w:val="center"/>
          </w:tcPr>
          <w:p w14:paraId="4F9DE700">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分值</w:t>
            </w:r>
          </w:p>
        </w:tc>
        <w:tc>
          <w:tcPr>
            <w:tcW w:w="5215" w:type="dxa"/>
            <w:vAlign w:val="top"/>
          </w:tcPr>
          <w:p w14:paraId="0A8A7EE1">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评分</w:t>
            </w: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细则</w:t>
            </w:r>
          </w:p>
        </w:tc>
      </w:tr>
      <w:tr w14:paraId="0CCCE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606" w:type="dxa"/>
            <w:vAlign w:val="center"/>
          </w:tcPr>
          <w:p w14:paraId="2572D367">
            <w:pPr>
              <w:pStyle w:val="18"/>
              <w:keepNext w:val="0"/>
              <w:keepLines w:val="0"/>
              <w:pageBreakBefore w:val="0"/>
              <w:kinsoku/>
              <w:wordWrap w:val="0"/>
              <w:overflowPunct/>
              <w:topLinePunct w:val="0"/>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680" w:type="dxa"/>
            <w:vAlign w:val="center"/>
          </w:tcPr>
          <w:p w14:paraId="438786F2">
            <w:pPr>
              <w:keepNext w:val="0"/>
              <w:keepLines w:val="0"/>
              <w:pageBreakBefore w:val="0"/>
              <w:kinsoku/>
              <w:wordWrap w:val="0"/>
              <w:overflowPunct/>
              <w:topLinePunct w:val="0"/>
              <w:bidi w:val="0"/>
              <w:spacing w:before="78" w:line="219" w:lineRule="auto"/>
              <w:jc w:val="center"/>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rPr>
              <w:t>报价</w:t>
            </w:r>
            <w:r>
              <w:rPr>
                <w:rFonts w:hint="eastAsia" w:ascii="宋体" w:hAnsi="宋体" w:eastAsia="宋体" w:cs="宋体"/>
                <w:spacing w:val="-3"/>
                <w:sz w:val="24"/>
                <w:szCs w:val="24"/>
                <w:lang w:val="en-US" w:eastAsia="zh-CN"/>
              </w:rPr>
              <w:t>部分</w:t>
            </w:r>
          </w:p>
          <w:p w14:paraId="767522FB">
            <w:pPr>
              <w:keepNext w:val="0"/>
              <w:keepLines w:val="0"/>
              <w:pageBreakBefore w:val="0"/>
              <w:kinsoku/>
              <w:wordWrap w:val="0"/>
              <w:overflowPunct/>
              <w:topLinePunct w:val="0"/>
              <w:bidi w:val="0"/>
              <w:spacing w:before="78" w:line="219" w:lineRule="auto"/>
              <w:jc w:val="center"/>
              <w:rPr>
                <w:rFonts w:hint="eastAsia" w:ascii="宋体" w:hAnsi="宋体" w:eastAsia="宋体" w:cs="宋体"/>
                <w:sz w:val="24"/>
                <w:szCs w:val="24"/>
                <w:lang w:val="en-US" w:eastAsia="zh-CN"/>
              </w:rPr>
            </w:pPr>
            <w:r>
              <w:rPr>
                <w:rFonts w:hint="eastAsia" w:ascii="宋体" w:hAnsi="宋体" w:eastAsia="宋体" w:cs="宋体"/>
                <w:spacing w:val="-3"/>
                <w:sz w:val="24"/>
                <w:szCs w:val="24"/>
                <w:lang w:val="en-US" w:eastAsia="zh-CN"/>
              </w:rPr>
              <w:t>（满分30分）</w:t>
            </w:r>
          </w:p>
        </w:tc>
        <w:tc>
          <w:tcPr>
            <w:tcW w:w="1031" w:type="dxa"/>
            <w:vAlign w:val="center"/>
          </w:tcPr>
          <w:p w14:paraId="4E4DCDCC">
            <w:pPr>
              <w:pStyle w:val="18"/>
              <w:keepNext w:val="0"/>
              <w:keepLines w:val="0"/>
              <w:pageBreakBefore w:val="0"/>
              <w:kinsoku/>
              <w:wordWrap w:val="0"/>
              <w:overflowPunct/>
              <w:topLinePunct w:val="0"/>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磋商报价</w:t>
            </w:r>
          </w:p>
          <w:p w14:paraId="19596A63">
            <w:pPr>
              <w:pStyle w:val="18"/>
              <w:keepNext w:val="0"/>
              <w:keepLines w:val="0"/>
              <w:pageBreakBefore w:val="0"/>
              <w:kinsoku/>
              <w:wordWrap w:val="0"/>
              <w:overflowPunct/>
              <w:topLinePunct w:val="0"/>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（30分）</w:t>
            </w:r>
          </w:p>
        </w:tc>
        <w:tc>
          <w:tcPr>
            <w:tcW w:w="5215" w:type="dxa"/>
            <w:vAlign w:val="top"/>
          </w:tcPr>
          <w:p w14:paraId="2EB22854">
            <w:pPr>
              <w:keepNext w:val="0"/>
              <w:keepLines w:val="0"/>
              <w:pageBreakBefore w:val="0"/>
              <w:kinsoku/>
              <w:wordWrap w:val="0"/>
              <w:overflowPunct/>
              <w:topLinePunct w:val="0"/>
              <w:bidi w:val="0"/>
              <w:spacing w:before="191" w:line="235" w:lineRule="auto"/>
              <w:ind w:left="113" w:right="10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满足</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pacing w:val="10"/>
                <w:sz w:val="24"/>
                <w:szCs w:val="24"/>
              </w:rPr>
              <w:t>文件要求且</w:t>
            </w:r>
            <w:r>
              <w:rPr>
                <w:rFonts w:hint="eastAsia" w:asciiTheme="minorEastAsia" w:hAnsiTheme="minorEastAsia" w:eastAsiaTheme="minorEastAsia" w:cstheme="minorEastAsia"/>
                <w:spacing w:val="10"/>
                <w:sz w:val="24"/>
                <w:szCs w:val="24"/>
                <w:lang w:val="en-US" w:eastAsia="zh-CN"/>
              </w:rPr>
              <w:t>磋商</w:t>
            </w:r>
            <w:r>
              <w:rPr>
                <w:rFonts w:hint="eastAsia" w:asciiTheme="minorEastAsia" w:hAnsiTheme="minorEastAsia" w:eastAsiaTheme="minorEastAsia" w:cstheme="minorEastAsia"/>
                <w:spacing w:val="10"/>
                <w:sz w:val="24"/>
                <w:szCs w:val="24"/>
              </w:rPr>
              <w:t>价格最低</w:t>
            </w:r>
            <w:r>
              <w:rPr>
                <w:rFonts w:hint="eastAsia" w:asciiTheme="minorEastAsia" w:hAnsiTheme="minorEastAsia" w:eastAsiaTheme="minorEastAsia" w:cstheme="minorEastAsia"/>
                <w:spacing w:val="-13"/>
                <w:sz w:val="24"/>
                <w:szCs w:val="24"/>
              </w:rPr>
              <w:t>的</w:t>
            </w:r>
            <w:r>
              <w:rPr>
                <w:rFonts w:hint="eastAsia" w:asciiTheme="minorEastAsia" w:hAnsiTheme="minorEastAsia" w:eastAsiaTheme="minorEastAsia" w:cstheme="minorEastAsia"/>
                <w:spacing w:val="-13"/>
                <w:sz w:val="24"/>
                <w:szCs w:val="24"/>
                <w:lang w:val="en-US" w:eastAsia="zh-CN"/>
              </w:rPr>
              <w:t>磋商</w:t>
            </w:r>
            <w:r>
              <w:rPr>
                <w:rFonts w:hint="eastAsia" w:asciiTheme="minorEastAsia" w:hAnsiTheme="minorEastAsia" w:eastAsiaTheme="minorEastAsia" w:cstheme="minorEastAsia"/>
                <w:spacing w:val="-13"/>
                <w:sz w:val="24"/>
                <w:szCs w:val="24"/>
              </w:rPr>
              <w:t>报价为评标基准价，其价格分</w:t>
            </w:r>
            <w:r>
              <w:rPr>
                <w:rFonts w:hint="eastAsia" w:asciiTheme="minorEastAsia" w:hAnsiTheme="minorEastAsia" w:eastAsiaTheme="minorEastAsia" w:cstheme="minorEastAsia"/>
                <w:spacing w:val="-6"/>
                <w:sz w:val="24"/>
                <w:szCs w:val="24"/>
              </w:rPr>
              <w:t>为满分。其他</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6"/>
                <w:sz w:val="24"/>
                <w:szCs w:val="24"/>
              </w:rPr>
              <w:t>的价格分统一按</w:t>
            </w:r>
            <w:r>
              <w:rPr>
                <w:rFonts w:hint="eastAsia" w:asciiTheme="minorEastAsia" w:hAnsiTheme="minorEastAsia" w:eastAsiaTheme="minorEastAsia" w:cstheme="minorEastAsia"/>
                <w:spacing w:val="-8"/>
                <w:sz w:val="24"/>
                <w:szCs w:val="24"/>
              </w:rPr>
              <w:t>照下列公式计算：</w:t>
            </w:r>
          </w:p>
          <w:p w14:paraId="6F633F54">
            <w:pPr>
              <w:pStyle w:val="18"/>
              <w:keepNext w:val="0"/>
              <w:keepLines w:val="0"/>
              <w:pageBreakBefore w:val="0"/>
              <w:kinsoku/>
              <w:wordWrap w:val="0"/>
              <w:overflowPunct/>
              <w:topLinePunct w:val="0"/>
              <w:bidi w:val="0"/>
              <w:spacing w:before="26" w:line="228" w:lineRule="auto"/>
              <w:ind w:left="111" w:right="103" w:firstLine="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7"/>
                <w:sz w:val="24"/>
                <w:szCs w:val="24"/>
              </w:rPr>
              <w:t>报价得分</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7"/>
                <w:sz w:val="24"/>
                <w:szCs w:val="24"/>
              </w:rPr>
              <w:t>评标基准价/</w:t>
            </w: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12"/>
                <w:sz w:val="24"/>
                <w:szCs w:val="24"/>
              </w:rPr>
              <w:t>报价）×</w:t>
            </w:r>
            <w:r>
              <w:rPr>
                <w:rFonts w:hint="eastAsia" w:asciiTheme="minorEastAsia" w:hAnsiTheme="minorEastAsia" w:eastAsiaTheme="minorEastAsia" w:cstheme="minorEastAsia"/>
                <w:spacing w:val="-12"/>
                <w:sz w:val="24"/>
                <w:szCs w:val="24"/>
                <w:lang w:val="en-US" w:eastAsia="zh-CN"/>
              </w:rPr>
              <w:t>30分</w:t>
            </w:r>
            <w:r>
              <w:rPr>
                <w:rFonts w:hint="eastAsia" w:asciiTheme="minorEastAsia" w:hAnsiTheme="minorEastAsia" w:eastAsiaTheme="minorEastAsia" w:cstheme="minorEastAsia"/>
                <w:spacing w:val="-12"/>
                <w:sz w:val="24"/>
                <w:szCs w:val="24"/>
              </w:rPr>
              <w:t>。</w:t>
            </w:r>
          </w:p>
        </w:tc>
      </w:tr>
      <w:tr w14:paraId="37AEA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0" w:hRule="atLeast"/>
        </w:trPr>
        <w:tc>
          <w:tcPr>
            <w:tcW w:w="606" w:type="dxa"/>
            <w:vMerge w:val="restart"/>
            <w:vAlign w:val="center"/>
          </w:tcPr>
          <w:p w14:paraId="62421450">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2</w:t>
            </w:r>
          </w:p>
        </w:tc>
        <w:tc>
          <w:tcPr>
            <w:tcW w:w="1680" w:type="dxa"/>
            <w:vMerge w:val="restart"/>
            <w:vAlign w:val="center"/>
          </w:tcPr>
          <w:p w14:paraId="17DA66A6">
            <w:pPr>
              <w:keepNext w:val="0"/>
              <w:keepLines w:val="0"/>
              <w:pageBreakBefore w:val="0"/>
              <w:kinsoku/>
              <w:wordWrap w:val="0"/>
              <w:overflowPunct/>
              <w:topLinePunct w:val="0"/>
              <w:bidi w:val="0"/>
              <w:spacing w:before="78" w:line="219" w:lineRule="auto"/>
              <w:ind w:firstLine="214" w:firstLineChars="10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方案部分</w:t>
            </w:r>
          </w:p>
          <w:p w14:paraId="04B5B2BD">
            <w:pPr>
              <w:keepNext w:val="0"/>
              <w:keepLines w:val="0"/>
              <w:pageBreakBefore w:val="0"/>
              <w:kinsoku/>
              <w:wordWrap w:val="0"/>
              <w:overflowPunct/>
              <w:topLinePunct w:val="0"/>
              <w:bidi w:val="0"/>
              <w:spacing w:before="78" w:line="219" w:lineRule="auto"/>
              <w:ind w:firstLine="214" w:firstLineChars="10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（满分58分）</w:t>
            </w:r>
          </w:p>
        </w:tc>
        <w:tc>
          <w:tcPr>
            <w:tcW w:w="1031" w:type="dxa"/>
            <w:vAlign w:val="center"/>
          </w:tcPr>
          <w:p w14:paraId="78EF615D">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需求分析报告</w:t>
            </w:r>
          </w:p>
          <w:p w14:paraId="1F9F0D46">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（10分）</w:t>
            </w:r>
          </w:p>
        </w:tc>
        <w:tc>
          <w:tcPr>
            <w:tcW w:w="5215" w:type="dxa"/>
            <w:vAlign w:val="center"/>
          </w:tcPr>
          <w:p w14:paraId="1261766B">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磋商小组根据供应商提供的需求分析进行综合评审</w:t>
            </w:r>
            <w:r>
              <w:rPr>
                <w:rFonts w:hint="eastAsia" w:asciiTheme="minorEastAsia" w:hAnsiTheme="minorEastAsia" w:eastAsiaTheme="minorEastAsia" w:cstheme="minorEastAsia"/>
                <w:snapToGrid w:val="0"/>
                <w:color w:val="000000"/>
                <w:spacing w:val="-13"/>
                <w:kern w:val="0"/>
                <w:sz w:val="24"/>
                <w:szCs w:val="24"/>
                <w:lang w:val="en-US" w:eastAsia="zh-CN" w:bidi="ar-SA"/>
              </w:rPr>
              <w:t>：</w:t>
            </w:r>
          </w:p>
          <w:p w14:paraId="6402DCC5">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完整梳理机房现状、全部设备型号参数、系统架构、运行状态、业务承载、网络链路等核心内容，需求分析全覆盖本项目全部运维服务采购内容，数据详实准确、逻辑严谨，完全贴合项目实际运维需求，为完整规范的总结性分析报告，无任何缺漏、错误，得10分；</w:t>
            </w:r>
          </w:p>
          <w:p w14:paraId="11C19FBD">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完整梳理机房整体现状、核心设备及主要系统运行情况，需求分析覆盖90%及以上采购服务内容，仅存在非核心细节缺项，无关键信息遗漏、无分析错误，可完全支撑项目常规运维工作开展，得7分；</w:t>
            </w:r>
          </w:p>
          <w:p w14:paraId="45D2F740">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仅简单描述机房基础概况，未列明核心设备、核心系统运行关键信息，需求分析覆盖采购服务内容不足70%，存在多项关键内容缺项，无法全面支撑项目运维服务开展，得4分；</w:t>
            </w:r>
          </w:p>
          <w:p w14:paraId="248E97B2">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未提供需求分析报告；或报告罗列采购方网络架构详情、核心数据详情等涉密关键信息，存在信息安全风险，视为不合格不得分。</w:t>
            </w:r>
          </w:p>
        </w:tc>
      </w:tr>
      <w:tr w14:paraId="0DA77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06" w:type="dxa"/>
            <w:vMerge w:val="continue"/>
            <w:vAlign w:val="center"/>
          </w:tcPr>
          <w:p w14:paraId="60F9D0A3">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p>
        </w:tc>
        <w:tc>
          <w:tcPr>
            <w:tcW w:w="1680" w:type="dxa"/>
            <w:vMerge w:val="continue"/>
            <w:vAlign w:val="center"/>
          </w:tcPr>
          <w:p w14:paraId="2AF24B7A">
            <w:pPr>
              <w:keepNext w:val="0"/>
              <w:keepLines w:val="0"/>
              <w:pageBreakBefore w:val="0"/>
              <w:kinsoku/>
              <w:wordWrap w:val="0"/>
              <w:overflowPunct/>
              <w:topLinePunct w:val="0"/>
              <w:bidi w:val="0"/>
              <w:spacing w:before="78" w:line="219" w:lineRule="auto"/>
              <w:ind w:firstLine="214" w:firstLineChars="100"/>
              <w:jc w:val="center"/>
              <w:rPr>
                <w:rFonts w:hint="eastAsia" w:ascii="宋体" w:hAnsi="宋体" w:eastAsia="宋体" w:cs="宋体"/>
                <w:snapToGrid w:val="0"/>
                <w:color w:val="000000"/>
                <w:spacing w:val="-13"/>
                <w:kern w:val="0"/>
                <w:sz w:val="24"/>
                <w:szCs w:val="24"/>
                <w:lang w:val="en-US" w:eastAsia="zh-CN" w:bidi="ar-SA"/>
              </w:rPr>
            </w:pPr>
          </w:p>
        </w:tc>
        <w:tc>
          <w:tcPr>
            <w:tcW w:w="1031" w:type="dxa"/>
            <w:vAlign w:val="center"/>
          </w:tcPr>
          <w:p w14:paraId="03E8BCBB">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运维服务实施方案（9分）</w:t>
            </w:r>
          </w:p>
        </w:tc>
        <w:tc>
          <w:tcPr>
            <w:tcW w:w="5215" w:type="dxa"/>
            <w:vAlign w:val="top"/>
          </w:tcPr>
          <w:p w14:paraId="224A69B9">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en-US" w:bidi="ar-SA"/>
              </w:rPr>
              <w:t>磋商小组根据供应商提供的运维服务实施方案进行综合评审</w:t>
            </w:r>
            <w:r>
              <w:rPr>
                <w:rFonts w:hint="eastAsia" w:ascii="宋体" w:hAnsi="宋体" w:eastAsia="宋体" w:cs="宋体"/>
                <w:snapToGrid w:val="0"/>
                <w:color w:val="000000"/>
                <w:spacing w:val="-13"/>
                <w:kern w:val="0"/>
                <w:sz w:val="24"/>
                <w:szCs w:val="24"/>
                <w:lang w:val="en-US" w:eastAsia="zh-CN" w:bidi="ar-SA"/>
              </w:rPr>
              <w:t>：</w:t>
            </w:r>
          </w:p>
          <w:p w14:paraId="6539F5A7">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完整齐备提供运维服务整体方案、细化可落地的进度控制计划、全员专项培训计划、全维度风险防控计划，明确岗位职责、服务流程、管控标准、保障举措，100%覆盖本项目所有运维服务需求，方案可直接落地实施，得9分；</w:t>
            </w:r>
          </w:p>
          <w:p w14:paraId="3CD8F267">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完整包含运维组织架构、实施进度、人员培训、风险管控、安全服务五大核心模块，各模块内容齐全、流程规范，无核心内容缺项，覆盖全部主要运维需求，可正常开展项目运维工，得6分；</w:t>
            </w:r>
          </w:p>
          <w:p w14:paraId="3508B372">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仅提供基础运维实施框架，进度计划、培训计划、风险管控措施内容简略，无具体实施细则，核心运维环节存在缺项，仅能满足最低基础运维要</w:t>
            </w:r>
            <w:r>
              <w:rPr>
                <w:rFonts w:hint="eastAsia" w:ascii="宋体" w:hAnsi="宋体" w:eastAsia="宋体" w:cs="宋体"/>
                <w:snapToGrid w:val="0"/>
                <w:color w:val="000000"/>
                <w:spacing w:val="-13"/>
                <w:kern w:val="0"/>
                <w:sz w:val="24"/>
                <w:szCs w:val="24"/>
                <w:lang w:val="en-US" w:eastAsia="zh-CN" w:bidi="ar-SA"/>
              </w:rPr>
              <w:t>，</w:t>
            </w:r>
            <w:r>
              <w:rPr>
                <w:rFonts w:hint="eastAsia" w:ascii="宋体" w:hAnsi="宋体" w:eastAsia="宋体" w:cs="宋体"/>
                <w:snapToGrid w:val="0"/>
                <w:color w:val="000000"/>
                <w:spacing w:val="-13"/>
                <w:kern w:val="0"/>
                <w:sz w:val="24"/>
                <w:szCs w:val="24"/>
                <w:lang w:val="en-US" w:eastAsia="en-US" w:bidi="ar-SA"/>
              </w:rPr>
              <w:t>得3分；</w:t>
            </w:r>
          </w:p>
          <w:p w14:paraId="06DF196F">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未提供运维服务实施方案</w:t>
            </w:r>
            <w:r>
              <w:rPr>
                <w:rFonts w:hint="eastAsia" w:ascii="宋体" w:hAnsi="宋体" w:eastAsia="宋体" w:cs="宋体"/>
                <w:snapToGrid w:val="0"/>
                <w:color w:val="000000"/>
                <w:spacing w:val="-13"/>
                <w:kern w:val="0"/>
                <w:sz w:val="24"/>
                <w:szCs w:val="24"/>
                <w:lang w:val="en-US" w:eastAsia="zh-CN" w:bidi="ar-SA"/>
              </w:rPr>
              <w:t>，</w:t>
            </w:r>
            <w:r>
              <w:rPr>
                <w:rFonts w:hint="eastAsia" w:ascii="宋体" w:hAnsi="宋体" w:eastAsia="宋体" w:cs="宋体"/>
                <w:snapToGrid w:val="0"/>
                <w:color w:val="000000"/>
                <w:spacing w:val="-13"/>
                <w:kern w:val="0"/>
                <w:sz w:val="24"/>
                <w:szCs w:val="24"/>
                <w:lang w:val="en-US" w:eastAsia="en-US" w:bidi="ar-SA"/>
              </w:rPr>
              <w:t>不得分。</w:t>
            </w:r>
          </w:p>
        </w:tc>
      </w:tr>
      <w:tr w14:paraId="693A6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06" w:type="dxa"/>
            <w:vMerge w:val="continue"/>
            <w:vAlign w:val="center"/>
          </w:tcPr>
          <w:p w14:paraId="787887F8">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p>
        </w:tc>
        <w:tc>
          <w:tcPr>
            <w:tcW w:w="1680" w:type="dxa"/>
            <w:vMerge w:val="continue"/>
            <w:vAlign w:val="center"/>
          </w:tcPr>
          <w:p w14:paraId="4E5A9726">
            <w:pPr>
              <w:keepNext w:val="0"/>
              <w:keepLines w:val="0"/>
              <w:pageBreakBefore w:val="0"/>
              <w:kinsoku/>
              <w:wordWrap w:val="0"/>
              <w:overflowPunct/>
              <w:topLinePunct w:val="0"/>
              <w:bidi w:val="0"/>
              <w:spacing w:before="78" w:line="219" w:lineRule="auto"/>
              <w:ind w:firstLine="214" w:firstLineChars="100"/>
              <w:jc w:val="center"/>
              <w:rPr>
                <w:rFonts w:hint="eastAsia" w:ascii="宋体" w:hAnsi="宋体" w:eastAsia="宋体" w:cs="宋体"/>
                <w:snapToGrid w:val="0"/>
                <w:color w:val="000000"/>
                <w:spacing w:val="-13"/>
                <w:kern w:val="0"/>
                <w:sz w:val="24"/>
                <w:szCs w:val="24"/>
                <w:lang w:val="en-US" w:eastAsia="zh-CN" w:bidi="ar-SA"/>
              </w:rPr>
            </w:pPr>
          </w:p>
        </w:tc>
        <w:tc>
          <w:tcPr>
            <w:tcW w:w="1031" w:type="dxa"/>
            <w:shd w:val="clear" w:color="auto" w:fill="auto"/>
            <w:vAlign w:val="center"/>
          </w:tcPr>
          <w:p w14:paraId="785BF074">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管理服务方案</w:t>
            </w:r>
          </w:p>
          <w:p w14:paraId="577AD078">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（9分）</w:t>
            </w:r>
          </w:p>
        </w:tc>
        <w:tc>
          <w:tcPr>
            <w:tcW w:w="5215" w:type="dxa"/>
            <w:shd w:val="clear" w:color="auto" w:fill="auto"/>
            <w:vAlign w:val="top"/>
          </w:tcPr>
          <w:p w14:paraId="59B5788A">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en-US" w:bidi="ar-SA"/>
              </w:rPr>
              <w:t>磋商小组根据运维服务要求对系统、设备管理、日常工作方面的响应程度评审</w:t>
            </w:r>
            <w:r>
              <w:rPr>
                <w:rFonts w:hint="eastAsia" w:ascii="宋体" w:hAnsi="宋体" w:eastAsia="宋体" w:cs="宋体"/>
                <w:snapToGrid w:val="0"/>
                <w:color w:val="000000"/>
                <w:spacing w:val="-13"/>
                <w:kern w:val="0"/>
                <w:sz w:val="24"/>
                <w:szCs w:val="24"/>
                <w:lang w:val="en-US" w:eastAsia="zh-CN" w:bidi="ar-SA"/>
              </w:rPr>
              <w:t>：</w:t>
            </w:r>
          </w:p>
          <w:p w14:paraId="181E892C">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针对系统管理、设备管控、日常运维、故障响应、业务保障、服务持续运维等全部需求制定专项细化管理方案，响应机制、操作流程、保障措施、服务承诺完整具体，全覆盖项目业务场景，可高效保障业务稳定不间断运行，得9分；</w:t>
            </w:r>
          </w:p>
          <w:p w14:paraId="0C451CF7">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方案覆盖系统、设备、日常运维、应急响应核心管理内容，流程规范、机制健全，无核心管理模块缺失，可稳定保障项目常规业务持续开展，得6分；</w:t>
            </w:r>
          </w:p>
          <w:p w14:paraId="670D08EE">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仅列明基础管理条目，缺失多项核心响应机制和管控流程，管理内容不完善，仅可满足基础业务运行保障需求，无法实现高效运维管控，得3分；</w:t>
            </w:r>
          </w:p>
          <w:p w14:paraId="001243E3">
            <w:pPr>
              <w:pStyle w:val="18"/>
              <w:keepNext w:val="0"/>
              <w:keepLines w:val="0"/>
              <w:pageBreakBefore w:val="0"/>
              <w:kinsoku/>
              <w:wordWrap w:val="0"/>
              <w:overflowPunct/>
              <w:topLinePunct w:val="0"/>
              <w:bidi w:val="0"/>
              <w:spacing w:before="33" w:line="235" w:lineRule="auto"/>
              <w:ind w:left="76" w:leftChars="0" w:right="23" w:rightChars="0"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未提供管理服务方案不得分。</w:t>
            </w:r>
          </w:p>
        </w:tc>
      </w:tr>
      <w:tr w14:paraId="51B69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06" w:type="dxa"/>
            <w:vMerge w:val="continue"/>
            <w:vAlign w:val="center"/>
          </w:tcPr>
          <w:p w14:paraId="071F8930">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p>
        </w:tc>
        <w:tc>
          <w:tcPr>
            <w:tcW w:w="1680" w:type="dxa"/>
            <w:vMerge w:val="continue"/>
            <w:vAlign w:val="center"/>
          </w:tcPr>
          <w:p w14:paraId="41280F0A">
            <w:pPr>
              <w:keepNext w:val="0"/>
              <w:keepLines w:val="0"/>
              <w:pageBreakBefore w:val="0"/>
              <w:kinsoku/>
              <w:wordWrap w:val="0"/>
              <w:overflowPunct/>
              <w:topLinePunct w:val="0"/>
              <w:bidi w:val="0"/>
              <w:spacing w:before="78" w:line="219" w:lineRule="auto"/>
              <w:ind w:firstLine="214" w:firstLineChars="100"/>
              <w:jc w:val="center"/>
              <w:rPr>
                <w:rFonts w:hint="eastAsia" w:ascii="宋体" w:hAnsi="宋体" w:eastAsia="宋体" w:cs="宋体"/>
                <w:snapToGrid w:val="0"/>
                <w:color w:val="000000"/>
                <w:spacing w:val="-13"/>
                <w:kern w:val="0"/>
                <w:sz w:val="24"/>
                <w:szCs w:val="24"/>
                <w:lang w:val="en-US" w:eastAsia="zh-CN" w:bidi="ar-SA"/>
              </w:rPr>
            </w:pPr>
          </w:p>
        </w:tc>
        <w:tc>
          <w:tcPr>
            <w:tcW w:w="1031" w:type="dxa"/>
            <w:shd w:val="clear" w:color="auto" w:fill="auto"/>
            <w:vAlign w:val="center"/>
          </w:tcPr>
          <w:p w14:paraId="5234B7B9">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驻场人员绩效考核方案</w:t>
            </w:r>
          </w:p>
          <w:p w14:paraId="7D5A4032">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（9分）</w:t>
            </w:r>
          </w:p>
        </w:tc>
        <w:tc>
          <w:tcPr>
            <w:tcW w:w="5215" w:type="dxa"/>
            <w:shd w:val="clear" w:color="auto" w:fill="auto"/>
            <w:vAlign w:val="top"/>
          </w:tcPr>
          <w:p w14:paraId="634C9B6C">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磋商小组根据供应商提供的对驻场工作人员的绩效考核方案，进行评审：</w:t>
            </w:r>
          </w:p>
          <w:p w14:paraId="7FB9F964">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绩效考核方案覆盖考勤、服务质量、故障处置效率、运维合规性、客户满意度等全维度考核指标，所有指标全部量化赋值，考核流程、评分标准、奖惩机制、结果应用细则清晰明确，完全贴合本项目驻场运维场景，可直接落地执行</w:t>
            </w:r>
            <w:r>
              <w:rPr>
                <w:rFonts w:hint="eastAsia" w:ascii="宋体" w:hAnsi="宋体" w:eastAsia="宋体" w:cs="宋体"/>
                <w:snapToGrid w:val="0"/>
                <w:color w:val="000000"/>
                <w:spacing w:val="-13"/>
                <w:kern w:val="0"/>
                <w:sz w:val="24"/>
                <w:szCs w:val="24"/>
                <w:lang w:val="en-US" w:eastAsia="zh-CN" w:bidi="ar-SA"/>
              </w:rPr>
              <w:t>，</w:t>
            </w:r>
            <w:r>
              <w:rPr>
                <w:rFonts w:hint="eastAsia" w:ascii="宋体" w:hAnsi="宋体" w:eastAsia="宋体" w:cs="宋体"/>
                <w:snapToGrid w:val="0"/>
                <w:color w:val="000000"/>
                <w:spacing w:val="-13"/>
                <w:kern w:val="0"/>
                <w:sz w:val="24"/>
                <w:szCs w:val="24"/>
                <w:lang w:val="en-US" w:eastAsia="en-US" w:bidi="ar-SA"/>
              </w:rPr>
              <w:t>得9分；</w:t>
            </w:r>
          </w:p>
          <w:p w14:paraId="4BE9E281">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绩效考核维度齐全，核心考核指标明确、考核流程规范，贴合项目运维实际，无关键考核模块缺失，可有效实现驻场人员工作管控，得6分；</w:t>
            </w:r>
          </w:p>
          <w:p w14:paraId="449F02C0">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仅列明基础考核方向，无量化考核指标、无细化评分标准，考核流程不完善，无法精准管控驻场人员工作质</w:t>
            </w:r>
            <w:r>
              <w:rPr>
                <w:rFonts w:hint="eastAsia" w:ascii="宋体" w:hAnsi="宋体" w:eastAsia="宋体" w:cs="宋体"/>
                <w:snapToGrid w:val="0"/>
                <w:color w:val="000000"/>
                <w:spacing w:val="-13"/>
                <w:kern w:val="0"/>
                <w:sz w:val="24"/>
                <w:szCs w:val="24"/>
                <w:lang w:val="en-US" w:eastAsia="zh-CN" w:bidi="ar-SA"/>
              </w:rPr>
              <w:t>量，</w:t>
            </w:r>
            <w:r>
              <w:rPr>
                <w:rFonts w:hint="eastAsia" w:ascii="宋体" w:hAnsi="宋体" w:eastAsia="宋体" w:cs="宋体"/>
                <w:snapToGrid w:val="0"/>
                <w:color w:val="000000"/>
                <w:spacing w:val="-13"/>
                <w:kern w:val="0"/>
                <w:sz w:val="24"/>
                <w:szCs w:val="24"/>
                <w:lang w:val="en-US" w:eastAsia="en-US" w:bidi="ar-SA"/>
              </w:rPr>
              <w:t>得3分；</w:t>
            </w:r>
          </w:p>
          <w:p w14:paraId="77049CA6">
            <w:pPr>
              <w:pStyle w:val="18"/>
              <w:keepNext w:val="0"/>
              <w:keepLines w:val="0"/>
              <w:pageBreakBefore w:val="0"/>
              <w:kinsoku/>
              <w:wordWrap w:val="0"/>
              <w:overflowPunct/>
              <w:topLinePunct w:val="0"/>
              <w:bidi w:val="0"/>
              <w:spacing w:before="33" w:line="235" w:lineRule="auto"/>
              <w:ind w:left="76" w:leftChars="0" w:right="23" w:rightChars="0"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未提供驻场人员绩效考核方案</w:t>
            </w:r>
            <w:r>
              <w:rPr>
                <w:rFonts w:hint="eastAsia" w:ascii="宋体" w:hAnsi="宋体" w:eastAsia="宋体" w:cs="宋体"/>
                <w:snapToGrid w:val="0"/>
                <w:color w:val="000000"/>
                <w:spacing w:val="-13"/>
                <w:kern w:val="0"/>
                <w:sz w:val="24"/>
                <w:szCs w:val="24"/>
                <w:lang w:val="en-US" w:eastAsia="zh-CN" w:bidi="ar-SA"/>
              </w:rPr>
              <w:t>，</w:t>
            </w:r>
            <w:r>
              <w:rPr>
                <w:rFonts w:hint="eastAsia" w:ascii="宋体" w:hAnsi="宋体" w:eastAsia="宋体" w:cs="宋体"/>
                <w:snapToGrid w:val="0"/>
                <w:color w:val="000000"/>
                <w:spacing w:val="-13"/>
                <w:kern w:val="0"/>
                <w:sz w:val="24"/>
                <w:szCs w:val="24"/>
                <w:lang w:val="en-US" w:eastAsia="en-US" w:bidi="ar-SA"/>
              </w:rPr>
              <w:t>不得分。</w:t>
            </w:r>
          </w:p>
        </w:tc>
      </w:tr>
      <w:tr w14:paraId="664C1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06" w:type="dxa"/>
            <w:vMerge w:val="continue"/>
            <w:vAlign w:val="center"/>
          </w:tcPr>
          <w:p w14:paraId="2A207105">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p>
        </w:tc>
        <w:tc>
          <w:tcPr>
            <w:tcW w:w="1680" w:type="dxa"/>
            <w:vMerge w:val="continue"/>
            <w:vAlign w:val="center"/>
          </w:tcPr>
          <w:p w14:paraId="7F471A48">
            <w:pPr>
              <w:keepNext w:val="0"/>
              <w:keepLines w:val="0"/>
              <w:pageBreakBefore w:val="0"/>
              <w:kinsoku/>
              <w:wordWrap w:val="0"/>
              <w:overflowPunct/>
              <w:topLinePunct w:val="0"/>
              <w:bidi w:val="0"/>
              <w:spacing w:before="78" w:line="219" w:lineRule="auto"/>
              <w:ind w:firstLine="214" w:firstLineChars="100"/>
              <w:jc w:val="center"/>
              <w:rPr>
                <w:rFonts w:hint="eastAsia" w:ascii="宋体" w:hAnsi="宋体" w:eastAsia="宋体" w:cs="宋体"/>
                <w:snapToGrid w:val="0"/>
                <w:color w:val="000000"/>
                <w:spacing w:val="-13"/>
                <w:kern w:val="0"/>
                <w:sz w:val="24"/>
                <w:szCs w:val="24"/>
                <w:lang w:val="en-US" w:eastAsia="zh-CN" w:bidi="ar-SA"/>
              </w:rPr>
            </w:pPr>
          </w:p>
        </w:tc>
        <w:tc>
          <w:tcPr>
            <w:tcW w:w="1031" w:type="dxa"/>
            <w:shd w:val="clear" w:color="auto" w:fill="auto"/>
            <w:vAlign w:val="center"/>
          </w:tcPr>
          <w:p w14:paraId="69541D95">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安全保障方案</w:t>
            </w:r>
          </w:p>
          <w:p w14:paraId="74576897">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（7分）</w:t>
            </w:r>
          </w:p>
        </w:tc>
        <w:tc>
          <w:tcPr>
            <w:tcW w:w="5215" w:type="dxa"/>
            <w:shd w:val="clear" w:color="auto" w:fill="auto"/>
            <w:vAlign w:val="top"/>
          </w:tcPr>
          <w:p w14:paraId="3F0AC377">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en-US" w:bidi="ar-SA"/>
              </w:rPr>
              <w:t>磋商小组根据供应商提供的安全技术保障方案(包括对故障处理、资产设备情况等通过科学的信息安全管理方法保障业务安全可控、高效使用等。)进行打分</w:t>
            </w:r>
            <w:r>
              <w:rPr>
                <w:rFonts w:hint="eastAsia" w:ascii="宋体" w:hAnsi="宋体" w:eastAsia="宋体" w:cs="宋体"/>
                <w:snapToGrid w:val="0"/>
                <w:color w:val="000000"/>
                <w:spacing w:val="-13"/>
                <w:kern w:val="0"/>
                <w:sz w:val="24"/>
                <w:szCs w:val="24"/>
                <w:lang w:val="en-US" w:eastAsia="zh-CN" w:bidi="ar-SA"/>
              </w:rPr>
              <w:t>：</w:t>
            </w:r>
          </w:p>
          <w:p w14:paraId="4AC001FD">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安全保障方案全覆盖设备资产安全、系统运维安全、数据安全、故障应急处置、风险排查、安全巡检等核心内容，所有技术措施、管理措施、管控流程、权责分工细化到具体执行步骤，可全面规避各类运维安全风险，保障业务安全可控、高效运行，得</w:t>
            </w:r>
            <w:r>
              <w:rPr>
                <w:rFonts w:hint="eastAsia" w:ascii="宋体" w:hAnsi="宋体" w:eastAsia="宋体" w:cs="宋体"/>
                <w:snapToGrid w:val="0"/>
                <w:color w:val="000000"/>
                <w:spacing w:val="-13"/>
                <w:kern w:val="0"/>
                <w:sz w:val="24"/>
                <w:szCs w:val="24"/>
                <w:lang w:val="en-US" w:eastAsia="zh-CN" w:bidi="ar-SA"/>
              </w:rPr>
              <w:t>7</w:t>
            </w:r>
            <w:r>
              <w:rPr>
                <w:rFonts w:hint="eastAsia" w:ascii="宋体" w:hAnsi="宋体" w:eastAsia="宋体" w:cs="宋体"/>
                <w:snapToGrid w:val="0"/>
                <w:color w:val="000000"/>
                <w:spacing w:val="-13"/>
                <w:kern w:val="0"/>
                <w:sz w:val="24"/>
                <w:szCs w:val="24"/>
                <w:lang w:val="en-US" w:eastAsia="en-US" w:bidi="ar-SA"/>
              </w:rPr>
              <w:t>分；</w:t>
            </w:r>
          </w:p>
          <w:p w14:paraId="7A12F068">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方案覆盖项目核心安全运维需求，包含故障处置、资产管控、日常安全防护、风险排查等关键内容，措施齐全、流程规范，可有效处置及规避常规安全风险</w:t>
            </w:r>
            <w:r>
              <w:rPr>
                <w:rFonts w:hint="eastAsia" w:ascii="宋体" w:hAnsi="宋体" w:eastAsia="宋体" w:cs="宋体"/>
                <w:snapToGrid w:val="0"/>
                <w:color w:val="000000"/>
                <w:spacing w:val="-13"/>
                <w:kern w:val="0"/>
                <w:sz w:val="24"/>
                <w:szCs w:val="24"/>
                <w:lang w:val="en-US" w:eastAsia="zh-CN" w:bidi="ar-SA"/>
              </w:rPr>
              <w:t>，</w:t>
            </w:r>
            <w:r>
              <w:rPr>
                <w:rFonts w:hint="eastAsia" w:ascii="宋体" w:hAnsi="宋体" w:eastAsia="宋体" w:cs="宋体"/>
                <w:snapToGrid w:val="0"/>
                <w:color w:val="000000"/>
                <w:spacing w:val="-13"/>
                <w:kern w:val="0"/>
                <w:sz w:val="24"/>
                <w:szCs w:val="24"/>
                <w:lang w:val="en-US" w:eastAsia="en-US" w:bidi="ar-SA"/>
              </w:rPr>
              <w:t>得4分；</w:t>
            </w:r>
          </w:p>
          <w:p w14:paraId="1F59129B">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仅罗列安全保障框架条目，无具体技术手段、处置流程、管控细则，无落地执行内容，仅为通用性文字描述</w:t>
            </w:r>
            <w:r>
              <w:rPr>
                <w:rFonts w:hint="eastAsia" w:ascii="宋体" w:hAnsi="宋体" w:eastAsia="宋体" w:cs="宋体"/>
                <w:snapToGrid w:val="0"/>
                <w:color w:val="000000"/>
                <w:spacing w:val="-13"/>
                <w:kern w:val="0"/>
                <w:sz w:val="24"/>
                <w:szCs w:val="24"/>
                <w:lang w:val="en-US" w:eastAsia="zh-CN" w:bidi="ar-SA"/>
              </w:rPr>
              <w:t>，</w:t>
            </w:r>
            <w:r>
              <w:rPr>
                <w:rFonts w:hint="eastAsia" w:ascii="宋体" w:hAnsi="宋体" w:eastAsia="宋体" w:cs="宋体"/>
                <w:snapToGrid w:val="0"/>
                <w:color w:val="000000"/>
                <w:spacing w:val="-13"/>
                <w:kern w:val="0"/>
                <w:sz w:val="24"/>
                <w:szCs w:val="24"/>
                <w:lang w:val="en-US" w:eastAsia="en-US" w:bidi="ar-SA"/>
              </w:rPr>
              <w:t>得2分；</w:t>
            </w:r>
          </w:p>
          <w:p w14:paraId="1769A04B">
            <w:pPr>
              <w:pStyle w:val="18"/>
              <w:keepNext w:val="0"/>
              <w:keepLines w:val="0"/>
              <w:pageBreakBefore w:val="0"/>
              <w:kinsoku/>
              <w:wordWrap w:val="0"/>
              <w:overflowPunct/>
              <w:topLinePunct w:val="0"/>
              <w:bidi w:val="0"/>
              <w:spacing w:before="33" w:line="235" w:lineRule="auto"/>
              <w:ind w:left="76" w:leftChars="0" w:right="23" w:rightChars="0"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未提供安全保障方案</w:t>
            </w:r>
            <w:r>
              <w:rPr>
                <w:rFonts w:hint="eastAsia" w:ascii="宋体" w:hAnsi="宋体" w:eastAsia="宋体" w:cs="宋体"/>
                <w:snapToGrid w:val="0"/>
                <w:color w:val="000000"/>
                <w:spacing w:val="-13"/>
                <w:kern w:val="0"/>
                <w:sz w:val="24"/>
                <w:szCs w:val="24"/>
                <w:lang w:val="en-US" w:eastAsia="zh-CN" w:bidi="ar-SA"/>
              </w:rPr>
              <w:t>，</w:t>
            </w:r>
            <w:r>
              <w:rPr>
                <w:rFonts w:hint="eastAsia" w:ascii="宋体" w:hAnsi="宋体" w:eastAsia="宋体" w:cs="宋体"/>
                <w:snapToGrid w:val="0"/>
                <w:color w:val="000000"/>
                <w:spacing w:val="-13"/>
                <w:kern w:val="0"/>
                <w:sz w:val="24"/>
                <w:szCs w:val="24"/>
                <w:lang w:val="en-US" w:eastAsia="en-US" w:bidi="ar-SA"/>
              </w:rPr>
              <w:t>不得分。</w:t>
            </w:r>
          </w:p>
        </w:tc>
      </w:tr>
      <w:tr w14:paraId="186E8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06" w:type="dxa"/>
            <w:vMerge w:val="continue"/>
            <w:vAlign w:val="center"/>
          </w:tcPr>
          <w:p w14:paraId="046E7082">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p>
        </w:tc>
        <w:tc>
          <w:tcPr>
            <w:tcW w:w="1680" w:type="dxa"/>
            <w:vMerge w:val="continue"/>
            <w:vAlign w:val="center"/>
          </w:tcPr>
          <w:p w14:paraId="1EEEB445">
            <w:pPr>
              <w:keepNext w:val="0"/>
              <w:keepLines w:val="0"/>
              <w:pageBreakBefore w:val="0"/>
              <w:kinsoku/>
              <w:wordWrap w:val="0"/>
              <w:overflowPunct/>
              <w:topLinePunct w:val="0"/>
              <w:bidi w:val="0"/>
              <w:spacing w:before="78" w:line="219" w:lineRule="auto"/>
              <w:ind w:firstLine="214" w:firstLineChars="100"/>
              <w:jc w:val="center"/>
              <w:rPr>
                <w:rFonts w:hint="eastAsia" w:ascii="宋体" w:hAnsi="宋体" w:eastAsia="宋体" w:cs="宋体"/>
                <w:snapToGrid w:val="0"/>
                <w:color w:val="000000"/>
                <w:spacing w:val="-13"/>
                <w:kern w:val="0"/>
                <w:sz w:val="24"/>
                <w:szCs w:val="24"/>
                <w:lang w:val="en-US" w:eastAsia="zh-CN" w:bidi="ar-SA"/>
              </w:rPr>
            </w:pPr>
          </w:p>
        </w:tc>
        <w:tc>
          <w:tcPr>
            <w:tcW w:w="1031" w:type="dxa"/>
            <w:shd w:val="clear" w:color="auto" w:fill="auto"/>
            <w:vAlign w:val="center"/>
          </w:tcPr>
          <w:p w14:paraId="0EDBEB40">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应急预案</w:t>
            </w:r>
          </w:p>
          <w:p w14:paraId="40940DFD">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（7分）</w:t>
            </w:r>
          </w:p>
        </w:tc>
        <w:tc>
          <w:tcPr>
            <w:tcW w:w="5215" w:type="dxa"/>
            <w:shd w:val="clear" w:color="auto" w:fill="auto"/>
            <w:vAlign w:val="top"/>
          </w:tcPr>
          <w:p w14:paraId="4E0FEDC8">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en-US" w:bidi="ar-SA"/>
              </w:rPr>
              <w:t>磋商小组根据供应商提供的应急预案（包括建立机房基础设施应急预案，确保驻场人员可以迅速启动，确保有序、有效地组织实施各项应对措施等。）进行打分</w:t>
            </w:r>
            <w:r>
              <w:rPr>
                <w:rFonts w:hint="eastAsia" w:ascii="宋体" w:hAnsi="宋体" w:eastAsia="宋体" w:cs="宋体"/>
                <w:snapToGrid w:val="0"/>
                <w:color w:val="000000"/>
                <w:spacing w:val="-13"/>
                <w:kern w:val="0"/>
                <w:sz w:val="24"/>
                <w:szCs w:val="24"/>
                <w:lang w:val="en-US" w:eastAsia="zh-CN" w:bidi="ar-SA"/>
              </w:rPr>
              <w:t>：</w:t>
            </w:r>
          </w:p>
          <w:p w14:paraId="7D4E7798">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应急预案</w:t>
            </w:r>
            <w:r>
              <w:rPr>
                <w:rFonts w:hint="eastAsia" w:ascii="宋体" w:hAnsi="宋体" w:eastAsia="宋体" w:cs="宋体"/>
                <w:snapToGrid w:val="0"/>
                <w:color w:val="000000"/>
                <w:spacing w:val="-13"/>
                <w:kern w:val="0"/>
                <w:sz w:val="24"/>
                <w:szCs w:val="24"/>
                <w:lang w:val="en-US" w:eastAsia="zh-CN" w:bidi="ar-SA"/>
              </w:rPr>
              <w:t>能够详细</w:t>
            </w:r>
            <w:r>
              <w:rPr>
                <w:rFonts w:hint="eastAsia" w:ascii="宋体" w:hAnsi="宋体" w:eastAsia="宋体" w:cs="宋体"/>
                <w:snapToGrid w:val="0"/>
                <w:color w:val="000000"/>
                <w:spacing w:val="-13"/>
                <w:kern w:val="0"/>
                <w:sz w:val="24"/>
                <w:szCs w:val="24"/>
                <w:lang w:val="en-US" w:eastAsia="en-US" w:bidi="ar-SA"/>
              </w:rPr>
              <w:t>覆盖机房硬件故障、系统宕机、业务中断、网络异常、安全入侵、突发故障</w:t>
            </w:r>
            <w:r>
              <w:rPr>
                <w:rFonts w:hint="eastAsia" w:ascii="宋体" w:hAnsi="宋体" w:eastAsia="宋体" w:cs="宋体"/>
                <w:snapToGrid w:val="0"/>
                <w:color w:val="000000"/>
                <w:spacing w:val="-13"/>
                <w:kern w:val="0"/>
                <w:sz w:val="24"/>
                <w:szCs w:val="24"/>
                <w:lang w:val="en-US" w:eastAsia="zh-CN" w:bidi="ar-SA"/>
              </w:rPr>
              <w:t>、</w:t>
            </w:r>
            <w:r>
              <w:rPr>
                <w:rFonts w:hint="eastAsia" w:ascii="宋体" w:hAnsi="宋体" w:eastAsia="宋体" w:cs="宋体"/>
                <w:snapToGrid w:val="0"/>
                <w:color w:val="000000"/>
                <w:spacing w:val="-13"/>
                <w:kern w:val="0"/>
                <w:sz w:val="24"/>
                <w:szCs w:val="24"/>
                <w:highlight w:val="none"/>
                <w:lang w:val="en-US" w:eastAsia="zh-CN" w:bidi="ar-SA"/>
              </w:rPr>
              <w:t>电路安全、恶劣天气隐患</w:t>
            </w:r>
            <w:r>
              <w:rPr>
                <w:rFonts w:hint="eastAsia" w:ascii="宋体" w:hAnsi="宋体" w:eastAsia="宋体" w:cs="宋体"/>
                <w:snapToGrid w:val="0"/>
                <w:color w:val="000000"/>
                <w:spacing w:val="-13"/>
                <w:kern w:val="0"/>
                <w:sz w:val="24"/>
                <w:szCs w:val="24"/>
                <w:lang w:val="en-US" w:eastAsia="en-US" w:bidi="ar-SA"/>
              </w:rPr>
              <w:t>等全部场景，明确应急组织架构、人员岗位职责、分级响应机制、标准化处置流程、善后复盘机制，步骤清晰、落地性强，可快速处置各类突发问题，保障业务零中断，得</w:t>
            </w:r>
            <w:r>
              <w:rPr>
                <w:rFonts w:hint="eastAsia" w:ascii="宋体" w:hAnsi="宋体" w:eastAsia="宋体" w:cs="宋体"/>
                <w:snapToGrid w:val="0"/>
                <w:color w:val="000000"/>
                <w:spacing w:val="-13"/>
                <w:kern w:val="0"/>
                <w:sz w:val="24"/>
                <w:szCs w:val="24"/>
                <w:lang w:val="en-US" w:eastAsia="zh-CN" w:bidi="ar-SA"/>
              </w:rPr>
              <w:t>7</w:t>
            </w:r>
            <w:r>
              <w:rPr>
                <w:rFonts w:hint="eastAsia" w:ascii="宋体" w:hAnsi="宋体" w:eastAsia="宋体" w:cs="宋体"/>
                <w:snapToGrid w:val="0"/>
                <w:color w:val="000000"/>
                <w:spacing w:val="-13"/>
                <w:kern w:val="0"/>
                <w:sz w:val="24"/>
                <w:szCs w:val="24"/>
                <w:lang w:val="en-US" w:eastAsia="en-US" w:bidi="ar-SA"/>
              </w:rPr>
              <w:t>分；</w:t>
            </w:r>
          </w:p>
          <w:p w14:paraId="0BF2AB11">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应急预案覆盖项目高频突发故障场景，响应流程、处置步骤、人员分工完整，可规范处置项目常见突发问题，保障业务快速恢复，得4分；</w:t>
            </w:r>
          </w:p>
          <w:p w14:paraId="51F12AC6">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仅列明应急工作基础框架，无具体响应流程、处置步骤、人员分工，无实操内容，无法落地执行</w:t>
            </w:r>
            <w:r>
              <w:rPr>
                <w:rFonts w:hint="eastAsia" w:ascii="宋体" w:hAnsi="宋体" w:eastAsia="宋体" w:cs="宋体"/>
                <w:snapToGrid w:val="0"/>
                <w:color w:val="000000"/>
                <w:spacing w:val="-13"/>
                <w:kern w:val="0"/>
                <w:sz w:val="24"/>
                <w:szCs w:val="24"/>
                <w:lang w:val="en-US" w:eastAsia="zh-CN" w:bidi="ar-SA"/>
              </w:rPr>
              <w:t>，</w:t>
            </w:r>
            <w:r>
              <w:rPr>
                <w:rFonts w:hint="eastAsia" w:ascii="宋体" w:hAnsi="宋体" w:eastAsia="宋体" w:cs="宋体"/>
                <w:snapToGrid w:val="0"/>
                <w:color w:val="000000"/>
                <w:spacing w:val="-13"/>
                <w:kern w:val="0"/>
                <w:sz w:val="24"/>
                <w:szCs w:val="24"/>
                <w:lang w:val="en-US" w:eastAsia="en-US" w:bidi="ar-SA"/>
              </w:rPr>
              <w:t>得2分；</w:t>
            </w:r>
          </w:p>
          <w:p w14:paraId="1DCA2C34">
            <w:pPr>
              <w:pStyle w:val="18"/>
              <w:keepNext w:val="0"/>
              <w:keepLines w:val="0"/>
              <w:pageBreakBefore w:val="0"/>
              <w:kinsoku/>
              <w:wordWrap w:val="0"/>
              <w:overflowPunct/>
              <w:topLinePunct w:val="0"/>
              <w:bidi w:val="0"/>
              <w:spacing w:before="33" w:line="235" w:lineRule="auto"/>
              <w:ind w:left="76" w:leftChars="0" w:right="23" w:rightChars="0"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未提供应急预案</w:t>
            </w:r>
            <w:r>
              <w:rPr>
                <w:rFonts w:hint="eastAsia" w:ascii="宋体" w:hAnsi="宋体" w:eastAsia="宋体" w:cs="宋体"/>
                <w:snapToGrid w:val="0"/>
                <w:color w:val="000000"/>
                <w:spacing w:val="-13"/>
                <w:kern w:val="0"/>
                <w:sz w:val="24"/>
                <w:szCs w:val="24"/>
                <w:lang w:val="en-US" w:eastAsia="zh-CN" w:bidi="ar-SA"/>
              </w:rPr>
              <w:t>，</w:t>
            </w:r>
            <w:r>
              <w:rPr>
                <w:rFonts w:hint="eastAsia" w:ascii="宋体" w:hAnsi="宋体" w:eastAsia="宋体" w:cs="宋体"/>
                <w:snapToGrid w:val="0"/>
                <w:color w:val="000000"/>
                <w:spacing w:val="-13"/>
                <w:kern w:val="0"/>
                <w:sz w:val="24"/>
                <w:szCs w:val="24"/>
                <w:lang w:val="en-US" w:eastAsia="en-US" w:bidi="ar-SA"/>
              </w:rPr>
              <w:t>不得分。</w:t>
            </w:r>
          </w:p>
        </w:tc>
      </w:tr>
      <w:tr w14:paraId="21D40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06" w:type="dxa"/>
            <w:vMerge w:val="continue"/>
            <w:vAlign w:val="center"/>
          </w:tcPr>
          <w:p w14:paraId="7ECEDF03">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p>
        </w:tc>
        <w:tc>
          <w:tcPr>
            <w:tcW w:w="1680" w:type="dxa"/>
            <w:vMerge w:val="continue"/>
            <w:vAlign w:val="center"/>
          </w:tcPr>
          <w:p w14:paraId="2D426A03">
            <w:pPr>
              <w:keepNext w:val="0"/>
              <w:keepLines w:val="0"/>
              <w:pageBreakBefore w:val="0"/>
              <w:kinsoku/>
              <w:wordWrap w:val="0"/>
              <w:overflowPunct/>
              <w:topLinePunct w:val="0"/>
              <w:bidi w:val="0"/>
              <w:spacing w:before="78" w:line="219" w:lineRule="auto"/>
              <w:ind w:firstLine="214" w:firstLineChars="100"/>
              <w:jc w:val="center"/>
              <w:rPr>
                <w:rFonts w:hint="eastAsia" w:ascii="宋体" w:hAnsi="宋体" w:eastAsia="宋体" w:cs="宋体"/>
                <w:snapToGrid w:val="0"/>
                <w:color w:val="000000"/>
                <w:spacing w:val="-13"/>
                <w:kern w:val="0"/>
                <w:sz w:val="24"/>
                <w:szCs w:val="24"/>
                <w:lang w:val="en-US" w:eastAsia="zh-CN" w:bidi="ar-SA"/>
              </w:rPr>
            </w:pPr>
          </w:p>
        </w:tc>
        <w:tc>
          <w:tcPr>
            <w:tcW w:w="1031" w:type="dxa"/>
            <w:shd w:val="clear" w:color="auto" w:fill="auto"/>
            <w:vAlign w:val="center"/>
          </w:tcPr>
          <w:p w14:paraId="358965EF">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驻场人员方案</w:t>
            </w:r>
          </w:p>
          <w:p w14:paraId="497FC912">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（7分）</w:t>
            </w:r>
          </w:p>
        </w:tc>
        <w:tc>
          <w:tcPr>
            <w:tcW w:w="5215" w:type="dxa"/>
            <w:shd w:val="clear" w:color="auto" w:fill="auto"/>
            <w:vAlign w:val="top"/>
          </w:tcPr>
          <w:p w14:paraId="44BEA70A">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en-US" w:bidi="ar-SA"/>
              </w:rPr>
              <w:t>磋商小组根据供应商的配备驻场人员的知识结构、分工体系、驻场人员资料进行打分</w:t>
            </w:r>
            <w:r>
              <w:rPr>
                <w:rFonts w:hint="eastAsia" w:ascii="宋体" w:hAnsi="宋体" w:eastAsia="宋体" w:cs="宋体"/>
                <w:snapToGrid w:val="0"/>
                <w:color w:val="000000"/>
                <w:spacing w:val="-13"/>
                <w:kern w:val="0"/>
                <w:sz w:val="24"/>
                <w:szCs w:val="24"/>
                <w:lang w:val="en-US" w:eastAsia="zh-CN" w:bidi="ar-SA"/>
              </w:rPr>
              <w:t>：</w:t>
            </w:r>
          </w:p>
          <w:p w14:paraId="7B90D97F">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驻场人员专业、技能、知识结构完全匹配项目运维需求，人员数量满足项目驻场值守要求，组织架构清晰、岗位职责分工明确，人员资质、履历、从业证明等全部佐证资料齐全、真实有效、可核验，得</w:t>
            </w:r>
            <w:r>
              <w:rPr>
                <w:rFonts w:hint="eastAsia" w:ascii="宋体" w:hAnsi="宋体" w:eastAsia="宋体" w:cs="宋体"/>
                <w:snapToGrid w:val="0"/>
                <w:color w:val="000000"/>
                <w:spacing w:val="-13"/>
                <w:kern w:val="0"/>
                <w:sz w:val="24"/>
                <w:szCs w:val="24"/>
                <w:lang w:val="en-US" w:eastAsia="zh-CN" w:bidi="ar-SA"/>
              </w:rPr>
              <w:t>7</w:t>
            </w:r>
            <w:r>
              <w:rPr>
                <w:rFonts w:hint="eastAsia" w:ascii="宋体" w:hAnsi="宋体" w:eastAsia="宋体" w:cs="宋体"/>
                <w:snapToGrid w:val="0"/>
                <w:color w:val="000000"/>
                <w:spacing w:val="-13"/>
                <w:kern w:val="0"/>
                <w:sz w:val="24"/>
                <w:szCs w:val="24"/>
                <w:lang w:val="en-US" w:eastAsia="en-US" w:bidi="ar-SA"/>
              </w:rPr>
              <w:t>分；</w:t>
            </w:r>
          </w:p>
          <w:p w14:paraId="00B326D3">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驻场人员数量充足、专业匹配岗位需求，组织架构完整、分工清晰，核心岗位人员佐证资料齐全无缺项，得4分；</w:t>
            </w:r>
          </w:p>
          <w:p w14:paraId="42DBE01F">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en-US" w:bidi="ar-SA"/>
              </w:rPr>
              <w:t>驻场人员可满足基础运维工作，但岗位分工</w:t>
            </w:r>
            <w:r>
              <w:rPr>
                <w:rFonts w:hint="eastAsia" w:ascii="宋体" w:hAnsi="宋体" w:eastAsia="宋体" w:cs="宋体"/>
                <w:snapToGrid w:val="0"/>
                <w:color w:val="000000"/>
                <w:spacing w:val="-13"/>
                <w:kern w:val="0"/>
                <w:sz w:val="24"/>
                <w:szCs w:val="24"/>
                <w:lang w:val="en-US" w:eastAsia="zh-CN" w:bidi="ar-SA"/>
              </w:rPr>
              <w:t>不明确</w:t>
            </w:r>
            <w:r>
              <w:rPr>
                <w:rFonts w:hint="eastAsia" w:ascii="宋体" w:hAnsi="宋体" w:eastAsia="宋体" w:cs="宋体"/>
                <w:snapToGrid w:val="0"/>
                <w:color w:val="000000"/>
                <w:spacing w:val="-13"/>
                <w:kern w:val="0"/>
                <w:sz w:val="24"/>
                <w:szCs w:val="24"/>
                <w:lang w:val="en-US" w:eastAsia="en-US" w:bidi="ar-SA"/>
              </w:rPr>
              <w:t>、组织架构不清晰，人员资质、履历等佐证资料存在多项缺项，得2分</w:t>
            </w:r>
            <w:r>
              <w:rPr>
                <w:rFonts w:hint="eastAsia" w:ascii="宋体" w:hAnsi="宋体" w:eastAsia="宋体" w:cs="宋体"/>
                <w:snapToGrid w:val="0"/>
                <w:color w:val="000000"/>
                <w:spacing w:val="-13"/>
                <w:kern w:val="0"/>
                <w:sz w:val="24"/>
                <w:szCs w:val="24"/>
                <w:lang w:val="en-US" w:eastAsia="zh-CN" w:bidi="ar-SA"/>
              </w:rPr>
              <w:t>；</w:t>
            </w:r>
          </w:p>
          <w:p w14:paraId="31341EB1">
            <w:pPr>
              <w:pStyle w:val="18"/>
              <w:keepNext w:val="0"/>
              <w:keepLines w:val="0"/>
              <w:pageBreakBefore w:val="0"/>
              <w:kinsoku/>
              <w:wordWrap w:val="0"/>
              <w:overflowPunct/>
              <w:topLinePunct w:val="0"/>
              <w:bidi w:val="0"/>
              <w:spacing w:before="33" w:line="235" w:lineRule="auto"/>
              <w:ind w:left="76" w:leftChars="0" w:right="23" w:rightChars="0" w:firstLine="428" w:firstLineChars="200"/>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未提供驻场人员配备方案及相关佐证资料</w:t>
            </w:r>
            <w:r>
              <w:rPr>
                <w:rFonts w:hint="eastAsia" w:ascii="宋体" w:hAnsi="宋体" w:eastAsia="宋体" w:cs="宋体"/>
                <w:snapToGrid w:val="0"/>
                <w:color w:val="000000"/>
                <w:spacing w:val="-13"/>
                <w:kern w:val="0"/>
                <w:sz w:val="24"/>
                <w:szCs w:val="24"/>
                <w:lang w:val="en-US" w:eastAsia="zh-CN" w:bidi="ar-SA"/>
              </w:rPr>
              <w:t>，</w:t>
            </w:r>
            <w:r>
              <w:rPr>
                <w:rFonts w:hint="eastAsia" w:ascii="宋体" w:hAnsi="宋体" w:eastAsia="宋体" w:cs="宋体"/>
                <w:snapToGrid w:val="0"/>
                <w:color w:val="000000"/>
                <w:spacing w:val="-13"/>
                <w:kern w:val="0"/>
                <w:sz w:val="24"/>
                <w:szCs w:val="24"/>
                <w:lang w:val="en-US" w:eastAsia="en-US" w:bidi="ar-SA"/>
              </w:rPr>
              <w:t>不得分。</w:t>
            </w:r>
          </w:p>
        </w:tc>
      </w:tr>
      <w:tr w14:paraId="14C90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06" w:type="dxa"/>
            <w:vMerge w:val="restart"/>
            <w:vAlign w:val="center"/>
          </w:tcPr>
          <w:p w14:paraId="62C7343A">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z w:val="24"/>
                <w:szCs w:val="24"/>
                <w:lang w:val="en-US" w:eastAsia="zh-CN"/>
              </w:rPr>
              <w:t>3</w:t>
            </w:r>
          </w:p>
        </w:tc>
        <w:tc>
          <w:tcPr>
            <w:tcW w:w="1680" w:type="dxa"/>
            <w:vMerge w:val="restart"/>
            <w:vAlign w:val="center"/>
          </w:tcPr>
          <w:p w14:paraId="1629034E">
            <w:pPr>
              <w:keepNext w:val="0"/>
              <w:keepLines w:val="0"/>
              <w:pageBreakBefore w:val="0"/>
              <w:kinsoku/>
              <w:wordWrap w:val="0"/>
              <w:overflowPunct/>
              <w:topLinePunct w:val="0"/>
              <w:bidi w:val="0"/>
              <w:spacing w:before="157" w:line="220" w:lineRule="auto"/>
              <w:ind w:left="148" w:leftChars="0"/>
              <w:jc w:val="center"/>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综合实力</w:t>
            </w:r>
          </w:p>
          <w:p w14:paraId="6E162E98">
            <w:pPr>
              <w:keepNext w:val="0"/>
              <w:keepLines w:val="0"/>
              <w:pageBreakBefore w:val="0"/>
              <w:kinsoku/>
              <w:wordWrap w:val="0"/>
              <w:overflowPunct/>
              <w:topLinePunct w:val="0"/>
              <w:bidi w:val="0"/>
              <w:spacing w:before="157" w:line="220" w:lineRule="auto"/>
              <w:ind w:left="148" w:leftChars="0"/>
              <w:jc w:val="center"/>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pacing w:val="-2"/>
                <w:sz w:val="24"/>
                <w:szCs w:val="24"/>
                <w:lang w:val="en-US" w:eastAsia="zh-CN"/>
              </w:rPr>
              <w:t>（满分12分）</w:t>
            </w:r>
          </w:p>
        </w:tc>
        <w:tc>
          <w:tcPr>
            <w:tcW w:w="1031" w:type="dxa"/>
            <w:shd w:val="clear" w:color="auto" w:fill="auto"/>
            <w:vAlign w:val="center"/>
          </w:tcPr>
          <w:p w14:paraId="7A7659EE">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业绩</w:t>
            </w:r>
          </w:p>
          <w:p w14:paraId="689A9863">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（4分）</w:t>
            </w:r>
          </w:p>
        </w:tc>
        <w:tc>
          <w:tcPr>
            <w:tcW w:w="5215" w:type="dxa"/>
            <w:shd w:val="clear" w:color="auto" w:fill="auto"/>
            <w:vAlign w:val="center"/>
          </w:tcPr>
          <w:p w14:paraId="2A727C7F">
            <w:pPr>
              <w:pStyle w:val="18"/>
              <w:keepNext w:val="0"/>
              <w:keepLines w:val="0"/>
              <w:pageBreakBefore w:val="0"/>
              <w:kinsoku/>
              <w:wordWrap w:val="0"/>
              <w:overflowPunct/>
              <w:topLinePunct w:val="0"/>
              <w:bidi w:val="0"/>
              <w:spacing w:before="33" w:line="235" w:lineRule="auto"/>
              <w:ind w:left="76" w:leftChars="0" w:right="23" w:rightChars="0" w:firstLine="428" w:firstLineChars="200"/>
              <w:jc w:val="both"/>
              <w:rPr>
                <w:rFonts w:hint="eastAsia" w:ascii="宋体" w:hAnsi="宋体" w:eastAsia="宋体" w:cs="宋体"/>
                <w:b w:val="0"/>
                <w:bCs w:val="0"/>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供应商</w:t>
            </w:r>
            <w:r>
              <w:rPr>
                <w:rFonts w:hint="default" w:ascii="宋体" w:hAnsi="宋体" w:eastAsia="宋体" w:cs="宋体"/>
                <w:snapToGrid w:val="0"/>
                <w:color w:val="000000"/>
                <w:spacing w:val="-13"/>
                <w:kern w:val="0"/>
                <w:sz w:val="24"/>
                <w:szCs w:val="24"/>
                <w:lang w:val="en-US" w:eastAsia="zh-CN" w:bidi="ar-SA"/>
              </w:rPr>
              <w:t>提供近三年以来同类项目业绩合同的，每份得</w:t>
            </w:r>
            <w:r>
              <w:rPr>
                <w:rFonts w:hint="eastAsia" w:ascii="宋体" w:hAnsi="宋体" w:eastAsia="宋体" w:cs="宋体"/>
                <w:snapToGrid w:val="0"/>
                <w:color w:val="000000"/>
                <w:spacing w:val="-13"/>
                <w:kern w:val="0"/>
                <w:sz w:val="24"/>
                <w:szCs w:val="24"/>
                <w:lang w:val="en-US" w:eastAsia="zh-CN" w:bidi="ar-SA"/>
              </w:rPr>
              <w:t>2</w:t>
            </w:r>
            <w:r>
              <w:rPr>
                <w:rFonts w:hint="default" w:ascii="宋体" w:hAnsi="宋体" w:eastAsia="宋体" w:cs="宋体"/>
                <w:snapToGrid w:val="0"/>
                <w:color w:val="000000"/>
                <w:spacing w:val="-13"/>
                <w:kern w:val="0"/>
                <w:sz w:val="24"/>
                <w:szCs w:val="24"/>
                <w:lang w:val="en-US" w:eastAsia="zh-CN" w:bidi="ar-SA"/>
              </w:rPr>
              <w:t>分，最多得</w:t>
            </w:r>
            <w:r>
              <w:rPr>
                <w:rFonts w:hint="eastAsia" w:ascii="宋体" w:hAnsi="宋体" w:eastAsia="宋体" w:cs="宋体"/>
                <w:snapToGrid w:val="0"/>
                <w:color w:val="000000"/>
                <w:spacing w:val="-13"/>
                <w:kern w:val="0"/>
                <w:sz w:val="24"/>
                <w:szCs w:val="24"/>
                <w:lang w:val="en-US" w:eastAsia="zh-CN" w:bidi="ar-SA"/>
              </w:rPr>
              <w:t>4</w:t>
            </w:r>
            <w:r>
              <w:rPr>
                <w:rFonts w:hint="default" w:ascii="宋体" w:hAnsi="宋体" w:eastAsia="宋体" w:cs="宋体"/>
                <w:snapToGrid w:val="0"/>
                <w:color w:val="000000"/>
                <w:spacing w:val="-13"/>
                <w:kern w:val="0"/>
                <w:sz w:val="24"/>
                <w:szCs w:val="24"/>
                <w:lang w:val="en-US" w:eastAsia="zh-CN" w:bidi="ar-SA"/>
              </w:rPr>
              <w:t>分；</w:t>
            </w:r>
            <w:r>
              <w:rPr>
                <w:rFonts w:hint="eastAsia" w:ascii="宋体" w:hAnsi="宋体" w:eastAsia="宋体" w:cs="宋体"/>
                <w:snapToGrid w:val="0"/>
                <w:color w:val="000000"/>
                <w:spacing w:val="-13"/>
                <w:kern w:val="0"/>
                <w:sz w:val="24"/>
                <w:szCs w:val="24"/>
                <w:lang w:val="en-US" w:eastAsia="zh-CN" w:bidi="ar-SA"/>
              </w:rPr>
              <w:t>（提供中标通知书、合同原件扫描件等相关证明材料）</w:t>
            </w:r>
          </w:p>
        </w:tc>
      </w:tr>
      <w:tr w14:paraId="1FB34A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06" w:type="dxa"/>
            <w:vMerge w:val="continue"/>
            <w:vAlign w:val="center"/>
          </w:tcPr>
          <w:p w14:paraId="453F614A">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kern w:val="0"/>
                <w:sz w:val="24"/>
                <w:szCs w:val="24"/>
                <w:lang w:val="en-US" w:eastAsia="zh-CN" w:bidi="ar-SA"/>
              </w:rPr>
            </w:pPr>
          </w:p>
        </w:tc>
        <w:tc>
          <w:tcPr>
            <w:tcW w:w="1680" w:type="dxa"/>
            <w:vMerge w:val="continue"/>
            <w:vAlign w:val="center"/>
          </w:tcPr>
          <w:p w14:paraId="1827FA35">
            <w:pPr>
              <w:keepNext w:val="0"/>
              <w:keepLines w:val="0"/>
              <w:pageBreakBefore w:val="0"/>
              <w:kinsoku/>
              <w:wordWrap w:val="0"/>
              <w:overflowPunct/>
              <w:topLinePunct w:val="0"/>
              <w:bidi w:val="0"/>
              <w:spacing w:before="157" w:line="220" w:lineRule="auto"/>
              <w:ind w:left="148" w:leftChars="0"/>
              <w:jc w:val="center"/>
              <w:rPr>
                <w:rFonts w:hint="eastAsia" w:ascii="宋体" w:hAnsi="宋体" w:eastAsia="宋体" w:cs="宋体"/>
                <w:snapToGrid w:val="0"/>
                <w:color w:val="000000"/>
                <w:kern w:val="0"/>
                <w:sz w:val="24"/>
                <w:szCs w:val="24"/>
                <w:lang w:val="en-US" w:eastAsia="zh-CN" w:bidi="ar-SA"/>
              </w:rPr>
            </w:pPr>
          </w:p>
        </w:tc>
        <w:tc>
          <w:tcPr>
            <w:tcW w:w="1031" w:type="dxa"/>
            <w:shd w:val="clear" w:color="auto" w:fill="auto"/>
            <w:vAlign w:val="center"/>
          </w:tcPr>
          <w:p w14:paraId="3505FCE9">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机房调研证明</w:t>
            </w:r>
          </w:p>
          <w:p w14:paraId="0A1FE63D">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zh-CN" w:bidi="ar-SA"/>
              </w:rPr>
              <w:t>（1分）</w:t>
            </w:r>
          </w:p>
        </w:tc>
        <w:tc>
          <w:tcPr>
            <w:tcW w:w="5215" w:type="dxa"/>
            <w:shd w:val="clear" w:color="auto" w:fill="auto"/>
            <w:vAlign w:val="center"/>
          </w:tcPr>
          <w:p w14:paraId="6A4A86BC">
            <w:pPr>
              <w:pStyle w:val="18"/>
              <w:keepNext w:val="0"/>
              <w:keepLines w:val="0"/>
              <w:pageBreakBefore w:val="0"/>
              <w:kinsoku/>
              <w:wordWrap w:val="0"/>
              <w:overflowPunct/>
              <w:topLinePunct w:val="0"/>
              <w:bidi w:val="0"/>
              <w:spacing w:before="33" w:line="235" w:lineRule="auto"/>
              <w:ind w:left="76" w:leftChars="0" w:right="23" w:rightChars="0"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供应商</w:t>
            </w:r>
            <w:r>
              <w:rPr>
                <w:rFonts w:hint="default" w:ascii="宋体" w:hAnsi="宋体" w:eastAsia="宋体" w:cs="宋体"/>
                <w:snapToGrid w:val="0"/>
                <w:color w:val="000000"/>
                <w:spacing w:val="-13"/>
                <w:kern w:val="0"/>
                <w:sz w:val="24"/>
                <w:szCs w:val="24"/>
                <w:lang w:val="en-US" w:eastAsia="zh-CN" w:bidi="ar-SA"/>
              </w:rPr>
              <w:t>提供南阳市公安局交通管理支队的机房调研证明，得1分。</w:t>
            </w:r>
            <w:r>
              <w:rPr>
                <w:rFonts w:hint="default" w:ascii="宋体" w:hAnsi="宋体" w:eastAsia="宋体" w:cs="宋体"/>
                <w:b w:val="0"/>
                <w:bCs w:val="0"/>
                <w:snapToGrid w:val="0"/>
                <w:color w:val="000000"/>
                <w:spacing w:val="-13"/>
                <w:kern w:val="0"/>
                <w:sz w:val="24"/>
                <w:szCs w:val="24"/>
                <w:lang w:val="en-US" w:eastAsia="zh-CN" w:bidi="ar-SA"/>
              </w:rPr>
              <w:t>没有不得分。</w:t>
            </w:r>
          </w:p>
        </w:tc>
      </w:tr>
      <w:tr w14:paraId="119968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06" w:type="dxa"/>
            <w:vMerge w:val="continue"/>
            <w:vAlign w:val="center"/>
          </w:tcPr>
          <w:p w14:paraId="48F732AE">
            <w:pPr>
              <w:pStyle w:val="18"/>
              <w:keepNext w:val="0"/>
              <w:keepLines w:val="0"/>
              <w:pageBreakBefore w:val="0"/>
              <w:kinsoku/>
              <w:wordWrap w:val="0"/>
              <w:overflowPunct/>
              <w:topLinePunct w:val="0"/>
              <w:bidi w:val="0"/>
              <w:jc w:val="center"/>
              <w:rPr>
                <w:rFonts w:hint="eastAsia" w:ascii="宋体" w:hAnsi="宋体" w:eastAsia="宋体" w:cs="宋体"/>
                <w:sz w:val="24"/>
                <w:szCs w:val="24"/>
                <w:lang w:val="en-US" w:eastAsia="zh-CN"/>
              </w:rPr>
            </w:pPr>
          </w:p>
        </w:tc>
        <w:tc>
          <w:tcPr>
            <w:tcW w:w="1680" w:type="dxa"/>
            <w:vMerge w:val="continue"/>
            <w:vAlign w:val="center"/>
          </w:tcPr>
          <w:p w14:paraId="4E640777">
            <w:pPr>
              <w:keepNext w:val="0"/>
              <w:keepLines w:val="0"/>
              <w:pageBreakBefore w:val="0"/>
              <w:kinsoku/>
              <w:wordWrap w:val="0"/>
              <w:overflowPunct/>
              <w:topLinePunct w:val="0"/>
              <w:bidi w:val="0"/>
              <w:spacing w:before="157" w:line="220" w:lineRule="auto"/>
              <w:ind w:left="148" w:leftChars="0"/>
              <w:jc w:val="center"/>
              <w:rPr>
                <w:rFonts w:hint="eastAsia" w:ascii="宋体" w:hAnsi="宋体" w:eastAsia="宋体" w:cs="宋体"/>
                <w:spacing w:val="-2"/>
                <w:sz w:val="24"/>
                <w:szCs w:val="24"/>
                <w:lang w:val="en-US" w:eastAsia="zh-CN"/>
              </w:rPr>
            </w:pPr>
          </w:p>
        </w:tc>
        <w:tc>
          <w:tcPr>
            <w:tcW w:w="1031" w:type="dxa"/>
            <w:shd w:val="clear" w:color="auto" w:fill="auto"/>
            <w:vAlign w:val="center"/>
          </w:tcPr>
          <w:p w14:paraId="1A64D438">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其他证明材料</w:t>
            </w:r>
          </w:p>
          <w:p w14:paraId="3C70AF6F">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zh-CN" w:bidi="ar-SA"/>
              </w:rPr>
              <w:t>（1分）</w:t>
            </w:r>
          </w:p>
        </w:tc>
        <w:tc>
          <w:tcPr>
            <w:tcW w:w="5215" w:type="dxa"/>
            <w:shd w:val="clear" w:color="auto" w:fill="auto"/>
            <w:vAlign w:val="top"/>
          </w:tcPr>
          <w:p w14:paraId="6D412CB4">
            <w:pPr>
              <w:pStyle w:val="18"/>
              <w:keepNext w:val="0"/>
              <w:keepLines w:val="0"/>
              <w:pageBreakBefore w:val="0"/>
              <w:kinsoku/>
              <w:wordWrap w:val="0"/>
              <w:overflowPunct/>
              <w:topLinePunct w:val="0"/>
              <w:bidi w:val="0"/>
              <w:spacing w:before="33" w:line="235" w:lineRule="auto"/>
              <w:ind w:right="23" w:rightChars="0"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供应商完整提交两套匹配佐证资料，一是清晰可辨、包含获证产品名称的中国信息安全测评中心《安全可靠测评结果公告》截图；二是对应公告内产品，开展运维、系统集成或软件开发服务的中标文件、项目实施合同原件扫描件。两项材料缺一不可，且公告产品名称需与合同服务标的保持一致；提供齐全无缺失得1分；材料缺失、信息不匹配、文件模糊无法核验、资料伪造、过期失效的，不得分。</w:t>
            </w:r>
          </w:p>
        </w:tc>
      </w:tr>
      <w:tr w14:paraId="2E577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2" w:hRule="atLeast"/>
        </w:trPr>
        <w:tc>
          <w:tcPr>
            <w:tcW w:w="606" w:type="dxa"/>
            <w:vMerge w:val="continue"/>
            <w:vAlign w:val="center"/>
          </w:tcPr>
          <w:p w14:paraId="08D6A64A">
            <w:pPr>
              <w:pStyle w:val="18"/>
              <w:keepNext w:val="0"/>
              <w:keepLines w:val="0"/>
              <w:pageBreakBefore w:val="0"/>
              <w:kinsoku/>
              <w:wordWrap w:val="0"/>
              <w:overflowPunct/>
              <w:topLinePunct w:val="0"/>
              <w:bidi w:val="0"/>
              <w:jc w:val="center"/>
              <w:rPr>
                <w:rFonts w:hint="eastAsia" w:ascii="宋体" w:hAnsi="宋体" w:eastAsia="宋体" w:cs="宋体"/>
                <w:sz w:val="24"/>
                <w:szCs w:val="24"/>
                <w:lang w:val="en-US" w:eastAsia="zh-CN"/>
              </w:rPr>
            </w:pPr>
          </w:p>
        </w:tc>
        <w:tc>
          <w:tcPr>
            <w:tcW w:w="1680" w:type="dxa"/>
            <w:vMerge w:val="continue"/>
            <w:vAlign w:val="center"/>
          </w:tcPr>
          <w:p w14:paraId="241F14B1">
            <w:pPr>
              <w:keepNext w:val="0"/>
              <w:keepLines w:val="0"/>
              <w:pageBreakBefore w:val="0"/>
              <w:kinsoku/>
              <w:wordWrap w:val="0"/>
              <w:overflowPunct/>
              <w:topLinePunct w:val="0"/>
              <w:bidi w:val="0"/>
              <w:spacing w:before="157" w:line="220" w:lineRule="auto"/>
              <w:ind w:left="148" w:leftChars="0"/>
              <w:jc w:val="center"/>
              <w:rPr>
                <w:rFonts w:hint="eastAsia" w:ascii="宋体" w:hAnsi="宋体" w:eastAsia="宋体" w:cs="宋体"/>
                <w:spacing w:val="-2"/>
                <w:sz w:val="24"/>
                <w:szCs w:val="24"/>
                <w:lang w:val="en-US" w:eastAsia="zh-CN"/>
              </w:rPr>
            </w:pPr>
          </w:p>
        </w:tc>
        <w:tc>
          <w:tcPr>
            <w:tcW w:w="1031" w:type="dxa"/>
            <w:shd w:val="clear" w:color="auto" w:fill="auto"/>
            <w:vAlign w:val="center"/>
          </w:tcPr>
          <w:p w14:paraId="5AF4B5EB">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人员资质</w:t>
            </w:r>
          </w:p>
          <w:p w14:paraId="7AA2ECA3">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（4分）</w:t>
            </w:r>
          </w:p>
        </w:tc>
        <w:tc>
          <w:tcPr>
            <w:tcW w:w="5215" w:type="dxa"/>
            <w:shd w:val="clear" w:color="auto" w:fill="auto"/>
            <w:vAlign w:val="center"/>
          </w:tcPr>
          <w:p w14:paraId="564E6C74">
            <w:pPr>
              <w:pStyle w:val="18"/>
              <w:keepNext w:val="0"/>
              <w:keepLines w:val="0"/>
              <w:pageBreakBefore w:val="0"/>
              <w:kinsoku/>
              <w:wordWrap w:val="0"/>
              <w:overflowPunct/>
              <w:topLinePunct w:val="0"/>
              <w:bidi w:val="0"/>
              <w:spacing w:before="33" w:line="235" w:lineRule="auto"/>
              <w:ind w:left="76" w:leftChars="0" w:right="23" w:rightChars="0"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供应商</w:t>
            </w:r>
            <w:r>
              <w:rPr>
                <w:rFonts w:hint="eastAsia" w:ascii="宋体" w:hAnsi="宋体" w:eastAsia="宋体" w:cs="宋体"/>
                <w:snapToGrid w:val="0"/>
                <w:color w:val="000000"/>
                <w:spacing w:val="-13"/>
                <w:kern w:val="0"/>
                <w:sz w:val="24"/>
                <w:szCs w:val="24"/>
                <w:highlight w:val="none"/>
                <w:lang w:val="en-US" w:eastAsia="zh-CN" w:bidi="ar-SA"/>
              </w:rPr>
              <w:t>驻场人员中</w:t>
            </w:r>
            <w:r>
              <w:rPr>
                <w:rFonts w:hint="eastAsia" w:asciiTheme="minorEastAsia" w:hAnsiTheme="minorEastAsia" w:eastAsiaTheme="minorEastAsia" w:cstheme="minorEastAsia"/>
                <w:snapToGrid w:val="0"/>
                <w:color w:val="000000"/>
                <w:spacing w:val="-13"/>
                <w:kern w:val="0"/>
                <w:sz w:val="24"/>
                <w:szCs w:val="24"/>
                <w:lang w:val="en-US" w:eastAsia="zh-CN" w:bidi="ar-SA"/>
              </w:rPr>
              <w:t>除技术负责人外具备“计算机技术与软件专业技术资格”中级以上技术水平资质人员证书的，每增加一人得2分，最高得4分，没有不得分。</w:t>
            </w:r>
          </w:p>
        </w:tc>
      </w:tr>
      <w:tr w14:paraId="5CA8E9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06" w:type="dxa"/>
            <w:vMerge w:val="continue"/>
            <w:vAlign w:val="center"/>
          </w:tcPr>
          <w:p w14:paraId="2E677529">
            <w:pPr>
              <w:pStyle w:val="18"/>
              <w:keepNext w:val="0"/>
              <w:keepLines w:val="0"/>
              <w:pageBreakBefore w:val="0"/>
              <w:kinsoku/>
              <w:wordWrap w:val="0"/>
              <w:overflowPunct/>
              <w:topLinePunct w:val="0"/>
              <w:bidi w:val="0"/>
              <w:jc w:val="center"/>
              <w:rPr>
                <w:rFonts w:hint="eastAsia" w:ascii="宋体" w:hAnsi="宋体" w:eastAsia="宋体" w:cs="宋体"/>
                <w:sz w:val="24"/>
                <w:szCs w:val="24"/>
                <w:lang w:val="en-US" w:eastAsia="zh-CN"/>
              </w:rPr>
            </w:pPr>
          </w:p>
        </w:tc>
        <w:tc>
          <w:tcPr>
            <w:tcW w:w="1680" w:type="dxa"/>
            <w:vMerge w:val="continue"/>
            <w:vAlign w:val="center"/>
          </w:tcPr>
          <w:p w14:paraId="567CCD87">
            <w:pPr>
              <w:keepNext w:val="0"/>
              <w:keepLines w:val="0"/>
              <w:pageBreakBefore w:val="0"/>
              <w:kinsoku/>
              <w:wordWrap w:val="0"/>
              <w:overflowPunct/>
              <w:topLinePunct w:val="0"/>
              <w:bidi w:val="0"/>
              <w:spacing w:before="157" w:line="220" w:lineRule="auto"/>
              <w:ind w:left="148" w:leftChars="0"/>
              <w:jc w:val="center"/>
              <w:rPr>
                <w:rFonts w:hint="eastAsia" w:ascii="宋体" w:hAnsi="宋体" w:eastAsia="宋体" w:cs="宋体"/>
                <w:spacing w:val="-2"/>
                <w:sz w:val="24"/>
                <w:szCs w:val="24"/>
                <w:lang w:val="en-US" w:eastAsia="zh-CN"/>
              </w:rPr>
            </w:pPr>
          </w:p>
        </w:tc>
        <w:tc>
          <w:tcPr>
            <w:tcW w:w="1031" w:type="dxa"/>
            <w:shd w:val="clear" w:color="auto" w:fill="auto"/>
            <w:vAlign w:val="center"/>
          </w:tcPr>
          <w:p w14:paraId="159D4784">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信用评价</w:t>
            </w:r>
          </w:p>
          <w:p w14:paraId="20549D9D">
            <w:pPr>
              <w:pStyle w:val="18"/>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（2分）</w:t>
            </w:r>
          </w:p>
        </w:tc>
        <w:tc>
          <w:tcPr>
            <w:tcW w:w="5215" w:type="dxa"/>
            <w:shd w:val="clear" w:color="auto" w:fill="auto"/>
            <w:vAlign w:val="center"/>
          </w:tcPr>
          <w:p w14:paraId="022A5514">
            <w:pPr>
              <w:pStyle w:val="18"/>
              <w:keepNext w:val="0"/>
              <w:keepLines w:val="0"/>
              <w:pageBreakBefore w:val="0"/>
              <w:kinsoku/>
              <w:wordWrap w:val="0"/>
              <w:overflowPunct/>
              <w:topLinePunct w:val="0"/>
              <w:bidi w:val="0"/>
              <w:spacing w:before="33" w:line="235" w:lineRule="auto"/>
              <w:ind w:left="76" w:leftChars="0" w:right="23" w:rightChars="0" w:firstLine="428" w:firstLineChars="200"/>
              <w:jc w:val="both"/>
              <w:rPr>
                <w:rFonts w:hint="eastAsia" w:ascii="宋体" w:hAnsi="宋体" w:eastAsia="宋体" w:cs="宋体"/>
                <w:b w:val="0"/>
                <w:bCs w:val="0"/>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highlight w:val="none"/>
                <w:lang w:val="en-US" w:eastAsia="zh-CN" w:bidi="ar-SA"/>
              </w:rPr>
              <w:t>供应商</w:t>
            </w:r>
            <w:r>
              <w:rPr>
                <w:rFonts w:hint="default" w:ascii="宋体" w:hAnsi="宋体" w:eastAsia="宋体" w:cs="宋体"/>
                <w:snapToGrid w:val="0"/>
                <w:color w:val="000000"/>
                <w:spacing w:val="-13"/>
                <w:kern w:val="0"/>
                <w:sz w:val="24"/>
                <w:szCs w:val="24"/>
                <w:highlight w:val="none"/>
                <w:lang w:val="en-US" w:eastAsia="zh-CN" w:bidi="ar-SA"/>
              </w:rPr>
              <w:t>在参加南阳市本级的政府采购活动时，享受政策支持，在采用综合评分法的项目中，诚信评价为满分的得2分，90-99分(不含90分)之间得1分，90分以下的不得分;投标人可在公告发布之日到投标截止期间，登录“南阳市政府采购信用管理系统”在线打印《南阳市政府采购供应商信用记录表》，作为投标(响应)文件的组成部分提交，评审时作为享受政策支持的依据。</w:t>
            </w:r>
          </w:p>
        </w:tc>
      </w:tr>
      <w:tr w14:paraId="24E3A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286" w:type="dxa"/>
            <w:gridSpan w:val="2"/>
            <w:vAlign w:val="top"/>
          </w:tcPr>
          <w:p w14:paraId="27AC93C5">
            <w:pPr>
              <w:keepNext w:val="0"/>
              <w:keepLines w:val="0"/>
              <w:pageBreakBefore w:val="0"/>
              <w:kinsoku/>
              <w:wordWrap w:val="0"/>
              <w:overflowPunct/>
              <w:topLinePunct w:val="0"/>
              <w:bidi w:val="0"/>
              <w:spacing w:before="42" w:line="206" w:lineRule="auto"/>
              <w:ind w:left="93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合计</w:t>
            </w:r>
          </w:p>
        </w:tc>
        <w:tc>
          <w:tcPr>
            <w:tcW w:w="1031" w:type="dxa"/>
            <w:vAlign w:val="top"/>
          </w:tcPr>
          <w:p w14:paraId="24E062BD">
            <w:pPr>
              <w:pStyle w:val="18"/>
              <w:keepNext w:val="0"/>
              <w:keepLines w:val="0"/>
              <w:pageBreakBefore w:val="0"/>
              <w:kinsoku/>
              <w:wordWrap w:val="0"/>
              <w:overflowPunct/>
              <w:topLinePunct w:val="0"/>
              <w:bidi w:val="0"/>
              <w:spacing w:before="59" w:line="202" w:lineRule="auto"/>
              <w:ind w:left="26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100</w:t>
            </w:r>
          </w:p>
        </w:tc>
        <w:tc>
          <w:tcPr>
            <w:tcW w:w="5215" w:type="dxa"/>
            <w:vAlign w:val="top"/>
          </w:tcPr>
          <w:p w14:paraId="085D491C">
            <w:pPr>
              <w:pStyle w:val="18"/>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419A16A8">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p>
    <w:p w14:paraId="616C23E1">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11.</w:t>
      </w:r>
      <w:r>
        <w:rPr>
          <w:rFonts w:hint="eastAsia" w:ascii="宋体" w:hAnsi="宋体" w:eastAsia="宋体" w:cs="宋体"/>
          <w:snapToGrid w:val="0"/>
          <w:color w:val="000000"/>
          <w:kern w:val="0"/>
          <w:sz w:val="24"/>
          <w:szCs w:val="24"/>
          <w:lang w:val="en-US" w:eastAsia="en-US" w:bidi="ar-SA"/>
        </w:rPr>
        <w:t>有下列情况之一的，</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宣布本项目终止：</w:t>
      </w:r>
    </w:p>
    <w:p w14:paraId="4D2EB5C5">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11.1 </w:t>
      </w:r>
      <w:r>
        <w:rPr>
          <w:rFonts w:hint="eastAsia" w:ascii="宋体" w:hAnsi="宋体" w:eastAsia="宋体" w:cs="宋体"/>
          <w:snapToGrid w:val="0"/>
          <w:color w:val="000000"/>
          <w:kern w:val="0"/>
          <w:sz w:val="24"/>
          <w:szCs w:val="24"/>
          <w:lang w:val="en-US" w:eastAsia="en-US" w:bidi="ar-SA"/>
        </w:rPr>
        <w:t>因情况变化，不再符合规定的竞争性磋商采购方式适用情形的；</w:t>
      </w:r>
    </w:p>
    <w:p w14:paraId="43DD4FB5">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11.2 </w:t>
      </w:r>
      <w:r>
        <w:rPr>
          <w:rFonts w:hint="eastAsia" w:ascii="宋体" w:hAnsi="宋体" w:eastAsia="宋体" w:cs="宋体"/>
          <w:snapToGrid w:val="0"/>
          <w:color w:val="000000"/>
          <w:kern w:val="0"/>
          <w:sz w:val="24"/>
          <w:szCs w:val="24"/>
          <w:lang w:val="en-US" w:eastAsia="en-US" w:bidi="ar-SA"/>
        </w:rPr>
        <w:t>出现影响采购公正的违法、违规行为的；</w:t>
      </w:r>
    </w:p>
    <w:p w14:paraId="77992702">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11.3 </w:t>
      </w:r>
      <w:r>
        <w:rPr>
          <w:rFonts w:hint="eastAsia" w:ascii="宋体" w:hAnsi="宋体" w:eastAsia="宋体" w:cs="宋体"/>
          <w:snapToGrid w:val="0"/>
          <w:color w:val="000000"/>
          <w:kern w:val="0"/>
          <w:sz w:val="24"/>
          <w:szCs w:val="24"/>
          <w:lang w:val="en-US" w:eastAsia="en-US" w:bidi="ar-SA"/>
        </w:rPr>
        <w:t>法律法规规定的其他情况。</w:t>
      </w:r>
    </w:p>
    <w:p w14:paraId="5ED1CCE9">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仿宋_GB2312" w:eastAsia="仿宋_GB2312" w:cs="仿宋_GB2312"/>
          <w:b/>
          <w:sz w:val="28"/>
          <w:szCs w:val="28"/>
          <w:lang w:val="en-US" w:eastAsia="zh-CN"/>
        </w:rPr>
      </w:pPr>
      <w:r>
        <w:rPr>
          <w:rFonts w:hint="eastAsia" w:ascii="宋体" w:hAnsi="宋体" w:eastAsia="宋体" w:cs="宋体"/>
          <w:snapToGrid w:val="0"/>
          <w:color w:val="000000"/>
          <w:kern w:val="0"/>
          <w:sz w:val="24"/>
          <w:szCs w:val="24"/>
          <w:lang w:val="en-US" w:eastAsia="zh-CN" w:bidi="ar-SA"/>
        </w:rPr>
        <w:t>12.</w:t>
      </w:r>
      <w:r>
        <w:rPr>
          <w:rFonts w:hint="eastAsia" w:ascii="宋体" w:hAnsi="宋体" w:eastAsia="宋体" w:cs="宋体"/>
          <w:snapToGrid w:val="0"/>
          <w:color w:val="000000"/>
          <w:kern w:val="0"/>
          <w:sz w:val="24"/>
          <w:szCs w:val="24"/>
          <w:lang w:val="en-US" w:eastAsia="en-US" w:bidi="ar-SA"/>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lang w:eastAsia="zh-CN"/>
        </w:rPr>
        <w:t>﹝20</w:t>
      </w:r>
      <w:r>
        <w:rPr>
          <w:rFonts w:hint="eastAsia" w:asciiTheme="minorEastAsia" w:hAnsiTheme="minorEastAsia" w:eastAsiaTheme="minorEastAsia" w:cstheme="minorEastAsia"/>
          <w:spacing w:val="-13"/>
          <w:sz w:val="24"/>
          <w:szCs w:val="24"/>
          <w:lang w:val="en-US" w:eastAsia="zh-CN"/>
        </w:rPr>
        <w:t>15</w:t>
      </w:r>
      <w:r>
        <w:rPr>
          <w:rFonts w:hint="eastAsia" w:asciiTheme="minorEastAsia" w:hAnsiTheme="minorEastAsia" w:eastAsiaTheme="minorEastAsia" w:cstheme="minorEastAsia"/>
          <w:spacing w:val="-13"/>
          <w:sz w:val="24"/>
          <w:szCs w:val="24"/>
          <w:lang w:eastAsia="zh-CN"/>
        </w:rPr>
        <w:t>﹞</w:t>
      </w:r>
      <w:r>
        <w:rPr>
          <w:rFonts w:hint="eastAsia" w:ascii="宋体" w:hAnsi="宋体" w:eastAsia="宋体" w:cs="宋体"/>
          <w:snapToGrid w:val="0"/>
          <w:color w:val="000000"/>
          <w:kern w:val="0"/>
          <w:sz w:val="24"/>
          <w:szCs w:val="24"/>
          <w:lang w:val="en-US" w:eastAsia="en-US" w:bidi="ar-SA"/>
        </w:rPr>
        <w:t>124号）等规定执行。</w:t>
      </w:r>
    </w:p>
    <w:p w14:paraId="351C2E2F">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zh-CN" w:bidi="ar-SA"/>
        </w:rPr>
      </w:pPr>
    </w:p>
    <w:p w14:paraId="04B3A83F">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六、</w:t>
      </w:r>
      <w:r>
        <w:rPr>
          <w:rFonts w:hint="eastAsia" w:ascii="宋体" w:hAnsi="宋体" w:eastAsia="宋体" w:cs="宋体"/>
          <w:b/>
          <w:bCs/>
          <w:snapToGrid w:val="0"/>
          <w:color w:val="000000"/>
          <w:kern w:val="0"/>
          <w:sz w:val="24"/>
          <w:szCs w:val="24"/>
          <w:lang w:val="en-US" w:eastAsia="en-US" w:bidi="ar-SA"/>
        </w:rPr>
        <w:t>成交</w:t>
      </w:r>
      <w:r>
        <w:rPr>
          <w:rFonts w:hint="eastAsia" w:ascii="宋体" w:hAnsi="宋体" w:eastAsia="宋体" w:cs="宋体"/>
          <w:b/>
          <w:bCs/>
          <w:snapToGrid w:val="0"/>
          <w:color w:val="000000"/>
          <w:kern w:val="0"/>
          <w:sz w:val="24"/>
          <w:szCs w:val="24"/>
          <w:lang w:val="en-US" w:eastAsia="zh-CN" w:bidi="ar-SA"/>
        </w:rPr>
        <w:t>通知及</w:t>
      </w:r>
      <w:r>
        <w:rPr>
          <w:rFonts w:hint="eastAsia" w:ascii="宋体" w:hAnsi="宋体" w:eastAsia="宋体" w:cs="宋体"/>
          <w:b/>
          <w:bCs/>
          <w:snapToGrid w:val="0"/>
          <w:color w:val="000000"/>
          <w:kern w:val="0"/>
          <w:sz w:val="24"/>
          <w:szCs w:val="24"/>
          <w:lang w:val="en-US" w:eastAsia="en-US" w:bidi="ar-SA"/>
        </w:rPr>
        <w:t>签订合同</w:t>
      </w:r>
    </w:p>
    <w:p w14:paraId="507D10C6">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成交结果公布</w:t>
      </w:r>
    </w:p>
    <w:p w14:paraId="6C818155">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 </w:t>
      </w:r>
      <w:r>
        <w:rPr>
          <w:rFonts w:hint="eastAsia" w:ascii="宋体" w:hAnsi="宋体" w:eastAsia="宋体" w:cs="宋体"/>
          <w:snapToGrid w:val="0"/>
          <w:color w:val="000000"/>
          <w:kern w:val="0"/>
          <w:sz w:val="24"/>
          <w:szCs w:val="24"/>
          <w:lang w:val="en-US" w:eastAsia="en-US" w:bidi="ar-SA"/>
        </w:rPr>
        <w:t>成交供应商确定后，</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将在“河南省政府采购网”和“</w:t>
      </w:r>
      <w:r>
        <w:rPr>
          <w:rFonts w:hint="eastAsia" w:ascii="宋体" w:hAnsi="宋体" w:eastAsia="宋体" w:cs="宋体"/>
          <w:snapToGrid w:val="0"/>
          <w:color w:val="000000"/>
          <w:kern w:val="0"/>
          <w:sz w:val="24"/>
          <w:szCs w:val="24"/>
          <w:lang w:val="en-US" w:eastAsia="zh-CN" w:bidi="ar-SA"/>
        </w:rPr>
        <w:t>全国公共资源交易平台（河南省·南阳市）</w:t>
      </w:r>
      <w:r>
        <w:rPr>
          <w:rFonts w:hint="eastAsia" w:ascii="宋体" w:hAnsi="宋体" w:eastAsia="宋体" w:cs="宋体"/>
          <w:snapToGrid w:val="0"/>
          <w:color w:val="000000"/>
          <w:kern w:val="0"/>
          <w:sz w:val="24"/>
          <w:szCs w:val="24"/>
          <w:lang w:val="en-US" w:eastAsia="en-US" w:bidi="ar-SA"/>
        </w:rPr>
        <w:t>”上发布成交公告。</w:t>
      </w:r>
    </w:p>
    <w:p w14:paraId="40050F37">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1.2 </w:t>
      </w:r>
      <w:r>
        <w:rPr>
          <w:rFonts w:hint="eastAsia" w:ascii="宋体" w:hAnsi="宋体" w:eastAsia="宋体" w:cs="宋体"/>
          <w:snapToGrid w:val="0"/>
          <w:color w:val="000000"/>
          <w:kern w:val="0"/>
          <w:sz w:val="24"/>
          <w:szCs w:val="24"/>
          <w:lang w:val="en-US" w:eastAsia="en-US" w:bidi="ar-SA"/>
        </w:rPr>
        <w:t>如项目终止，成交结果公告以“河南省政府采购网”发布的为准。</w:t>
      </w:r>
    </w:p>
    <w:p w14:paraId="5DDCED47">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发出成交通知书</w:t>
      </w:r>
    </w:p>
    <w:p w14:paraId="0134FB13">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2.1 </w:t>
      </w:r>
      <w:r>
        <w:rPr>
          <w:rFonts w:hint="eastAsia" w:ascii="宋体" w:hAnsi="宋体" w:eastAsia="宋体" w:cs="宋体"/>
          <w:snapToGrid w:val="0"/>
          <w:color w:val="000000"/>
          <w:kern w:val="0"/>
          <w:sz w:val="24"/>
          <w:szCs w:val="24"/>
          <w:lang w:val="en-US" w:eastAsia="en-US" w:bidi="ar-SA"/>
        </w:rPr>
        <w:t>根据成交结果，</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通过“南阳市公共资源交易中心</w:t>
      </w:r>
      <w:r>
        <w:rPr>
          <w:rFonts w:hint="eastAsia" w:ascii="宋体" w:hAnsi="宋体" w:eastAsia="宋体" w:cs="宋体"/>
          <w:snapToGrid w:val="0"/>
          <w:color w:val="000000"/>
          <w:kern w:val="0"/>
          <w:sz w:val="24"/>
          <w:szCs w:val="24"/>
          <w:lang w:val="en-US" w:eastAsia="zh-CN" w:bidi="ar-SA"/>
        </w:rPr>
        <w:t>公共服务平台</w:t>
      </w:r>
      <w:r>
        <w:rPr>
          <w:rFonts w:hint="eastAsia" w:ascii="宋体" w:hAnsi="宋体" w:eastAsia="宋体" w:cs="宋体"/>
          <w:snapToGrid w:val="0"/>
          <w:color w:val="000000"/>
          <w:kern w:val="0"/>
          <w:sz w:val="24"/>
          <w:szCs w:val="24"/>
          <w:lang w:val="en-US" w:eastAsia="en-US" w:bidi="ar-SA"/>
        </w:rPr>
        <w:t>”向成交供应商发出电子成交通知书，成交供应商可登陆</w:t>
      </w:r>
      <w:r>
        <w:rPr>
          <w:rFonts w:hint="eastAsia" w:ascii="宋体" w:hAnsi="宋体" w:eastAsia="宋体" w:cs="宋体"/>
          <w:snapToGrid w:val="0"/>
          <w:color w:val="000000"/>
          <w:kern w:val="0"/>
          <w:sz w:val="24"/>
          <w:szCs w:val="24"/>
          <w:lang w:val="en-US" w:eastAsia="zh-CN" w:bidi="ar-SA"/>
        </w:rPr>
        <w:t>南阳市公共资源交易平台会员系统</w:t>
      </w:r>
      <w:r>
        <w:rPr>
          <w:rFonts w:hint="eastAsia" w:ascii="宋体" w:hAnsi="宋体" w:eastAsia="宋体" w:cs="宋体"/>
          <w:snapToGrid w:val="0"/>
          <w:color w:val="000000"/>
          <w:kern w:val="0"/>
          <w:sz w:val="24"/>
          <w:szCs w:val="24"/>
          <w:lang w:val="en-US" w:eastAsia="en-US" w:bidi="ar-SA"/>
        </w:rPr>
        <w:t>，自行打印加盖电子签章的成交通知书。</w:t>
      </w:r>
    </w:p>
    <w:p w14:paraId="3044D94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2.2 </w:t>
      </w:r>
      <w:r>
        <w:rPr>
          <w:rFonts w:hint="eastAsia" w:ascii="宋体" w:hAnsi="宋体" w:eastAsia="宋体" w:cs="宋体"/>
          <w:snapToGrid w:val="0"/>
          <w:color w:val="000000"/>
          <w:kern w:val="0"/>
          <w:sz w:val="24"/>
          <w:szCs w:val="24"/>
          <w:lang w:val="en-US" w:eastAsia="en-US" w:bidi="ar-SA"/>
        </w:rPr>
        <w:t>《成交通知书》是签订政府采购合同的重要依据，对采购人与成交供应商具有法律效力。</w:t>
      </w:r>
    </w:p>
    <w:p w14:paraId="3087B31C">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签订合同</w:t>
      </w:r>
    </w:p>
    <w:p w14:paraId="04625BB0">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3.1 </w:t>
      </w:r>
      <w:r>
        <w:rPr>
          <w:rFonts w:hint="eastAsia" w:ascii="宋体" w:hAnsi="宋体" w:eastAsia="宋体" w:cs="宋体"/>
          <w:snapToGrid w:val="0"/>
          <w:color w:val="000000"/>
          <w:kern w:val="0"/>
          <w:sz w:val="24"/>
          <w:szCs w:val="24"/>
          <w:lang w:val="en-US" w:eastAsia="en-US" w:bidi="ar-SA"/>
        </w:rPr>
        <w:t>成交供应商和采购人应在《成交通知书》发出</w:t>
      </w:r>
      <w:r>
        <w:rPr>
          <w:rFonts w:hint="eastAsia" w:ascii="宋体" w:hAnsi="宋体" w:eastAsia="宋体" w:cs="宋体"/>
          <w:snapToGrid w:val="0"/>
          <w:color w:val="000000"/>
          <w:kern w:val="0"/>
          <w:sz w:val="24"/>
          <w:szCs w:val="24"/>
          <w:lang w:val="en-US" w:eastAsia="zh-CN" w:bidi="ar-SA"/>
        </w:rPr>
        <w:t>后及时</w:t>
      </w:r>
      <w:r>
        <w:rPr>
          <w:rFonts w:hint="eastAsia" w:ascii="宋体" w:hAnsi="宋体" w:eastAsia="宋体" w:cs="宋体"/>
          <w:snapToGrid w:val="0"/>
          <w:color w:val="000000"/>
          <w:kern w:val="0"/>
          <w:sz w:val="24"/>
          <w:szCs w:val="24"/>
          <w:lang w:val="en-US" w:eastAsia="en-US" w:bidi="ar-SA"/>
        </w:rPr>
        <w:t>签订政府采购合同，逾期无故不签订的，按《政府采购竞争性磋商采购方式管理暂行办法》及有关规定处理。</w:t>
      </w:r>
    </w:p>
    <w:p w14:paraId="1CF229F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3.2 </w:t>
      </w:r>
      <w:r>
        <w:rPr>
          <w:rFonts w:hint="eastAsia" w:ascii="宋体" w:hAnsi="宋体" w:eastAsia="宋体" w:cs="宋体"/>
          <w:snapToGrid w:val="0"/>
          <w:color w:val="000000"/>
          <w:kern w:val="0"/>
          <w:sz w:val="24"/>
          <w:szCs w:val="24"/>
          <w:lang w:val="en-US" w:eastAsia="en-US" w:bidi="ar-SA"/>
        </w:rPr>
        <w:t>竞争性磋商文件、响应文件、供应商在磋商过程中的承诺以及确认材料，均为合同的有效组成部分。</w:t>
      </w:r>
    </w:p>
    <w:p w14:paraId="2094D90E">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3.3 </w:t>
      </w:r>
      <w:r>
        <w:rPr>
          <w:rFonts w:hint="eastAsia" w:ascii="宋体" w:hAnsi="宋体" w:eastAsia="宋体" w:cs="宋体"/>
          <w:snapToGrid w:val="0"/>
          <w:color w:val="000000"/>
          <w:kern w:val="0"/>
          <w:sz w:val="24"/>
          <w:szCs w:val="24"/>
          <w:lang w:val="en-US" w:eastAsia="en-US" w:bidi="ar-SA"/>
        </w:rPr>
        <w:t>如果成交供应商不按其响应文件承诺和竞争性磋商文件要求签订政府采购合同，采购人将取消其成交资格。</w:t>
      </w:r>
    </w:p>
    <w:p w14:paraId="387574E0">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p>
    <w:p w14:paraId="49D404FD">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七、</w:t>
      </w:r>
      <w:r>
        <w:rPr>
          <w:rFonts w:hint="eastAsia" w:ascii="宋体" w:hAnsi="宋体" w:eastAsia="宋体" w:cs="宋体"/>
          <w:b/>
          <w:bCs/>
          <w:snapToGrid w:val="0"/>
          <w:color w:val="000000"/>
          <w:kern w:val="0"/>
          <w:sz w:val="24"/>
          <w:szCs w:val="24"/>
          <w:lang w:val="en-US" w:eastAsia="en-US" w:bidi="ar-SA"/>
        </w:rPr>
        <w:t>质疑与答复</w:t>
      </w:r>
    </w:p>
    <w:p w14:paraId="34422F66">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2A14589F">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14:paraId="1BAC6422">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14:paraId="39A0AD0A">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在线接收，请质疑人上传质疑函原件扫描件到南阳市公共资源交易系统并电话通知到项目负责人。</w:t>
      </w:r>
    </w:p>
    <w:p w14:paraId="379E863C">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14:paraId="5041D599">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14:paraId="69B233C2">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14:paraId="7FD0E4EC">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zh-CN" w:bidi="ar-SA"/>
        </w:rPr>
      </w:pPr>
    </w:p>
    <w:p w14:paraId="42164761">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八、</w:t>
      </w:r>
      <w:r>
        <w:rPr>
          <w:rFonts w:hint="eastAsia" w:ascii="宋体" w:hAnsi="宋体" w:eastAsia="宋体" w:cs="宋体"/>
          <w:b/>
          <w:bCs/>
          <w:snapToGrid w:val="0"/>
          <w:color w:val="000000"/>
          <w:kern w:val="0"/>
          <w:sz w:val="24"/>
          <w:szCs w:val="24"/>
          <w:lang w:val="en-US" w:eastAsia="en-US" w:bidi="ar-SA"/>
        </w:rPr>
        <w:t>注意事项</w:t>
      </w:r>
    </w:p>
    <w:p w14:paraId="02E952D3">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如对竞争性磋商文件有疑问，应于响应文件递交截止时间前1工作日向</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提出。</w:t>
      </w:r>
    </w:p>
    <w:p w14:paraId="3B5E559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供应商必须由法定代表人或授权代表参加磋商，随时接受磋商小组的询问、质疑，并按照磋商小组的要求答复。</w:t>
      </w:r>
    </w:p>
    <w:p w14:paraId="76406205">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供应商自行承担参加竞争性磋商的全部费用。</w:t>
      </w:r>
    </w:p>
    <w:p w14:paraId="4E18E67F">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宋体" w:hAnsi="宋体" w:eastAsia="宋体" w:cs="宋体"/>
          <w:snapToGrid w:val="0"/>
          <w:color w:val="000000"/>
          <w:kern w:val="0"/>
          <w:sz w:val="24"/>
          <w:szCs w:val="24"/>
          <w:lang w:val="en-US" w:eastAsia="zh-CN" w:bidi="ar-SA"/>
        </w:rPr>
        <w:t>4.</w:t>
      </w:r>
      <w:r>
        <w:rPr>
          <w:rFonts w:hint="eastAsia" w:ascii="宋体" w:hAnsi="宋体" w:eastAsia="宋体" w:cs="宋体"/>
          <w:snapToGrid w:val="0"/>
          <w:color w:val="000000"/>
          <w:kern w:val="0"/>
          <w:sz w:val="24"/>
          <w:szCs w:val="24"/>
          <w:lang w:val="en-US" w:eastAsia="en-US" w:bidi="ar-SA"/>
        </w:rPr>
        <w:t>本竞争性磋商文件最终解释权归</w:t>
      </w:r>
      <w:r>
        <w:rPr>
          <w:rFonts w:hint="eastAsia" w:ascii="宋体" w:hAnsi="宋体" w:eastAsia="宋体" w:cs="宋体"/>
          <w:snapToGrid w:val="0"/>
          <w:color w:val="000000"/>
          <w:kern w:val="0"/>
          <w:sz w:val="24"/>
          <w:szCs w:val="24"/>
          <w:lang w:val="en-US" w:eastAsia="zh-CN" w:bidi="ar-SA"/>
        </w:rPr>
        <w:t>采购代理机构</w:t>
      </w:r>
      <w:r>
        <w:rPr>
          <w:rFonts w:hint="eastAsia" w:ascii="宋体" w:hAnsi="宋体" w:eastAsia="宋体" w:cs="宋体"/>
          <w:snapToGrid w:val="0"/>
          <w:color w:val="000000"/>
          <w:kern w:val="0"/>
          <w:sz w:val="24"/>
          <w:szCs w:val="24"/>
          <w:lang w:val="en-US" w:eastAsia="en-US" w:bidi="ar-SA"/>
        </w:rPr>
        <w:t>。</w:t>
      </w:r>
    </w:p>
    <w:p w14:paraId="4B12D4A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14:paraId="309B322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14:paraId="42E40F8D">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5FCDCEC7">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08F66128">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51CEA023">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45C8D93">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0E3D4789">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7EB9C87C">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5072DE6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381BCE9A">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河南省政府采购合同融资政策告知函</w:t>
      </w:r>
    </w:p>
    <w:p w14:paraId="449E4B36">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14:paraId="3B91658E">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14:paraId="79F0E83E">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6E2B5644">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14:paraId="0C67A56F">
      <w:pPr>
        <w:keepNext w:val="0"/>
        <w:keepLines w:val="0"/>
        <w:pageBreakBefore w:val="0"/>
        <w:kinsoku/>
        <w:wordWrap w:val="0"/>
        <w:overflowPunct/>
        <w:topLinePunct w:val="0"/>
        <w:bidi w:val="0"/>
        <w:spacing w:after="0" w:line="360" w:lineRule="auto"/>
        <w:ind w:firstLine="430" w:firstLineChars="200"/>
        <w:jc w:val="both"/>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14:paraId="2207B067">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167511C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1AE04761">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4A7D2506">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5EACEE02">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712BE9F9">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4180C155">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63AF18F7">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68D9252C">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10164C56">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246B4900">
      <w:pPr>
        <w:keepNext w:val="0"/>
        <w:keepLines w:val="0"/>
        <w:pageBreakBefore w:val="0"/>
        <w:kinsoku/>
        <w:wordWrap w:val="0"/>
        <w:overflowPunct/>
        <w:topLinePunct w:val="0"/>
        <w:bidi w:val="0"/>
        <w:spacing w:after="0" w:line="360" w:lineRule="auto"/>
        <w:jc w:val="center"/>
        <w:rPr>
          <w:rFonts w:ascii="Arial"/>
          <w:sz w:val="21"/>
        </w:rPr>
      </w:pP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第五章</w:t>
      </w:r>
      <w:r>
        <w:rPr>
          <w:rFonts w:hint="eastAsia" w:ascii="宋体" w:hAnsi="宋体" w:eastAsia="宋体" w:cs="宋体"/>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合同草案条款</w:t>
      </w:r>
    </w:p>
    <w:p w14:paraId="67F83FEB">
      <w:pPr>
        <w:pStyle w:val="2"/>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说明：</w:t>
      </w:r>
    </w:p>
    <w:p w14:paraId="33E9C71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1.合同类型按照</w:t>
      </w:r>
      <w:r>
        <w:rPr>
          <w:rFonts w:hint="eastAsia" w:asciiTheme="minorEastAsia" w:hAnsiTheme="minorEastAsia" w:eastAsiaTheme="minorEastAsia" w:cstheme="minorEastAsia"/>
          <w:spacing w:val="-13"/>
          <w:sz w:val="24"/>
          <w:szCs w:val="24"/>
          <w:lang w:val="en-US" w:eastAsia="zh-CN"/>
        </w:rPr>
        <w:t>中华人民共和国</w:t>
      </w:r>
      <w:r>
        <w:rPr>
          <w:rFonts w:hint="eastAsia" w:asciiTheme="minorEastAsia" w:hAnsiTheme="minorEastAsia" w:eastAsiaTheme="minorEastAsia" w:cstheme="minorEastAsia"/>
          <w:spacing w:val="-13"/>
          <w:sz w:val="24"/>
          <w:szCs w:val="24"/>
        </w:rPr>
        <w:t>民法典规定的典型合同类别，结合采购标的的实际情况确定。合同文本应当符合</w:t>
      </w:r>
      <w:r>
        <w:rPr>
          <w:rFonts w:hint="eastAsia" w:asciiTheme="minorEastAsia" w:hAnsiTheme="minorEastAsia" w:eastAsiaTheme="minorEastAsia" w:cstheme="minorEastAsia"/>
          <w:spacing w:val="-13"/>
          <w:sz w:val="24"/>
          <w:szCs w:val="24"/>
          <w:lang w:val="en-US" w:eastAsia="zh-CN"/>
        </w:rPr>
        <w:t>中华人民共和国</w:t>
      </w:r>
      <w:r>
        <w:rPr>
          <w:rFonts w:hint="eastAsia" w:asciiTheme="minorEastAsia" w:hAnsiTheme="minorEastAsia" w:eastAsiaTheme="minorEastAsia" w:cstheme="minorEastAsia"/>
          <w:spacing w:val="-13"/>
          <w:sz w:val="24"/>
          <w:szCs w:val="24"/>
        </w:rPr>
        <w:t>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14:paraId="7FE0FC3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2</w:t>
      </w:r>
      <w:r>
        <w:rPr>
          <w:rFonts w:hint="eastAsia" w:asciiTheme="minorEastAsia" w:hAnsiTheme="minorEastAsia" w:eastAsiaTheme="minorEastAsia" w:cstheme="minorEastAsia"/>
          <w:spacing w:val="-13"/>
          <w:sz w:val="24"/>
          <w:szCs w:val="24"/>
        </w:rPr>
        <w:t>.合同条款中应规定，乙方完全遵守《中华人民共和国妇女权益保障法》中关于劳动和社会保障权益的有关要求。</w:t>
      </w:r>
    </w:p>
    <w:p w14:paraId="2E144D82">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3</w:t>
      </w:r>
      <w:r>
        <w:rPr>
          <w:rFonts w:hint="eastAsia" w:asciiTheme="minorEastAsia" w:hAnsiTheme="minorEastAsia" w:eastAsiaTheme="minorEastAsia" w:cstheme="minorEastAsia"/>
          <w:spacing w:val="-13"/>
          <w:sz w:val="24"/>
          <w:szCs w:val="24"/>
        </w:rPr>
        <w:t>.对于通过预留采购项目、预留专门采购包等措施签订的采购合同，应当明确标注本合同为中小企业预留合同。</w:t>
      </w:r>
    </w:p>
    <w:p w14:paraId="69C5B1E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highlight w:val="none"/>
        </w:rPr>
      </w:pPr>
      <w:r>
        <w:rPr>
          <w:rFonts w:hint="eastAsia" w:asciiTheme="minorEastAsia" w:hAnsiTheme="minorEastAsia" w:eastAsiaTheme="minorEastAsia" w:cstheme="minorEastAsia"/>
          <w:spacing w:val="-13"/>
          <w:sz w:val="24"/>
          <w:szCs w:val="24"/>
          <w:lang w:val="en-US" w:eastAsia="zh-CN"/>
        </w:rPr>
        <w:t>4</w:t>
      </w:r>
      <w:r>
        <w:rPr>
          <w:rFonts w:hint="eastAsia" w:asciiTheme="minorEastAsia" w:hAnsiTheme="minorEastAsia" w:eastAsiaTheme="minorEastAsia" w:cstheme="minorEastAsia"/>
          <w:spacing w:val="-13"/>
          <w:sz w:val="24"/>
          <w:szCs w:val="24"/>
        </w:rPr>
        <w:t>.政府采购合同（草案）4.政府采购合同设定</w:t>
      </w:r>
      <w:r>
        <w:rPr>
          <w:rFonts w:hint="eastAsia" w:asciiTheme="minorEastAsia" w:hAnsiTheme="minorEastAsia" w:eastAsiaTheme="minorEastAsia" w:cstheme="minorEastAsia"/>
          <w:spacing w:val="-13"/>
          <w:sz w:val="24"/>
          <w:szCs w:val="24"/>
          <w:lang w:val="en-US" w:eastAsia="zh-CN"/>
        </w:rPr>
        <w:t>预</w:t>
      </w:r>
      <w:r>
        <w:rPr>
          <w:rFonts w:hint="eastAsia" w:asciiTheme="minorEastAsia" w:hAnsiTheme="minorEastAsia" w:eastAsiaTheme="minorEastAsia" w:cstheme="minorEastAsia"/>
          <w:spacing w:val="-13"/>
          <w:sz w:val="24"/>
          <w:szCs w:val="24"/>
        </w:rPr>
        <w:t>付款支付方式的，</w:t>
      </w:r>
      <w:r>
        <w:rPr>
          <w:rFonts w:hint="eastAsia" w:asciiTheme="minorEastAsia" w:hAnsiTheme="minorEastAsia" w:eastAsiaTheme="minorEastAsia" w:cstheme="minorEastAsia"/>
          <w:spacing w:val="-13"/>
          <w:sz w:val="24"/>
          <w:szCs w:val="24"/>
          <w:highlight w:val="none"/>
        </w:rPr>
        <w:t>预付款支付比例原则上不低于合同金额的50%；对于中小企业，预付款支付比例原则上不低于合同金额的70%。</w:t>
      </w:r>
    </w:p>
    <w:p w14:paraId="3C2307E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5</w:t>
      </w:r>
      <w:r>
        <w:rPr>
          <w:rFonts w:hint="eastAsia" w:asciiTheme="minorEastAsia" w:hAnsiTheme="minorEastAsia" w:eastAsiaTheme="minorEastAsia" w:cstheme="minorEastAsia"/>
          <w:spacing w:val="-13"/>
          <w:sz w:val="24"/>
          <w:szCs w:val="24"/>
        </w:rPr>
        <w:t>.政府采购合同应当约定资金支付的方式、时间和条件，明确逾期支付资金的违约责任。对于满足合同约定支付条件的，采购人应当自收到发票后</w:t>
      </w:r>
      <w:r>
        <w:rPr>
          <w:rFonts w:hint="eastAsia" w:asciiTheme="minorEastAsia" w:hAnsiTheme="minorEastAsia" w:eastAsiaTheme="minorEastAsia" w:cstheme="minorEastAsia"/>
          <w:spacing w:val="-13"/>
          <w:sz w:val="24"/>
          <w:szCs w:val="24"/>
          <w:lang w:val="en-US" w:eastAsia="zh-CN"/>
        </w:rPr>
        <w:t>1</w:t>
      </w:r>
      <w:r>
        <w:rPr>
          <w:rFonts w:hint="eastAsia" w:asciiTheme="minorEastAsia" w:hAnsiTheme="minorEastAsia" w:eastAsiaTheme="minorEastAsia" w:cstheme="minorEastAsia"/>
          <w:spacing w:val="-13"/>
          <w:sz w:val="24"/>
          <w:szCs w:val="24"/>
        </w:rPr>
        <w:t>日内将资金支付到合同约定的供应商账户，不得以机构变动、人员更替、政策调整等为由延迟付款，不得将采购文件和合同中未规定的义务作为向供应商付款的条件。</w:t>
      </w:r>
    </w:p>
    <w:p w14:paraId="0B0D72D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6</w:t>
      </w:r>
      <w:r>
        <w:rPr>
          <w:rFonts w:hint="eastAsia" w:asciiTheme="minorEastAsia" w:hAnsiTheme="minorEastAsia" w:eastAsiaTheme="minorEastAsia" w:cstheme="minorEastAsia"/>
          <w:spacing w:val="-13"/>
          <w:sz w:val="24"/>
          <w:szCs w:val="24"/>
        </w:rPr>
        <w:t>.采购文件对商品包装和快递包装</w:t>
      </w:r>
      <w:r>
        <w:rPr>
          <w:rFonts w:hint="eastAsia" w:asciiTheme="minorEastAsia" w:hAnsiTheme="minorEastAsia" w:eastAsiaTheme="minorEastAsia" w:cstheme="minorEastAsia"/>
          <w:spacing w:val="-13"/>
          <w:sz w:val="24"/>
          <w:szCs w:val="24"/>
          <w:lang w:val="en-US" w:eastAsia="zh-CN"/>
        </w:rPr>
        <w:t>提</w:t>
      </w:r>
      <w:r>
        <w:rPr>
          <w:rFonts w:hint="eastAsia" w:asciiTheme="minorEastAsia" w:hAnsiTheme="minorEastAsia" w:eastAsiaTheme="minorEastAsia" w:cstheme="minorEastAsia"/>
          <w:spacing w:val="-13"/>
          <w:sz w:val="24"/>
          <w:szCs w:val="24"/>
        </w:rPr>
        <w:t>出具体要求的，政府采购合同应当载明对政府采购供应商</w:t>
      </w:r>
      <w:r>
        <w:rPr>
          <w:rFonts w:hint="eastAsia" w:asciiTheme="minorEastAsia" w:hAnsiTheme="minorEastAsia" w:eastAsiaTheme="minorEastAsia" w:cstheme="minorEastAsia"/>
          <w:spacing w:val="-13"/>
          <w:sz w:val="24"/>
          <w:szCs w:val="24"/>
          <w:lang w:val="en-US" w:eastAsia="zh-CN"/>
        </w:rPr>
        <w:t>提</w:t>
      </w:r>
      <w:r>
        <w:rPr>
          <w:rFonts w:hint="eastAsia" w:asciiTheme="minorEastAsia" w:hAnsiTheme="minorEastAsia" w:eastAsiaTheme="minorEastAsia" w:cstheme="minorEastAsia"/>
          <w:spacing w:val="-13"/>
          <w:sz w:val="24"/>
          <w:szCs w:val="24"/>
        </w:rPr>
        <w:t>供产品及相关快递服务的具体包装要求和履约验收相关条款，必要时要求中标、成交供应商在履约验收环节出具检测报告。</w:t>
      </w:r>
    </w:p>
    <w:p w14:paraId="09233A6C">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7</w:t>
      </w:r>
      <w:r>
        <w:rPr>
          <w:rFonts w:hint="eastAsia" w:asciiTheme="minorEastAsia" w:hAnsiTheme="minorEastAsia" w:eastAsiaTheme="minorEastAsia" w:cstheme="minorEastAsia"/>
          <w:spacing w:val="-13"/>
          <w:sz w:val="24"/>
          <w:szCs w:val="24"/>
        </w:rPr>
        <w:t>.当采购项目涉及数据中心相关设备、运维服务时，采购需求应当符合《绿色数据中</w:t>
      </w:r>
    </w:p>
    <w:p w14:paraId="25E55B61">
      <w:pPr>
        <w:pStyle w:val="2"/>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sz w:val="24"/>
          <w:szCs w:val="24"/>
        </w:rPr>
      </w:pPr>
      <w:r>
        <w:rPr>
          <w:rFonts w:hint="eastAsia" w:asciiTheme="minorEastAsia" w:hAnsiTheme="minorEastAsia" w:eastAsiaTheme="minorEastAsia" w:cstheme="minorEastAsia"/>
          <w:spacing w:val="-13"/>
          <w:sz w:val="24"/>
          <w:szCs w:val="24"/>
        </w:rPr>
        <w:t>心政府采购需求标准（试行）》（财库〔2023〕7号）的有关要求，并在合同中明确对相关指标的验收方式和违约责任。</w:t>
      </w:r>
    </w:p>
    <w:p w14:paraId="4B24B8EE">
      <w:pPr>
        <w:keepNext w:val="0"/>
        <w:keepLines w:val="0"/>
        <w:pageBreakBefore w:val="0"/>
        <w:kinsoku/>
        <w:wordWrap w:val="0"/>
        <w:overflowPunct/>
        <w:topLinePunct w:val="0"/>
        <w:bidi w:val="0"/>
        <w:spacing w:line="220" w:lineRule="auto"/>
        <w:jc w:val="both"/>
        <w:rPr>
          <w:sz w:val="24"/>
          <w:szCs w:val="24"/>
        </w:rPr>
        <w:sectPr>
          <w:headerReference r:id="rId5" w:type="default"/>
          <w:footerReference r:id="rId6" w:type="default"/>
          <w:pgSz w:w="11907" w:h="16840"/>
          <w:pgMar w:top="1440" w:right="1800" w:bottom="1440" w:left="1800" w:header="878" w:footer="886" w:gutter="0"/>
          <w:pgNumType w:fmt="decimal" w:start="1"/>
          <w:cols w:space="720" w:num="1"/>
        </w:sectPr>
      </w:pPr>
    </w:p>
    <w:p w14:paraId="2BB3FF91">
      <w:pPr>
        <w:widowControl w:val="0"/>
        <w:spacing w:after="0" w:line="640" w:lineRule="exact"/>
        <w:jc w:val="center"/>
        <w:rPr>
          <w:rFonts w:hint="eastAsia" w:ascii="宋体" w:hAnsi="Times New Roman" w:eastAsia="宋体" w:cs="宋体"/>
          <w:b/>
          <w:bCs/>
          <w:kern w:val="2"/>
          <w:sz w:val="52"/>
          <w:szCs w:val="52"/>
          <w:shd w:val="clear" w:color="auto" w:fill="FFFFFF"/>
        </w:rPr>
      </w:pPr>
      <w:bookmarkStart w:id="1" w:name="_Toc20313"/>
    </w:p>
    <w:p w14:paraId="4C7B3CCB">
      <w:pPr>
        <w:widowControl w:val="0"/>
        <w:spacing w:after="0" w:line="640" w:lineRule="exact"/>
        <w:jc w:val="center"/>
        <w:rPr>
          <w:rFonts w:hint="eastAsia" w:ascii="宋体" w:hAnsi="Times New Roman" w:eastAsia="宋体" w:cs="宋体"/>
          <w:b/>
          <w:bCs/>
          <w:kern w:val="2"/>
          <w:sz w:val="52"/>
          <w:szCs w:val="52"/>
          <w:shd w:val="clear" w:color="auto" w:fill="FFFFFF"/>
        </w:rPr>
      </w:pPr>
    </w:p>
    <w:p w14:paraId="1DAEC356">
      <w:pPr>
        <w:widowControl w:val="0"/>
        <w:spacing w:after="0" w:line="640" w:lineRule="exact"/>
        <w:jc w:val="center"/>
        <w:rPr>
          <w:rFonts w:hint="eastAsia" w:ascii="宋体" w:hAnsi="Times New Roman" w:eastAsia="宋体" w:cs="宋体"/>
          <w:b/>
          <w:bCs/>
          <w:kern w:val="2"/>
          <w:sz w:val="52"/>
          <w:szCs w:val="52"/>
          <w:shd w:val="clear" w:color="auto" w:fill="FFFFFF"/>
        </w:rPr>
      </w:pPr>
    </w:p>
    <w:p w14:paraId="296ED726">
      <w:pPr>
        <w:widowControl w:val="0"/>
        <w:spacing w:after="0" w:line="640" w:lineRule="exact"/>
        <w:jc w:val="center"/>
        <w:rPr>
          <w:rFonts w:hint="eastAsia" w:ascii="宋体" w:hAnsi="Times New Roman" w:eastAsia="宋体" w:cs="宋体"/>
          <w:b/>
          <w:bCs/>
          <w:kern w:val="2"/>
          <w:sz w:val="52"/>
          <w:szCs w:val="52"/>
          <w:shd w:val="clear" w:color="auto" w:fill="FFFFFF"/>
        </w:rPr>
      </w:pPr>
      <w:r>
        <w:rPr>
          <w:rFonts w:hint="eastAsia" w:ascii="宋体" w:hAnsi="Times New Roman" w:eastAsia="宋体" w:cs="宋体"/>
          <w:b/>
          <w:bCs/>
          <w:kern w:val="2"/>
          <w:sz w:val="52"/>
          <w:szCs w:val="52"/>
          <w:shd w:val="clear" w:color="auto" w:fill="FFFFFF"/>
        </w:rPr>
        <w:t>南</w:t>
      </w:r>
      <w:r>
        <w:rPr>
          <w:rFonts w:hint="eastAsia" w:ascii="宋体" w:hAnsi="Times New Roman" w:eastAsia="宋体" w:cs="宋体"/>
          <w:b/>
          <w:bCs/>
          <w:kern w:val="2"/>
          <w:sz w:val="52"/>
          <w:szCs w:val="52"/>
          <w:shd w:val="clear" w:color="auto" w:fill="FFFFFF"/>
          <w:lang w:val="en-US" w:eastAsia="zh-CN"/>
        </w:rPr>
        <w:t>阳市公安局交通管理支队机房维保服务项目</w:t>
      </w:r>
    </w:p>
    <w:p w14:paraId="1C40A479">
      <w:pPr>
        <w:pStyle w:val="10"/>
        <w:ind w:firstLine="230"/>
        <w:jc w:val="center"/>
        <w:rPr>
          <w:rFonts w:ascii="宋体" w:hAnsi="宋体" w:cs="宋体"/>
        </w:rPr>
      </w:pPr>
    </w:p>
    <w:p w14:paraId="76F27D5C">
      <w:pPr>
        <w:pStyle w:val="11"/>
        <w:ind w:left="0" w:leftChars="0" w:firstLine="0" w:firstLineChars="0"/>
        <w:jc w:val="center"/>
        <w:rPr>
          <w:rFonts w:hint="eastAsia" w:ascii="宋体" w:hAnsi="宋体" w:eastAsia="宋体" w:cs="宋体"/>
          <w:sz w:val="32"/>
          <w:szCs w:val="32"/>
        </w:rPr>
      </w:pPr>
    </w:p>
    <w:p w14:paraId="4FC03698">
      <w:pPr>
        <w:pStyle w:val="11"/>
        <w:ind w:left="0" w:leftChars="0" w:firstLine="0" w:firstLineChars="0"/>
        <w:jc w:val="center"/>
        <w:rPr>
          <w:rFonts w:hint="default" w:ascii="宋体" w:hAnsi="宋体" w:eastAsia="宋体" w:cs="宋体"/>
          <w:sz w:val="32"/>
          <w:szCs w:val="32"/>
          <w:lang w:val="en-US" w:eastAsia="zh-CN"/>
        </w:rPr>
      </w:pPr>
      <w:r>
        <w:rPr>
          <w:rFonts w:hint="eastAsia" w:ascii="宋体" w:hAnsi="宋体" w:eastAsia="宋体" w:cs="宋体"/>
          <w:sz w:val="32"/>
          <w:szCs w:val="32"/>
        </w:rPr>
        <w:t>采购编号：</w:t>
      </w:r>
    </w:p>
    <w:p w14:paraId="1BFB4EF2"/>
    <w:p w14:paraId="131058B5">
      <w:pPr>
        <w:pStyle w:val="10"/>
        <w:ind w:firstLine="230"/>
      </w:pPr>
    </w:p>
    <w:p w14:paraId="7527D378">
      <w:pPr>
        <w:tabs>
          <w:tab w:val="left" w:pos="360"/>
          <w:tab w:val="left" w:pos="540"/>
          <w:tab w:val="left" w:pos="3600"/>
          <w:tab w:val="left" w:pos="3780"/>
          <w:tab w:val="left" w:pos="8460"/>
          <w:tab w:val="left" w:pos="9180"/>
        </w:tabs>
        <w:adjustRightInd w:val="0"/>
        <w:snapToGrid w:val="0"/>
        <w:ind w:right="-21" w:rightChars="-10"/>
        <w:jc w:val="center"/>
        <w:rPr>
          <w:rFonts w:ascii="宋体" w:hAnsi="宋体" w:cs="宋体"/>
          <w:sz w:val="48"/>
          <w:szCs w:val="48"/>
        </w:rPr>
      </w:pPr>
      <w:r>
        <w:rPr>
          <w:rFonts w:hint="eastAsia" w:ascii="宋体" w:hAnsi="宋体" w:cs="宋体"/>
          <w:sz w:val="48"/>
          <w:szCs w:val="48"/>
        </w:rPr>
        <w:t>采</w:t>
      </w:r>
    </w:p>
    <w:p w14:paraId="13E899E2">
      <w:pPr>
        <w:tabs>
          <w:tab w:val="left" w:pos="360"/>
          <w:tab w:val="left" w:pos="540"/>
          <w:tab w:val="left" w:pos="3600"/>
          <w:tab w:val="left" w:pos="3780"/>
          <w:tab w:val="left" w:pos="8460"/>
          <w:tab w:val="left" w:pos="9180"/>
        </w:tabs>
        <w:adjustRightInd w:val="0"/>
        <w:snapToGrid w:val="0"/>
        <w:ind w:right="-21" w:rightChars="-10"/>
        <w:jc w:val="center"/>
        <w:rPr>
          <w:rFonts w:ascii="宋体" w:hAnsi="宋体" w:cs="宋体"/>
          <w:sz w:val="48"/>
          <w:szCs w:val="48"/>
        </w:rPr>
      </w:pPr>
      <w:r>
        <w:rPr>
          <w:rFonts w:hint="eastAsia" w:ascii="宋体" w:hAnsi="宋体" w:cs="宋体"/>
          <w:sz w:val="48"/>
          <w:szCs w:val="48"/>
        </w:rPr>
        <w:t>购</w:t>
      </w:r>
    </w:p>
    <w:p w14:paraId="5D642D2B">
      <w:pPr>
        <w:tabs>
          <w:tab w:val="left" w:pos="360"/>
          <w:tab w:val="left" w:pos="540"/>
          <w:tab w:val="left" w:pos="3600"/>
          <w:tab w:val="left" w:pos="3780"/>
          <w:tab w:val="left" w:pos="8460"/>
          <w:tab w:val="left" w:pos="9180"/>
        </w:tabs>
        <w:adjustRightInd w:val="0"/>
        <w:snapToGrid w:val="0"/>
        <w:ind w:right="-21" w:rightChars="-10"/>
        <w:jc w:val="center"/>
        <w:rPr>
          <w:rFonts w:ascii="宋体" w:hAnsi="宋体" w:cs="宋体"/>
          <w:sz w:val="48"/>
          <w:szCs w:val="48"/>
        </w:rPr>
      </w:pPr>
      <w:r>
        <w:rPr>
          <w:rFonts w:hint="eastAsia" w:ascii="宋体" w:hAnsi="宋体" w:cs="宋体"/>
          <w:sz w:val="48"/>
          <w:szCs w:val="48"/>
        </w:rPr>
        <w:t>合</w:t>
      </w:r>
    </w:p>
    <w:p w14:paraId="436E7305">
      <w:pPr>
        <w:tabs>
          <w:tab w:val="left" w:pos="360"/>
          <w:tab w:val="left" w:pos="540"/>
          <w:tab w:val="left" w:pos="3600"/>
          <w:tab w:val="left" w:pos="3780"/>
          <w:tab w:val="left" w:pos="8460"/>
          <w:tab w:val="left" w:pos="9180"/>
        </w:tabs>
        <w:adjustRightInd w:val="0"/>
        <w:snapToGrid w:val="0"/>
        <w:ind w:right="-21" w:rightChars="-10"/>
        <w:jc w:val="center"/>
        <w:rPr>
          <w:rFonts w:hint="eastAsia" w:ascii="宋体" w:hAnsi="宋体" w:cs="宋体"/>
          <w:sz w:val="48"/>
          <w:szCs w:val="48"/>
        </w:rPr>
      </w:pPr>
      <w:r>
        <w:rPr>
          <w:rFonts w:hint="eastAsia" w:ascii="宋体" w:hAnsi="宋体" w:cs="宋体"/>
          <w:sz w:val="48"/>
          <w:szCs w:val="48"/>
        </w:rPr>
        <w:t>同</w:t>
      </w:r>
    </w:p>
    <w:p w14:paraId="6725C20E">
      <w:pPr>
        <w:tabs>
          <w:tab w:val="left" w:pos="360"/>
          <w:tab w:val="left" w:pos="540"/>
          <w:tab w:val="left" w:pos="3600"/>
          <w:tab w:val="left" w:pos="3780"/>
          <w:tab w:val="left" w:pos="8460"/>
          <w:tab w:val="left" w:pos="9180"/>
        </w:tabs>
        <w:adjustRightInd w:val="0"/>
        <w:snapToGrid w:val="0"/>
        <w:ind w:right="-21" w:rightChars="-10"/>
        <w:jc w:val="center"/>
        <w:rPr>
          <w:rFonts w:hint="eastAsia" w:ascii="宋体" w:hAnsi="宋体" w:eastAsia="宋体" w:cs="宋体"/>
          <w:sz w:val="44"/>
          <w:szCs w:val="44"/>
          <w:lang w:eastAsia="zh-CN"/>
        </w:rPr>
      </w:pPr>
      <w:r>
        <w:rPr>
          <w:rFonts w:hint="eastAsia" w:ascii="宋体" w:hAnsi="宋体" w:cs="宋体"/>
          <w:sz w:val="48"/>
          <w:szCs w:val="48"/>
          <w:lang w:eastAsia="zh-CN"/>
        </w:rPr>
        <w:t>（</w:t>
      </w:r>
      <w:r>
        <w:rPr>
          <w:rFonts w:hint="eastAsia" w:ascii="宋体" w:hAnsi="宋体" w:cs="宋体"/>
          <w:sz w:val="48"/>
          <w:szCs w:val="48"/>
          <w:lang w:val="en-US" w:eastAsia="zh-CN"/>
        </w:rPr>
        <w:t>示例</w:t>
      </w:r>
      <w:r>
        <w:rPr>
          <w:rFonts w:hint="eastAsia" w:ascii="宋体" w:hAnsi="宋体" w:cs="宋体"/>
          <w:sz w:val="48"/>
          <w:szCs w:val="48"/>
          <w:lang w:eastAsia="zh-CN"/>
        </w:rPr>
        <w:t>）</w:t>
      </w:r>
    </w:p>
    <w:p w14:paraId="2E928175">
      <w:pPr>
        <w:pStyle w:val="10"/>
        <w:ind w:firstLine="230"/>
        <w:rPr>
          <w:rFonts w:ascii="宋体" w:hAnsi="宋体" w:cs="宋体"/>
        </w:rPr>
      </w:pPr>
    </w:p>
    <w:p w14:paraId="6E6761FF">
      <w:pPr>
        <w:pStyle w:val="10"/>
        <w:ind w:firstLine="300"/>
        <w:rPr>
          <w:rFonts w:ascii="宋体" w:hAnsi="宋体" w:cs="宋体"/>
          <w:sz w:val="28"/>
          <w:szCs w:val="28"/>
        </w:rPr>
      </w:pPr>
    </w:p>
    <w:p w14:paraId="0F275BCA">
      <w:pPr>
        <w:pStyle w:val="11"/>
        <w:ind w:left="440" w:firstLine="544"/>
        <w:rPr>
          <w:rFonts w:hAnsi="宋体" w:cs="宋体"/>
          <w:sz w:val="28"/>
          <w:szCs w:val="28"/>
        </w:rPr>
      </w:pPr>
    </w:p>
    <w:p w14:paraId="73F91A70">
      <w:pPr>
        <w:snapToGrid w:val="0"/>
        <w:spacing w:line="360" w:lineRule="auto"/>
        <w:ind w:firstLine="1260" w:firstLineChars="450"/>
        <w:rPr>
          <w:rFonts w:ascii="宋体" w:hAnsi="宋体" w:cs="宋体"/>
          <w:sz w:val="28"/>
          <w:szCs w:val="28"/>
          <w:u w:val="single"/>
        </w:rPr>
      </w:pPr>
      <w:r>
        <w:rPr>
          <w:rFonts w:hint="eastAsia" w:ascii="宋体" w:hAnsi="宋体" w:cs="宋体"/>
          <w:sz w:val="28"/>
          <w:szCs w:val="28"/>
        </w:rPr>
        <w:t>采购人（甲方）：</w:t>
      </w:r>
      <w:r>
        <w:rPr>
          <w:rFonts w:hint="eastAsia" w:ascii="宋体" w:hAnsi="宋体" w:cs="宋体"/>
          <w:sz w:val="28"/>
          <w:szCs w:val="28"/>
          <w:u w:val="single"/>
        </w:rPr>
        <w:t xml:space="preserve">   </w:t>
      </w:r>
      <w:r>
        <w:rPr>
          <w:rFonts w:hint="eastAsia" w:ascii="宋体" w:hAnsi="宋体" w:cs="宋体"/>
          <w:sz w:val="24"/>
          <w:u w:val="single"/>
        </w:rPr>
        <w:t xml:space="preserve">南阳市公安局交通管理支队   </w:t>
      </w:r>
      <w:r>
        <w:rPr>
          <w:rFonts w:hint="eastAsia" w:ascii="宋体" w:hAnsi="宋体" w:cs="宋体"/>
          <w:sz w:val="28"/>
          <w:szCs w:val="28"/>
          <w:u w:val="single"/>
        </w:rPr>
        <w:t xml:space="preserve"> </w:t>
      </w:r>
    </w:p>
    <w:p w14:paraId="36783486">
      <w:pPr>
        <w:snapToGrid w:val="0"/>
        <w:spacing w:line="360" w:lineRule="auto"/>
        <w:ind w:firstLine="1260" w:firstLineChars="450"/>
        <w:rPr>
          <w:rFonts w:ascii="宋体" w:hAnsi="宋体" w:cs="宋体"/>
          <w:sz w:val="28"/>
          <w:szCs w:val="28"/>
        </w:rPr>
      </w:pPr>
      <w:r>
        <w:rPr>
          <w:rFonts w:hint="eastAsia" w:ascii="宋体" w:hAnsi="宋体" w:cs="宋体"/>
          <w:sz w:val="28"/>
          <w:szCs w:val="28"/>
        </w:rPr>
        <w:t>供应商（乙方）：</w:t>
      </w:r>
      <w:r>
        <w:rPr>
          <w:rFonts w:hint="eastAsia" w:ascii="宋体" w:hAnsi="宋体" w:cs="宋体"/>
          <w:sz w:val="28"/>
          <w:szCs w:val="28"/>
          <w:u w:val="single"/>
        </w:rPr>
        <w:t xml:space="preserve">   </w:t>
      </w:r>
    </w:p>
    <w:p w14:paraId="3C83B9A5">
      <w:pPr>
        <w:snapToGrid w:val="0"/>
        <w:spacing w:line="360" w:lineRule="auto"/>
        <w:ind w:firstLine="1260" w:firstLineChars="450"/>
        <w:rPr>
          <w:rFonts w:ascii="宋体" w:hAnsi="宋体" w:cs="宋体"/>
          <w:sz w:val="28"/>
          <w:szCs w:val="28"/>
        </w:rPr>
      </w:pPr>
      <w:r>
        <w:rPr>
          <w:rFonts w:hint="eastAsia" w:ascii="宋体" w:hAnsi="宋体" w:cs="宋体"/>
          <w:sz w:val="28"/>
          <w:szCs w:val="28"/>
        </w:rPr>
        <w:t>签订时间：</w:t>
      </w:r>
      <w:r>
        <w:rPr>
          <w:rFonts w:hint="eastAsia" w:ascii="宋体" w:hAnsi="宋体" w:cs="宋体"/>
          <w:sz w:val="28"/>
          <w:szCs w:val="28"/>
          <w:u w:val="single"/>
        </w:rPr>
        <w:t xml:space="preserve">                                 </w:t>
      </w:r>
    </w:p>
    <w:p w14:paraId="52AAB499">
      <w:pPr>
        <w:snapToGrid w:val="0"/>
        <w:spacing w:line="360" w:lineRule="auto"/>
        <w:ind w:firstLine="1260" w:firstLineChars="450"/>
        <w:rPr>
          <w:rFonts w:hint="eastAsia" w:ascii="宋体" w:hAnsi="宋体" w:cs="宋体"/>
          <w:sz w:val="28"/>
          <w:szCs w:val="28"/>
          <w:u w:val="single"/>
        </w:rPr>
      </w:pPr>
      <w:r>
        <w:rPr>
          <w:rFonts w:hint="eastAsia" w:ascii="宋体" w:hAnsi="宋体" w:cs="宋体"/>
          <w:sz w:val="28"/>
          <w:szCs w:val="28"/>
        </w:rPr>
        <w:t>签订地点：</w:t>
      </w:r>
      <w:r>
        <w:rPr>
          <w:rFonts w:hint="eastAsia" w:ascii="宋体" w:hAnsi="宋体" w:cs="宋体"/>
          <w:sz w:val="28"/>
          <w:szCs w:val="28"/>
          <w:u w:val="single"/>
        </w:rPr>
        <w:t xml:space="preserve">          </w:t>
      </w:r>
      <w:r>
        <w:rPr>
          <w:rFonts w:hint="eastAsia" w:ascii="宋体" w:hAnsi="宋体" w:cs="宋体"/>
          <w:sz w:val="24"/>
          <w:u w:val="single"/>
        </w:rPr>
        <w:t xml:space="preserve">    南阳市               </w:t>
      </w:r>
      <w:r>
        <w:rPr>
          <w:rFonts w:hint="eastAsia" w:ascii="宋体" w:hAnsi="宋体" w:cs="宋体"/>
          <w:sz w:val="28"/>
          <w:szCs w:val="28"/>
          <w:u w:val="single"/>
        </w:rPr>
        <w:t xml:space="preserve">  </w:t>
      </w:r>
    </w:p>
    <w:p w14:paraId="3198C4A2">
      <w:pPr>
        <w:pStyle w:val="2"/>
        <w:sectPr>
          <w:headerReference r:id="rId7" w:type="default"/>
          <w:footerReference r:id="rId8" w:type="default"/>
          <w:pgSz w:w="11907" w:h="16840"/>
          <w:pgMar w:top="1440" w:right="1800" w:bottom="1440" w:left="1800" w:header="878" w:footer="886" w:gutter="0"/>
          <w:pgNumType w:fmt="decimal"/>
          <w:cols w:space="720" w:num="1"/>
        </w:sectPr>
      </w:pPr>
    </w:p>
    <w:p w14:paraId="06FA9E59"/>
    <w:p w14:paraId="63C280E9">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本项目经南阳市政府采购监督管理办公室批准,采用</w:t>
      </w:r>
      <w:r>
        <w:rPr>
          <w:rFonts w:hint="eastAsia" w:ascii="宋体" w:hAnsi="宋体" w:eastAsia="宋体" w:cs="宋体"/>
          <w:sz w:val="21"/>
          <w:szCs w:val="21"/>
          <w:lang w:val="en-US" w:eastAsia="zh-CN"/>
        </w:rPr>
        <w:t>公开招标</w:t>
      </w:r>
      <w:r>
        <w:rPr>
          <w:rFonts w:hint="eastAsia" w:ascii="宋体" w:hAnsi="宋体" w:eastAsia="宋体" w:cs="宋体"/>
          <w:sz w:val="21"/>
          <w:szCs w:val="21"/>
        </w:rPr>
        <w:t>方式由南阳市</w:t>
      </w:r>
      <w:r>
        <w:rPr>
          <w:rFonts w:hint="eastAsia" w:ascii="宋体" w:hAnsi="宋体" w:eastAsia="宋体" w:cs="宋体"/>
          <w:sz w:val="21"/>
          <w:szCs w:val="21"/>
          <w:lang w:eastAsia="zh-CN"/>
        </w:rPr>
        <w:t>公共资源交易中心</w:t>
      </w:r>
      <w:r>
        <w:rPr>
          <w:rFonts w:hint="eastAsia" w:ascii="宋体" w:hAnsi="宋体" w:eastAsia="宋体" w:cs="宋体"/>
          <w:sz w:val="21"/>
          <w:szCs w:val="21"/>
        </w:rPr>
        <w:t>依法组织采购，经评审委员会评审，决定将政府采购合同授予乙方。为进一步明确甲乙双方的责任，确保合同顺利履行，根据《中华人民共和国政府采购法》及其实施条例、《中华人民共和国</w:t>
      </w:r>
      <w:r>
        <w:rPr>
          <w:rFonts w:hint="eastAsia" w:ascii="宋体" w:hAnsi="宋体" w:eastAsia="宋体" w:cs="宋体"/>
          <w:sz w:val="21"/>
          <w:szCs w:val="21"/>
          <w:lang w:val="en-US" w:eastAsia="zh-CN"/>
        </w:rPr>
        <w:t>民法典</w:t>
      </w:r>
      <w:r>
        <w:rPr>
          <w:rFonts w:hint="eastAsia" w:ascii="宋体" w:hAnsi="宋体" w:eastAsia="宋体" w:cs="宋体"/>
          <w:sz w:val="21"/>
          <w:szCs w:val="21"/>
        </w:rPr>
        <w:t>》以及本项目中标（成交）结果，甲乙双方充分协商，订立合同，共同遵守。</w:t>
      </w:r>
    </w:p>
    <w:p w14:paraId="042F61C7">
      <w:pPr>
        <w:keepNext w:val="0"/>
        <w:keepLines w:val="0"/>
        <w:pageBreakBefore w:val="0"/>
        <w:widowControl/>
        <w:wordWrap/>
        <w:overflowPunct/>
        <w:topLinePunct w:val="0"/>
        <w:bidi w:val="0"/>
        <w:snapToGrid w:val="0"/>
        <w:spacing w:after="0" w:line="320" w:lineRule="exact"/>
        <w:ind w:firstLine="422" w:firstLineChars="200"/>
        <w:rPr>
          <w:rFonts w:hint="eastAsia" w:ascii="宋体" w:hAnsi="宋体" w:eastAsia="宋体" w:cs="宋体"/>
          <w:b/>
          <w:sz w:val="21"/>
          <w:szCs w:val="21"/>
        </w:rPr>
      </w:pPr>
      <w:r>
        <w:rPr>
          <w:rFonts w:hint="eastAsia" w:ascii="宋体" w:hAnsi="宋体" w:eastAsia="宋体" w:cs="宋体"/>
          <w:b/>
          <w:sz w:val="21"/>
          <w:szCs w:val="21"/>
        </w:rPr>
        <w:t>第一条  服务对象基本情况</w:t>
      </w:r>
    </w:p>
    <w:p w14:paraId="28C6C146">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u w:val="single"/>
        </w:rPr>
      </w:pPr>
      <w:r>
        <w:rPr>
          <w:rFonts w:hint="eastAsia" w:ascii="宋体" w:hAnsi="宋体" w:eastAsia="宋体" w:cs="宋体"/>
          <w:sz w:val="21"/>
          <w:szCs w:val="21"/>
        </w:rPr>
        <w:t>服务类型：</w:t>
      </w:r>
      <w:r>
        <w:rPr>
          <w:rFonts w:hint="eastAsia" w:ascii="宋体" w:hAnsi="宋体" w:eastAsia="宋体" w:cs="宋体"/>
          <w:sz w:val="21"/>
          <w:szCs w:val="21"/>
          <w:u w:val="single"/>
        </w:rPr>
        <w:t>机房运维服务</w:t>
      </w:r>
      <w:r>
        <w:rPr>
          <w:rFonts w:hint="eastAsia" w:ascii="宋体" w:hAnsi="宋体" w:eastAsia="宋体" w:cs="宋体"/>
          <w:sz w:val="21"/>
          <w:szCs w:val="21"/>
        </w:rPr>
        <w:t xml:space="preserve">　　座落位置： </w:t>
      </w:r>
      <w:r>
        <w:rPr>
          <w:rFonts w:hint="eastAsia" w:ascii="宋体" w:hAnsi="宋体" w:eastAsia="宋体" w:cs="宋体"/>
          <w:sz w:val="21"/>
          <w:szCs w:val="21"/>
        </w:rPr>
        <w:softHyphen/>
      </w:r>
      <w:r>
        <w:rPr>
          <w:rFonts w:hint="eastAsia" w:ascii="宋体" w:hAnsi="宋体" w:eastAsia="宋体" w:cs="宋体"/>
          <w:sz w:val="21"/>
          <w:szCs w:val="21"/>
        </w:rPr>
        <w:softHyphen/>
      </w:r>
      <w:r>
        <w:rPr>
          <w:rFonts w:hint="eastAsia" w:ascii="宋体" w:hAnsi="宋体" w:eastAsia="宋体" w:cs="宋体"/>
          <w:sz w:val="21"/>
          <w:szCs w:val="21"/>
          <w:u w:val="single"/>
        </w:rPr>
        <w:t>南阳市公安局交通管理支队</w:t>
      </w:r>
    </w:p>
    <w:p w14:paraId="6BF153D3">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详细基本情况：</w:t>
      </w:r>
    </w:p>
    <w:p w14:paraId="2429A4BD">
      <w:pPr>
        <w:pStyle w:val="20"/>
        <w:keepNext w:val="0"/>
        <w:keepLines w:val="0"/>
        <w:pageBreakBefore w:val="0"/>
        <w:widowControl/>
        <w:numPr>
          <w:ilvl w:val="0"/>
          <w:numId w:val="1"/>
        </w:numPr>
        <w:wordWrap/>
        <w:overflowPunct/>
        <w:topLinePunct w:val="0"/>
        <w:bidi w:val="0"/>
        <w:snapToGrid w:val="0"/>
        <w:spacing w:after="0" w:line="320" w:lineRule="exact"/>
        <w:ind w:left="0" w:firstLine="420" w:firstLineChars="200"/>
        <w:rPr>
          <w:rFonts w:hint="eastAsia" w:ascii="宋体" w:hAnsi="宋体" w:eastAsia="宋体" w:cs="宋体"/>
          <w:sz w:val="21"/>
          <w:szCs w:val="21"/>
        </w:rPr>
      </w:pPr>
      <w:r>
        <w:rPr>
          <w:rFonts w:hint="eastAsia" w:ascii="宋体" w:hAnsi="宋体" w:eastAsia="宋体" w:cs="宋体"/>
          <w:sz w:val="21"/>
          <w:szCs w:val="21"/>
        </w:rPr>
        <w:t>现有机房情况</w:t>
      </w:r>
    </w:p>
    <w:p w14:paraId="3EFC0643">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p>
    <w:p w14:paraId="0CAF8C2C">
      <w:pPr>
        <w:pStyle w:val="20"/>
        <w:keepNext w:val="0"/>
        <w:keepLines w:val="0"/>
        <w:pageBreakBefore w:val="0"/>
        <w:widowControl/>
        <w:numPr>
          <w:ilvl w:val="0"/>
          <w:numId w:val="1"/>
        </w:numPr>
        <w:wordWrap/>
        <w:overflowPunct/>
        <w:topLinePunct w:val="0"/>
        <w:bidi w:val="0"/>
        <w:snapToGrid w:val="0"/>
        <w:spacing w:after="0" w:line="320" w:lineRule="exact"/>
        <w:ind w:left="0" w:firstLine="420" w:firstLineChars="200"/>
        <w:rPr>
          <w:rFonts w:hint="eastAsia" w:ascii="宋体" w:hAnsi="宋体" w:eastAsia="宋体" w:cs="宋体"/>
          <w:sz w:val="21"/>
          <w:szCs w:val="21"/>
        </w:rPr>
      </w:pPr>
      <w:r>
        <w:rPr>
          <w:rFonts w:hint="eastAsia" w:ascii="宋体" w:hAnsi="宋体" w:eastAsia="宋体" w:cs="宋体"/>
          <w:sz w:val="21"/>
          <w:szCs w:val="21"/>
        </w:rPr>
        <w:t>现有机房</w:t>
      </w:r>
      <w:r>
        <w:rPr>
          <w:rFonts w:hint="eastAsia" w:ascii="宋体" w:hAnsi="宋体" w:eastAsia="宋体" w:cs="宋体"/>
          <w:sz w:val="21"/>
          <w:szCs w:val="21"/>
          <w:lang w:val="en-US" w:eastAsia="zh-CN"/>
        </w:rPr>
        <w:t>环境情况</w:t>
      </w:r>
    </w:p>
    <w:p w14:paraId="156D2D08">
      <w:pPr>
        <w:pStyle w:val="20"/>
        <w:keepNext w:val="0"/>
        <w:keepLines w:val="0"/>
        <w:pageBreakBefore w:val="0"/>
        <w:widowControl/>
        <w:wordWrap/>
        <w:overflowPunct/>
        <w:topLinePunct w:val="0"/>
        <w:bidi w:val="0"/>
        <w:snapToGrid w:val="0"/>
        <w:spacing w:after="0" w:line="320" w:lineRule="exact"/>
        <w:ind w:left="420" w:leftChars="200"/>
        <w:rPr>
          <w:rFonts w:hint="eastAsia" w:ascii="宋体" w:hAnsi="宋体" w:eastAsia="宋体" w:cs="宋体"/>
          <w:sz w:val="21"/>
          <w:szCs w:val="21"/>
          <w:lang w:val="en-US" w:eastAsia="zh-CN" w:bidi="ar-SA"/>
        </w:rPr>
      </w:pPr>
    </w:p>
    <w:p w14:paraId="1188A106">
      <w:pPr>
        <w:pStyle w:val="20"/>
        <w:keepNext w:val="0"/>
        <w:keepLines w:val="0"/>
        <w:pageBreakBefore w:val="0"/>
        <w:widowControl/>
        <w:numPr>
          <w:ilvl w:val="0"/>
          <w:numId w:val="1"/>
        </w:numPr>
        <w:wordWrap/>
        <w:overflowPunct/>
        <w:topLinePunct w:val="0"/>
        <w:bidi w:val="0"/>
        <w:snapToGrid w:val="0"/>
        <w:spacing w:after="0" w:line="320" w:lineRule="exact"/>
        <w:ind w:left="0" w:firstLine="420" w:firstLineChars="200"/>
        <w:rPr>
          <w:rFonts w:hint="eastAsia" w:ascii="宋体" w:hAnsi="宋体" w:eastAsia="宋体" w:cs="宋体"/>
          <w:sz w:val="21"/>
          <w:szCs w:val="21"/>
        </w:rPr>
      </w:pPr>
      <w:r>
        <w:rPr>
          <w:rFonts w:hint="eastAsia" w:ascii="宋体" w:hAnsi="宋体" w:eastAsia="宋体" w:cs="宋体"/>
          <w:sz w:val="21"/>
          <w:szCs w:val="21"/>
        </w:rPr>
        <w:t>涉及专用网络情况</w:t>
      </w:r>
    </w:p>
    <w:p w14:paraId="41962125">
      <w:pPr>
        <w:pStyle w:val="20"/>
        <w:keepNext w:val="0"/>
        <w:keepLines w:val="0"/>
        <w:pageBreakBefore w:val="0"/>
        <w:widowControl/>
        <w:wordWrap/>
        <w:overflowPunct/>
        <w:topLinePunct w:val="0"/>
        <w:bidi w:val="0"/>
        <w:snapToGrid w:val="0"/>
        <w:spacing w:after="0" w:line="320" w:lineRule="exact"/>
        <w:ind w:left="420" w:leftChars="200"/>
        <w:rPr>
          <w:rFonts w:hint="eastAsia" w:ascii="宋体" w:hAnsi="宋体" w:eastAsia="宋体" w:cs="宋体"/>
          <w:sz w:val="21"/>
          <w:szCs w:val="21"/>
        </w:rPr>
      </w:pPr>
    </w:p>
    <w:p w14:paraId="37826A99">
      <w:pPr>
        <w:pStyle w:val="20"/>
        <w:keepNext w:val="0"/>
        <w:keepLines w:val="0"/>
        <w:pageBreakBefore w:val="0"/>
        <w:widowControl/>
        <w:numPr>
          <w:ilvl w:val="0"/>
          <w:numId w:val="1"/>
        </w:numPr>
        <w:wordWrap/>
        <w:overflowPunct/>
        <w:topLinePunct w:val="0"/>
        <w:bidi w:val="0"/>
        <w:snapToGrid w:val="0"/>
        <w:spacing w:after="0" w:line="320" w:lineRule="exact"/>
        <w:ind w:left="0" w:firstLine="420" w:firstLineChars="200"/>
        <w:rPr>
          <w:rFonts w:hint="eastAsia" w:ascii="宋体" w:hAnsi="宋体" w:eastAsia="宋体" w:cs="宋体"/>
          <w:sz w:val="21"/>
          <w:szCs w:val="21"/>
        </w:rPr>
      </w:pPr>
      <w:r>
        <w:rPr>
          <w:rFonts w:hint="eastAsia" w:ascii="宋体" w:hAnsi="宋体" w:eastAsia="宋体" w:cs="宋体"/>
          <w:sz w:val="21"/>
          <w:szCs w:val="21"/>
        </w:rPr>
        <w:t>涉及硬件设备情况</w:t>
      </w:r>
    </w:p>
    <w:p w14:paraId="2140477A">
      <w:pPr>
        <w:pStyle w:val="20"/>
        <w:keepNext w:val="0"/>
        <w:keepLines w:val="0"/>
        <w:pageBreakBefore w:val="0"/>
        <w:widowControl/>
        <w:wordWrap/>
        <w:overflowPunct/>
        <w:topLinePunct w:val="0"/>
        <w:bidi w:val="0"/>
        <w:snapToGrid w:val="0"/>
        <w:spacing w:after="0" w:line="320" w:lineRule="exact"/>
        <w:ind w:left="420" w:leftChars="200"/>
        <w:rPr>
          <w:rFonts w:hint="eastAsia" w:ascii="宋体" w:hAnsi="宋体" w:eastAsia="宋体" w:cs="宋体"/>
          <w:sz w:val="21"/>
          <w:szCs w:val="21"/>
          <w:lang w:val="en-US"/>
        </w:rPr>
      </w:pPr>
    </w:p>
    <w:p w14:paraId="3A02C945">
      <w:pPr>
        <w:pStyle w:val="20"/>
        <w:keepNext w:val="0"/>
        <w:keepLines w:val="0"/>
        <w:pageBreakBefore w:val="0"/>
        <w:widowControl/>
        <w:numPr>
          <w:ilvl w:val="0"/>
          <w:numId w:val="1"/>
        </w:numPr>
        <w:wordWrap/>
        <w:overflowPunct/>
        <w:topLinePunct w:val="0"/>
        <w:bidi w:val="0"/>
        <w:snapToGrid w:val="0"/>
        <w:spacing w:after="0" w:line="320" w:lineRule="exact"/>
        <w:ind w:left="0" w:firstLine="420" w:firstLineChars="200"/>
        <w:rPr>
          <w:rFonts w:hint="eastAsia" w:ascii="宋体" w:hAnsi="宋体" w:eastAsia="宋体" w:cs="宋体"/>
          <w:sz w:val="21"/>
          <w:szCs w:val="21"/>
        </w:rPr>
      </w:pPr>
      <w:r>
        <w:rPr>
          <w:rFonts w:hint="eastAsia" w:ascii="宋体" w:hAnsi="宋体" w:eastAsia="宋体" w:cs="宋体"/>
          <w:sz w:val="21"/>
          <w:szCs w:val="21"/>
        </w:rPr>
        <w:t>涉及应用系统情况</w:t>
      </w:r>
    </w:p>
    <w:p w14:paraId="17F02D84">
      <w:pPr>
        <w:pStyle w:val="20"/>
        <w:keepNext w:val="0"/>
        <w:keepLines w:val="0"/>
        <w:pageBreakBefore w:val="0"/>
        <w:widowControl/>
        <w:wordWrap/>
        <w:overflowPunct/>
        <w:topLinePunct w:val="0"/>
        <w:bidi w:val="0"/>
        <w:snapToGrid w:val="0"/>
        <w:spacing w:after="0" w:line="320" w:lineRule="exact"/>
        <w:ind w:left="420" w:leftChars="200"/>
        <w:rPr>
          <w:rFonts w:hint="eastAsia" w:ascii="宋体" w:hAnsi="宋体" w:eastAsia="宋体" w:cs="宋体"/>
          <w:sz w:val="21"/>
          <w:szCs w:val="21"/>
          <w:lang w:val="en-US" w:eastAsia="zh-CN"/>
        </w:rPr>
      </w:pPr>
    </w:p>
    <w:p w14:paraId="740EE56F">
      <w:pPr>
        <w:pStyle w:val="20"/>
        <w:keepNext w:val="0"/>
        <w:keepLines w:val="0"/>
        <w:pageBreakBefore w:val="0"/>
        <w:widowControl/>
        <w:numPr>
          <w:ilvl w:val="0"/>
          <w:numId w:val="1"/>
        </w:numPr>
        <w:wordWrap/>
        <w:overflowPunct/>
        <w:topLinePunct w:val="0"/>
        <w:bidi w:val="0"/>
        <w:snapToGrid w:val="0"/>
        <w:spacing w:after="0" w:line="320" w:lineRule="exact"/>
        <w:ind w:left="0" w:firstLine="420" w:firstLineChars="200"/>
        <w:rPr>
          <w:rFonts w:hint="eastAsia" w:ascii="宋体" w:hAnsi="宋体" w:eastAsia="宋体" w:cs="宋体"/>
          <w:sz w:val="21"/>
          <w:szCs w:val="21"/>
        </w:rPr>
      </w:pPr>
      <w:r>
        <w:rPr>
          <w:rFonts w:hint="eastAsia" w:ascii="宋体" w:hAnsi="宋体" w:eastAsia="宋体" w:cs="宋体"/>
          <w:sz w:val="21"/>
          <w:szCs w:val="21"/>
        </w:rPr>
        <w:t>其他服务内容</w:t>
      </w:r>
    </w:p>
    <w:p w14:paraId="7A84D446">
      <w:pPr>
        <w:pStyle w:val="20"/>
        <w:keepNext w:val="0"/>
        <w:keepLines w:val="0"/>
        <w:pageBreakBefore w:val="0"/>
        <w:widowControl/>
        <w:wordWrap/>
        <w:overflowPunct/>
        <w:topLinePunct w:val="0"/>
        <w:bidi w:val="0"/>
        <w:snapToGrid w:val="0"/>
        <w:spacing w:after="0" w:line="320" w:lineRule="exact"/>
        <w:ind w:left="420" w:leftChars="200"/>
        <w:rPr>
          <w:rFonts w:hint="eastAsia" w:ascii="宋体" w:hAnsi="宋体" w:eastAsia="宋体" w:cs="宋体"/>
          <w:sz w:val="21"/>
          <w:szCs w:val="21"/>
          <w:lang w:val="en-US" w:eastAsia="zh-CN"/>
        </w:rPr>
      </w:pPr>
    </w:p>
    <w:p w14:paraId="54D0727F">
      <w:pPr>
        <w:keepNext w:val="0"/>
        <w:keepLines w:val="0"/>
        <w:pageBreakBefore w:val="0"/>
        <w:widowControl/>
        <w:wordWrap/>
        <w:overflowPunct/>
        <w:topLinePunct w:val="0"/>
        <w:bidi w:val="0"/>
        <w:snapToGrid w:val="0"/>
        <w:spacing w:after="0" w:line="320" w:lineRule="exact"/>
        <w:ind w:firstLine="422" w:firstLineChars="200"/>
        <w:rPr>
          <w:rFonts w:hint="eastAsia" w:ascii="宋体" w:hAnsi="宋体" w:eastAsia="宋体" w:cs="宋体"/>
          <w:b/>
          <w:sz w:val="21"/>
          <w:szCs w:val="21"/>
        </w:rPr>
      </w:pPr>
      <w:r>
        <w:rPr>
          <w:rFonts w:hint="eastAsia" w:ascii="宋体" w:hAnsi="宋体" w:eastAsia="宋体" w:cs="宋体"/>
          <w:b/>
          <w:sz w:val="21"/>
          <w:szCs w:val="21"/>
        </w:rPr>
        <w:t>第二条  具体服务事项</w:t>
      </w:r>
    </w:p>
    <w:p w14:paraId="4E1288A5">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CN"/>
        </w:rPr>
      </w:pPr>
      <w:r>
        <w:rPr>
          <w:rFonts w:hint="eastAsia" w:ascii="宋体" w:hAnsi="宋体" w:eastAsia="宋体" w:cs="宋体"/>
          <w:spacing w:val="4"/>
          <w:kern w:val="0"/>
          <w:sz w:val="21"/>
          <w:szCs w:val="21"/>
          <w:lang w:eastAsia="zh-Hans"/>
        </w:rPr>
        <w:t>乙方</w:t>
      </w:r>
      <w:r>
        <w:rPr>
          <w:rFonts w:hint="eastAsia" w:ascii="宋体" w:hAnsi="宋体" w:eastAsia="宋体" w:cs="宋体"/>
          <w:spacing w:val="4"/>
          <w:kern w:val="0"/>
          <w:sz w:val="21"/>
          <w:szCs w:val="21"/>
          <w:lang w:val="en-US" w:eastAsia="zh-CN"/>
        </w:rPr>
        <w:t>为实际管理负责方，甲方为实施监督管理方。乙方不得</w:t>
      </w:r>
      <w:r>
        <w:rPr>
          <w:rFonts w:hint="eastAsia" w:ascii="宋体" w:hAnsi="宋体" w:eastAsia="宋体" w:cs="宋体"/>
          <w:sz w:val="21"/>
          <w:szCs w:val="21"/>
        </w:rPr>
        <w:t>转包、分包机房运维核心服务</w:t>
      </w:r>
      <w:r>
        <w:rPr>
          <w:rFonts w:hint="eastAsia" w:ascii="宋体" w:hAnsi="宋体" w:eastAsia="宋体" w:cs="宋体"/>
          <w:sz w:val="21"/>
          <w:szCs w:val="21"/>
          <w:lang w:eastAsia="zh-CN"/>
        </w:rPr>
        <w:t>。</w:t>
      </w:r>
      <w:r>
        <w:rPr>
          <w:rFonts w:hint="eastAsia" w:ascii="宋体" w:hAnsi="宋体" w:eastAsia="宋体" w:cs="宋体"/>
          <w:sz w:val="21"/>
          <w:szCs w:val="21"/>
        </w:rPr>
        <w:t>擅自分包转包甲方有权单方解除合同，乙方支付合同总额10%违约金并赔偿全部损失。</w:t>
      </w:r>
    </w:p>
    <w:p w14:paraId="35A3F91E">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CN"/>
        </w:rPr>
      </w:pPr>
      <w:r>
        <w:rPr>
          <w:rFonts w:hint="eastAsia" w:ascii="宋体" w:hAnsi="宋体" w:eastAsia="宋体" w:cs="宋体"/>
          <w:spacing w:val="4"/>
          <w:kern w:val="0"/>
          <w:sz w:val="21"/>
          <w:szCs w:val="21"/>
          <w:lang w:eastAsia="zh-CN"/>
        </w:rPr>
        <w:t>（</w:t>
      </w:r>
      <w:r>
        <w:rPr>
          <w:rFonts w:hint="eastAsia" w:ascii="宋体" w:hAnsi="宋体" w:eastAsia="宋体" w:cs="宋体"/>
          <w:spacing w:val="4"/>
          <w:kern w:val="0"/>
          <w:sz w:val="21"/>
          <w:szCs w:val="21"/>
          <w:lang w:val="en-US" w:eastAsia="zh-CN"/>
        </w:rPr>
        <w:t>一</w:t>
      </w:r>
      <w:r>
        <w:rPr>
          <w:rFonts w:hint="eastAsia" w:ascii="宋体" w:hAnsi="宋体" w:eastAsia="宋体" w:cs="宋体"/>
          <w:spacing w:val="4"/>
          <w:kern w:val="0"/>
          <w:sz w:val="21"/>
          <w:szCs w:val="21"/>
          <w:lang w:eastAsia="zh-CN"/>
        </w:rPr>
        <w:t>）</w:t>
      </w:r>
      <w:r>
        <w:rPr>
          <w:rFonts w:hint="eastAsia" w:ascii="宋体" w:hAnsi="宋体" w:eastAsia="宋体" w:cs="宋体"/>
          <w:spacing w:val="4"/>
          <w:kern w:val="0"/>
          <w:sz w:val="21"/>
          <w:szCs w:val="21"/>
          <w:lang w:val="en-US" w:eastAsia="zh-CN"/>
        </w:rPr>
        <w:t>环境及硬件设备服务要求</w:t>
      </w:r>
    </w:p>
    <w:p w14:paraId="5BC54FB9">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eastAsia="zh-Hans"/>
        </w:rPr>
      </w:pPr>
      <w:r>
        <w:rPr>
          <w:rFonts w:hint="eastAsia" w:ascii="宋体" w:hAnsi="宋体" w:eastAsia="宋体" w:cs="宋体"/>
          <w:spacing w:val="4"/>
          <w:kern w:val="0"/>
          <w:sz w:val="21"/>
          <w:szCs w:val="21"/>
          <w:lang w:eastAsia="zh-Hans"/>
        </w:rPr>
        <w:t>机房维保以支队现有机房环境、设备作为基础，乙方为甲方机房、硬件、网络、应用等现有环境、设备提供</w:t>
      </w:r>
      <w:r>
        <w:rPr>
          <w:rFonts w:hint="eastAsia" w:ascii="宋体" w:hAnsi="宋体" w:eastAsia="宋体" w:cs="宋体"/>
          <w:spacing w:val="4"/>
          <w:kern w:val="0"/>
          <w:sz w:val="21"/>
          <w:szCs w:val="21"/>
        </w:rPr>
        <w:t>运维</w:t>
      </w:r>
      <w:r>
        <w:rPr>
          <w:rFonts w:hint="eastAsia" w:ascii="宋体" w:hAnsi="宋体" w:eastAsia="宋体" w:cs="宋体"/>
          <w:spacing w:val="4"/>
          <w:kern w:val="0"/>
          <w:sz w:val="21"/>
          <w:szCs w:val="21"/>
          <w:lang w:eastAsia="zh-Hans"/>
        </w:rPr>
        <w:t>管理工作</w:t>
      </w:r>
      <w:r>
        <w:rPr>
          <w:rFonts w:hint="eastAsia" w:ascii="宋体" w:hAnsi="宋体" w:eastAsia="宋体" w:cs="宋体"/>
          <w:spacing w:val="4"/>
          <w:kern w:val="0"/>
          <w:sz w:val="21"/>
          <w:szCs w:val="21"/>
        </w:rPr>
        <w:t>；</w:t>
      </w:r>
      <w:r>
        <w:rPr>
          <w:rFonts w:hint="eastAsia" w:ascii="宋体" w:hAnsi="宋体" w:eastAsia="宋体" w:cs="宋体"/>
          <w:spacing w:val="4"/>
          <w:kern w:val="0"/>
          <w:sz w:val="21"/>
          <w:szCs w:val="21"/>
          <w:lang w:eastAsia="zh-Hans"/>
        </w:rPr>
        <w:t>为了保证机房的正常运行乙方</w:t>
      </w:r>
      <w:r>
        <w:rPr>
          <w:rFonts w:hint="eastAsia" w:ascii="宋体" w:hAnsi="宋体" w:eastAsia="宋体" w:cs="宋体"/>
          <w:spacing w:val="4"/>
          <w:kern w:val="0"/>
          <w:sz w:val="21"/>
          <w:szCs w:val="21"/>
          <w:lang w:val="en-US" w:eastAsia="zh-CN"/>
        </w:rPr>
        <w:t>应</w:t>
      </w:r>
      <w:r>
        <w:rPr>
          <w:rFonts w:hint="eastAsia" w:ascii="宋体" w:hAnsi="宋体" w:eastAsia="宋体" w:cs="宋体"/>
          <w:spacing w:val="4"/>
          <w:kern w:val="0"/>
          <w:sz w:val="21"/>
          <w:szCs w:val="21"/>
        </w:rPr>
        <w:t>向</w:t>
      </w:r>
      <w:r>
        <w:rPr>
          <w:rFonts w:hint="eastAsia" w:ascii="宋体" w:hAnsi="宋体" w:eastAsia="宋体" w:cs="宋体"/>
          <w:spacing w:val="4"/>
          <w:kern w:val="0"/>
          <w:sz w:val="21"/>
          <w:szCs w:val="21"/>
          <w:lang w:eastAsia="zh-Hans"/>
        </w:rPr>
        <w:t>甲方提出机房</w:t>
      </w:r>
      <w:r>
        <w:rPr>
          <w:rFonts w:hint="eastAsia" w:ascii="宋体" w:hAnsi="宋体" w:eastAsia="宋体" w:cs="宋体"/>
          <w:spacing w:val="4"/>
          <w:kern w:val="0"/>
          <w:sz w:val="21"/>
          <w:szCs w:val="21"/>
        </w:rPr>
        <w:t>运维</w:t>
      </w:r>
      <w:r>
        <w:rPr>
          <w:rFonts w:hint="eastAsia" w:ascii="宋体" w:hAnsi="宋体" w:eastAsia="宋体" w:cs="宋体"/>
          <w:spacing w:val="4"/>
          <w:kern w:val="0"/>
          <w:sz w:val="21"/>
          <w:szCs w:val="21"/>
          <w:lang w:eastAsia="zh-Hans"/>
        </w:rPr>
        <w:t>改进建议。</w:t>
      </w:r>
    </w:p>
    <w:p w14:paraId="2C8CCA9D">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Hans"/>
        </w:rPr>
      </w:pPr>
      <w:bookmarkStart w:id="2" w:name="_Toc1150929331"/>
      <w:r>
        <w:rPr>
          <w:rFonts w:hint="eastAsia" w:ascii="宋体" w:hAnsi="宋体" w:eastAsia="宋体" w:cs="宋体"/>
          <w:spacing w:val="4"/>
          <w:kern w:val="0"/>
          <w:sz w:val="21"/>
          <w:szCs w:val="21"/>
          <w:lang w:val="en-US" w:eastAsia="zh-Hans"/>
        </w:rPr>
        <w:t>1、基础环境运维</w:t>
      </w:r>
      <w:bookmarkEnd w:id="2"/>
    </w:p>
    <w:p w14:paraId="4487B700">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Hans"/>
        </w:rPr>
      </w:pPr>
      <w:r>
        <w:rPr>
          <w:rFonts w:hint="eastAsia" w:ascii="宋体" w:hAnsi="宋体" w:eastAsia="宋体" w:cs="宋体"/>
          <w:spacing w:val="4"/>
          <w:kern w:val="0"/>
          <w:sz w:val="21"/>
          <w:szCs w:val="21"/>
          <w:lang w:val="en-US" w:eastAsia="zh-Hans"/>
        </w:rPr>
        <w:t>空气调节、电气系统、安全防护</w:t>
      </w:r>
      <w:r>
        <w:rPr>
          <w:rFonts w:hint="eastAsia" w:ascii="宋体" w:hAnsi="宋体" w:eastAsia="宋体" w:cs="宋体"/>
          <w:spacing w:val="4"/>
          <w:kern w:val="0"/>
          <w:sz w:val="21"/>
          <w:szCs w:val="21"/>
          <w:lang w:val="en-US" w:eastAsia="zh-CN"/>
        </w:rPr>
        <w:t>等涉及基础环境系统、设备及设施</w:t>
      </w:r>
      <w:r>
        <w:rPr>
          <w:rFonts w:hint="eastAsia" w:ascii="宋体" w:hAnsi="宋体" w:eastAsia="宋体" w:cs="宋体"/>
          <w:spacing w:val="4"/>
          <w:kern w:val="0"/>
          <w:sz w:val="21"/>
          <w:szCs w:val="21"/>
          <w:lang w:val="en-US" w:eastAsia="zh-Hans"/>
        </w:rPr>
        <w:t>。</w:t>
      </w:r>
    </w:p>
    <w:p w14:paraId="6D632B08">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Hans"/>
        </w:rPr>
      </w:pPr>
      <w:bookmarkStart w:id="3" w:name="_Toc1284057588"/>
      <w:r>
        <w:rPr>
          <w:rFonts w:hint="eastAsia" w:ascii="宋体" w:hAnsi="宋体" w:eastAsia="宋体" w:cs="宋体"/>
          <w:spacing w:val="4"/>
          <w:kern w:val="0"/>
          <w:sz w:val="21"/>
          <w:szCs w:val="21"/>
          <w:lang w:val="en-US" w:eastAsia="zh-Hans"/>
        </w:rPr>
        <w:t>2、硬件运维</w:t>
      </w:r>
      <w:bookmarkEnd w:id="3"/>
    </w:p>
    <w:p w14:paraId="0B355ECC">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CN"/>
        </w:rPr>
      </w:pPr>
      <w:r>
        <w:rPr>
          <w:rFonts w:hint="eastAsia" w:ascii="宋体" w:hAnsi="宋体" w:eastAsia="宋体" w:cs="宋体"/>
          <w:spacing w:val="4"/>
          <w:kern w:val="0"/>
          <w:sz w:val="21"/>
          <w:szCs w:val="21"/>
          <w:lang w:val="en-US" w:eastAsia="zh-Hans"/>
        </w:rPr>
        <w:t>对硬件设备的例行检查及状态监控、响应支持、故障处理、性能优化等服务。服务对象包括网络运维服务、主机运维服务、存储运维服务、桌面运维服务以及其他硬件运维服务</w:t>
      </w:r>
      <w:r>
        <w:rPr>
          <w:rFonts w:hint="eastAsia" w:ascii="宋体" w:hAnsi="宋体" w:eastAsia="宋体" w:cs="宋体"/>
          <w:spacing w:val="4"/>
          <w:kern w:val="0"/>
          <w:sz w:val="21"/>
          <w:szCs w:val="21"/>
          <w:lang w:val="en-US" w:eastAsia="zh-CN"/>
        </w:rPr>
        <w:t>。</w:t>
      </w:r>
    </w:p>
    <w:p w14:paraId="178C3284">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Hans"/>
        </w:rPr>
      </w:pPr>
      <w:bookmarkStart w:id="4" w:name="_Toc1092712813"/>
      <w:r>
        <w:rPr>
          <w:rFonts w:hint="eastAsia" w:ascii="宋体" w:hAnsi="宋体" w:eastAsia="宋体" w:cs="宋体"/>
          <w:spacing w:val="4"/>
          <w:kern w:val="0"/>
          <w:sz w:val="21"/>
          <w:szCs w:val="21"/>
          <w:lang w:val="en-US" w:eastAsia="zh-Hans"/>
        </w:rPr>
        <w:t>3、安全运维</w:t>
      </w:r>
      <w:bookmarkEnd w:id="4"/>
    </w:p>
    <w:p w14:paraId="71780C2F">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Hans"/>
        </w:rPr>
      </w:pPr>
      <w:r>
        <w:rPr>
          <w:rFonts w:hint="eastAsia" w:ascii="宋体" w:hAnsi="宋体" w:eastAsia="宋体" w:cs="宋体"/>
          <w:spacing w:val="4"/>
          <w:kern w:val="0"/>
          <w:sz w:val="21"/>
          <w:szCs w:val="21"/>
          <w:lang w:val="en-US" w:eastAsia="zh-Hans"/>
        </w:rPr>
        <w:t>安全运维对象为物理环境、网络平台、主机系统、应用系统、安全设施、信息数据六类实体对象。</w:t>
      </w:r>
    </w:p>
    <w:p w14:paraId="6ECA756E">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CN"/>
        </w:rPr>
      </w:pPr>
      <w:bookmarkStart w:id="5" w:name="_Toc2091582594"/>
      <w:r>
        <w:rPr>
          <w:rFonts w:hint="eastAsia" w:ascii="宋体" w:hAnsi="宋体" w:eastAsia="宋体" w:cs="宋体"/>
          <w:spacing w:val="4"/>
          <w:kern w:val="0"/>
          <w:sz w:val="21"/>
          <w:szCs w:val="21"/>
          <w:lang w:val="en-US" w:eastAsia="zh-CN"/>
        </w:rPr>
        <w:t>4、软件</w:t>
      </w:r>
      <w:r>
        <w:rPr>
          <w:rFonts w:hint="eastAsia" w:ascii="宋体" w:hAnsi="宋体" w:eastAsia="宋体" w:cs="宋体"/>
          <w:spacing w:val="4"/>
          <w:kern w:val="0"/>
          <w:sz w:val="21"/>
          <w:szCs w:val="21"/>
          <w:lang w:val="en-US" w:eastAsia="zh-Hans"/>
        </w:rPr>
        <w:t>运维</w:t>
      </w:r>
      <w:bookmarkEnd w:id="5"/>
    </w:p>
    <w:p w14:paraId="421AF759">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CN"/>
        </w:rPr>
      </w:pPr>
      <w:r>
        <w:rPr>
          <w:rFonts w:hint="eastAsia" w:ascii="宋体" w:hAnsi="宋体" w:eastAsia="宋体" w:cs="宋体"/>
          <w:spacing w:val="4"/>
          <w:kern w:val="0"/>
          <w:sz w:val="21"/>
          <w:szCs w:val="21"/>
          <w:lang w:val="en-US" w:eastAsia="zh-CN"/>
        </w:rPr>
        <w:t>软件运维对象为各系统的操作系统、数据库、中间件、应用、存储、数据，以及业务系统的定时任务等。</w:t>
      </w:r>
    </w:p>
    <w:p w14:paraId="22A7C4CF">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CN"/>
        </w:rPr>
      </w:pPr>
      <w:r>
        <w:rPr>
          <w:rFonts w:hint="eastAsia" w:ascii="宋体" w:hAnsi="宋体" w:eastAsia="宋体" w:cs="宋体"/>
          <w:spacing w:val="4"/>
          <w:kern w:val="0"/>
          <w:sz w:val="21"/>
          <w:szCs w:val="21"/>
          <w:lang w:val="en-US" w:eastAsia="zh-CN"/>
        </w:rPr>
        <w:t>5、</w:t>
      </w:r>
      <w:r>
        <w:rPr>
          <w:rFonts w:hint="eastAsia" w:ascii="宋体" w:hAnsi="宋体" w:eastAsia="宋体" w:cs="宋体"/>
          <w:spacing w:val="4"/>
          <w:kern w:val="0"/>
          <w:sz w:val="21"/>
          <w:szCs w:val="21"/>
          <w:lang w:val="en-US" w:eastAsia="zh-Hans"/>
        </w:rPr>
        <w:t>运维管理</w:t>
      </w:r>
    </w:p>
    <w:p w14:paraId="7C4BD98D">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CN"/>
        </w:rPr>
      </w:pPr>
      <w:r>
        <w:rPr>
          <w:rFonts w:hint="eastAsia" w:ascii="宋体" w:hAnsi="宋体" w:eastAsia="宋体" w:cs="宋体"/>
          <w:spacing w:val="4"/>
          <w:kern w:val="0"/>
          <w:sz w:val="21"/>
          <w:szCs w:val="21"/>
          <w:lang w:val="en-US" w:eastAsia="zh-Hans"/>
        </w:rPr>
        <w:t>硬件、软件、安全等综合性运维而提供的管理服务，主要包含制定整体服务规划、建立运维服务流程</w:t>
      </w:r>
      <w:r>
        <w:rPr>
          <w:rFonts w:hint="eastAsia" w:ascii="宋体" w:hAnsi="宋体" w:eastAsia="宋体" w:cs="宋体"/>
          <w:spacing w:val="4"/>
          <w:kern w:val="0"/>
          <w:sz w:val="21"/>
          <w:szCs w:val="21"/>
          <w:lang w:val="en-US" w:eastAsia="zh-CN"/>
        </w:rPr>
        <w:t>，对</w:t>
      </w:r>
      <w:r>
        <w:rPr>
          <w:rFonts w:hint="eastAsia" w:ascii="宋体" w:hAnsi="宋体" w:eastAsia="宋体" w:cs="宋体"/>
          <w:spacing w:val="4"/>
          <w:kern w:val="0"/>
          <w:sz w:val="21"/>
          <w:szCs w:val="21"/>
          <w:lang w:val="en-US" w:eastAsia="zh-Hans"/>
        </w:rPr>
        <w:t>其他各服务厂商的监督管理、服务工作汇总、组织</w:t>
      </w:r>
      <w:r>
        <w:rPr>
          <w:rFonts w:hint="eastAsia" w:ascii="宋体" w:hAnsi="宋体" w:eastAsia="宋体" w:cs="宋体"/>
          <w:spacing w:val="4"/>
          <w:kern w:val="0"/>
          <w:sz w:val="21"/>
          <w:szCs w:val="21"/>
          <w:lang w:val="en-US" w:eastAsia="zh-CN"/>
        </w:rPr>
        <w:t>技术</w:t>
      </w:r>
      <w:r>
        <w:rPr>
          <w:rFonts w:hint="eastAsia" w:ascii="宋体" w:hAnsi="宋体" w:eastAsia="宋体" w:cs="宋体"/>
          <w:spacing w:val="4"/>
          <w:kern w:val="0"/>
          <w:sz w:val="21"/>
          <w:szCs w:val="21"/>
          <w:lang w:val="en-US" w:eastAsia="zh-Hans"/>
        </w:rPr>
        <w:t>培训</w:t>
      </w:r>
      <w:r>
        <w:rPr>
          <w:rFonts w:hint="eastAsia" w:ascii="宋体" w:hAnsi="宋体" w:eastAsia="宋体" w:cs="宋体"/>
          <w:spacing w:val="4"/>
          <w:kern w:val="0"/>
          <w:sz w:val="21"/>
          <w:szCs w:val="21"/>
          <w:lang w:val="en-US" w:eastAsia="zh-CN"/>
        </w:rPr>
        <w:t>、在职员工考评及淘汰机制</w:t>
      </w:r>
      <w:r>
        <w:rPr>
          <w:rFonts w:hint="eastAsia" w:ascii="宋体" w:hAnsi="宋体" w:eastAsia="宋体" w:cs="宋体"/>
          <w:spacing w:val="4"/>
          <w:kern w:val="0"/>
          <w:sz w:val="21"/>
          <w:szCs w:val="21"/>
          <w:lang w:val="en-US" w:eastAsia="zh-Hans"/>
        </w:rPr>
        <w:t>等</w:t>
      </w:r>
      <w:r>
        <w:rPr>
          <w:rFonts w:hint="eastAsia" w:ascii="宋体" w:hAnsi="宋体" w:eastAsia="宋体" w:cs="宋体"/>
          <w:spacing w:val="4"/>
          <w:kern w:val="0"/>
          <w:sz w:val="21"/>
          <w:szCs w:val="21"/>
          <w:lang w:val="en-US" w:eastAsia="zh-CN"/>
        </w:rPr>
        <w:t>。</w:t>
      </w:r>
    </w:p>
    <w:p w14:paraId="22419DF5">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Hans"/>
        </w:rPr>
      </w:pPr>
      <w:bookmarkStart w:id="6" w:name="_Toc1068839615"/>
      <w:bookmarkStart w:id="7" w:name="_Toc14010"/>
      <w:r>
        <w:rPr>
          <w:rFonts w:hint="eastAsia" w:ascii="宋体" w:hAnsi="宋体" w:eastAsia="宋体" w:cs="宋体"/>
          <w:spacing w:val="4"/>
          <w:kern w:val="0"/>
          <w:sz w:val="21"/>
          <w:szCs w:val="21"/>
          <w:lang w:val="en-US" w:eastAsia="zh-CN"/>
        </w:rPr>
        <w:t>（二）</w:t>
      </w:r>
      <w:r>
        <w:rPr>
          <w:rFonts w:hint="eastAsia" w:ascii="宋体" w:hAnsi="宋体" w:eastAsia="宋体" w:cs="宋体"/>
          <w:spacing w:val="4"/>
          <w:kern w:val="0"/>
          <w:sz w:val="21"/>
          <w:szCs w:val="21"/>
          <w:lang w:val="en-US" w:eastAsia="zh-Hans"/>
        </w:rPr>
        <w:t>项目服务要求</w:t>
      </w:r>
      <w:bookmarkEnd w:id="6"/>
      <w:bookmarkEnd w:id="7"/>
    </w:p>
    <w:p w14:paraId="020F6B09">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Hans"/>
        </w:rPr>
      </w:pPr>
      <w:bookmarkStart w:id="8" w:name="_Toc12238"/>
      <w:bookmarkStart w:id="9" w:name="_Toc286702150"/>
      <w:r>
        <w:rPr>
          <w:rFonts w:hint="eastAsia" w:ascii="宋体" w:hAnsi="宋体" w:eastAsia="宋体" w:cs="宋体"/>
          <w:spacing w:val="4"/>
          <w:kern w:val="0"/>
          <w:sz w:val="21"/>
          <w:szCs w:val="21"/>
          <w:lang w:val="en-US" w:eastAsia="zh-Hans"/>
        </w:rPr>
        <w:t>1、故障处理</w:t>
      </w:r>
      <w:bookmarkEnd w:id="8"/>
      <w:bookmarkEnd w:id="9"/>
    </w:p>
    <w:p w14:paraId="192C44BF">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Hans"/>
        </w:rPr>
      </w:pPr>
      <w:bookmarkStart w:id="10" w:name="_Toc1797214829"/>
      <w:bookmarkStart w:id="11" w:name="_Toc26264"/>
      <w:r>
        <w:rPr>
          <w:rFonts w:hint="eastAsia" w:ascii="宋体" w:hAnsi="宋体" w:eastAsia="宋体" w:cs="宋体"/>
          <w:spacing w:val="4"/>
          <w:kern w:val="0"/>
          <w:sz w:val="21"/>
          <w:szCs w:val="21"/>
          <w:lang w:val="en-US" w:eastAsia="zh-CN"/>
        </w:rPr>
        <w:t>乙方</w:t>
      </w:r>
      <w:r>
        <w:rPr>
          <w:rFonts w:hint="eastAsia" w:ascii="宋体" w:hAnsi="宋体" w:eastAsia="宋体" w:cs="宋体"/>
          <w:spacing w:val="4"/>
          <w:kern w:val="0"/>
          <w:sz w:val="21"/>
          <w:szCs w:val="21"/>
          <w:lang w:val="en-US" w:eastAsia="zh-Hans"/>
        </w:rPr>
        <w:t>应</w:t>
      </w:r>
      <w:r>
        <w:rPr>
          <w:rFonts w:hint="eastAsia" w:ascii="宋体" w:hAnsi="宋体" w:eastAsia="宋体" w:cs="宋体"/>
          <w:spacing w:val="4"/>
          <w:kern w:val="0"/>
          <w:sz w:val="21"/>
          <w:szCs w:val="21"/>
          <w:lang w:val="en-US" w:eastAsia="zh-CN"/>
        </w:rPr>
        <w:t>可预见相关故障，并制定故障处理预案。对不可预见的突发故障，应根据</w:t>
      </w:r>
      <w:r>
        <w:rPr>
          <w:rFonts w:hint="eastAsia" w:ascii="宋体" w:hAnsi="宋体" w:eastAsia="宋体" w:cs="宋体"/>
          <w:spacing w:val="4"/>
          <w:kern w:val="0"/>
          <w:sz w:val="21"/>
          <w:szCs w:val="21"/>
          <w:lang w:val="en-US" w:eastAsia="zh-Hans"/>
        </w:rPr>
        <w:t>故障</w:t>
      </w:r>
      <w:r>
        <w:rPr>
          <w:rFonts w:hint="eastAsia" w:ascii="宋体" w:hAnsi="宋体" w:eastAsia="宋体" w:cs="宋体"/>
          <w:spacing w:val="4"/>
          <w:kern w:val="0"/>
          <w:sz w:val="21"/>
          <w:szCs w:val="21"/>
          <w:lang w:val="en-US" w:eastAsia="zh-CN"/>
        </w:rPr>
        <w:t>的影响范围</w:t>
      </w:r>
      <w:r>
        <w:rPr>
          <w:rFonts w:hint="eastAsia" w:ascii="宋体" w:hAnsi="宋体" w:eastAsia="宋体" w:cs="宋体"/>
          <w:spacing w:val="4"/>
          <w:kern w:val="0"/>
          <w:sz w:val="21"/>
          <w:szCs w:val="21"/>
          <w:lang w:val="en-US" w:eastAsia="zh-Hans"/>
        </w:rPr>
        <w:t>，采取必要的服务措施，尽快修复故障，如设备出现</w:t>
      </w:r>
      <w:r>
        <w:rPr>
          <w:rFonts w:hint="eastAsia" w:ascii="宋体" w:hAnsi="宋体" w:eastAsia="宋体" w:cs="宋体"/>
          <w:spacing w:val="4"/>
          <w:kern w:val="0"/>
          <w:sz w:val="21"/>
          <w:szCs w:val="21"/>
          <w:lang w:val="en-US" w:eastAsia="zh-CN"/>
        </w:rPr>
        <w:t>不可预见的</w:t>
      </w:r>
      <w:r>
        <w:rPr>
          <w:rFonts w:hint="eastAsia" w:ascii="宋体" w:hAnsi="宋体" w:eastAsia="宋体" w:cs="宋体"/>
          <w:spacing w:val="4"/>
          <w:kern w:val="0"/>
          <w:sz w:val="21"/>
          <w:szCs w:val="21"/>
          <w:lang w:val="en-US" w:eastAsia="zh-Hans"/>
        </w:rPr>
        <w:t>硬件故障应及时</w:t>
      </w:r>
      <w:r>
        <w:rPr>
          <w:rFonts w:hint="eastAsia" w:ascii="宋体" w:hAnsi="宋体" w:eastAsia="宋体" w:cs="宋体"/>
          <w:spacing w:val="4"/>
          <w:kern w:val="0"/>
          <w:sz w:val="21"/>
          <w:szCs w:val="21"/>
          <w:lang w:val="en-US" w:eastAsia="zh-CN"/>
        </w:rPr>
        <w:t>向甲方提出</w:t>
      </w:r>
      <w:r>
        <w:rPr>
          <w:rFonts w:hint="eastAsia" w:ascii="宋体" w:hAnsi="宋体" w:eastAsia="宋体" w:cs="宋体"/>
          <w:spacing w:val="4"/>
          <w:kern w:val="0"/>
          <w:sz w:val="21"/>
          <w:szCs w:val="21"/>
          <w:lang w:val="en-US" w:eastAsia="zh-Hans"/>
        </w:rPr>
        <w:t>维修/更换故障设备</w:t>
      </w:r>
      <w:r>
        <w:rPr>
          <w:rFonts w:hint="eastAsia" w:ascii="宋体" w:hAnsi="宋体" w:eastAsia="宋体" w:cs="宋体"/>
          <w:spacing w:val="4"/>
          <w:kern w:val="0"/>
          <w:sz w:val="21"/>
          <w:szCs w:val="21"/>
          <w:lang w:val="en-US" w:eastAsia="zh-CN"/>
        </w:rPr>
        <w:t>的必要性和可行性结论，以确保业务系统的持续不间断运行。</w:t>
      </w:r>
    </w:p>
    <w:p w14:paraId="48AFC895">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Hans"/>
        </w:rPr>
      </w:pPr>
      <w:r>
        <w:rPr>
          <w:rFonts w:hint="eastAsia" w:ascii="宋体" w:hAnsi="宋体" w:eastAsia="宋体" w:cs="宋体"/>
          <w:spacing w:val="4"/>
          <w:kern w:val="0"/>
          <w:sz w:val="21"/>
          <w:szCs w:val="21"/>
          <w:lang w:val="en-US" w:eastAsia="zh-Hans"/>
        </w:rPr>
        <w:t>2、人员要求</w:t>
      </w:r>
      <w:bookmarkEnd w:id="10"/>
      <w:bookmarkEnd w:id="11"/>
    </w:p>
    <w:p w14:paraId="447DB266">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Hans"/>
        </w:rPr>
      </w:pPr>
      <w:r>
        <w:rPr>
          <w:rFonts w:hint="eastAsia" w:ascii="宋体" w:hAnsi="宋体" w:eastAsia="宋体" w:cs="宋体"/>
          <w:spacing w:val="4"/>
          <w:kern w:val="0"/>
          <w:sz w:val="21"/>
          <w:szCs w:val="21"/>
          <w:lang w:val="en-US" w:eastAsia="zh-Hans"/>
        </w:rPr>
        <w:t>(1)驻场服务人员</w:t>
      </w:r>
    </w:p>
    <w:p w14:paraId="739376FA">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CN"/>
        </w:rPr>
      </w:pPr>
      <w:r>
        <w:rPr>
          <w:rFonts w:hint="eastAsia" w:ascii="宋体" w:hAnsi="宋体" w:eastAsia="宋体" w:cs="宋体"/>
          <w:spacing w:val="4"/>
          <w:kern w:val="0"/>
          <w:sz w:val="21"/>
          <w:szCs w:val="21"/>
          <w:lang w:val="en-US" w:eastAsia="zh-CN"/>
        </w:rPr>
        <w:t>法定</w:t>
      </w:r>
      <w:r>
        <w:rPr>
          <w:rFonts w:hint="eastAsia" w:ascii="宋体" w:hAnsi="宋体" w:eastAsia="宋体" w:cs="宋体"/>
          <w:spacing w:val="4"/>
          <w:kern w:val="0"/>
          <w:sz w:val="21"/>
          <w:szCs w:val="21"/>
          <w:lang w:val="en-US" w:eastAsia="zh-Hans"/>
        </w:rPr>
        <w:t>工作日安排</w:t>
      </w:r>
      <w:r>
        <w:rPr>
          <w:rFonts w:hint="eastAsia" w:ascii="宋体" w:hAnsi="宋体" w:eastAsia="宋体" w:cs="宋体"/>
          <w:spacing w:val="4"/>
          <w:kern w:val="0"/>
          <w:sz w:val="21"/>
          <w:szCs w:val="21"/>
          <w:lang w:val="en-US" w:eastAsia="zh-CN"/>
        </w:rPr>
        <w:t>4人</w:t>
      </w:r>
      <w:r>
        <w:rPr>
          <w:rFonts w:hint="eastAsia" w:ascii="宋体" w:hAnsi="宋体" w:eastAsia="宋体" w:cs="宋体"/>
          <w:spacing w:val="4"/>
          <w:kern w:val="0"/>
          <w:sz w:val="21"/>
          <w:szCs w:val="21"/>
          <w:lang w:val="en-US" w:eastAsia="zh-Hans"/>
        </w:rPr>
        <w:t>驻场</w:t>
      </w:r>
      <w:r>
        <w:rPr>
          <w:rFonts w:hint="eastAsia" w:ascii="宋体" w:hAnsi="宋体" w:eastAsia="宋体" w:cs="宋体"/>
          <w:spacing w:val="4"/>
          <w:kern w:val="0"/>
          <w:sz w:val="21"/>
          <w:szCs w:val="21"/>
          <w:lang w:val="en-US" w:eastAsia="zh-CN"/>
        </w:rPr>
        <w:t>坐班</w:t>
      </w:r>
      <w:r>
        <w:rPr>
          <w:rFonts w:hint="eastAsia" w:ascii="宋体" w:hAnsi="宋体" w:eastAsia="宋体" w:cs="宋体"/>
          <w:spacing w:val="4"/>
          <w:kern w:val="0"/>
          <w:sz w:val="21"/>
          <w:szCs w:val="21"/>
          <w:lang w:val="en-US" w:eastAsia="zh-Hans"/>
        </w:rPr>
        <w:t>服务</w:t>
      </w:r>
      <w:r>
        <w:rPr>
          <w:rFonts w:hint="eastAsia" w:ascii="宋体" w:hAnsi="宋体" w:eastAsia="宋体" w:cs="宋体"/>
          <w:spacing w:val="4"/>
          <w:kern w:val="0"/>
          <w:sz w:val="21"/>
          <w:szCs w:val="21"/>
          <w:lang w:val="en-US" w:eastAsia="zh-CN"/>
        </w:rPr>
        <w:t>，其中一人</w:t>
      </w:r>
      <w:r>
        <w:rPr>
          <w:rFonts w:hint="eastAsia" w:ascii="宋体" w:hAnsi="宋体" w:eastAsia="宋体" w:cs="宋体"/>
          <w:spacing w:val="4"/>
          <w:kern w:val="0"/>
          <w:sz w:val="21"/>
          <w:szCs w:val="21"/>
          <w:lang w:val="en-US" w:eastAsia="zh-Hans"/>
        </w:rPr>
        <w:t>应具</w:t>
      </w:r>
      <w:r>
        <w:rPr>
          <w:rFonts w:hint="eastAsia" w:ascii="宋体" w:hAnsi="宋体" w:eastAsia="宋体" w:cs="宋体"/>
          <w:spacing w:val="4"/>
          <w:kern w:val="0"/>
          <w:sz w:val="21"/>
          <w:szCs w:val="21"/>
          <w:lang w:val="en-US" w:eastAsia="zh-CN"/>
        </w:rPr>
        <w:t>备可查询到的“</w:t>
      </w:r>
      <w:r>
        <w:rPr>
          <w:rFonts w:hint="eastAsia" w:ascii="宋体" w:hAnsi="宋体" w:eastAsia="宋体" w:cs="宋体"/>
          <w:spacing w:val="4"/>
          <w:kern w:val="0"/>
          <w:sz w:val="21"/>
          <w:szCs w:val="21"/>
          <w:lang w:val="en-US" w:eastAsia="zh-Hans"/>
        </w:rPr>
        <w:t>计算机技术与软件专业技术资格”</w:t>
      </w:r>
      <w:r>
        <w:rPr>
          <w:rFonts w:hint="eastAsia" w:ascii="宋体" w:hAnsi="宋体" w:eastAsia="宋体" w:cs="宋体"/>
          <w:spacing w:val="4"/>
          <w:kern w:val="0"/>
          <w:sz w:val="21"/>
          <w:szCs w:val="21"/>
          <w:lang w:val="en-US" w:eastAsia="zh-CN"/>
        </w:rPr>
        <w:t>中级以上技术水平资格。其他时期</w:t>
      </w:r>
      <w:r>
        <w:rPr>
          <w:rFonts w:hint="eastAsia" w:ascii="宋体" w:hAnsi="宋体" w:eastAsia="宋体" w:cs="宋体"/>
          <w:spacing w:val="4"/>
          <w:kern w:val="0"/>
          <w:sz w:val="21"/>
          <w:szCs w:val="21"/>
          <w:lang w:val="en-US" w:eastAsia="zh-Hans"/>
        </w:rPr>
        <w:t>安排1人驻场服务，</w:t>
      </w:r>
      <w:r>
        <w:rPr>
          <w:rFonts w:hint="eastAsia" w:ascii="宋体" w:hAnsi="宋体" w:eastAsia="宋体" w:cs="宋体"/>
          <w:spacing w:val="4"/>
          <w:kern w:val="0"/>
          <w:sz w:val="21"/>
          <w:szCs w:val="21"/>
          <w:lang w:val="en-US" w:eastAsia="zh-CN"/>
        </w:rPr>
        <w:t>具体需求</w:t>
      </w:r>
      <w:r>
        <w:rPr>
          <w:rFonts w:hint="eastAsia" w:ascii="宋体" w:hAnsi="宋体" w:eastAsia="宋体" w:cs="宋体"/>
          <w:spacing w:val="4"/>
          <w:kern w:val="0"/>
          <w:sz w:val="21"/>
          <w:szCs w:val="21"/>
          <w:lang w:val="en-US" w:eastAsia="zh-Hans"/>
        </w:rPr>
        <w:t>按采购人的实际要求执行</w:t>
      </w:r>
      <w:r>
        <w:rPr>
          <w:rFonts w:hint="eastAsia" w:ascii="宋体" w:hAnsi="宋体" w:eastAsia="宋体" w:cs="宋体"/>
          <w:spacing w:val="4"/>
          <w:kern w:val="0"/>
          <w:sz w:val="21"/>
          <w:szCs w:val="21"/>
          <w:lang w:val="en-US" w:eastAsia="zh-CN"/>
        </w:rPr>
        <w:t>，其他时期</w:t>
      </w:r>
      <w:r>
        <w:rPr>
          <w:rFonts w:hint="eastAsia" w:ascii="宋体" w:hAnsi="宋体" w:eastAsia="宋体" w:cs="宋体"/>
          <w:spacing w:val="4"/>
          <w:kern w:val="0"/>
          <w:sz w:val="21"/>
          <w:szCs w:val="21"/>
          <w:lang w:val="en-US" w:eastAsia="zh-Hans"/>
        </w:rPr>
        <w:t>包括但不限于</w:t>
      </w:r>
      <w:r>
        <w:rPr>
          <w:rFonts w:hint="eastAsia" w:ascii="宋体" w:hAnsi="宋体" w:eastAsia="宋体" w:cs="宋体"/>
          <w:spacing w:val="4"/>
          <w:kern w:val="0"/>
          <w:sz w:val="21"/>
          <w:szCs w:val="21"/>
          <w:lang w:val="en-US" w:eastAsia="zh-CN"/>
        </w:rPr>
        <w:t>节假日、等级勤务等采购方因工作需要提出的工作需求</w:t>
      </w:r>
      <w:r>
        <w:rPr>
          <w:rFonts w:hint="eastAsia" w:ascii="宋体" w:hAnsi="宋体" w:eastAsia="宋体" w:cs="宋体"/>
          <w:spacing w:val="4"/>
          <w:kern w:val="0"/>
          <w:sz w:val="21"/>
          <w:szCs w:val="21"/>
          <w:lang w:val="en-US" w:eastAsia="zh-Hans"/>
        </w:rPr>
        <w:t>。工作日</w:t>
      </w:r>
      <w:r>
        <w:rPr>
          <w:rFonts w:hint="eastAsia" w:ascii="宋体" w:hAnsi="宋体" w:eastAsia="宋体" w:cs="宋体"/>
          <w:spacing w:val="4"/>
          <w:kern w:val="0"/>
          <w:sz w:val="21"/>
          <w:szCs w:val="21"/>
          <w:lang w:val="en-US" w:eastAsia="zh-CN"/>
        </w:rPr>
        <w:t>提供10</w:t>
      </w:r>
      <w:r>
        <w:rPr>
          <w:rFonts w:hint="eastAsia" w:ascii="宋体" w:hAnsi="宋体" w:eastAsia="宋体" w:cs="宋体"/>
          <w:spacing w:val="4"/>
          <w:kern w:val="0"/>
          <w:sz w:val="21"/>
          <w:szCs w:val="21"/>
          <w:lang w:val="en-US" w:eastAsia="zh-Hans"/>
        </w:rPr>
        <w:t>小时驻场</w:t>
      </w:r>
      <w:r>
        <w:rPr>
          <w:rFonts w:hint="eastAsia" w:ascii="宋体" w:hAnsi="宋体" w:eastAsia="宋体" w:cs="宋体"/>
          <w:spacing w:val="4"/>
          <w:kern w:val="0"/>
          <w:sz w:val="21"/>
          <w:szCs w:val="21"/>
          <w:lang w:val="en-US" w:eastAsia="zh-CN"/>
        </w:rPr>
        <w:t>服务</w:t>
      </w:r>
      <w:r>
        <w:rPr>
          <w:rFonts w:hint="eastAsia" w:ascii="宋体" w:hAnsi="宋体" w:eastAsia="宋体" w:cs="宋体"/>
          <w:spacing w:val="4"/>
          <w:kern w:val="0"/>
          <w:sz w:val="21"/>
          <w:szCs w:val="21"/>
          <w:lang w:val="en-US" w:eastAsia="zh-Hans"/>
        </w:rPr>
        <w:t>，</w:t>
      </w:r>
      <w:r>
        <w:rPr>
          <w:rFonts w:hint="eastAsia" w:ascii="宋体" w:hAnsi="宋体" w:eastAsia="宋体" w:cs="宋体"/>
          <w:spacing w:val="4"/>
          <w:kern w:val="0"/>
          <w:sz w:val="21"/>
          <w:szCs w:val="21"/>
          <w:lang w:val="en-US" w:eastAsia="zh-CN"/>
        </w:rPr>
        <w:t>节假日</w:t>
      </w:r>
      <w:r>
        <w:rPr>
          <w:rFonts w:hint="eastAsia" w:ascii="宋体" w:hAnsi="宋体" w:eastAsia="宋体" w:cs="宋体"/>
          <w:spacing w:val="4"/>
          <w:kern w:val="0"/>
          <w:sz w:val="21"/>
          <w:szCs w:val="21"/>
          <w:lang w:val="en-US" w:eastAsia="zh-Hans"/>
        </w:rPr>
        <w:t>提供</w:t>
      </w:r>
      <w:r>
        <w:rPr>
          <w:rFonts w:hint="eastAsia" w:ascii="宋体" w:hAnsi="宋体" w:eastAsia="宋体" w:cs="宋体"/>
          <w:spacing w:val="4"/>
          <w:kern w:val="0"/>
          <w:sz w:val="21"/>
          <w:szCs w:val="21"/>
          <w:lang w:val="en-US" w:eastAsia="zh-CN"/>
        </w:rPr>
        <w:t>8</w:t>
      </w:r>
      <w:r>
        <w:rPr>
          <w:rFonts w:hint="eastAsia" w:ascii="宋体" w:hAnsi="宋体" w:eastAsia="宋体" w:cs="宋体"/>
          <w:spacing w:val="4"/>
          <w:kern w:val="0"/>
          <w:sz w:val="21"/>
          <w:szCs w:val="21"/>
          <w:lang w:val="en-US" w:eastAsia="zh-Hans"/>
        </w:rPr>
        <w:t>小时服务</w:t>
      </w:r>
      <w:r>
        <w:rPr>
          <w:rFonts w:hint="eastAsia" w:ascii="宋体" w:hAnsi="宋体" w:eastAsia="宋体" w:cs="宋体"/>
          <w:spacing w:val="4"/>
          <w:kern w:val="0"/>
          <w:sz w:val="21"/>
          <w:szCs w:val="21"/>
          <w:lang w:val="en-US" w:eastAsia="zh-CN"/>
        </w:rPr>
        <w:t>，其他时间根据采购人要求确定</w:t>
      </w:r>
      <w:r>
        <w:rPr>
          <w:rFonts w:hint="eastAsia" w:ascii="宋体" w:hAnsi="宋体" w:eastAsia="宋体" w:cs="宋体"/>
          <w:spacing w:val="4"/>
          <w:kern w:val="0"/>
          <w:sz w:val="21"/>
          <w:szCs w:val="21"/>
          <w:lang w:val="en-US" w:eastAsia="zh-Hans"/>
        </w:rPr>
        <w:t>。</w:t>
      </w:r>
      <w:r>
        <w:rPr>
          <w:rFonts w:hint="eastAsia" w:ascii="宋体" w:hAnsi="宋体" w:eastAsia="宋体" w:cs="宋体"/>
          <w:spacing w:val="4"/>
          <w:kern w:val="0"/>
          <w:sz w:val="21"/>
          <w:szCs w:val="21"/>
          <w:lang w:val="en-US" w:eastAsia="zh-CN"/>
        </w:rPr>
        <w:t>超出的工作时长，采购方不再另外支付费用，加班工时以考勤系统统计为准，可累计计时调休，经甲方负责人书面同意后调休当日不计入缺岗，同时不需要人代班。调休时间应在2周内安排完毕，逾期不予以累计计算。</w:t>
      </w:r>
    </w:p>
    <w:p w14:paraId="38EF9F31">
      <w:pPr>
        <w:pStyle w:val="10"/>
        <w:keepNext w:val="0"/>
        <w:keepLines w:val="0"/>
        <w:pageBreakBefore w:val="0"/>
        <w:widowControl/>
        <w:wordWrap/>
        <w:overflowPunct/>
        <w:topLinePunct w:val="0"/>
        <w:bidi w:val="0"/>
        <w:spacing w:after="0" w:line="320" w:lineRule="exact"/>
        <w:ind w:firstLine="438" w:firstLineChars="200"/>
        <w:rPr>
          <w:rFonts w:hint="eastAsia" w:ascii="宋体" w:hAnsi="宋体" w:eastAsia="宋体" w:cs="宋体"/>
          <w:spacing w:val="4"/>
          <w:kern w:val="0"/>
          <w:sz w:val="21"/>
          <w:szCs w:val="21"/>
          <w:lang w:val="en-US" w:eastAsia="zh-CN"/>
        </w:rPr>
      </w:pPr>
      <w:r>
        <w:rPr>
          <w:rFonts w:hint="eastAsia" w:ascii="宋体" w:hAnsi="宋体" w:eastAsia="宋体" w:cs="宋体"/>
          <w:b/>
          <w:bCs/>
          <w:spacing w:val="4"/>
          <w:kern w:val="0"/>
          <w:sz w:val="21"/>
          <w:szCs w:val="21"/>
          <w:lang w:val="en-US" w:eastAsia="zh-Hans"/>
        </w:rPr>
        <w:t>管理岗人员和职责</w:t>
      </w:r>
      <w:r>
        <w:rPr>
          <w:rFonts w:hint="eastAsia" w:ascii="宋体" w:hAnsi="宋体" w:eastAsia="宋体" w:cs="宋体"/>
          <w:b/>
          <w:bCs/>
          <w:spacing w:val="4"/>
          <w:kern w:val="0"/>
          <w:sz w:val="21"/>
          <w:szCs w:val="21"/>
          <w:lang w:val="en-US" w:eastAsia="zh-CN"/>
        </w:rPr>
        <w:t>：</w:t>
      </w:r>
      <w:r>
        <w:rPr>
          <w:rFonts w:hint="eastAsia" w:ascii="宋体" w:hAnsi="宋体" w:eastAsia="宋体" w:cs="宋体"/>
          <w:spacing w:val="4"/>
          <w:kern w:val="0"/>
          <w:sz w:val="21"/>
          <w:szCs w:val="21"/>
          <w:lang w:val="en-US" w:eastAsia="zh-Hans"/>
        </w:rPr>
        <w:t>驻场服务人员需要设技术负责人一名，应</w:t>
      </w:r>
      <w:r>
        <w:rPr>
          <w:rFonts w:hint="eastAsia" w:ascii="宋体" w:hAnsi="宋体" w:eastAsia="宋体" w:cs="宋体"/>
          <w:spacing w:val="4"/>
          <w:kern w:val="0"/>
          <w:sz w:val="21"/>
          <w:szCs w:val="21"/>
          <w:lang w:val="en-US" w:eastAsia="zh-CN"/>
        </w:rPr>
        <w:t>至少</w:t>
      </w:r>
      <w:r>
        <w:rPr>
          <w:rFonts w:hint="eastAsia" w:ascii="宋体" w:hAnsi="宋体" w:eastAsia="宋体" w:cs="宋体"/>
          <w:spacing w:val="4"/>
          <w:kern w:val="0"/>
          <w:sz w:val="21"/>
          <w:szCs w:val="21"/>
          <w:lang w:val="en-US" w:eastAsia="zh-Hans"/>
        </w:rPr>
        <w:t>具</w:t>
      </w:r>
      <w:r>
        <w:rPr>
          <w:rFonts w:hint="eastAsia" w:ascii="宋体" w:hAnsi="宋体" w:eastAsia="宋体" w:cs="宋体"/>
          <w:spacing w:val="4"/>
          <w:kern w:val="0"/>
          <w:sz w:val="21"/>
          <w:szCs w:val="21"/>
          <w:lang w:val="en-US" w:eastAsia="zh-CN"/>
        </w:rPr>
        <w:t>备可查询到的“</w:t>
      </w:r>
      <w:r>
        <w:rPr>
          <w:rFonts w:hint="eastAsia" w:ascii="宋体" w:hAnsi="宋体" w:eastAsia="宋体" w:cs="宋体"/>
          <w:spacing w:val="4"/>
          <w:kern w:val="0"/>
          <w:sz w:val="21"/>
          <w:szCs w:val="21"/>
          <w:lang w:val="en-US" w:eastAsia="zh-Hans"/>
        </w:rPr>
        <w:t>计算机技术与软件专业技术资格”</w:t>
      </w:r>
      <w:r>
        <w:rPr>
          <w:rFonts w:hint="eastAsia" w:ascii="宋体" w:hAnsi="宋体" w:eastAsia="宋体" w:cs="宋体"/>
          <w:spacing w:val="4"/>
          <w:kern w:val="0"/>
          <w:sz w:val="21"/>
          <w:szCs w:val="21"/>
          <w:lang w:val="en-US" w:eastAsia="zh-CN"/>
        </w:rPr>
        <w:t>中级以上技术水平资格。具有</w:t>
      </w:r>
      <w:r>
        <w:rPr>
          <w:rFonts w:hint="eastAsia" w:ascii="宋体" w:hAnsi="宋体" w:eastAsia="宋体" w:cs="宋体"/>
          <w:spacing w:val="4"/>
          <w:kern w:val="0"/>
          <w:sz w:val="21"/>
          <w:szCs w:val="21"/>
          <w:lang w:val="en-US" w:eastAsia="zh-Hans"/>
        </w:rPr>
        <w:t>技术及管理能力和突发事件处理经验，在运行维护服务中负责管理运行维护服务；</w:t>
      </w:r>
      <w:r>
        <w:rPr>
          <w:rFonts w:hint="eastAsia" w:ascii="宋体" w:hAnsi="宋体" w:eastAsia="宋体" w:cs="宋体"/>
          <w:spacing w:val="4"/>
          <w:kern w:val="0"/>
          <w:sz w:val="21"/>
          <w:szCs w:val="21"/>
          <w:lang w:val="en-US" w:eastAsia="zh-CN"/>
        </w:rPr>
        <w:t>能够</w:t>
      </w:r>
      <w:r>
        <w:rPr>
          <w:rFonts w:hint="eastAsia" w:ascii="宋体" w:hAnsi="宋体" w:eastAsia="宋体" w:cs="宋体"/>
          <w:spacing w:val="4"/>
          <w:kern w:val="0"/>
          <w:sz w:val="21"/>
          <w:szCs w:val="21"/>
          <w:lang w:val="en-US" w:eastAsia="zh-Hans"/>
        </w:rPr>
        <w:t>与需方建立顺畅的沟通渠道，准确地将需方的需求传递到运维团队；</w:t>
      </w:r>
      <w:r>
        <w:rPr>
          <w:rFonts w:hint="eastAsia" w:ascii="宋体" w:hAnsi="宋体" w:eastAsia="宋体" w:cs="宋体"/>
          <w:spacing w:val="4"/>
          <w:kern w:val="0"/>
          <w:sz w:val="21"/>
          <w:szCs w:val="21"/>
          <w:lang w:val="en-US" w:eastAsia="zh-CN"/>
        </w:rPr>
        <w:t>熟悉并执行</w:t>
      </w:r>
      <w:r>
        <w:rPr>
          <w:rFonts w:hint="eastAsia" w:ascii="宋体" w:hAnsi="宋体" w:eastAsia="宋体" w:cs="宋体"/>
          <w:spacing w:val="4"/>
          <w:kern w:val="0"/>
          <w:sz w:val="21"/>
          <w:szCs w:val="21"/>
          <w:lang w:val="en-US" w:eastAsia="zh-Hans"/>
        </w:rPr>
        <w:t>规划、检查运行维护服务的各个过程，对运行维护服务的策划、实施、检查、改进的范围、过程、信息安全和成果负责</w:t>
      </w:r>
      <w:r>
        <w:rPr>
          <w:rFonts w:hint="eastAsia" w:ascii="宋体" w:hAnsi="宋体" w:eastAsia="宋体" w:cs="宋体"/>
          <w:spacing w:val="4"/>
          <w:kern w:val="0"/>
          <w:sz w:val="21"/>
          <w:szCs w:val="21"/>
          <w:lang w:val="en-US" w:eastAsia="zh-CN"/>
        </w:rPr>
        <w:t>；能够独立完成总结、汇报、演示、培训等与职责相关的能力和技术水平。不能够满足工作要求的，采购方将按照驻场人员比例从总费用中扣除同比例费用。</w:t>
      </w:r>
    </w:p>
    <w:p w14:paraId="5AB28CF8">
      <w:pPr>
        <w:pStyle w:val="10"/>
        <w:keepNext w:val="0"/>
        <w:keepLines w:val="0"/>
        <w:pageBreakBefore w:val="0"/>
        <w:widowControl/>
        <w:wordWrap/>
        <w:overflowPunct/>
        <w:topLinePunct w:val="0"/>
        <w:bidi w:val="0"/>
        <w:spacing w:after="0" w:line="320" w:lineRule="exact"/>
        <w:ind w:firstLine="438" w:firstLineChars="200"/>
        <w:rPr>
          <w:rFonts w:hint="eastAsia" w:ascii="宋体" w:hAnsi="宋体" w:eastAsia="宋体" w:cs="宋体"/>
          <w:spacing w:val="4"/>
          <w:kern w:val="0"/>
          <w:sz w:val="21"/>
          <w:szCs w:val="21"/>
          <w:lang w:val="en-US" w:eastAsia="zh-Hans"/>
        </w:rPr>
      </w:pPr>
      <w:r>
        <w:rPr>
          <w:rFonts w:hint="eastAsia" w:ascii="宋体" w:hAnsi="宋体" w:eastAsia="宋体" w:cs="宋体"/>
          <w:b/>
          <w:bCs/>
          <w:spacing w:val="4"/>
          <w:kern w:val="0"/>
          <w:sz w:val="21"/>
          <w:szCs w:val="21"/>
          <w:lang w:val="en-US" w:eastAsia="zh-Hans"/>
        </w:rPr>
        <w:t>技术支持岗人员和职责：</w:t>
      </w:r>
      <w:r>
        <w:rPr>
          <w:rFonts w:hint="eastAsia" w:ascii="宋体" w:hAnsi="宋体" w:eastAsia="宋体" w:cs="宋体"/>
          <w:spacing w:val="4"/>
          <w:kern w:val="0"/>
          <w:sz w:val="21"/>
          <w:szCs w:val="21"/>
          <w:lang w:val="en-US" w:eastAsia="zh-CN"/>
        </w:rPr>
        <w:t>具备熟悉</w:t>
      </w:r>
      <w:r>
        <w:rPr>
          <w:rFonts w:hint="eastAsia" w:ascii="宋体" w:hAnsi="宋体" w:eastAsia="宋体" w:cs="宋体"/>
          <w:spacing w:val="4"/>
          <w:kern w:val="0"/>
          <w:sz w:val="21"/>
          <w:szCs w:val="21"/>
          <w:lang w:val="en-US" w:eastAsia="zh-Hans"/>
        </w:rPr>
        <w:t>网络、操作系统、数据库、中间件、应用开发、硬件、集成、信息安全</w:t>
      </w:r>
      <w:r>
        <w:rPr>
          <w:rFonts w:hint="eastAsia" w:ascii="宋体" w:hAnsi="宋体" w:eastAsia="宋体" w:cs="宋体"/>
          <w:spacing w:val="4"/>
          <w:kern w:val="0"/>
          <w:sz w:val="21"/>
          <w:szCs w:val="21"/>
          <w:lang w:val="en-US" w:eastAsia="zh-CN"/>
        </w:rPr>
        <w:t>等相关知识及操作命令，并能够熟练执行相关操作；具备培训驻场人员业务的能力。</w:t>
      </w:r>
      <w:r>
        <w:rPr>
          <w:rFonts w:hint="eastAsia" w:ascii="宋体" w:hAnsi="宋体" w:eastAsia="宋体" w:cs="宋体"/>
          <w:spacing w:val="4"/>
          <w:kern w:val="0"/>
          <w:sz w:val="21"/>
          <w:szCs w:val="21"/>
          <w:lang w:val="en-US" w:eastAsia="zh-Hans"/>
        </w:rPr>
        <w:t>在运行维护服务中负责技术支持，包括网络、操作系统、数据库、中间件、应用开发、硬件、集成、信息安全等；对运行维护服务过程中的请求、事件和问题做出响应，保障信息安全并对处理结果负责。</w:t>
      </w:r>
    </w:p>
    <w:p w14:paraId="792A8D60">
      <w:pPr>
        <w:pStyle w:val="10"/>
        <w:keepNext w:val="0"/>
        <w:keepLines w:val="0"/>
        <w:pageBreakBefore w:val="0"/>
        <w:widowControl/>
        <w:wordWrap/>
        <w:overflowPunct/>
        <w:topLinePunct w:val="0"/>
        <w:bidi w:val="0"/>
        <w:spacing w:after="0" w:line="320" w:lineRule="exact"/>
        <w:ind w:firstLine="438" w:firstLineChars="200"/>
        <w:rPr>
          <w:rFonts w:hint="eastAsia" w:ascii="宋体" w:hAnsi="宋体" w:eastAsia="宋体" w:cs="宋体"/>
          <w:spacing w:val="4"/>
          <w:kern w:val="0"/>
          <w:sz w:val="21"/>
          <w:szCs w:val="21"/>
          <w:lang w:val="en-US" w:eastAsia="zh-CN"/>
        </w:rPr>
      </w:pPr>
      <w:r>
        <w:rPr>
          <w:rFonts w:hint="eastAsia" w:ascii="宋体" w:hAnsi="宋体" w:eastAsia="宋体" w:cs="宋体"/>
          <w:b/>
          <w:bCs/>
          <w:spacing w:val="4"/>
          <w:kern w:val="0"/>
          <w:sz w:val="21"/>
          <w:szCs w:val="21"/>
          <w:lang w:val="en-US" w:eastAsia="zh-Hans"/>
        </w:rPr>
        <w:t>操作岗人员和职责：</w:t>
      </w:r>
      <w:r>
        <w:rPr>
          <w:rFonts w:hint="eastAsia" w:ascii="宋体" w:hAnsi="宋体" w:eastAsia="宋体" w:cs="宋体"/>
          <w:spacing w:val="4"/>
          <w:kern w:val="0"/>
          <w:sz w:val="21"/>
          <w:szCs w:val="21"/>
          <w:lang w:val="en-US" w:eastAsia="zh-CN"/>
        </w:rPr>
        <w:t>具备熟悉</w:t>
      </w:r>
      <w:r>
        <w:rPr>
          <w:rFonts w:hint="eastAsia" w:ascii="宋体" w:hAnsi="宋体" w:eastAsia="宋体" w:cs="宋体"/>
          <w:spacing w:val="4"/>
          <w:kern w:val="0"/>
          <w:sz w:val="21"/>
          <w:szCs w:val="21"/>
          <w:lang w:val="en-US" w:eastAsia="zh-Hans"/>
        </w:rPr>
        <w:t>网络、操作系统、数据库、中间件、应用开发、硬件、集成、信息安全</w:t>
      </w:r>
      <w:r>
        <w:rPr>
          <w:rFonts w:hint="eastAsia" w:ascii="宋体" w:hAnsi="宋体" w:eastAsia="宋体" w:cs="宋体"/>
          <w:spacing w:val="4"/>
          <w:kern w:val="0"/>
          <w:sz w:val="21"/>
          <w:szCs w:val="21"/>
          <w:lang w:val="en-US" w:eastAsia="zh-CN"/>
        </w:rPr>
        <w:t>等相关知识及操作命令，并能够熟练执行相关操作；对上述内容产生的报错、故障代码、故障现象能够掌握故障原理，提出解决意见，实施解决方案。</w:t>
      </w:r>
    </w:p>
    <w:p w14:paraId="2088AFAA">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Hans"/>
        </w:rPr>
      </w:pPr>
      <w:r>
        <w:rPr>
          <w:rFonts w:hint="eastAsia" w:ascii="宋体" w:hAnsi="宋体" w:eastAsia="宋体" w:cs="宋体"/>
          <w:spacing w:val="4"/>
          <w:kern w:val="0"/>
          <w:sz w:val="21"/>
          <w:szCs w:val="21"/>
          <w:lang w:val="en-US" w:eastAsia="zh-CN"/>
        </w:rPr>
        <w:t>能够严格按照法律法规、厂家操作手册、系统相关资料、现行技术方法完成运维服务全过程。</w:t>
      </w:r>
      <w:r>
        <w:rPr>
          <w:rFonts w:hint="eastAsia" w:ascii="宋体" w:hAnsi="宋体" w:eastAsia="宋体" w:cs="宋体"/>
          <w:spacing w:val="4"/>
          <w:kern w:val="0"/>
          <w:sz w:val="21"/>
          <w:szCs w:val="21"/>
          <w:lang w:val="en-US" w:eastAsia="zh-Hans"/>
        </w:rPr>
        <w:t>并对其执行结果负责。</w:t>
      </w:r>
    </w:p>
    <w:p w14:paraId="7E3655F6">
      <w:pPr>
        <w:pStyle w:val="11"/>
        <w:keepNext w:val="0"/>
        <w:keepLines w:val="0"/>
        <w:pageBreakBefore w:val="0"/>
        <w:widowControl/>
        <w:wordWrap/>
        <w:overflowPunct/>
        <w:topLinePunct w:val="0"/>
        <w:bidi w:val="0"/>
        <w:spacing w:line="320" w:lineRule="exact"/>
        <w:rPr>
          <w:rFonts w:hint="eastAsia" w:ascii="宋体" w:hAnsi="宋体" w:eastAsia="宋体" w:cs="宋体"/>
          <w:sz w:val="21"/>
          <w:szCs w:val="21"/>
          <w:lang w:val="en-US" w:eastAsia="zh-Hans"/>
        </w:rPr>
      </w:pPr>
      <w:r>
        <w:rPr>
          <w:rFonts w:hint="eastAsia" w:ascii="宋体" w:hAnsi="宋体" w:eastAsia="宋体" w:cs="宋体"/>
          <w:spacing w:val="4"/>
          <w:kern w:val="0"/>
          <w:sz w:val="21"/>
          <w:szCs w:val="21"/>
          <w:lang w:val="en-US" w:eastAsia="zh-Hans" w:bidi="ar-SA"/>
        </w:rPr>
        <w:t>乙方对驻场人员拥有完整人事管理权，甲方仅考核服务成果，不直接管理员工劳动关系、薪资、辞退。</w:t>
      </w:r>
    </w:p>
    <w:p w14:paraId="1B8F0D1D">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CN"/>
        </w:rPr>
      </w:pPr>
      <w:bookmarkStart w:id="12" w:name="_Toc1432135948"/>
      <w:r>
        <w:rPr>
          <w:rFonts w:hint="eastAsia" w:ascii="宋体" w:hAnsi="宋体" w:eastAsia="宋体" w:cs="宋体"/>
          <w:spacing w:val="4"/>
          <w:kern w:val="0"/>
          <w:sz w:val="21"/>
          <w:szCs w:val="21"/>
          <w:lang w:val="en-US" w:eastAsia="zh-Hans"/>
        </w:rPr>
        <w:t>3、资源</w:t>
      </w:r>
      <w:bookmarkEnd w:id="12"/>
      <w:r>
        <w:rPr>
          <w:rFonts w:hint="eastAsia" w:ascii="宋体" w:hAnsi="宋体" w:eastAsia="宋体" w:cs="宋体"/>
          <w:spacing w:val="4"/>
          <w:kern w:val="0"/>
          <w:sz w:val="21"/>
          <w:szCs w:val="21"/>
          <w:lang w:val="en-US" w:eastAsia="zh-CN"/>
        </w:rPr>
        <w:t>配置</w:t>
      </w:r>
    </w:p>
    <w:p w14:paraId="6D8A29EC">
      <w:pPr>
        <w:pStyle w:val="4"/>
        <w:keepNext w:val="0"/>
        <w:keepLines w:val="0"/>
        <w:pageBreakBefore w:val="0"/>
        <w:widowControl/>
        <w:wordWrap/>
        <w:overflowPunct/>
        <w:topLinePunct w:val="0"/>
        <w:bidi w:val="0"/>
        <w:spacing w:line="320" w:lineRule="exact"/>
        <w:ind w:firstLine="436" w:firstLineChars="200"/>
        <w:rPr>
          <w:rFonts w:hint="eastAsia" w:ascii="宋体" w:hAnsi="宋体" w:eastAsia="宋体" w:cs="宋体"/>
          <w:spacing w:val="4"/>
          <w:kern w:val="0"/>
          <w:sz w:val="21"/>
          <w:szCs w:val="21"/>
          <w:lang w:val="en-US" w:eastAsia="zh-CN" w:bidi="ar-SA"/>
        </w:rPr>
      </w:pPr>
      <w:r>
        <w:rPr>
          <w:rFonts w:hint="eastAsia" w:ascii="宋体" w:hAnsi="宋体" w:eastAsia="宋体" w:cs="宋体"/>
          <w:spacing w:val="4"/>
          <w:kern w:val="0"/>
          <w:sz w:val="21"/>
          <w:szCs w:val="21"/>
          <w:lang w:val="en-US" w:eastAsia="zh-Hans"/>
        </w:rPr>
        <w:t>运维工具：</w:t>
      </w:r>
    </w:p>
    <w:p w14:paraId="0B59C6F1">
      <w:pPr>
        <w:pStyle w:val="4"/>
        <w:keepNext w:val="0"/>
        <w:keepLines w:val="0"/>
        <w:pageBreakBefore w:val="0"/>
        <w:widowControl/>
        <w:wordWrap/>
        <w:overflowPunct/>
        <w:topLinePunct w:val="0"/>
        <w:bidi w:val="0"/>
        <w:spacing w:line="320" w:lineRule="exact"/>
        <w:ind w:firstLine="436" w:firstLineChars="200"/>
        <w:rPr>
          <w:rFonts w:hint="eastAsia" w:ascii="宋体" w:hAnsi="宋体" w:eastAsia="宋体" w:cs="宋体"/>
          <w:spacing w:val="4"/>
          <w:kern w:val="0"/>
          <w:sz w:val="21"/>
          <w:szCs w:val="21"/>
          <w:lang w:val="en-US" w:eastAsia="zh-CN"/>
        </w:rPr>
      </w:pPr>
      <w:r>
        <w:rPr>
          <w:rFonts w:hint="eastAsia" w:ascii="宋体" w:hAnsi="宋体" w:eastAsia="宋体" w:cs="宋体"/>
          <w:spacing w:val="4"/>
          <w:kern w:val="0"/>
          <w:sz w:val="21"/>
          <w:szCs w:val="21"/>
          <w:lang w:val="en-US" w:eastAsia="zh-Hans"/>
        </w:rPr>
        <w:t>专用工具</w:t>
      </w:r>
      <w:r>
        <w:rPr>
          <w:rFonts w:hint="eastAsia" w:ascii="宋体" w:hAnsi="宋体" w:eastAsia="宋体" w:cs="宋体"/>
          <w:spacing w:val="4"/>
          <w:kern w:val="0"/>
          <w:sz w:val="21"/>
          <w:szCs w:val="21"/>
          <w:lang w:val="en-US" w:eastAsia="zh-CN"/>
        </w:rPr>
        <w:t>：</w:t>
      </w:r>
    </w:p>
    <w:p w14:paraId="0A68E88E">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Hans"/>
        </w:rPr>
      </w:pPr>
      <w:bookmarkStart w:id="13" w:name="_Toc1976192934"/>
      <w:r>
        <w:rPr>
          <w:rFonts w:hint="eastAsia" w:ascii="宋体" w:hAnsi="宋体" w:eastAsia="宋体" w:cs="宋体"/>
          <w:spacing w:val="4"/>
          <w:kern w:val="0"/>
          <w:sz w:val="21"/>
          <w:szCs w:val="21"/>
          <w:lang w:val="en-US" w:eastAsia="zh-CN"/>
        </w:rPr>
        <w:t>4</w:t>
      </w:r>
      <w:r>
        <w:rPr>
          <w:rFonts w:hint="eastAsia" w:ascii="宋体" w:hAnsi="宋体" w:eastAsia="宋体" w:cs="宋体"/>
          <w:spacing w:val="4"/>
          <w:kern w:val="0"/>
          <w:sz w:val="21"/>
          <w:szCs w:val="21"/>
          <w:lang w:val="en-US" w:eastAsia="zh-Hans"/>
        </w:rPr>
        <w:t>、过程要求</w:t>
      </w:r>
      <w:bookmarkEnd w:id="13"/>
    </w:p>
    <w:p w14:paraId="1DD68B50">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Hans"/>
        </w:rPr>
      </w:pPr>
      <w:r>
        <w:rPr>
          <w:rFonts w:hint="eastAsia" w:ascii="宋体" w:hAnsi="宋体" w:eastAsia="宋体" w:cs="宋体"/>
          <w:spacing w:val="4"/>
          <w:kern w:val="0"/>
          <w:sz w:val="21"/>
          <w:szCs w:val="21"/>
          <w:lang w:val="en-US" w:eastAsia="zh-Hans"/>
        </w:rPr>
        <w:t>服务报告：乙方应负责与服务报告相关的工作，包括但不限于制定服务报告制度、审批报告内容、按照详细计划（明确提交方式、时间、接收对象等）将报告分发至甲方指定人员，并保存报告。同时，乙方应提供统一的服务报告模板，确保报告内容完整、结构规范，并根据甲方要求进行定制和调整。</w:t>
      </w:r>
    </w:p>
    <w:p w14:paraId="1D7A731B">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CN"/>
        </w:rPr>
      </w:pPr>
      <w:r>
        <w:rPr>
          <w:rFonts w:hint="eastAsia" w:ascii="宋体" w:hAnsi="宋体" w:eastAsia="宋体" w:cs="宋体"/>
          <w:spacing w:val="4"/>
          <w:kern w:val="0"/>
          <w:sz w:val="21"/>
          <w:szCs w:val="21"/>
          <w:lang w:val="en-US" w:eastAsia="zh-Hans"/>
        </w:rPr>
        <w:t>信息安全管理：乙方应确保其运行维护服务过程合规，并满足甲乙双方的信息安全需求，采取必要措施保护敏感信息和数据。同时，乙方应建立并维护完善的信息安全管理体系，包括信息识别、风险评估、安全事件处置及持续改进等环节，并定期审查其有效性，及时应对潜在风险。</w:t>
      </w:r>
    </w:p>
    <w:p w14:paraId="34BDED97">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Hans"/>
        </w:rPr>
      </w:pPr>
      <w:bookmarkStart w:id="14" w:name="_Toc892557236"/>
      <w:bookmarkStart w:id="15" w:name="_Toc31260"/>
      <w:r>
        <w:rPr>
          <w:rFonts w:hint="eastAsia" w:ascii="宋体" w:hAnsi="宋体" w:eastAsia="宋体" w:cs="宋体"/>
          <w:spacing w:val="4"/>
          <w:kern w:val="0"/>
          <w:sz w:val="21"/>
          <w:szCs w:val="21"/>
          <w:lang w:val="en-US" w:eastAsia="zh-CN"/>
        </w:rPr>
        <w:t>5</w:t>
      </w:r>
      <w:r>
        <w:rPr>
          <w:rFonts w:hint="eastAsia" w:ascii="宋体" w:hAnsi="宋体" w:eastAsia="宋体" w:cs="宋体"/>
          <w:spacing w:val="4"/>
          <w:kern w:val="0"/>
          <w:sz w:val="21"/>
          <w:szCs w:val="21"/>
          <w:lang w:val="en-US" w:eastAsia="zh-Hans"/>
        </w:rPr>
        <w:t>、其他</w:t>
      </w:r>
      <w:bookmarkEnd w:id="14"/>
      <w:bookmarkEnd w:id="15"/>
    </w:p>
    <w:p w14:paraId="2A518C70">
      <w:pPr>
        <w:pStyle w:val="10"/>
        <w:keepNext w:val="0"/>
        <w:keepLines w:val="0"/>
        <w:pageBreakBefore w:val="0"/>
        <w:widowControl/>
        <w:wordWrap/>
        <w:overflowPunct/>
        <w:topLinePunct w:val="0"/>
        <w:bidi w:val="0"/>
        <w:spacing w:after="0" w:line="320" w:lineRule="exact"/>
        <w:ind w:firstLine="436" w:firstLineChars="200"/>
        <w:rPr>
          <w:rFonts w:hint="eastAsia" w:ascii="宋体" w:hAnsi="宋体" w:eastAsia="宋体" w:cs="宋体"/>
          <w:spacing w:val="4"/>
          <w:kern w:val="0"/>
          <w:sz w:val="21"/>
          <w:szCs w:val="21"/>
          <w:lang w:val="en-US" w:eastAsia="zh-CN"/>
        </w:rPr>
      </w:pPr>
      <w:r>
        <w:rPr>
          <w:rFonts w:hint="eastAsia" w:ascii="宋体" w:hAnsi="宋体" w:eastAsia="宋体" w:cs="宋体"/>
          <w:spacing w:val="4"/>
          <w:kern w:val="0"/>
          <w:sz w:val="21"/>
          <w:szCs w:val="21"/>
          <w:lang w:val="en-US" w:eastAsia="zh-Hans"/>
        </w:rPr>
        <w:t>维护过程中所需要的一切日常办公设备及技术装备，由</w:t>
      </w:r>
      <w:r>
        <w:rPr>
          <w:rFonts w:hint="eastAsia" w:ascii="宋体" w:hAnsi="宋体" w:eastAsia="宋体" w:cs="宋体"/>
          <w:spacing w:val="4"/>
          <w:kern w:val="0"/>
          <w:sz w:val="21"/>
          <w:szCs w:val="21"/>
          <w:lang w:val="en-US" w:eastAsia="zh-CN"/>
        </w:rPr>
        <w:t>乙方</w:t>
      </w:r>
      <w:r>
        <w:rPr>
          <w:rFonts w:hint="eastAsia" w:ascii="宋体" w:hAnsi="宋体" w:eastAsia="宋体" w:cs="宋体"/>
          <w:spacing w:val="4"/>
          <w:kern w:val="0"/>
          <w:sz w:val="21"/>
          <w:szCs w:val="21"/>
          <w:lang w:val="en-US" w:eastAsia="zh-Hans"/>
        </w:rPr>
        <w:t>自行负责。</w:t>
      </w:r>
      <w:r>
        <w:rPr>
          <w:rFonts w:hint="eastAsia" w:ascii="宋体" w:hAnsi="宋体" w:eastAsia="宋体" w:cs="宋体"/>
          <w:spacing w:val="4"/>
          <w:kern w:val="0"/>
          <w:sz w:val="21"/>
          <w:szCs w:val="21"/>
          <w:lang w:val="en-US" w:eastAsia="zh-CN"/>
        </w:rPr>
        <w:t>相关设备应符合国家法律法规、行业规范等要求，且必须经甲方批准才能进入办公场所。</w:t>
      </w:r>
    </w:p>
    <w:p w14:paraId="4B433343">
      <w:pPr>
        <w:keepNext w:val="0"/>
        <w:keepLines w:val="0"/>
        <w:pageBreakBefore w:val="0"/>
        <w:widowControl/>
        <w:numPr>
          <w:ilvl w:val="0"/>
          <w:numId w:val="2"/>
        </w:numPr>
        <w:wordWrap/>
        <w:overflowPunct/>
        <w:topLinePunct w:val="0"/>
        <w:bidi w:val="0"/>
        <w:snapToGrid w:val="0"/>
        <w:spacing w:after="0" w:line="320" w:lineRule="exact"/>
        <w:ind w:firstLine="422" w:firstLineChars="200"/>
        <w:rPr>
          <w:rFonts w:hint="eastAsia" w:ascii="宋体" w:hAnsi="宋体" w:eastAsia="宋体" w:cs="宋体"/>
          <w:b/>
          <w:sz w:val="21"/>
          <w:szCs w:val="21"/>
        </w:rPr>
      </w:pPr>
      <w:r>
        <w:rPr>
          <w:rFonts w:hint="eastAsia" w:ascii="宋体" w:hAnsi="宋体" w:eastAsia="宋体" w:cs="宋体"/>
          <w:b/>
          <w:sz w:val="21"/>
          <w:szCs w:val="21"/>
        </w:rPr>
        <w:t xml:space="preserve"> 服务期限</w:t>
      </w:r>
    </w:p>
    <w:p w14:paraId="6C126123">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highlight w:val="yellow"/>
        </w:rPr>
      </w:pPr>
      <w:r>
        <w:rPr>
          <w:rFonts w:hint="eastAsia" w:ascii="宋体" w:hAnsi="宋体" w:eastAsia="宋体" w:cs="宋体"/>
          <w:sz w:val="21"/>
          <w:szCs w:val="21"/>
          <w:highlight w:val="none"/>
        </w:rPr>
        <w:t>维护期限自</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时起至</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时止。共服务期限</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年。</w:t>
      </w:r>
    </w:p>
    <w:p w14:paraId="182566B7">
      <w:pPr>
        <w:keepNext w:val="0"/>
        <w:keepLines w:val="0"/>
        <w:pageBreakBefore w:val="0"/>
        <w:widowControl/>
        <w:wordWrap/>
        <w:overflowPunct/>
        <w:topLinePunct w:val="0"/>
        <w:bidi w:val="0"/>
        <w:snapToGrid w:val="0"/>
        <w:spacing w:after="0" w:line="320" w:lineRule="exact"/>
        <w:ind w:firstLine="422" w:firstLineChars="200"/>
        <w:rPr>
          <w:rFonts w:hint="eastAsia" w:ascii="宋体" w:hAnsi="宋体" w:eastAsia="宋体" w:cs="宋体"/>
          <w:b/>
          <w:sz w:val="21"/>
          <w:szCs w:val="21"/>
        </w:rPr>
      </w:pPr>
      <w:r>
        <w:rPr>
          <w:rFonts w:hint="eastAsia" w:ascii="宋体" w:hAnsi="宋体" w:eastAsia="宋体" w:cs="宋体"/>
          <w:b/>
          <w:sz w:val="21"/>
          <w:szCs w:val="21"/>
        </w:rPr>
        <w:t>第四条  甲方权利义务</w:t>
      </w:r>
    </w:p>
    <w:p w14:paraId="6DE23CA4">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1、甲方有对乙方提出改进服务意见的权利，监督乙方工作。</w:t>
      </w:r>
    </w:p>
    <w:p w14:paraId="1B3D4855">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2、甲方负责协助乙方做好一切外部事物的处理与协调工作。</w:t>
      </w:r>
    </w:p>
    <w:p w14:paraId="190C95F6">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3、乙方在工作中需要甲方工作人员协助的，甲方应积极配合。</w:t>
      </w:r>
    </w:p>
    <w:p w14:paraId="12E1B0DF">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4、甲方提出的服务内容因客观因素限制使乙方无法执行的，甲方应先解决限制条件再由乙方执行。</w:t>
      </w:r>
    </w:p>
    <w:p w14:paraId="774B1ED2">
      <w:pPr>
        <w:keepNext w:val="0"/>
        <w:keepLines w:val="0"/>
        <w:pageBreakBefore w:val="0"/>
        <w:widowControl/>
        <w:wordWrap/>
        <w:overflowPunct/>
        <w:topLinePunct w:val="0"/>
        <w:bidi w:val="0"/>
        <w:snapToGrid w:val="0"/>
        <w:spacing w:after="0" w:line="320" w:lineRule="exact"/>
        <w:ind w:firstLine="422" w:firstLineChars="200"/>
        <w:rPr>
          <w:rFonts w:hint="eastAsia" w:ascii="宋体" w:hAnsi="宋体" w:eastAsia="宋体" w:cs="宋体"/>
          <w:b/>
          <w:sz w:val="21"/>
          <w:szCs w:val="21"/>
        </w:rPr>
      </w:pPr>
      <w:r>
        <w:rPr>
          <w:rFonts w:hint="eastAsia" w:ascii="宋体" w:hAnsi="宋体" w:eastAsia="宋体" w:cs="宋体"/>
          <w:b/>
          <w:sz w:val="21"/>
          <w:szCs w:val="21"/>
        </w:rPr>
        <w:t>第五条  乙方权利义务</w:t>
      </w:r>
    </w:p>
    <w:p w14:paraId="7C5E4CFD">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1、乙方应根据有关法律法规及本合同约定，制定具体服务管理制度。</w:t>
      </w:r>
    </w:p>
    <w:p w14:paraId="15663FEE">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、乙方应接受甲方的监督和考核，遵守甲方的规章制度，根据合同约定，服从甲方安排。</w:t>
      </w:r>
    </w:p>
    <w:p w14:paraId="36739686">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rPr>
        <w:t>、在工作区域内乙方人员提供管理服务过程中，因乙方人员的故意或过失，造成甲</w:t>
      </w:r>
      <w:r>
        <w:rPr>
          <w:rFonts w:hint="eastAsia" w:ascii="宋体" w:hAnsi="宋体" w:eastAsia="宋体" w:cs="宋体"/>
          <w:sz w:val="21"/>
          <w:szCs w:val="21"/>
          <w:lang w:val="en-US" w:eastAsia="zh-CN"/>
        </w:rPr>
        <w:t>方、</w:t>
      </w:r>
      <w:r>
        <w:rPr>
          <w:rFonts w:hint="eastAsia" w:ascii="宋体" w:hAnsi="宋体" w:eastAsia="宋体" w:cs="宋体"/>
          <w:sz w:val="21"/>
          <w:szCs w:val="21"/>
        </w:rPr>
        <w:t>乙或任何第三方</w:t>
      </w:r>
      <w:r>
        <w:rPr>
          <w:rFonts w:hint="eastAsia" w:ascii="宋体" w:hAnsi="宋体" w:eastAsia="宋体" w:cs="宋体"/>
          <w:sz w:val="21"/>
          <w:szCs w:val="21"/>
          <w:lang w:val="en-US" w:eastAsia="zh-CN"/>
        </w:rPr>
        <w:t>直接、间接的</w:t>
      </w:r>
      <w:r>
        <w:rPr>
          <w:rFonts w:hint="eastAsia" w:ascii="宋体" w:hAnsi="宋体" w:eastAsia="宋体" w:cs="宋体"/>
          <w:sz w:val="21"/>
          <w:szCs w:val="21"/>
        </w:rPr>
        <w:t>人身损害或财产损失，乙方承担一切法律责任与赔偿。</w:t>
      </w:r>
      <w:r>
        <w:rPr>
          <w:rFonts w:hint="eastAsia" w:ascii="宋体" w:hAnsi="宋体" w:eastAsia="宋体" w:cs="宋体"/>
          <w:sz w:val="21"/>
          <w:szCs w:val="21"/>
          <w:lang w:val="en-US" w:eastAsia="zh-CN"/>
        </w:rPr>
        <w:t>间接损失以被侵权人提供的合理依据为准。若因乙方运维失误引发交通事故、群众财产损失、第三方索赔，甲方有权全额向乙方追偿。</w:t>
      </w:r>
    </w:p>
    <w:p w14:paraId="358E8E46">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、乙方应完成甲方交付的工作，并按照合同规定的时间和要求质量完成。</w:t>
      </w:r>
    </w:p>
    <w:p w14:paraId="7B0DA1BC">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、乙方应按照合同要求提供相关的资料和文件，保证资料的准确性和完整性。</w:t>
      </w:r>
    </w:p>
    <w:p w14:paraId="2286D431">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、乙方应维护工作秩序，不干扰甲方的正常工作，不违反职业道德和法律法规。</w:t>
      </w:r>
    </w:p>
    <w:p w14:paraId="29872455">
      <w:pPr>
        <w:keepNext w:val="0"/>
        <w:keepLines w:val="0"/>
        <w:pageBreakBefore w:val="0"/>
        <w:widowControl/>
        <w:wordWrap/>
        <w:overflowPunct/>
        <w:topLinePunct w:val="0"/>
        <w:bidi w:val="0"/>
        <w:snapToGrid w:val="0"/>
        <w:spacing w:after="0" w:line="320" w:lineRule="exact"/>
        <w:ind w:firstLine="422" w:firstLineChars="200"/>
        <w:rPr>
          <w:rFonts w:hint="eastAsia" w:ascii="宋体" w:hAnsi="宋体" w:eastAsia="宋体" w:cs="宋体"/>
          <w:b/>
          <w:sz w:val="21"/>
          <w:szCs w:val="21"/>
        </w:rPr>
      </w:pPr>
      <w:r>
        <w:rPr>
          <w:rFonts w:hint="eastAsia" w:ascii="宋体" w:hAnsi="宋体" w:eastAsia="宋体" w:cs="宋体"/>
          <w:b/>
          <w:sz w:val="21"/>
          <w:szCs w:val="21"/>
        </w:rPr>
        <w:t>第六条  服务目标</w:t>
      </w:r>
    </w:p>
    <w:p w14:paraId="4089A420">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乙方根据甲方制定的机房维保服务项目管理细则制定出相应的服务工作标准和考核标准。经与甲方协商同意后，乙方须按此工作标准和考核标准，实现服务目标。</w:t>
      </w:r>
    </w:p>
    <w:p w14:paraId="7B6A31E5">
      <w:pPr>
        <w:pStyle w:val="11"/>
        <w:keepNext w:val="0"/>
        <w:keepLines w:val="0"/>
        <w:pageBreakBefore w:val="0"/>
        <w:widowControl/>
        <w:numPr>
          <w:ilvl w:val="0"/>
          <w:numId w:val="3"/>
        </w:numPr>
        <w:wordWrap/>
        <w:overflowPunct/>
        <w:topLinePunct w:val="0"/>
        <w:bidi w:val="0"/>
        <w:spacing w:after="0" w:line="320" w:lineRule="exact"/>
        <w:ind w:left="0" w:leftChars="0" w:firstLine="48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保障机房正常运行。</w:t>
      </w:r>
    </w:p>
    <w:p w14:paraId="340908F7">
      <w:pPr>
        <w:pStyle w:val="11"/>
        <w:keepNext w:val="0"/>
        <w:keepLines w:val="0"/>
        <w:pageBreakBefore w:val="0"/>
        <w:widowControl/>
        <w:numPr>
          <w:ilvl w:val="0"/>
          <w:numId w:val="3"/>
        </w:numPr>
        <w:wordWrap/>
        <w:overflowPunct/>
        <w:topLinePunct w:val="0"/>
        <w:bidi w:val="0"/>
        <w:spacing w:after="0" w:line="320" w:lineRule="exact"/>
        <w:ind w:left="0" w:leftChars="0" w:firstLine="48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保障业务系统正常运行。</w:t>
      </w:r>
    </w:p>
    <w:p w14:paraId="59A9BF6D">
      <w:pPr>
        <w:pStyle w:val="11"/>
        <w:keepNext w:val="0"/>
        <w:keepLines w:val="0"/>
        <w:pageBreakBefore w:val="0"/>
        <w:widowControl/>
        <w:numPr>
          <w:ilvl w:val="0"/>
          <w:numId w:val="3"/>
        </w:numPr>
        <w:wordWrap/>
        <w:overflowPunct/>
        <w:topLinePunct w:val="0"/>
        <w:bidi w:val="0"/>
        <w:spacing w:after="0" w:line="320" w:lineRule="exact"/>
        <w:ind w:left="0" w:leftChars="0" w:firstLine="48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保障网络正常运行。</w:t>
      </w:r>
    </w:p>
    <w:p w14:paraId="60218E50">
      <w:pPr>
        <w:pStyle w:val="11"/>
        <w:keepNext w:val="0"/>
        <w:keepLines w:val="0"/>
        <w:pageBreakBefore w:val="0"/>
        <w:widowControl/>
        <w:numPr>
          <w:ilvl w:val="0"/>
          <w:numId w:val="3"/>
        </w:numPr>
        <w:wordWrap/>
        <w:overflowPunct/>
        <w:topLinePunct w:val="0"/>
        <w:bidi w:val="0"/>
        <w:spacing w:after="0" w:line="320" w:lineRule="exact"/>
        <w:ind w:left="0" w:leftChars="0" w:firstLine="48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根据每日任务内容开展工作，如有故障及时上报和处理，并将故障内容及处理情况作出书面说明。</w:t>
      </w:r>
    </w:p>
    <w:p w14:paraId="025D8B7A">
      <w:pPr>
        <w:pStyle w:val="11"/>
        <w:keepNext w:val="0"/>
        <w:keepLines w:val="0"/>
        <w:pageBreakBefore w:val="0"/>
        <w:widowControl/>
        <w:numPr>
          <w:ilvl w:val="0"/>
          <w:numId w:val="3"/>
        </w:numPr>
        <w:wordWrap/>
        <w:overflowPunct/>
        <w:topLinePunct w:val="0"/>
        <w:bidi w:val="0"/>
        <w:spacing w:after="0" w:line="320" w:lineRule="exact"/>
        <w:ind w:left="0" w:leftChars="0" w:firstLine="48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落实并监管机房、业务系统、网络、出入人员的安全管理。</w:t>
      </w:r>
    </w:p>
    <w:p w14:paraId="59BC76D3">
      <w:pPr>
        <w:keepNext w:val="0"/>
        <w:keepLines w:val="0"/>
        <w:pageBreakBefore w:val="0"/>
        <w:widowControl/>
        <w:wordWrap/>
        <w:overflowPunct/>
        <w:topLinePunct w:val="0"/>
        <w:bidi w:val="0"/>
        <w:snapToGrid w:val="0"/>
        <w:spacing w:after="0" w:line="320" w:lineRule="exact"/>
        <w:ind w:firstLine="422" w:firstLineChars="200"/>
        <w:rPr>
          <w:rFonts w:hint="eastAsia" w:ascii="宋体" w:hAnsi="宋体" w:eastAsia="宋体" w:cs="宋体"/>
          <w:b/>
          <w:sz w:val="21"/>
          <w:szCs w:val="21"/>
        </w:rPr>
      </w:pPr>
      <w:r>
        <w:rPr>
          <w:rFonts w:hint="eastAsia" w:ascii="宋体" w:hAnsi="宋体" w:eastAsia="宋体" w:cs="宋体"/>
          <w:b/>
          <w:sz w:val="21"/>
          <w:szCs w:val="21"/>
        </w:rPr>
        <w:t>第七条  服务费用</w:t>
      </w:r>
    </w:p>
    <w:p w14:paraId="7D3ABFB5">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1、合同含税总价、税率、增值税专用发票；</w:t>
      </w:r>
    </w:p>
    <w:p w14:paraId="2E275CA4">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2、付款方式：</w:t>
      </w:r>
    </w:p>
    <w:p w14:paraId="28F7ED42">
      <w:pPr>
        <w:pStyle w:val="20"/>
        <w:keepNext w:val="0"/>
        <w:keepLines w:val="0"/>
        <w:pageBreakBefore w:val="0"/>
        <w:widowControl/>
        <w:wordWrap/>
        <w:overflowPunct/>
        <w:topLinePunct w:val="0"/>
        <w:bidi w:val="0"/>
        <w:snapToGrid w:val="0"/>
        <w:spacing w:after="0" w:line="320" w:lineRule="exact"/>
        <w:ind w:left="420" w:leftChars="200"/>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、常规维保耗材由乙方承担；主机、服务器、交换机等核心硬件损坏更换费用由甲方承担。</w:t>
      </w:r>
    </w:p>
    <w:p w14:paraId="4A55B4F3">
      <w:pPr>
        <w:keepNext w:val="0"/>
        <w:keepLines w:val="0"/>
        <w:pageBreakBefore w:val="0"/>
        <w:widowControl/>
        <w:wordWrap/>
        <w:overflowPunct/>
        <w:topLinePunct w:val="0"/>
        <w:bidi w:val="0"/>
        <w:snapToGrid w:val="0"/>
        <w:spacing w:after="0" w:line="320" w:lineRule="exact"/>
        <w:ind w:firstLine="422" w:firstLineChars="200"/>
        <w:rPr>
          <w:rFonts w:hint="eastAsia" w:ascii="宋体" w:hAnsi="宋体" w:eastAsia="宋体" w:cs="宋体"/>
          <w:b/>
          <w:sz w:val="21"/>
          <w:szCs w:val="21"/>
        </w:rPr>
      </w:pPr>
      <w:r>
        <w:rPr>
          <w:rFonts w:hint="eastAsia" w:ascii="宋体" w:hAnsi="宋体" w:eastAsia="宋体" w:cs="宋体"/>
          <w:b/>
          <w:sz w:val="21"/>
          <w:szCs w:val="21"/>
        </w:rPr>
        <w:t>第八条  验收方法</w:t>
      </w:r>
    </w:p>
    <w:p w14:paraId="550B9C0D">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甲方应当按照政府采购合同规定的技术、服务、安全标准组织对乙方履约情况进行验收，并出具验收书。验收书应当包括每一项技术、服务、安全标准的履约情况。验收不合格的，乙方应负责重新提供达到本合同约定的质量要求的标准；验收合格的,验收书作为支付货款的重要依据。</w:t>
      </w:r>
    </w:p>
    <w:p w14:paraId="4F7762EE">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维保记录是维保工作的重要依据，应包括但不限于：服务人员出入记录、服务开始时间、结束时间、服务人员姓名、人数、地点、内容、服务结果等。</w:t>
      </w:r>
    </w:p>
    <w:p w14:paraId="61331A08">
      <w:pPr>
        <w:pStyle w:val="21"/>
        <w:keepNext w:val="0"/>
        <w:keepLines w:val="0"/>
        <w:pageBreakBefore w:val="0"/>
        <w:widowControl/>
        <w:wordWrap/>
        <w:overflowPunct/>
        <w:topLinePunct w:val="0"/>
        <w:bidi w:val="0"/>
        <w:snapToGrid w:val="0"/>
        <w:spacing w:before="0" w:beforeAutospacing="0" w:after="0" w:afterAutospacing="0" w:line="320" w:lineRule="exact"/>
        <w:ind w:firstLine="422" w:firstLineChars="200"/>
        <w:rPr>
          <w:rFonts w:hint="eastAsia" w:ascii="宋体" w:hAnsi="宋体" w:eastAsia="宋体" w:cs="宋体"/>
          <w:b/>
          <w:color w:val="auto"/>
          <w:kern w:val="2"/>
          <w:sz w:val="21"/>
          <w:szCs w:val="21"/>
        </w:rPr>
      </w:pPr>
      <w:r>
        <w:rPr>
          <w:rFonts w:hint="eastAsia" w:ascii="宋体" w:hAnsi="宋体" w:eastAsia="宋体" w:cs="宋体"/>
          <w:b/>
          <w:color w:val="auto"/>
          <w:kern w:val="2"/>
          <w:sz w:val="21"/>
          <w:szCs w:val="21"/>
        </w:rPr>
        <w:t>第九条  违约责任</w:t>
      </w:r>
    </w:p>
    <w:p w14:paraId="007A838B">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1、甲方违反本合同的约定，使乙方不能完成服务目标，乙方有权要求甲方在一定期限内解决，逾期未解决的乙方有权终止合同；造成乙方经济损失的，甲方应给予乙方经济赔偿。</w:t>
      </w:r>
    </w:p>
    <w:p w14:paraId="77152EC7">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2、乙方违反本合同的约定，不能完成服务目标，甲方有权要求乙方限期整改，逾期未整改或多次整改无提高，甲方有权终止合同；造成甲方经济损失的，乙方应给予甲方经济赔偿。</w:t>
      </w:r>
    </w:p>
    <w:p w14:paraId="02B08CD9">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3、乙方违反本合同的约定，擅自提高收费标准的，甲方有权要求乙方清退；造成甲方经济损失的，乙方应给予甲方经济赔偿。</w:t>
      </w:r>
    </w:p>
    <w:p w14:paraId="4A1805EC">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4、乙方应遵守甲方制定的机房维保服务项目管理细则，对于违反细则内容约定的，按照细则规定进行处罚。</w:t>
      </w:r>
    </w:p>
    <w:p w14:paraId="16A80535">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rPr>
        <w:t>5、甲乙双方任何一方无法律依据提前终止本合同的，违约方应</w:t>
      </w:r>
      <w:r>
        <w:rPr>
          <w:rFonts w:hint="eastAsia" w:ascii="宋体" w:hAnsi="宋体" w:eastAsia="宋体" w:cs="宋体"/>
          <w:sz w:val="21"/>
          <w:szCs w:val="21"/>
          <w:lang w:val="en-US" w:eastAsia="zh-CN"/>
        </w:rPr>
        <w:t>按照合同总价的10%</w:t>
      </w:r>
      <w:r>
        <w:rPr>
          <w:rFonts w:hint="eastAsia" w:ascii="宋体" w:hAnsi="宋体" w:eastAsia="宋体" w:cs="宋体"/>
          <w:sz w:val="21"/>
          <w:szCs w:val="21"/>
        </w:rPr>
        <w:t>赔偿对方违约金；造成对方</w:t>
      </w:r>
      <w:r>
        <w:rPr>
          <w:rFonts w:hint="eastAsia" w:ascii="宋体" w:hAnsi="宋体" w:eastAsia="宋体" w:cs="宋体"/>
          <w:sz w:val="21"/>
          <w:szCs w:val="21"/>
          <w:lang w:val="en-US" w:eastAsia="zh-CN"/>
        </w:rPr>
        <w:t>直接</w:t>
      </w:r>
      <w:r>
        <w:rPr>
          <w:rFonts w:hint="eastAsia" w:ascii="宋体" w:hAnsi="宋体" w:eastAsia="宋体" w:cs="宋体"/>
          <w:sz w:val="21"/>
          <w:szCs w:val="21"/>
        </w:rPr>
        <w:t>经济损失的，应给予</w:t>
      </w:r>
      <w:r>
        <w:rPr>
          <w:rFonts w:hint="eastAsia" w:ascii="宋体" w:hAnsi="宋体" w:eastAsia="宋体" w:cs="宋体"/>
          <w:sz w:val="21"/>
          <w:szCs w:val="21"/>
          <w:lang w:val="en-US" w:eastAsia="zh-CN"/>
        </w:rPr>
        <w:t>全额</w:t>
      </w:r>
      <w:r>
        <w:rPr>
          <w:rFonts w:hint="eastAsia" w:ascii="宋体" w:hAnsi="宋体" w:eastAsia="宋体" w:cs="宋体"/>
          <w:sz w:val="21"/>
          <w:szCs w:val="21"/>
        </w:rPr>
        <w:t>经济赔偿</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造成对方间接经济损失的，以可计量的金额为准给予经济赔偿</w:t>
      </w:r>
      <w:r>
        <w:rPr>
          <w:rFonts w:hint="eastAsia" w:ascii="宋体" w:hAnsi="宋体" w:eastAsia="宋体" w:cs="宋体"/>
          <w:sz w:val="21"/>
          <w:szCs w:val="21"/>
        </w:rPr>
        <w:t>。</w:t>
      </w:r>
      <w:r>
        <w:rPr>
          <w:rFonts w:hint="eastAsia" w:ascii="宋体" w:hAnsi="宋体" w:eastAsia="宋体" w:cs="宋体"/>
          <w:sz w:val="21"/>
          <w:szCs w:val="21"/>
          <w:lang w:val="en-US" w:eastAsia="zh-CN"/>
        </w:rPr>
        <w:t>经济赔偿与违约金需独立计算。</w:t>
      </w:r>
    </w:p>
    <w:p w14:paraId="5E68FBF1">
      <w:pPr>
        <w:keepNext w:val="0"/>
        <w:keepLines w:val="0"/>
        <w:pageBreakBefore w:val="0"/>
        <w:widowControl/>
        <w:wordWrap/>
        <w:overflowPunct/>
        <w:topLinePunct w:val="0"/>
        <w:bidi w:val="0"/>
        <w:snapToGrid w:val="0"/>
        <w:spacing w:after="0" w:line="320" w:lineRule="exact"/>
        <w:ind w:firstLine="422" w:firstLineChars="200"/>
        <w:rPr>
          <w:rFonts w:hint="eastAsia" w:ascii="宋体" w:hAnsi="宋体" w:eastAsia="宋体" w:cs="宋体"/>
          <w:b/>
          <w:sz w:val="21"/>
          <w:szCs w:val="21"/>
        </w:rPr>
      </w:pPr>
      <w:r>
        <w:rPr>
          <w:rFonts w:hint="eastAsia" w:ascii="宋体" w:hAnsi="宋体" w:eastAsia="宋体" w:cs="宋体"/>
          <w:b/>
          <w:sz w:val="21"/>
          <w:szCs w:val="21"/>
        </w:rPr>
        <w:t>第十条、保密要求</w:t>
      </w:r>
    </w:p>
    <w:p w14:paraId="3DD222F1">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乙方应遵守国家、上级单位、甲方保密相关法律法规以及单位制定的保密要求；</w:t>
      </w:r>
    </w:p>
    <w:p w14:paraId="0ACFF599">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乙方以及所有乙方现场服务人员与甲方签订《公安信息化合作企业（人员）保密协议》；</w:t>
      </w:r>
    </w:p>
    <w:p w14:paraId="7D427858">
      <w:pPr>
        <w:keepNext w:val="0"/>
        <w:keepLines w:val="0"/>
        <w:pageBreakBefore w:val="0"/>
        <w:widowControl/>
        <w:wordWrap/>
        <w:overflowPunct/>
        <w:topLinePunct w:val="0"/>
        <w:bidi w:val="0"/>
        <w:snapToGrid w:val="0"/>
        <w:spacing w:after="0" w:line="320" w:lineRule="exact"/>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highlight w:val="none"/>
          <w:lang w:val="en-US" w:eastAsia="zh-CN"/>
        </w:rPr>
        <w:t>乙方应在驻场人员入职前完成无犯罪记录审查。</w:t>
      </w:r>
    </w:p>
    <w:p w14:paraId="4B7B1CF1">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服务过程中所有工作中涉及到的资料采取保密措施和制度进行有效管理，切实做好安全保密工作；若乙方或其驻场人员发生泄露警务涉密信息、私自拷贝业务数据、违规外联专网、擅自向第三方提供机房资料等泄密行为，甲方有权单方立即解除本合同，乙方须向甲方支付合同总价款 30% 专项保密违约金，全额退还当期已收取服务费；同时承担由此产生的全部赔偿、行政处罚、法律追责相关费用，违约金不足以弥补损失的，乙方另行补足差额。</w:t>
      </w:r>
    </w:p>
    <w:p w14:paraId="2DDFF19D">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不将与保密信息有关的内容以文字、图片、言论等形式通过媒体或其他途径向外传播给任何第三方；</w:t>
      </w:r>
    </w:p>
    <w:p w14:paraId="6A638D63">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rPr>
        <w:t>服务到期后乙方立即归还全部工作信息资料和文件。乙方须将全部涉密纸质、电子介质、存储设备移交甲方，由甲方统一销毁并出具销毁记录，乙方不得留存任何副本</w:t>
      </w:r>
      <w:r>
        <w:rPr>
          <w:rFonts w:hint="eastAsia" w:ascii="宋体" w:hAnsi="宋体" w:eastAsia="宋体" w:cs="宋体"/>
          <w:sz w:val="21"/>
          <w:szCs w:val="21"/>
          <w:lang w:eastAsia="zh-CN"/>
        </w:rPr>
        <w:t>。</w:t>
      </w:r>
    </w:p>
    <w:p w14:paraId="104674D5">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7、</w:t>
      </w:r>
      <w:r>
        <w:rPr>
          <w:rFonts w:hint="eastAsia" w:ascii="宋体" w:hAnsi="宋体" w:eastAsia="宋体" w:cs="宋体"/>
          <w:sz w:val="21"/>
          <w:szCs w:val="21"/>
        </w:rPr>
        <w:t>服务到期后相关工作人员脱密期为</w:t>
      </w:r>
      <w:r>
        <w:rPr>
          <w:rFonts w:hint="eastAsia" w:ascii="宋体" w:hAnsi="宋体" w:eastAsia="宋体" w:cs="宋体"/>
          <w:sz w:val="21"/>
          <w:szCs w:val="21"/>
          <w:lang w:val="en-US" w:eastAsia="zh-CN"/>
        </w:rPr>
        <w:t>三</w:t>
      </w:r>
      <w:r>
        <w:rPr>
          <w:rFonts w:hint="eastAsia" w:ascii="宋体" w:hAnsi="宋体" w:eastAsia="宋体" w:cs="宋体"/>
          <w:sz w:val="21"/>
          <w:szCs w:val="21"/>
        </w:rPr>
        <w:t>年。脱密期内乙方人员不得应聘公安、交通、信息化运维同类岗位；脱密期内出境、就业必须向甲方报备；脱密期义务不因合同终止失效</w:t>
      </w:r>
      <w:r>
        <w:rPr>
          <w:rFonts w:hint="eastAsia" w:ascii="宋体" w:hAnsi="宋体" w:eastAsia="宋体" w:cs="宋体"/>
          <w:sz w:val="21"/>
          <w:szCs w:val="21"/>
          <w:lang w:eastAsia="zh-CN"/>
        </w:rPr>
        <w:t>。</w:t>
      </w:r>
    </w:p>
    <w:p w14:paraId="46DC7DE6">
      <w:pPr>
        <w:keepNext w:val="0"/>
        <w:keepLines w:val="0"/>
        <w:pageBreakBefore w:val="0"/>
        <w:widowControl/>
        <w:wordWrap/>
        <w:overflowPunct/>
        <w:topLinePunct w:val="0"/>
        <w:bidi w:val="0"/>
        <w:snapToGrid w:val="0"/>
        <w:spacing w:after="0" w:line="320" w:lineRule="exact"/>
        <w:ind w:firstLine="422" w:firstLineChars="200"/>
        <w:rPr>
          <w:rFonts w:hint="eastAsia" w:ascii="宋体" w:hAnsi="宋体" w:eastAsia="宋体" w:cs="宋体"/>
          <w:b/>
          <w:sz w:val="21"/>
          <w:szCs w:val="21"/>
        </w:rPr>
      </w:pPr>
      <w:r>
        <w:rPr>
          <w:rFonts w:hint="eastAsia" w:ascii="宋体" w:hAnsi="宋体" w:eastAsia="宋体" w:cs="宋体"/>
          <w:b/>
          <w:sz w:val="21"/>
          <w:szCs w:val="21"/>
        </w:rPr>
        <w:t>第十一条、其他事项</w:t>
      </w:r>
    </w:p>
    <w:p w14:paraId="2530DF09">
      <w:pPr>
        <w:pStyle w:val="21"/>
        <w:keepNext w:val="0"/>
        <w:keepLines w:val="0"/>
        <w:pageBreakBefore w:val="0"/>
        <w:widowControl/>
        <w:wordWrap/>
        <w:overflowPunct/>
        <w:topLinePunct w:val="0"/>
        <w:bidi w:val="0"/>
        <w:snapToGrid w:val="0"/>
        <w:spacing w:before="0" w:beforeAutospacing="0" w:after="0" w:afterAutospacing="0" w:line="32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1、本合同自甲乙双方签字盖章后生效。</w:t>
      </w:r>
    </w:p>
    <w:p w14:paraId="50198924">
      <w:pPr>
        <w:pStyle w:val="21"/>
        <w:keepNext w:val="0"/>
        <w:keepLines w:val="0"/>
        <w:pageBreakBefore w:val="0"/>
        <w:widowControl/>
        <w:wordWrap/>
        <w:overflowPunct/>
        <w:topLinePunct w:val="0"/>
        <w:bidi w:val="0"/>
        <w:snapToGrid w:val="0"/>
        <w:spacing w:before="0" w:beforeAutospacing="0" w:after="0" w:afterAutospacing="0" w:line="32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2、合同执行期内，甲乙双方均不得随意变更或解除合同。合同如有未尽事宜，须经双方共同协商，做出补充规定，补充规定与本合同具有同等效力，也可按照《中华人民共和国</w:t>
      </w:r>
      <w:r>
        <w:rPr>
          <w:rFonts w:hint="eastAsia" w:ascii="宋体" w:hAnsi="宋体" w:eastAsia="宋体" w:cs="宋体"/>
          <w:color w:val="auto"/>
          <w:sz w:val="21"/>
          <w:szCs w:val="21"/>
          <w:lang w:val="en-US" w:eastAsia="zh-CN"/>
        </w:rPr>
        <w:t>民法典</w:t>
      </w:r>
      <w:r>
        <w:rPr>
          <w:rFonts w:hint="eastAsia" w:ascii="宋体" w:hAnsi="宋体" w:eastAsia="宋体" w:cs="宋体"/>
          <w:color w:val="auto"/>
          <w:sz w:val="21"/>
          <w:szCs w:val="21"/>
        </w:rPr>
        <w:t>》的规定执行。</w:t>
      </w:r>
    </w:p>
    <w:p w14:paraId="5B9DB702">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color w:val="auto"/>
          <w:sz w:val="21"/>
          <w:szCs w:val="21"/>
        </w:rPr>
        <w:t>3、本合同执行期间，如遇不可抗力，致使合同无法履行时，双方按有关法律规定及时协商处理。</w:t>
      </w:r>
    </w:p>
    <w:p w14:paraId="52626BAC">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4、本合同如发生纠纷，当事人双方应当及时协商解决，协商不成时，由</w:t>
      </w:r>
      <w:r>
        <w:rPr>
          <w:rFonts w:hint="eastAsia" w:ascii="宋体" w:hAnsi="宋体" w:eastAsia="宋体" w:cs="宋体"/>
          <w:sz w:val="21"/>
          <w:szCs w:val="21"/>
          <w:lang w:eastAsia="zh-CN"/>
        </w:rPr>
        <w:t>南阳市宛城区人民法院</w:t>
      </w:r>
      <w:r>
        <w:rPr>
          <w:rFonts w:hint="eastAsia" w:ascii="宋体" w:hAnsi="宋体" w:eastAsia="宋体" w:cs="宋体"/>
          <w:sz w:val="21"/>
          <w:szCs w:val="21"/>
          <w:lang w:val="en-US" w:eastAsia="zh-CN"/>
        </w:rPr>
        <w:t>审理解决</w:t>
      </w:r>
      <w:r>
        <w:rPr>
          <w:rFonts w:hint="eastAsia" w:ascii="宋体" w:hAnsi="宋体" w:eastAsia="宋体" w:cs="宋体"/>
          <w:sz w:val="21"/>
          <w:szCs w:val="21"/>
        </w:rPr>
        <w:t>。</w:t>
      </w:r>
      <w:r>
        <w:rPr>
          <w:rFonts w:hint="eastAsia" w:ascii="宋体" w:hAnsi="宋体" w:eastAsia="宋体" w:cs="宋体"/>
          <w:sz w:val="21"/>
          <w:szCs w:val="21"/>
          <w:lang w:val="en-US" w:eastAsia="zh-CN"/>
        </w:rPr>
        <w:t>审理</w:t>
      </w:r>
      <w:r>
        <w:rPr>
          <w:rFonts w:hint="eastAsia" w:ascii="宋体" w:hAnsi="宋体" w:eastAsia="宋体" w:cs="宋体"/>
          <w:sz w:val="21"/>
          <w:szCs w:val="21"/>
        </w:rPr>
        <w:t>期间不停止乙方运维服务，机房故障乙方仍需正常处置。</w:t>
      </w:r>
    </w:p>
    <w:p w14:paraId="1D0A5C97">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5、采购双方必须严格按照磋商文件、响应文件及有关承诺签订采购合同，不得擅自变更。对任何因双方擅自变更合同引起的问题市政府采购中心概不负责，合同风险由双方自行承担。</w:t>
      </w:r>
    </w:p>
    <w:p w14:paraId="194E9A71">
      <w:pPr>
        <w:keepNext w:val="0"/>
        <w:keepLines w:val="0"/>
        <w:pageBreakBefore w:val="0"/>
        <w:widowControl/>
        <w:wordWrap/>
        <w:overflowPunct/>
        <w:topLinePunct w:val="0"/>
        <w:bidi w:val="0"/>
        <w:snapToGrid w:val="0"/>
        <w:spacing w:after="0" w:line="32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6、本合同一式</w:t>
      </w:r>
      <w:r>
        <w:rPr>
          <w:rFonts w:hint="eastAsia" w:ascii="宋体" w:hAnsi="宋体" w:eastAsia="宋体" w:cs="宋体"/>
          <w:sz w:val="21"/>
          <w:szCs w:val="21"/>
          <w:highlight w:val="none"/>
          <w:lang w:val="en-US" w:eastAsia="zh-CN"/>
        </w:rPr>
        <w:t>六</w:t>
      </w:r>
      <w:r>
        <w:rPr>
          <w:rFonts w:hint="eastAsia" w:ascii="宋体" w:hAnsi="宋体" w:eastAsia="宋体" w:cs="宋体"/>
          <w:sz w:val="21"/>
          <w:szCs w:val="21"/>
          <w:highlight w:val="none"/>
        </w:rPr>
        <w:t>份，甲乙双方各执</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rPr>
        <w:t>份；由乙方报送</w:t>
      </w:r>
      <w:r>
        <w:rPr>
          <w:rFonts w:hint="eastAsia" w:ascii="宋体" w:hAnsi="宋体" w:eastAsia="宋体" w:cs="宋体"/>
          <w:sz w:val="21"/>
          <w:szCs w:val="21"/>
          <w:highlight w:val="none"/>
          <w:lang w:eastAsia="zh-CN"/>
        </w:rPr>
        <w:t>市资源中心</w:t>
      </w:r>
      <w:r>
        <w:rPr>
          <w:rFonts w:hint="eastAsia" w:ascii="宋体" w:hAnsi="宋体" w:eastAsia="宋体" w:cs="宋体"/>
          <w:sz w:val="21"/>
          <w:szCs w:val="21"/>
          <w:highlight w:val="none"/>
        </w:rPr>
        <w:t>一份;由甲方报送市采购办一份。</w:t>
      </w:r>
    </w:p>
    <w:p w14:paraId="777F0FF9">
      <w:pPr>
        <w:pStyle w:val="2"/>
        <w:keepNext w:val="0"/>
        <w:keepLines w:val="0"/>
        <w:pageBreakBefore w:val="0"/>
        <w:widowControl/>
        <w:kinsoku/>
        <w:wordWrap/>
        <w:overflowPunct/>
        <w:topLinePunct w:val="0"/>
        <w:autoSpaceDE/>
        <w:autoSpaceDN/>
        <w:bidi w:val="0"/>
        <w:adjustRightInd/>
        <w:snapToGrid/>
        <w:spacing w:line="32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7、本项目所有运维方案、台账、优化脚本、安全整改成果知识产权归甲方所有，乙方不得自用、外传。</w:t>
      </w:r>
    </w:p>
    <w:p w14:paraId="4CFF4858">
      <w:pPr>
        <w:keepNext w:val="0"/>
        <w:keepLines w:val="0"/>
        <w:pageBreakBefore w:val="0"/>
        <w:widowControl/>
        <w:wordWrap/>
        <w:overflowPunct/>
        <w:topLinePunct w:val="0"/>
        <w:bidi w:val="0"/>
        <w:spacing w:after="0" w:line="320" w:lineRule="exact"/>
        <w:ind w:firstLine="422" w:firstLineChars="200"/>
        <w:rPr>
          <w:rFonts w:hint="eastAsia" w:ascii="宋体" w:hAnsi="宋体" w:eastAsia="宋体" w:cs="宋体"/>
          <w:sz w:val="21"/>
          <w:szCs w:val="21"/>
        </w:rPr>
      </w:pPr>
      <w:r>
        <w:rPr>
          <w:rFonts w:hint="eastAsia" w:ascii="宋体" w:hAnsi="宋体" w:eastAsia="宋体" w:cs="宋体"/>
          <w:b/>
          <w:sz w:val="21"/>
          <w:szCs w:val="21"/>
        </w:rPr>
        <w:t>第十二条</w:t>
      </w:r>
      <w:r>
        <w:rPr>
          <w:rFonts w:hint="eastAsia" w:ascii="宋体" w:hAnsi="宋体" w:eastAsia="宋体" w:cs="宋体"/>
          <w:b/>
          <w:bCs/>
          <w:sz w:val="21"/>
          <w:szCs w:val="21"/>
        </w:rPr>
        <w:t xml:space="preserve">  </w:t>
      </w:r>
      <w:r>
        <w:rPr>
          <w:rFonts w:hint="eastAsia" w:ascii="宋体" w:hAnsi="宋体" w:eastAsia="宋体" w:cs="宋体"/>
          <w:sz w:val="21"/>
          <w:szCs w:val="21"/>
        </w:rPr>
        <w:t xml:space="preserve">下列关于项目编号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的采购文件及有关附件是本合同不可分割的组成部分，与本合同具有同等法律效力，这些文件包括但不限于：</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合同正文（2）</w:t>
      </w:r>
      <w:r>
        <w:rPr>
          <w:rFonts w:hint="eastAsia" w:ascii="宋体" w:hAnsi="宋体" w:eastAsia="宋体" w:cs="宋体"/>
          <w:sz w:val="21"/>
          <w:szCs w:val="21"/>
          <w:highlight w:val="none"/>
        </w:rPr>
        <w:t>磋商文件（</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）甲乙双方商定的其他文件（</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）乙方提供的响应文件（</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）服务承诺</w:t>
      </w:r>
    </w:p>
    <w:tbl>
      <w:tblPr>
        <w:tblStyle w:val="12"/>
        <w:tblpPr w:leftFromText="180" w:rightFromText="180" w:vertAnchor="text" w:horzAnchor="page" w:tblpX="1457" w:tblpY="364"/>
        <w:tblOverlap w:val="never"/>
        <w:tblW w:w="9359" w:type="dxa"/>
        <w:tblInd w:w="0" w:type="dxa"/>
        <w:tblLayout w:type="fixed"/>
        <w:tblCellMar>
          <w:top w:w="0" w:type="dxa"/>
          <w:left w:w="0" w:type="dxa"/>
          <w:bottom w:w="0" w:type="dxa"/>
          <w:right w:w="0" w:type="dxa"/>
        </w:tblCellMar>
      </w:tblPr>
      <w:tblGrid>
        <w:gridCol w:w="4744"/>
        <w:gridCol w:w="4615"/>
      </w:tblGrid>
      <w:tr w14:paraId="7089E8CD">
        <w:tblPrEx>
          <w:tblCellMar>
            <w:top w:w="0" w:type="dxa"/>
            <w:left w:w="0" w:type="dxa"/>
            <w:bottom w:w="0" w:type="dxa"/>
            <w:right w:w="0" w:type="dxa"/>
          </w:tblCellMar>
        </w:tblPrEx>
        <w:trPr>
          <w:trHeight w:val="542" w:hRule="atLeast"/>
        </w:trPr>
        <w:tc>
          <w:tcPr>
            <w:tcW w:w="4744" w:type="dxa"/>
            <w:vAlign w:val="center"/>
          </w:tcPr>
          <w:p w14:paraId="78872B5C">
            <w:pPr>
              <w:spacing w:line="440" w:lineRule="exact"/>
              <w:rPr>
                <w:sz w:val="21"/>
                <w:szCs w:val="21"/>
              </w:rPr>
            </w:pPr>
            <w:r>
              <w:rPr>
                <w:sz w:val="21"/>
                <w:szCs w:val="21"/>
              </w:rPr>
              <w:t>甲方</w:t>
            </w:r>
            <w:r>
              <w:rPr>
                <w:rFonts w:hint="eastAsia"/>
                <w:sz w:val="21"/>
                <w:szCs w:val="21"/>
              </w:rPr>
              <w:t>（盖章）</w:t>
            </w:r>
            <w:r>
              <w:rPr>
                <w:sz w:val="21"/>
                <w:szCs w:val="21"/>
              </w:rPr>
              <w:t>：</w:t>
            </w:r>
          </w:p>
        </w:tc>
        <w:tc>
          <w:tcPr>
            <w:tcW w:w="4615" w:type="dxa"/>
            <w:vAlign w:val="center"/>
          </w:tcPr>
          <w:p w14:paraId="74976EFD">
            <w:pPr>
              <w:spacing w:line="440" w:lineRule="exact"/>
              <w:rPr>
                <w:rFonts w:hint="eastAsia" w:eastAsia="宋体"/>
                <w:sz w:val="21"/>
                <w:szCs w:val="21"/>
                <w:lang w:eastAsia="zh-CN"/>
              </w:rPr>
            </w:pPr>
            <w:r>
              <w:rPr>
                <w:sz w:val="21"/>
                <w:szCs w:val="21"/>
              </w:rPr>
              <w:t>乙方</w:t>
            </w:r>
            <w:r>
              <w:rPr>
                <w:rFonts w:hint="eastAsia"/>
                <w:sz w:val="21"/>
                <w:szCs w:val="21"/>
              </w:rPr>
              <w:t>（盖章）</w:t>
            </w:r>
            <w:r>
              <w:rPr>
                <w:sz w:val="21"/>
                <w:szCs w:val="21"/>
              </w:rPr>
              <w:t>：</w:t>
            </w:r>
          </w:p>
        </w:tc>
      </w:tr>
      <w:tr w14:paraId="40B9E586">
        <w:tblPrEx>
          <w:tblCellMar>
            <w:top w:w="0" w:type="dxa"/>
            <w:left w:w="0" w:type="dxa"/>
            <w:bottom w:w="0" w:type="dxa"/>
            <w:right w:w="0" w:type="dxa"/>
          </w:tblCellMar>
        </w:tblPrEx>
        <w:trPr>
          <w:trHeight w:val="860" w:hRule="atLeast"/>
        </w:trPr>
        <w:tc>
          <w:tcPr>
            <w:tcW w:w="4744" w:type="dxa"/>
            <w:vAlign w:val="center"/>
          </w:tcPr>
          <w:p w14:paraId="75B4FB47">
            <w:pPr>
              <w:spacing w:line="440" w:lineRule="exact"/>
              <w:rPr>
                <w:sz w:val="21"/>
                <w:szCs w:val="21"/>
                <w:lang w:val="zh-CN"/>
              </w:rPr>
            </w:pPr>
            <w:r>
              <w:rPr>
                <w:rFonts w:hint="eastAsia"/>
                <w:sz w:val="21"/>
                <w:szCs w:val="21"/>
              </w:rPr>
              <w:t>授权</w:t>
            </w:r>
            <w:r>
              <w:rPr>
                <w:sz w:val="21"/>
                <w:szCs w:val="21"/>
              </w:rPr>
              <w:t>代表</w:t>
            </w:r>
            <w:r>
              <w:rPr>
                <w:rFonts w:hint="eastAsia"/>
                <w:sz w:val="21"/>
                <w:szCs w:val="21"/>
              </w:rPr>
              <w:t>（签字）</w:t>
            </w:r>
            <w:r>
              <w:rPr>
                <w:sz w:val="21"/>
                <w:szCs w:val="21"/>
              </w:rPr>
              <w:t>：</w:t>
            </w:r>
          </w:p>
        </w:tc>
        <w:tc>
          <w:tcPr>
            <w:tcW w:w="4615" w:type="dxa"/>
            <w:vAlign w:val="center"/>
          </w:tcPr>
          <w:p w14:paraId="3B18C7E8">
            <w:pPr>
              <w:spacing w:line="440" w:lineRule="exact"/>
              <w:rPr>
                <w:sz w:val="21"/>
                <w:szCs w:val="21"/>
                <w:lang w:val="zh-CN"/>
              </w:rPr>
            </w:pPr>
            <w:r>
              <w:rPr>
                <w:rFonts w:hint="eastAsia"/>
                <w:sz w:val="21"/>
                <w:szCs w:val="21"/>
              </w:rPr>
              <w:t>授权</w:t>
            </w:r>
            <w:r>
              <w:rPr>
                <w:sz w:val="21"/>
                <w:szCs w:val="21"/>
              </w:rPr>
              <w:t>代表</w:t>
            </w:r>
            <w:r>
              <w:rPr>
                <w:rFonts w:hint="eastAsia"/>
                <w:sz w:val="21"/>
                <w:szCs w:val="21"/>
              </w:rPr>
              <w:t>（签字）</w:t>
            </w:r>
            <w:r>
              <w:rPr>
                <w:sz w:val="21"/>
                <w:szCs w:val="21"/>
              </w:rPr>
              <w:t>：</w:t>
            </w:r>
          </w:p>
        </w:tc>
      </w:tr>
      <w:tr w14:paraId="522CF779">
        <w:tblPrEx>
          <w:tblCellMar>
            <w:top w:w="0" w:type="dxa"/>
            <w:left w:w="0" w:type="dxa"/>
            <w:bottom w:w="0" w:type="dxa"/>
            <w:right w:w="0" w:type="dxa"/>
          </w:tblCellMar>
        </w:tblPrEx>
        <w:trPr>
          <w:trHeight w:val="545" w:hRule="atLeast"/>
        </w:trPr>
        <w:tc>
          <w:tcPr>
            <w:tcW w:w="4744" w:type="dxa"/>
            <w:vAlign w:val="center"/>
          </w:tcPr>
          <w:p w14:paraId="36A72224">
            <w:pPr>
              <w:spacing w:line="440" w:lineRule="exact"/>
              <w:rPr>
                <w:sz w:val="21"/>
                <w:szCs w:val="21"/>
              </w:rPr>
            </w:pPr>
            <w:r>
              <w:rPr>
                <w:sz w:val="21"/>
                <w:szCs w:val="21"/>
              </w:rPr>
              <w:t>地址：</w:t>
            </w:r>
          </w:p>
        </w:tc>
        <w:tc>
          <w:tcPr>
            <w:tcW w:w="4615" w:type="dxa"/>
            <w:vAlign w:val="center"/>
          </w:tcPr>
          <w:p w14:paraId="44D59E76">
            <w:pPr>
              <w:spacing w:line="440" w:lineRule="exact"/>
              <w:rPr>
                <w:rFonts w:hint="default" w:eastAsia="宋体"/>
                <w:sz w:val="21"/>
                <w:szCs w:val="21"/>
                <w:lang w:val="en-US" w:eastAsia="zh-CN"/>
              </w:rPr>
            </w:pPr>
            <w:r>
              <w:rPr>
                <w:sz w:val="21"/>
                <w:szCs w:val="21"/>
              </w:rPr>
              <w:t>地址：</w:t>
            </w:r>
          </w:p>
        </w:tc>
      </w:tr>
      <w:tr w14:paraId="489AF4DC">
        <w:tblPrEx>
          <w:tblCellMar>
            <w:top w:w="0" w:type="dxa"/>
            <w:left w:w="0" w:type="dxa"/>
            <w:bottom w:w="0" w:type="dxa"/>
            <w:right w:w="0" w:type="dxa"/>
          </w:tblCellMar>
        </w:tblPrEx>
        <w:trPr>
          <w:trHeight w:val="500" w:hRule="atLeast"/>
        </w:trPr>
        <w:tc>
          <w:tcPr>
            <w:tcW w:w="4744" w:type="dxa"/>
            <w:vAlign w:val="center"/>
          </w:tcPr>
          <w:p w14:paraId="221EB84C">
            <w:pPr>
              <w:spacing w:line="440" w:lineRule="exact"/>
              <w:rPr>
                <w:sz w:val="21"/>
                <w:szCs w:val="21"/>
              </w:rPr>
            </w:pPr>
            <w:r>
              <w:rPr>
                <w:rFonts w:hint="eastAsia"/>
                <w:sz w:val="21"/>
                <w:szCs w:val="21"/>
              </w:rPr>
              <w:t>组织机构代码：</w:t>
            </w:r>
          </w:p>
        </w:tc>
        <w:tc>
          <w:tcPr>
            <w:tcW w:w="4615" w:type="dxa"/>
            <w:vAlign w:val="center"/>
          </w:tcPr>
          <w:p w14:paraId="0F90FF33">
            <w:pPr>
              <w:spacing w:line="440" w:lineRule="exact"/>
              <w:rPr>
                <w:sz w:val="21"/>
                <w:szCs w:val="21"/>
                <w:lang w:val="zh-CN"/>
              </w:rPr>
            </w:pPr>
            <w:r>
              <w:rPr>
                <w:rFonts w:hint="eastAsia"/>
                <w:sz w:val="21"/>
                <w:szCs w:val="21"/>
              </w:rPr>
              <w:t>组织机构代码：</w:t>
            </w:r>
          </w:p>
        </w:tc>
      </w:tr>
      <w:tr w14:paraId="34AE3A12">
        <w:tblPrEx>
          <w:tblCellMar>
            <w:top w:w="0" w:type="dxa"/>
            <w:left w:w="0" w:type="dxa"/>
            <w:bottom w:w="0" w:type="dxa"/>
            <w:right w:w="0" w:type="dxa"/>
          </w:tblCellMar>
        </w:tblPrEx>
        <w:trPr>
          <w:trHeight w:val="531" w:hRule="atLeast"/>
        </w:trPr>
        <w:tc>
          <w:tcPr>
            <w:tcW w:w="4744" w:type="dxa"/>
            <w:vAlign w:val="center"/>
          </w:tcPr>
          <w:p w14:paraId="7BB071A3">
            <w:pPr>
              <w:spacing w:line="440" w:lineRule="exact"/>
              <w:rPr>
                <w:sz w:val="21"/>
                <w:szCs w:val="21"/>
              </w:rPr>
            </w:pPr>
            <w:r>
              <w:rPr>
                <w:sz w:val="21"/>
                <w:szCs w:val="21"/>
              </w:rPr>
              <w:t>开户</w:t>
            </w:r>
            <w:r>
              <w:rPr>
                <w:rFonts w:hint="eastAsia"/>
                <w:sz w:val="21"/>
                <w:szCs w:val="21"/>
              </w:rPr>
              <w:t>名称</w:t>
            </w:r>
            <w:r>
              <w:rPr>
                <w:sz w:val="21"/>
                <w:szCs w:val="21"/>
              </w:rPr>
              <w:t>：</w:t>
            </w:r>
          </w:p>
        </w:tc>
        <w:tc>
          <w:tcPr>
            <w:tcW w:w="4615" w:type="dxa"/>
            <w:vAlign w:val="center"/>
          </w:tcPr>
          <w:p w14:paraId="3B0472A0">
            <w:pPr>
              <w:spacing w:line="440" w:lineRule="exact"/>
              <w:rPr>
                <w:rFonts w:hint="eastAsia" w:eastAsia="宋体"/>
                <w:sz w:val="21"/>
                <w:szCs w:val="21"/>
                <w:lang w:val="zh-CN" w:eastAsia="zh-CN"/>
              </w:rPr>
            </w:pPr>
            <w:r>
              <w:rPr>
                <w:sz w:val="21"/>
                <w:szCs w:val="21"/>
              </w:rPr>
              <w:t>开户</w:t>
            </w:r>
            <w:r>
              <w:rPr>
                <w:rFonts w:hint="eastAsia"/>
                <w:sz w:val="21"/>
                <w:szCs w:val="21"/>
              </w:rPr>
              <w:t>名称</w:t>
            </w:r>
            <w:r>
              <w:rPr>
                <w:sz w:val="21"/>
                <w:szCs w:val="21"/>
              </w:rPr>
              <w:t>：</w:t>
            </w:r>
          </w:p>
        </w:tc>
      </w:tr>
      <w:tr w14:paraId="79121EE1">
        <w:tblPrEx>
          <w:tblCellMar>
            <w:top w:w="0" w:type="dxa"/>
            <w:left w:w="0" w:type="dxa"/>
            <w:bottom w:w="0" w:type="dxa"/>
            <w:right w:w="0" w:type="dxa"/>
          </w:tblCellMar>
        </w:tblPrEx>
        <w:trPr>
          <w:trHeight w:val="672" w:hRule="atLeast"/>
        </w:trPr>
        <w:tc>
          <w:tcPr>
            <w:tcW w:w="4744" w:type="dxa"/>
            <w:vAlign w:val="center"/>
          </w:tcPr>
          <w:p w14:paraId="1AF68521">
            <w:pPr>
              <w:spacing w:line="440" w:lineRule="exact"/>
              <w:rPr>
                <w:sz w:val="21"/>
                <w:szCs w:val="21"/>
              </w:rPr>
            </w:pPr>
            <w:r>
              <w:rPr>
                <w:sz w:val="21"/>
                <w:szCs w:val="21"/>
              </w:rPr>
              <w:t>开户银行：</w:t>
            </w:r>
          </w:p>
        </w:tc>
        <w:tc>
          <w:tcPr>
            <w:tcW w:w="4615" w:type="dxa"/>
            <w:vAlign w:val="center"/>
          </w:tcPr>
          <w:p w14:paraId="7E5E0C7D">
            <w:pPr>
              <w:spacing w:line="440" w:lineRule="exact"/>
              <w:rPr>
                <w:sz w:val="21"/>
                <w:szCs w:val="21"/>
                <w:lang w:val="zh-CN"/>
              </w:rPr>
            </w:pPr>
            <w:r>
              <w:rPr>
                <w:sz w:val="21"/>
                <w:szCs w:val="21"/>
              </w:rPr>
              <w:t>开户银行：</w:t>
            </w:r>
          </w:p>
        </w:tc>
      </w:tr>
      <w:tr w14:paraId="684E9D34">
        <w:tblPrEx>
          <w:tblCellMar>
            <w:top w:w="0" w:type="dxa"/>
            <w:left w:w="0" w:type="dxa"/>
            <w:bottom w:w="0" w:type="dxa"/>
            <w:right w:w="0" w:type="dxa"/>
          </w:tblCellMar>
        </w:tblPrEx>
        <w:trPr>
          <w:trHeight w:val="528" w:hRule="atLeast"/>
        </w:trPr>
        <w:tc>
          <w:tcPr>
            <w:tcW w:w="4744" w:type="dxa"/>
            <w:vAlign w:val="center"/>
          </w:tcPr>
          <w:p w14:paraId="4737872A">
            <w:pPr>
              <w:spacing w:line="440" w:lineRule="exact"/>
              <w:rPr>
                <w:sz w:val="21"/>
                <w:szCs w:val="21"/>
                <w:lang w:val="zh-CN"/>
              </w:rPr>
            </w:pPr>
            <w:r>
              <w:rPr>
                <w:sz w:val="21"/>
                <w:szCs w:val="21"/>
              </w:rPr>
              <w:t>帐</w:t>
            </w:r>
            <w:r>
              <w:rPr>
                <w:sz w:val="21"/>
                <w:szCs w:val="21"/>
              </w:rPr>
              <w:tab/>
            </w:r>
            <w:r>
              <w:rPr>
                <w:sz w:val="21"/>
                <w:szCs w:val="21"/>
              </w:rPr>
              <w:t>号：</w:t>
            </w:r>
          </w:p>
        </w:tc>
        <w:tc>
          <w:tcPr>
            <w:tcW w:w="4615" w:type="dxa"/>
            <w:vAlign w:val="center"/>
          </w:tcPr>
          <w:p w14:paraId="38491F9D">
            <w:pPr>
              <w:spacing w:line="440" w:lineRule="exact"/>
              <w:rPr>
                <w:sz w:val="21"/>
                <w:szCs w:val="21"/>
              </w:rPr>
            </w:pPr>
            <w:r>
              <w:rPr>
                <w:sz w:val="21"/>
                <w:szCs w:val="21"/>
              </w:rPr>
              <w:t>帐</w:t>
            </w:r>
            <w:r>
              <w:rPr>
                <w:sz w:val="21"/>
                <w:szCs w:val="21"/>
              </w:rPr>
              <w:tab/>
            </w:r>
            <w:r>
              <w:rPr>
                <w:sz w:val="21"/>
                <w:szCs w:val="21"/>
              </w:rPr>
              <w:t>号：</w:t>
            </w:r>
            <w:r>
              <w:rPr>
                <w:rFonts w:hint="eastAsia"/>
                <w:sz w:val="21"/>
                <w:szCs w:val="21"/>
              </w:rPr>
              <w:t xml:space="preserve"> </w:t>
            </w:r>
          </w:p>
        </w:tc>
      </w:tr>
      <w:tr w14:paraId="3BD58CEE">
        <w:tblPrEx>
          <w:tblCellMar>
            <w:top w:w="0" w:type="dxa"/>
            <w:left w:w="0" w:type="dxa"/>
            <w:bottom w:w="0" w:type="dxa"/>
            <w:right w:w="0" w:type="dxa"/>
          </w:tblCellMar>
        </w:tblPrEx>
        <w:trPr>
          <w:trHeight w:val="528" w:hRule="atLeast"/>
        </w:trPr>
        <w:tc>
          <w:tcPr>
            <w:tcW w:w="4744" w:type="dxa"/>
            <w:vAlign w:val="center"/>
          </w:tcPr>
          <w:p w14:paraId="2AF1C58F">
            <w:pPr>
              <w:spacing w:line="440" w:lineRule="exact"/>
              <w:rPr>
                <w:sz w:val="21"/>
                <w:szCs w:val="21"/>
              </w:rPr>
            </w:pPr>
            <w:r>
              <w:rPr>
                <w:sz w:val="21"/>
                <w:szCs w:val="21"/>
              </w:rPr>
              <w:t>电</w:t>
            </w:r>
            <w:r>
              <w:rPr>
                <w:sz w:val="21"/>
                <w:szCs w:val="21"/>
              </w:rPr>
              <w:tab/>
            </w:r>
            <w:r>
              <w:rPr>
                <w:sz w:val="21"/>
                <w:szCs w:val="21"/>
              </w:rPr>
              <w:t>话：</w:t>
            </w:r>
          </w:p>
        </w:tc>
        <w:tc>
          <w:tcPr>
            <w:tcW w:w="4615" w:type="dxa"/>
            <w:vAlign w:val="center"/>
          </w:tcPr>
          <w:p w14:paraId="1834C77C">
            <w:pPr>
              <w:spacing w:line="440" w:lineRule="exact"/>
              <w:rPr>
                <w:sz w:val="21"/>
                <w:szCs w:val="21"/>
              </w:rPr>
            </w:pPr>
            <w:r>
              <w:rPr>
                <w:sz w:val="21"/>
                <w:szCs w:val="21"/>
              </w:rPr>
              <w:t>电</w:t>
            </w:r>
            <w:r>
              <w:rPr>
                <w:sz w:val="21"/>
                <w:szCs w:val="21"/>
              </w:rPr>
              <w:tab/>
            </w:r>
            <w:r>
              <w:rPr>
                <w:sz w:val="21"/>
                <w:szCs w:val="21"/>
              </w:rPr>
              <w:t>话：</w:t>
            </w:r>
          </w:p>
        </w:tc>
      </w:tr>
      <w:tr w14:paraId="19D03B60">
        <w:tblPrEx>
          <w:tblCellMar>
            <w:top w:w="0" w:type="dxa"/>
            <w:left w:w="0" w:type="dxa"/>
            <w:bottom w:w="0" w:type="dxa"/>
            <w:right w:w="0" w:type="dxa"/>
          </w:tblCellMar>
        </w:tblPrEx>
        <w:trPr>
          <w:trHeight w:val="597" w:hRule="atLeast"/>
        </w:trPr>
        <w:tc>
          <w:tcPr>
            <w:tcW w:w="4744" w:type="dxa"/>
            <w:vAlign w:val="center"/>
          </w:tcPr>
          <w:p w14:paraId="0A8C58BC">
            <w:pPr>
              <w:spacing w:line="440" w:lineRule="exact"/>
              <w:rPr>
                <w:sz w:val="21"/>
                <w:szCs w:val="21"/>
              </w:rPr>
            </w:pPr>
            <w:r>
              <w:rPr>
                <w:sz w:val="21"/>
                <w:szCs w:val="21"/>
              </w:rPr>
              <w:t>签订日期：</w:t>
            </w:r>
          </w:p>
        </w:tc>
        <w:tc>
          <w:tcPr>
            <w:tcW w:w="4615" w:type="dxa"/>
            <w:vAlign w:val="center"/>
          </w:tcPr>
          <w:p w14:paraId="4534E8B5">
            <w:pPr>
              <w:spacing w:line="440" w:lineRule="exact"/>
              <w:rPr>
                <w:sz w:val="21"/>
                <w:szCs w:val="21"/>
              </w:rPr>
            </w:pPr>
            <w:r>
              <w:rPr>
                <w:sz w:val="21"/>
                <w:szCs w:val="21"/>
              </w:rPr>
              <w:t>签订日期：</w:t>
            </w:r>
          </w:p>
        </w:tc>
      </w:tr>
    </w:tbl>
    <w:p w14:paraId="29A6A667">
      <w:pPr>
        <w:pStyle w:val="2"/>
        <w:rPr>
          <w:rFonts w:hint="eastAsia"/>
        </w:rPr>
        <w:sectPr>
          <w:pgSz w:w="11907" w:h="16840"/>
          <w:pgMar w:top="1440" w:right="1800" w:bottom="1440" w:left="1800" w:header="878" w:footer="886" w:gutter="0"/>
          <w:pgNumType w:fmt="decimal"/>
          <w:cols w:space="720" w:num="1"/>
        </w:sectPr>
      </w:pPr>
    </w:p>
    <w:p w14:paraId="58F2FC55">
      <w:pPr>
        <w:rPr>
          <w:rFonts w:hint="eastAsia"/>
        </w:rPr>
      </w:pPr>
    </w:p>
    <w:bookmarkEnd w:id="1"/>
    <w:p w14:paraId="55AE9FFD">
      <w:pPr>
        <w:pStyle w:val="2"/>
        <w:keepNext w:val="0"/>
        <w:keepLines w:val="0"/>
        <w:pageBreakBefore w:val="0"/>
        <w:kinsoku/>
        <w:wordWrap w:val="0"/>
        <w:overflowPunct/>
        <w:topLinePunct w:val="0"/>
        <w:bidi w:val="0"/>
        <w:spacing w:before="353" w:line="360" w:lineRule="auto"/>
        <w:ind w:left="2654"/>
        <w:jc w:val="both"/>
        <w:rPr>
          <w:rFonts w:ascii="Arial"/>
          <w:sz w:val="21"/>
        </w:rPr>
      </w:pPr>
      <w:r>
        <w:rPr>
          <w:spacing w:val="-5"/>
          <w:sz w:val="36"/>
          <w:szCs w:val="36"/>
          <w14:textOutline w14:w="2306" w14:cap="flat" w14:cmpd="sng">
            <w14:solidFill>
              <w14:srgbClr w14:val="000000"/>
            </w14:solidFill>
            <w14:prstDash w14:val="solid"/>
            <w14:miter w14:val="0"/>
          </w14:textOutline>
        </w:rPr>
        <w:t>第六章</w:t>
      </w:r>
      <w:r>
        <w:rPr>
          <w:rFonts w:hint="eastAsia"/>
          <w:spacing w:val="-5"/>
          <w:sz w:val="36"/>
          <w:szCs w:val="36"/>
          <w:lang w:val="en-US" w:eastAsia="zh-CN"/>
          <w14:textOutline w14:w="2306" w14:cap="flat" w14:cmpd="sng">
            <w14:solidFill>
              <w14:srgbClr w14:val="000000"/>
            </w14:solidFill>
            <w14:prstDash w14:val="solid"/>
            <w14:miter w14:val="0"/>
          </w14:textOutline>
        </w:rPr>
        <w:t xml:space="preserve"> </w:t>
      </w:r>
      <w:r>
        <w:rPr>
          <w:spacing w:val="-5"/>
          <w:sz w:val="36"/>
          <w:szCs w:val="36"/>
          <w14:textOutline w14:w="2306" w14:cap="flat" w14:cmpd="sng">
            <w14:solidFill>
              <w14:srgbClr w14:val="000000"/>
            </w14:solidFill>
            <w14:prstDash w14:val="solid"/>
            <w14:miter w14:val="0"/>
          </w14:textOutline>
        </w:rPr>
        <w:t>响应文件格式</w:t>
      </w:r>
    </w:p>
    <w:p w14:paraId="65C270D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sz w:val="24"/>
          <w:szCs w:val="24"/>
        </w:rPr>
      </w:pPr>
      <w:r>
        <w:rPr>
          <w:spacing w:val="-1"/>
          <w:sz w:val="24"/>
          <w:szCs w:val="24"/>
          <w14:textOutline w14:w="1537" w14:cap="flat" w14:cmpd="sng">
            <w14:solidFill>
              <w14:srgbClr w14:val="000000"/>
            </w14:solidFill>
            <w14:prstDash w14:val="solid"/>
            <w14:miter w14:val="0"/>
          </w14:textOutline>
        </w:rPr>
        <w:t>供应商编制文件须知</w:t>
      </w:r>
    </w:p>
    <w:p w14:paraId="7AD415EC">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1.供应商</w:t>
      </w:r>
      <w:r>
        <w:rPr>
          <w:rFonts w:hint="eastAsia" w:asciiTheme="minorEastAsia" w:hAnsiTheme="minorEastAsia" w:eastAsiaTheme="minorEastAsia" w:cstheme="minorEastAsia"/>
          <w:spacing w:val="-3"/>
          <w:sz w:val="24"/>
          <w:szCs w:val="24"/>
        </w:rPr>
        <w:t>按照本部分的顺序编制</w:t>
      </w:r>
      <w:r>
        <w:rPr>
          <w:rFonts w:hint="eastAsia" w:asciiTheme="minorEastAsia" w:hAnsiTheme="minorEastAsia" w:eastAsiaTheme="minorEastAsia" w:cstheme="minorEastAsia"/>
          <w:spacing w:val="-3"/>
          <w:sz w:val="24"/>
          <w:szCs w:val="24"/>
          <w:lang w:val="en-US" w:eastAsia="zh-CN"/>
        </w:rPr>
        <w:t>响应文件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14:paraId="56DAE8A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sz w:val="24"/>
          <w:szCs w:val="24"/>
        </w:rPr>
      </w:pPr>
      <w:r>
        <w:rPr>
          <w:rFonts w:hint="eastAsia" w:ascii="Arial" w:hAnsi="Arial" w:eastAsia="宋体" w:cs="Arial"/>
          <w:spacing w:val="-1"/>
          <w:sz w:val="24"/>
          <w:szCs w:val="24"/>
          <w:lang w:val="en-US" w:eastAsia="zh-CN"/>
        </w:rPr>
        <w:t>2.</w:t>
      </w:r>
      <w:r>
        <w:rPr>
          <w:spacing w:val="-1"/>
          <w:sz w:val="24"/>
          <w:szCs w:val="24"/>
        </w:rPr>
        <w:t>全部声明和问题的回答及所附材料必须是真实的、准确的和完整</w:t>
      </w:r>
      <w:r>
        <w:rPr>
          <w:spacing w:val="-2"/>
          <w:sz w:val="24"/>
          <w:szCs w:val="24"/>
        </w:rPr>
        <w:t>的。</w:t>
      </w:r>
    </w:p>
    <w:p w14:paraId="69C671B5">
      <w:pPr>
        <w:keepNext w:val="0"/>
        <w:keepLines w:val="0"/>
        <w:pageBreakBefore w:val="0"/>
        <w:kinsoku/>
        <w:wordWrap w:val="0"/>
        <w:overflowPunct/>
        <w:topLinePunct w:val="0"/>
        <w:bidi w:val="0"/>
        <w:spacing w:line="219" w:lineRule="auto"/>
        <w:jc w:val="both"/>
        <w:rPr>
          <w:sz w:val="24"/>
          <w:szCs w:val="24"/>
        </w:rPr>
        <w:sectPr>
          <w:pgSz w:w="11907" w:h="16840"/>
          <w:pgMar w:top="1440" w:right="1800" w:bottom="1440" w:left="1800" w:header="878" w:footer="886" w:gutter="0"/>
          <w:pgNumType w:fmt="decimal"/>
          <w:cols w:space="720" w:num="1"/>
        </w:sectPr>
      </w:pPr>
    </w:p>
    <w:p w14:paraId="1A80A6A3">
      <w:pPr>
        <w:keepNext w:val="0"/>
        <w:keepLines w:val="0"/>
        <w:pageBreakBefore w:val="0"/>
        <w:numPr>
          <w:ilvl w:val="0"/>
          <w:numId w:val="0"/>
        </w:numPr>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响应函格式</w:t>
      </w:r>
    </w:p>
    <w:p w14:paraId="131B0C58">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18C10F0B">
      <w:pPr>
        <w:keepNext w:val="0"/>
        <w:keepLines w:val="0"/>
        <w:pageBreakBefore w:val="0"/>
        <w:kinsoku/>
        <w:wordWrap w:val="0"/>
        <w:overflowPunct/>
        <w:topLinePunct w:val="0"/>
        <w:bidi w:val="0"/>
        <w:spacing w:after="0" w:line="360" w:lineRule="auto"/>
        <w:jc w:val="center"/>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响应函</w:t>
      </w:r>
    </w:p>
    <w:p w14:paraId="2E38D667">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24B64CA8">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14:paraId="1BED7C79">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根据贵方项目编号为____________的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要求，签字代表_________（全名、职务）经正式授权并代表_________（供应商名称、地址）提交包含响应文件组成第</w:t>
      </w:r>
      <w:r>
        <w:rPr>
          <w:rFonts w:hint="eastAsia" w:asciiTheme="minorEastAsia" w:hAnsiTheme="minorEastAsia" w:eastAsiaTheme="minorEastAsia" w:cstheme="minorEastAsia"/>
          <w:snapToGrid w:val="0"/>
          <w:color w:val="000000"/>
          <w:spacing w:val="-3"/>
          <w:kern w:val="0"/>
          <w:sz w:val="24"/>
          <w:szCs w:val="24"/>
          <w:lang w:val="en-US" w:eastAsia="zh-CN" w:bidi="ar-SA"/>
        </w:rPr>
        <w:t>1</w:t>
      </w:r>
      <w:r>
        <w:rPr>
          <w:rFonts w:hint="eastAsia" w:asciiTheme="minorEastAsia" w:hAnsiTheme="minorEastAsia" w:eastAsiaTheme="minorEastAsia" w:cstheme="minorEastAsia"/>
          <w:snapToGrid w:val="0"/>
          <w:color w:val="000000"/>
          <w:spacing w:val="-3"/>
          <w:kern w:val="0"/>
          <w:sz w:val="24"/>
          <w:szCs w:val="24"/>
          <w:lang w:val="en-US" w:eastAsia="en-US" w:bidi="ar-SA"/>
        </w:rPr>
        <w:t>项至第</w:t>
      </w:r>
      <w:r>
        <w:rPr>
          <w:rFonts w:hint="eastAsia" w:asciiTheme="minorEastAsia" w:hAnsiTheme="minorEastAsia" w:eastAsiaTheme="minorEastAsia" w:cstheme="minorEastAsia"/>
          <w:snapToGrid w:val="0"/>
          <w:color w:val="000000"/>
          <w:spacing w:val="-3"/>
          <w:kern w:val="0"/>
          <w:sz w:val="24"/>
          <w:szCs w:val="24"/>
          <w:u w:val="single"/>
          <w:lang w:val="en-US" w:eastAsia="zh-CN" w:bidi="ar-SA"/>
        </w:rPr>
        <w:t xml:space="preserve">  </w:t>
      </w:r>
      <w:r>
        <w:rPr>
          <w:rFonts w:hint="eastAsia" w:asciiTheme="minorEastAsia" w:hAnsiTheme="minorEastAsia" w:eastAsiaTheme="minorEastAsia" w:cstheme="minorEastAsia"/>
          <w:snapToGrid w:val="0"/>
          <w:color w:val="000000"/>
          <w:spacing w:val="-3"/>
          <w:kern w:val="0"/>
          <w:sz w:val="24"/>
          <w:szCs w:val="24"/>
          <w:lang w:val="en-US" w:eastAsia="en-US" w:bidi="ar-SA"/>
        </w:rPr>
        <w:t>项的响应文件电子版本一份。</w:t>
      </w:r>
    </w:p>
    <w:p w14:paraId="2EA561FB">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据此函，签字代表宣布同意并郑重承诺如下：</w:t>
      </w:r>
    </w:p>
    <w:p w14:paraId="0C4A200C">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1、我方递交的响应文件中所有的资料均为真实的、准确的，无任何虚假内容。若存在有虚假内容，我方愿意承担法律责任。</w:t>
      </w:r>
    </w:p>
    <w:p w14:paraId="69320CDE">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2、我方已详细审查全部</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，包括修改文件（如有的话）以及全部参考资料和有关附件。我们完全理解并同意放弃对这方面有不明白及误解的权利。</w:t>
      </w:r>
    </w:p>
    <w:p w14:paraId="2EA5D98D">
      <w:pPr>
        <w:pStyle w:val="2"/>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3、若成交，我方将按照</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的具体规定与采购人签订供货安装调试</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合同，并且严格按合同履行义务，按时交付使用，保证设备</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质量符合</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要求，并提供优质服务。如果在合同执行过程中，发现问题，我方一定尽快对其进行调整，并承担相应的经济责任。</w:t>
      </w:r>
    </w:p>
    <w:p w14:paraId="11D137D7">
      <w:pPr>
        <w:pStyle w:val="2"/>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4、我方保证，严格遵守</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w:t>
      </w:r>
      <w:r>
        <w:rPr>
          <w:rFonts w:hint="eastAsia" w:ascii="宋体" w:hAnsi="宋体" w:eastAsia="宋体" w:cs="宋体"/>
          <w:snapToGrid w:val="0"/>
          <w:color w:val="000000"/>
          <w:kern w:val="0"/>
          <w:sz w:val="24"/>
          <w:szCs w:val="24"/>
          <w:lang w:val="en-US" w:eastAsia="en-US" w:bidi="ar-SA"/>
        </w:rPr>
        <w:t>《政府采购竞争性磋商采购方式管理暂行办法》</w:t>
      </w:r>
      <w:r>
        <w:rPr>
          <w:rFonts w:hint="eastAsia" w:asciiTheme="minorEastAsia" w:hAnsiTheme="minorEastAsia" w:eastAsiaTheme="minorEastAsia" w:cstheme="minorEastAsia"/>
          <w:snapToGrid w:val="0"/>
          <w:color w:val="000000"/>
          <w:spacing w:val="-3"/>
          <w:kern w:val="0"/>
          <w:sz w:val="24"/>
          <w:szCs w:val="24"/>
          <w:lang w:val="en-US" w:eastAsia="en-US" w:bidi="ar-SA"/>
        </w:rPr>
        <w:t>及其他相关法律法规的规定，若有违反上述法律法规的行为，愿意接受处罚并承担相应的法律责任。</w:t>
      </w:r>
    </w:p>
    <w:p w14:paraId="5E118CE6">
      <w:pPr>
        <w:pStyle w:val="2"/>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5、本承诺将成为合同不可分割的一部分，与合同具有同等的法律效力。</w:t>
      </w:r>
    </w:p>
    <w:p w14:paraId="35AF53FC">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335877FB">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供应商名称（公章）：</w:t>
      </w:r>
    </w:p>
    <w:p w14:paraId="4350C23A">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法定代表人或负责人或被授权人签名（或盖章）：</w:t>
      </w:r>
    </w:p>
    <w:p w14:paraId="0CE78702">
      <w:pPr>
        <w:keepNext w:val="0"/>
        <w:keepLines w:val="0"/>
        <w:pageBreakBefore w:val="0"/>
        <w:widowControl w:val="0"/>
        <w:kinsoku/>
        <w:wordWrap w:val="0"/>
        <w:overflowPunct/>
        <w:topLinePunct w:val="0"/>
        <w:autoSpaceDE w:val="0"/>
        <w:autoSpaceDN w:val="0"/>
        <w:bidi w:val="0"/>
        <w:adjustRightInd w:val="0"/>
        <w:spacing w:line="360" w:lineRule="auto"/>
        <w:ind w:firstLine="1200" w:firstLineChars="5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7DD2683C">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28B797BE">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7E95AF3F">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2523C819">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二、法定代表人或负责人授权委托书格式：</w:t>
      </w:r>
    </w:p>
    <w:p w14:paraId="3B05DC03">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28ED46FB">
      <w:pPr>
        <w:keepNext w:val="0"/>
        <w:keepLines w:val="0"/>
        <w:pageBreakBefore w:val="0"/>
        <w:kinsoku/>
        <w:wordWrap w:val="0"/>
        <w:overflowPunct/>
        <w:topLinePunct w:val="0"/>
        <w:bidi w:val="0"/>
        <w:spacing w:after="0" w:line="360" w:lineRule="auto"/>
        <w:jc w:val="center"/>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法定代表人或负责人授权委托书</w:t>
      </w:r>
    </w:p>
    <w:p w14:paraId="2347849B">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619513A2">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14:paraId="237B9831">
      <w:pPr>
        <w:keepNext w:val="0"/>
        <w:keepLines w:val="0"/>
        <w:pageBreakBefore w:val="0"/>
        <w:kinsoku/>
        <w:wordWrap w:val="0"/>
        <w:overflowPunct/>
        <w:topLinePunct w:val="0"/>
        <w:bidi w:val="0"/>
        <w:spacing w:after="0" w:line="360" w:lineRule="auto"/>
        <w:ind w:firstLine="702" w:firstLineChars="3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我_________（姓名）系_________（供应商名称）的法定代表人或负责人，现授权委托本单位在职职工（姓名）以我方的名义参加项目的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w:t>
      </w:r>
      <w:r>
        <w:rPr>
          <w:rFonts w:hint="eastAsia" w:asciiTheme="minorEastAsia" w:hAnsiTheme="minorEastAsia" w:eastAsiaTheme="minorEastAsia" w:cstheme="minorEastAsia"/>
          <w:snapToGrid w:val="0"/>
          <w:color w:val="000000"/>
          <w:spacing w:val="-3"/>
          <w:kern w:val="0"/>
          <w:sz w:val="24"/>
          <w:szCs w:val="24"/>
          <w:lang w:val="en-US" w:eastAsia="en-US" w:bidi="ar-SA"/>
        </w:rPr>
        <w:t>活动，并代表我方全权办理针对上述项目的具体事务和签署相关文件。我方对被授权人的签名事项负全部责任。</w:t>
      </w:r>
    </w:p>
    <w:p w14:paraId="5AE631D1">
      <w:pPr>
        <w:keepNext w:val="0"/>
        <w:keepLines w:val="0"/>
        <w:pageBreakBefore w:val="0"/>
        <w:kinsoku/>
        <w:wordWrap w:val="0"/>
        <w:overflowPunct/>
        <w:topLinePunct w:val="0"/>
        <w:bidi w:val="0"/>
        <w:spacing w:after="0" w:line="360" w:lineRule="auto"/>
        <w:ind w:firstLine="48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在撤销授权的书面通知以前，本授权书一直有效。被授权人在授权书有效期内签署的所有文件不因授权的撤销而失效。</w:t>
      </w:r>
    </w:p>
    <w:p w14:paraId="69EE395F">
      <w:pPr>
        <w:keepNext w:val="0"/>
        <w:keepLines w:val="0"/>
        <w:pageBreakBefore w:val="0"/>
        <w:kinsoku/>
        <w:wordWrap w:val="0"/>
        <w:overflowPunct/>
        <w:topLinePunct w:val="0"/>
        <w:bidi w:val="0"/>
        <w:spacing w:after="0" w:line="360" w:lineRule="auto"/>
        <w:ind w:firstLine="48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被授权人无转委托权，特此委托。</w:t>
      </w:r>
    </w:p>
    <w:p w14:paraId="7D92506A">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3C986A6D">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法定代表人或负责人签名（或盖章）：</w:t>
      </w:r>
    </w:p>
    <w:p w14:paraId="6C0A9AAF">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被授权人签名（或盖章）：</w:t>
      </w:r>
    </w:p>
    <w:p w14:paraId="51B64524">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职务：</w:t>
      </w:r>
    </w:p>
    <w:p w14:paraId="6F2076F7">
      <w:pPr>
        <w:keepNext w:val="0"/>
        <w:keepLines w:val="0"/>
        <w:pageBreakBefore w:val="0"/>
        <w:kinsoku/>
        <w:wordWrap w:val="0"/>
        <w:overflowPunct/>
        <w:topLinePunct w:val="0"/>
        <w:bidi w:val="0"/>
        <w:spacing w:after="0" w:line="360" w:lineRule="auto"/>
        <w:ind w:firstLine="2634" w:firstLineChars="1126"/>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联系电话：</w:t>
      </w:r>
    </w:p>
    <w:p w14:paraId="024A3B0F">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325EC075">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法定代表人或负责人、被授权人身份证复印件</w:t>
      </w:r>
    </w:p>
    <w:p w14:paraId="3FC7A8F8">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423AC516">
      <w:pPr>
        <w:keepNext w:val="0"/>
        <w:keepLines w:val="0"/>
        <w:pageBreakBefore w:val="0"/>
        <w:kinsoku/>
        <w:wordWrap w:val="0"/>
        <w:overflowPunct/>
        <w:topLinePunct w:val="0"/>
        <w:bidi w:val="0"/>
        <w:spacing w:after="0" w:line="360" w:lineRule="auto"/>
        <w:ind w:firstLine="6786" w:firstLineChars="29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183A1ED7">
      <w:pPr>
        <w:keepNext w:val="0"/>
        <w:keepLines w:val="0"/>
        <w:pageBreakBefore w:val="0"/>
        <w:kinsoku/>
        <w:wordWrap w:val="0"/>
        <w:overflowPunct/>
        <w:topLinePunct w:val="0"/>
        <w:bidi w:val="0"/>
        <w:spacing w:after="0" w:line="360" w:lineRule="auto"/>
        <w:ind w:firstLine="5382" w:firstLineChars="23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供应商公章：</w:t>
      </w:r>
    </w:p>
    <w:p w14:paraId="38CBE935">
      <w:pPr>
        <w:keepNext w:val="0"/>
        <w:keepLines w:val="0"/>
        <w:pageBreakBefore w:val="0"/>
        <w:widowControl w:val="0"/>
        <w:kinsoku/>
        <w:wordWrap w:val="0"/>
        <w:overflowPunct/>
        <w:topLinePunct w:val="0"/>
        <w:autoSpaceDE w:val="0"/>
        <w:autoSpaceDN w:val="0"/>
        <w:bidi w:val="0"/>
        <w:adjustRightInd w:val="0"/>
        <w:spacing w:line="360" w:lineRule="auto"/>
        <w:ind w:firstLine="5280" w:firstLineChars="2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45B1FF19">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sectPr>
          <w:headerReference r:id="rId9" w:type="default"/>
          <w:footerReference r:id="rId10" w:type="default"/>
          <w:pgSz w:w="11906" w:h="16838"/>
          <w:pgMar w:top="1440" w:right="1800" w:bottom="1440" w:left="1800" w:header="851" w:footer="992" w:gutter="0"/>
          <w:pgNumType w:fmt="decimal"/>
          <w:cols w:space="720" w:num="1"/>
          <w:docGrid w:type="lines" w:linePitch="312" w:charSpace="0"/>
        </w:sectPr>
      </w:pPr>
    </w:p>
    <w:p w14:paraId="31E47AD2">
      <w:pPr>
        <w:keepNext w:val="0"/>
        <w:keepLines w:val="0"/>
        <w:pageBreakBefore w:val="0"/>
        <w:numPr>
          <w:ilvl w:val="0"/>
          <w:numId w:val="4"/>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报价一览表格式：</w:t>
      </w:r>
    </w:p>
    <w:p w14:paraId="409201E4">
      <w:pPr>
        <w:keepNext w:val="0"/>
        <w:keepLines w:val="0"/>
        <w:pageBreakBefore w:val="0"/>
        <w:numPr>
          <w:ilvl w:val="0"/>
          <w:numId w:val="0"/>
        </w:numPr>
        <w:kinsoku/>
        <w:wordWrap w:val="0"/>
        <w:overflowPunct/>
        <w:topLinePunct w:val="0"/>
        <w:bidi w:val="0"/>
        <w:snapToGrid w:val="0"/>
        <w:spacing w:line="360" w:lineRule="auto"/>
        <w:jc w:val="both"/>
        <w:rPr>
          <w:rFonts w:hint="default" w:asciiTheme="minorEastAsia" w:hAnsiTheme="minorEastAsia" w:eastAsiaTheme="minorEastAsia" w:cstheme="minorEastAsia"/>
          <w:snapToGrid w:val="0"/>
          <w:color w:val="000000"/>
          <w:spacing w:val="-3"/>
          <w:kern w:val="0"/>
          <w:sz w:val="24"/>
          <w:szCs w:val="24"/>
          <w:lang w:val="en-US" w:eastAsia="zh-CN" w:bidi="ar-SA"/>
        </w:rPr>
      </w:pPr>
    </w:p>
    <w:tbl>
      <w:tblPr>
        <w:tblStyle w:val="12"/>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236"/>
      </w:tblGrid>
      <w:tr w14:paraId="6930B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7CE402D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1E369C2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58730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2E470E8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46B4DE2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49B2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0CE48A9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2C5EA37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008B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08BFD8A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磋商报价</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6D71D6B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8"/>
                <w:kern w:val="0"/>
                <w:sz w:val="24"/>
                <w:szCs w:val="24"/>
                <w:lang w:val="en-US" w:eastAsia="zh-CN" w:bidi="ar-SA"/>
              </w:rPr>
              <w:t>大写：（￥：）</w:t>
            </w:r>
          </w:p>
        </w:tc>
      </w:tr>
      <w:tr w14:paraId="7B1E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45C9002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服务期限</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07825A9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2EFB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4F7179D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服务质量</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7C91F40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547F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589B725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备注</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4A75B31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482E8D3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bl>
    <w:p w14:paraId="0C26410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供应商（公章）：法定代表人（负责人）或授权代表（签字）：</w:t>
      </w:r>
    </w:p>
    <w:p w14:paraId="636FB25D">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zh-CN"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63CF879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1AA577F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7782B2D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15D1722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28576CC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0C9E31C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37EF4C4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7296FF0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79011B50">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20E24685">
      <w:pPr>
        <w:keepNext w:val="0"/>
        <w:keepLines w:val="0"/>
        <w:pageBreakBefore w:val="0"/>
        <w:widowControl/>
        <w:numPr>
          <w:ilvl w:val="0"/>
          <w:numId w:val="4"/>
        </w:numPr>
        <w:kinsoku/>
        <w:wordWrap w:val="0"/>
        <w:overflowPunct/>
        <w:topLinePunct w:val="0"/>
        <w:autoSpaceDE w:val="0"/>
        <w:autoSpaceDN w:val="0"/>
        <w:bidi w:val="0"/>
        <w:adjustRightInd w:val="0"/>
        <w:snapToGrid w:val="0"/>
        <w:spacing w:line="360" w:lineRule="auto"/>
        <w:ind w:left="0" w:leftChars="0" w:firstLine="0" w:firstLineChars="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营业执照副本、依法缴纳税收和社会保障资金的缴费凭证、审计或财务报告、</w:t>
      </w:r>
      <w:r>
        <w:rPr>
          <w:rFonts w:hint="eastAsia" w:asciiTheme="minorEastAsia" w:hAnsiTheme="minorEastAsia" w:eastAsiaTheme="minorEastAsia" w:cstheme="minorEastAsia"/>
          <w:b/>
          <w:bCs/>
          <w:sz w:val="24"/>
          <w:szCs w:val="24"/>
          <w:lang w:eastAsia="zh-CN"/>
        </w:rPr>
        <w:t>具有履行合同所必需的设备和专业技术能力的承诺、</w:t>
      </w:r>
      <w:r>
        <w:rPr>
          <w:rFonts w:hint="eastAsia" w:asciiTheme="minorEastAsia" w:hAnsiTheme="minorEastAsia" w:eastAsiaTheme="minorEastAsia" w:cstheme="minorEastAsia"/>
          <w:b/>
          <w:bCs/>
          <w:snapToGrid w:val="0"/>
          <w:color w:val="000000"/>
          <w:spacing w:val="-3"/>
          <w:kern w:val="0"/>
          <w:sz w:val="24"/>
          <w:szCs w:val="24"/>
          <w:lang w:val="en-US" w:eastAsia="zh-CN" w:bidi="ar-SA"/>
        </w:rPr>
        <w:t>近三年内在经营活动</w:t>
      </w:r>
    </w:p>
    <w:p w14:paraId="1A56276B">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中没有重大违法记录的声明等；</w:t>
      </w:r>
    </w:p>
    <w:p w14:paraId="6E4442B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val="en-US" w:eastAsia="zh-CN"/>
        </w:rPr>
      </w:pPr>
    </w:p>
    <w:p w14:paraId="794964B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审计或财务报告</w:t>
      </w:r>
      <w:r>
        <w:rPr>
          <w:rFonts w:hint="eastAsia" w:asciiTheme="minorEastAsia" w:hAnsiTheme="minorEastAsia" w:eastAsiaTheme="minorEastAsia" w:cstheme="minorEastAsia"/>
          <w:b w:val="0"/>
          <w:bCs w:val="0"/>
          <w:sz w:val="24"/>
          <w:szCs w:val="24"/>
          <w:lang w:eastAsia="zh-CN"/>
        </w:rPr>
        <w:t>说明：</w:t>
      </w:r>
    </w:p>
    <w:p w14:paraId="053C2162">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b w:val="0"/>
          <w:bCs w:val="0"/>
          <w:sz w:val="24"/>
          <w:szCs w:val="24"/>
          <w:lang w:eastAsia="zh-CN"/>
        </w:rPr>
        <w:t>与银行之间业务往来正常，企业信誉良好等。</w:t>
      </w:r>
    </w:p>
    <w:p w14:paraId="6253A8FE">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b w:val="0"/>
          <w:bCs w:val="0"/>
          <w:sz w:val="24"/>
          <w:szCs w:val="24"/>
          <w:lang w:eastAsia="zh-CN"/>
        </w:rPr>
        <w:t>提供企业有关财务会计制度。</w:t>
      </w:r>
    </w:p>
    <w:p w14:paraId="2D1A731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p>
    <w:p w14:paraId="1E3D44B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近三年内在经营活动中没有重大违法记录的声明（格式）</w:t>
      </w:r>
    </w:p>
    <w:p w14:paraId="618323D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64411A84">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声明函</w:t>
      </w:r>
    </w:p>
    <w:p w14:paraId="13E087E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5D3C02B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（法定代表人或其授权代表）代表</w:t>
      </w:r>
      <w:r>
        <w:rPr>
          <w:rFonts w:hint="eastAsia" w:asciiTheme="minorEastAsia" w:hAnsiTheme="minorEastAsia" w:eastAsiaTheme="minorEastAsia" w:cstheme="minorEastAsia"/>
          <w:b w:val="0"/>
          <w:bCs w:val="0"/>
          <w:sz w:val="24"/>
          <w:szCs w:val="24"/>
          <w:u w:val="single"/>
          <w:lang w:eastAsia="zh-CN"/>
        </w:rPr>
        <w:t>（</w:t>
      </w:r>
      <w:r>
        <w:rPr>
          <w:rFonts w:hint="eastAsia" w:asciiTheme="minorEastAsia" w:hAnsiTheme="minorEastAsia" w:eastAsiaTheme="minorEastAsia" w:cstheme="minorEastAsia"/>
          <w:b w:val="0"/>
          <w:bCs w:val="0"/>
          <w:sz w:val="24"/>
          <w:szCs w:val="24"/>
          <w:lang w:eastAsia="zh-CN"/>
        </w:rPr>
        <w:t>公司全称）向本项目的采购人和采购代理机构郑重声明如下：</w:t>
      </w:r>
    </w:p>
    <w:p w14:paraId="01E9DE0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我公司近三年来的经营活动中，未因违法经营受到刑事处罚或者责令停产停业、吊销许可证或者执照、较大数额罚款等行政处罚。</w:t>
      </w:r>
    </w:p>
    <w:p w14:paraId="0DB8AEE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特此声明。</w:t>
      </w:r>
    </w:p>
    <w:p w14:paraId="1BF2D98C">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3E43206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71599C7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供应商（盖章）：</w:t>
      </w:r>
    </w:p>
    <w:p w14:paraId="55904D8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eastAsia="zh-CN"/>
        </w:rPr>
        <w:t>法定代表人或其授权代表（签字）：</w:t>
      </w:r>
    </w:p>
    <w:p w14:paraId="2165C5E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067A4B7F">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18A09395">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7DE9A87E">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26EF7A06">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66CC2FC0">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1AC771C0">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2789A90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五、商务偏差表；</w:t>
      </w:r>
    </w:p>
    <w:p w14:paraId="250AB494">
      <w:pPr>
        <w:keepNext w:val="0"/>
        <w:keepLines w:val="0"/>
        <w:pageBreakBefore w:val="0"/>
        <w:kinsoku/>
        <w:wordWrap w:val="0"/>
        <w:overflowPunct/>
        <w:topLinePunct w:val="0"/>
        <w:bidi w:val="0"/>
        <w:spacing w:line="240" w:lineRule="atLeast"/>
        <w:ind w:firstLine="2650" w:firstLineChars="1100"/>
        <w:jc w:val="both"/>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商务偏差表</w:t>
      </w:r>
    </w:p>
    <w:p w14:paraId="54E3E35B">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sz w:val="24"/>
          <w:szCs w:val="24"/>
          <w:lang w:val="en-US" w:eastAsia="zh-CN"/>
        </w:rPr>
      </w:pPr>
    </w:p>
    <w:p w14:paraId="6082BC8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14:paraId="6191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0"/>
            <w:vAlign w:val="center"/>
          </w:tcPr>
          <w:p w14:paraId="7366791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14:paraId="27B5AD6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lang w:eastAsia="zh-CN"/>
              </w:rPr>
              <w:t>文件</w:t>
            </w:r>
          </w:p>
          <w:p w14:paraId="3719162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14:paraId="07E7E65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p>
          <w:p w14:paraId="73A92C7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46A144E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811C8C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14:paraId="6E31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129DF14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5754EE1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5DC7DD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AAE364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E615AD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0700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15D0C03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5FEE2C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F2B82D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55C48F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A37700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348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328AD7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4A6091F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55E0D4F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7A803C2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FE2CE9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494D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344CA0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859511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B2AF22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338F0E1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EF48B9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7A9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32550F6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5583177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6ADB4C6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7B3D85A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CAA598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66D6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08E63CD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7C02A7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2538FD5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2DF127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D94EFB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339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CFE069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9DA83E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1ECC50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AD6468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FAFE65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20C3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216A07E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22C2D11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7FAF00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59A061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D3635B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1B3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4575A57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413C96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54E909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4A68A3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A4B887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457BA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21568A4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E9E059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441DCA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A8AF34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8DF652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1CA22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2D67E19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4493AF1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736D20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62B0B6C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FBD025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bl>
    <w:p w14:paraId="0F5D664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bCs/>
          <w:spacing w:val="2"/>
          <w:sz w:val="24"/>
          <w:szCs w:val="24"/>
        </w:rPr>
        <w:t>供应商</w:t>
      </w:r>
      <w:r>
        <w:rPr>
          <w:rFonts w:hint="eastAsia" w:asciiTheme="minorEastAsia" w:hAnsiTheme="minorEastAsia" w:eastAsiaTheme="minorEastAsia" w:cstheme="minorEastAsia"/>
          <w:b/>
          <w:sz w:val="24"/>
          <w:szCs w:val="24"/>
          <w:lang w:eastAsia="zh-CN"/>
        </w:rPr>
        <w:t>（公章）：法定代表人（负责人）或授权代表（签字）：</w:t>
      </w:r>
    </w:p>
    <w:p w14:paraId="63987A37">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zh-CN"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0146AE09">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sz w:val="24"/>
          <w:szCs w:val="24"/>
        </w:rPr>
        <w:sectPr>
          <w:headerReference r:id="rId11" w:type="default"/>
          <w:footerReference r:id="rId12" w:type="default"/>
          <w:pgSz w:w="11907" w:h="16840"/>
          <w:pgMar w:top="1440" w:right="1800" w:bottom="1440" w:left="1800" w:header="851" w:footer="992" w:gutter="0"/>
          <w:pgNumType w:fmt="decimal"/>
          <w:cols w:space="720" w:num="1"/>
          <w:docGrid w:linePitch="332" w:charSpace="0"/>
        </w:sectPr>
      </w:pPr>
    </w:p>
    <w:p w14:paraId="529B8BFF">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六、需求分析报告、运维服务实施方案、管理服务方案、驻场人员绩效考核方案、安全保障方案、应急预案、驻场人员方案；</w:t>
      </w:r>
    </w:p>
    <w:p w14:paraId="09BA9BB6">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七、机房调研证明、其他证明材料、人员资质等；</w:t>
      </w:r>
    </w:p>
    <w:p w14:paraId="36FD583E">
      <w:pPr>
        <w:keepNext w:val="0"/>
        <w:keepLines w:val="0"/>
        <w:pageBreakBefore w:val="0"/>
        <w:kinsoku/>
        <w:wordWrap w:val="0"/>
        <w:overflowPunct/>
        <w:topLinePunct w:val="0"/>
        <w:bidi w:val="0"/>
        <w:spacing w:after="120" w:line="360" w:lineRule="auto"/>
        <w:jc w:val="both"/>
        <w:rPr>
          <w:rFonts w:hint="default"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八、业绩</w:t>
      </w:r>
    </w:p>
    <w:p w14:paraId="60F6FFF7">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九、供应商诚信承诺书</w:t>
      </w:r>
    </w:p>
    <w:p w14:paraId="6C4A92A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p>
    <w:p w14:paraId="78C55F7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t>诚信承诺书</w:t>
      </w:r>
    </w:p>
    <w:p w14:paraId="2D404AFC">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5CCBA87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14:paraId="39644BA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w:t>
      </w:r>
      <w:r>
        <w:rPr>
          <w:rFonts w:hint="eastAsia" w:asciiTheme="minorEastAsia" w:hAnsiTheme="minorEastAsia" w:eastAsiaTheme="minorEastAsia" w:cstheme="minorEastAsia"/>
          <w:b w:val="0"/>
          <w:bCs w:val="0"/>
          <w:sz w:val="24"/>
          <w:szCs w:val="24"/>
          <w:lang w:val="en-US" w:eastAsia="zh-CN"/>
        </w:rPr>
        <w:t>采购</w:t>
      </w:r>
      <w:r>
        <w:rPr>
          <w:rFonts w:hint="eastAsia" w:asciiTheme="minorEastAsia" w:hAnsiTheme="minorEastAsia" w:eastAsiaTheme="minorEastAsia" w:cstheme="minorEastAsia"/>
          <w:b w:val="0"/>
          <w:bCs w:val="0"/>
          <w:sz w:val="24"/>
          <w:szCs w:val="24"/>
          <w:lang w:eastAsia="zh-CN"/>
        </w:rPr>
        <w:t>在电子</w:t>
      </w:r>
      <w:r>
        <w:rPr>
          <w:rFonts w:hint="eastAsia" w:asciiTheme="minorEastAsia" w:hAnsiTheme="minorEastAsia" w:eastAsiaTheme="minorEastAsia" w:cstheme="minorEastAsia"/>
          <w:b w:val="0"/>
          <w:bCs w:val="0"/>
          <w:sz w:val="24"/>
          <w:szCs w:val="24"/>
          <w:lang w:val="en-US" w:eastAsia="zh-CN"/>
        </w:rPr>
        <w:t>响应</w:t>
      </w:r>
      <w:r>
        <w:rPr>
          <w:rFonts w:hint="eastAsia" w:asciiTheme="minorEastAsia" w:hAnsiTheme="minorEastAsia" w:eastAsiaTheme="minorEastAsia" w:cstheme="minorEastAsia"/>
          <w:b w:val="0"/>
          <w:bCs w:val="0"/>
          <w:sz w:val="24"/>
          <w:szCs w:val="24"/>
          <w:lang w:eastAsia="zh-CN"/>
        </w:rPr>
        <w:t>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74E794D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14:paraId="7D855D41">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3B0C4647">
      <w:pPr>
        <w:keepNext w:val="0"/>
        <w:keepLines w:val="0"/>
        <w:pageBreakBefore w:val="0"/>
        <w:kinsoku/>
        <w:wordWrap w:val="0"/>
        <w:overflowPunct/>
        <w:topLinePunct w:val="0"/>
        <w:bidi w:val="0"/>
        <w:spacing w:line="360" w:lineRule="auto"/>
        <w:ind w:firstLine="1562" w:firstLineChars="651"/>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14:paraId="448D89C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承诺人法定地址：</w:t>
      </w:r>
    </w:p>
    <w:p w14:paraId="05E1964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授权代表（签字或盖章）：</w:t>
      </w:r>
    </w:p>
    <w:p w14:paraId="15B649C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电话：</w:t>
      </w:r>
    </w:p>
    <w:p w14:paraId="1D2085F1">
      <w:pPr>
        <w:keepNext w:val="0"/>
        <w:keepLines w:val="0"/>
        <w:pageBreakBefore w:val="0"/>
        <w:widowControl w:val="0"/>
        <w:kinsoku/>
        <w:wordWrap w:val="0"/>
        <w:overflowPunct/>
        <w:topLinePunct w:val="0"/>
        <w:autoSpaceDE w:val="0"/>
        <w:autoSpaceDN w:val="0"/>
        <w:bidi w:val="0"/>
        <w:adjustRightInd w:val="0"/>
        <w:spacing w:line="360" w:lineRule="auto"/>
        <w:ind w:firstLine="1568" w:firstLineChars="7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46E56921">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57C4A7F0">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233520F0">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6BA0E8BB">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01969A76">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40F0378E">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18351E56">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十、供应商认为需要的其他文件资料</w:t>
      </w:r>
    </w:p>
    <w:p w14:paraId="5FEAB04C">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t>中小企业声明函（服务）格式</w:t>
      </w:r>
    </w:p>
    <w:p w14:paraId="1F40B51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3645AC2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0"/>
          <w:sz w:val="24"/>
          <w:szCs w:val="24"/>
        </w:rPr>
        <w:t>库﹝2020﹞46 号）</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0"/>
          <w:sz w:val="24"/>
          <w:szCs w:val="24"/>
        </w:rPr>
        <w:t>的规定，本公司（联合体）参加（单位名称）</w:t>
      </w:r>
      <w:r>
        <w:rPr>
          <w:rFonts w:hint="eastAsia" w:asciiTheme="minorEastAsia" w:hAnsiTheme="minorEastAsia" w:eastAsiaTheme="minorEastAsia" w:cstheme="minorEastAsia"/>
          <w:spacing w:val="-67"/>
          <w:sz w:val="24"/>
          <w:szCs w:val="24"/>
        </w:rPr>
        <w:t xml:space="preserve"> </w:t>
      </w:r>
      <w:r>
        <w:rPr>
          <w:rFonts w:hint="eastAsia" w:asciiTheme="minorEastAsia" w:hAnsiTheme="minorEastAsia" w:eastAsiaTheme="minorEastAsia" w:cstheme="minorEastAsia"/>
          <w:spacing w:val="10"/>
          <w:sz w:val="24"/>
          <w:szCs w:val="24"/>
        </w:rPr>
        <w:t>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14:paraId="743D6C2F">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6"/>
          <w:sz w:val="24"/>
          <w:szCs w:val="24"/>
        </w:rPr>
        <w:t>的具体情况如下：</w:t>
      </w:r>
    </w:p>
    <w:p w14:paraId="16630B9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12"/>
          <w:position w:val="6"/>
          <w:sz w:val="16"/>
          <w:szCs w:val="16"/>
        </w:rPr>
        <w:t xml:space="preserve"> </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（中型企业、小型企业、微型企业</w:t>
      </w:r>
      <w:r>
        <w:rPr>
          <w:rFonts w:hint="eastAsia" w:asciiTheme="minorEastAsia" w:hAnsiTheme="minorEastAsia" w:eastAsiaTheme="minorEastAsia" w:cstheme="minorEastAsia"/>
          <w:spacing w:val="-50"/>
          <w:sz w:val="24"/>
          <w:szCs w:val="24"/>
          <w:u w:val="single" w:color="auto"/>
        </w:rPr>
        <w:t>）</w:t>
      </w:r>
      <w:r>
        <w:rPr>
          <w:rFonts w:hint="eastAsia" w:asciiTheme="minorEastAsia" w:hAnsiTheme="minorEastAsia" w:eastAsiaTheme="minorEastAsia" w:cstheme="minorEastAsia"/>
          <w:spacing w:val="-50"/>
          <w:sz w:val="24"/>
          <w:szCs w:val="24"/>
        </w:rPr>
        <w:t>；</w:t>
      </w:r>
    </w:p>
    <w:p w14:paraId="0F6AA52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color="auto"/>
        </w:rPr>
        <w:t>（中型企业、小型企业、微型企业</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p>
    <w:p w14:paraId="59B59A2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6394342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14:paraId="75F829F0">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pacing w:val="11"/>
          <w:sz w:val="24"/>
          <w:szCs w:val="24"/>
        </w:rPr>
      </w:pPr>
      <w:r>
        <w:rPr>
          <w:rFonts w:hint="eastAsia" w:asciiTheme="minorEastAsia" w:hAnsiTheme="minorEastAsia" w:eastAsiaTheme="minorEastAsia" w:cstheme="minorEastAsia"/>
          <w:spacing w:val="11"/>
          <w:sz w:val="24"/>
          <w:szCs w:val="24"/>
        </w:rPr>
        <w:t>以上企业，不属于大企业的分支机构，不存在控股股东为大企业的情形，</w:t>
      </w:r>
      <w:r>
        <w:rPr>
          <w:rFonts w:hint="eastAsia" w:asciiTheme="minorEastAsia" w:hAnsiTheme="minorEastAsia" w:eastAsiaTheme="minorEastAsia" w:cstheme="minorEastAsia"/>
          <w:spacing w:val="11"/>
          <w:sz w:val="24"/>
          <w:szCs w:val="24"/>
          <w:lang w:val="en-US" w:eastAsia="zh-CN"/>
        </w:rPr>
        <w:t>也不</w:t>
      </w:r>
      <w:r>
        <w:rPr>
          <w:rFonts w:hint="eastAsia" w:asciiTheme="minorEastAsia" w:hAnsiTheme="minorEastAsia" w:eastAsiaTheme="minorEastAsia" w:cstheme="minorEastAsia"/>
          <w:spacing w:val="11"/>
          <w:sz w:val="24"/>
          <w:szCs w:val="24"/>
        </w:rPr>
        <w:t>存在与大企业的负责人为同一人的情形。</w:t>
      </w:r>
    </w:p>
    <w:p w14:paraId="31D9CC9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pacing w:val="11"/>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14:paraId="7C31DB7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1698D08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46536F0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0" w:firstLineChars="25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u w:val="single" w:color="auto"/>
        </w:rPr>
        <w:t xml:space="preserve">         </w:t>
      </w:r>
    </w:p>
    <w:p w14:paraId="1C238BBD">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3F7083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position w:val="5"/>
          <w:sz w:val="24"/>
          <w:szCs w:val="24"/>
          <w:lang w:val="en-US" w:eastAsia="zh-CN"/>
        </w:rPr>
      </w:pPr>
    </w:p>
    <w:p w14:paraId="5487039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14:paraId="45EE644C">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65B5A7D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0DF890E2">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残疾人福利性单位声明函格式</w:t>
      </w:r>
    </w:p>
    <w:p w14:paraId="5742DFE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14:paraId="6085C1C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14:paraId="35BCD4C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14:paraId="0F35E6C4">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10"/>
          <w:sz w:val="24"/>
          <w:szCs w:val="24"/>
        </w:rPr>
        <w:t>单位的</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10"/>
          <w:sz w:val="24"/>
          <w:szCs w:val="24"/>
        </w:rPr>
        <w:t>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14:paraId="31593E4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14:paraId="57D64A0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5640777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5EF2D7DA">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14:paraId="6343BEAD">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A4418B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960" w:firstLineChars="2900"/>
        <w:jc w:val="both"/>
        <w:textAlignment w:val="baseline"/>
        <w:rPr>
          <w:rFonts w:hint="eastAsia" w:asciiTheme="minorEastAsia" w:hAnsiTheme="minorEastAsia" w:eastAsiaTheme="minorEastAsia" w:cstheme="minorEastAsia"/>
          <w:sz w:val="24"/>
          <w:szCs w:val="24"/>
        </w:rPr>
      </w:pPr>
    </w:p>
    <w:p w14:paraId="408F374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5220625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07C257E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2CF4248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14:paraId="4063EF9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6A72E9E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12B4E22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0CAF040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64660A0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6F8C477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62B813B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14:paraId="1AF55FA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14:paraId="5DEC9F0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0C11522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14:paraId="3DB2A307">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14:paraId="3B248661">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14:paraId="5894D4D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0E69D811">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p>
    <w:p w14:paraId="1F378214">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eastAsia="zh-CN"/>
        </w:rPr>
      </w:pPr>
    </w:p>
    <w:p w14:paraId="7F6041D8">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eastAsia="zh-CN"/>
        </w:rPr>
      </w:pPr>
    </w:p>
    <w:p w14:paraId="655EDF00">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对于市本级政府采购项目，全部实施供应商资格信用承诺，供应商</w:t>
      </w:r>
      <w:r>
        <w:rPr>
          <w:rFonts w:hint="eastAsia" w:asciiTheme="minorEastAsia" w:hAnsiTheme="minorEastAsia" w:eastAsiaTheme="minorEastAsia" w:cstheme="minorEastAsia"/>
          <w:b/>
          <w:bCs/>
          <w:sz w:val="24"/>
          <w:szCs w:val="24"/>
          <w:lang w:eastAsia="zh-CN"/>
        </w:rPr>
        <w:t>在</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第四</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en-US" w:eastAsia="zh-CN"/>
        </w:rPr>
        <w:t>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val="en-US"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14:paraId="35843DB4">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p>
    <w:p w14:paraId="75A112CF">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p>
    <w:p w14:paraId="198AC341">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44A64D1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3ABD85E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4EE68660">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2E13ED6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782C487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t>南阳市政府采购供应商信用承诺函（格式）</w:t>
      </w:r>
    </w:p>
    <w:p w14:paraId="3694A0B8">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14:paraId="0DC4BDE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14:paraId="526DD55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14:paraId="10D30F9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14:paraId="4539A82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14:paraId="383818A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14:paraId="394ECDE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08AACB15">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14:paraId="13A9FFF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14:paraId="2C1432F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14:paraId="5AA5E85B">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14:paraId="78896B5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14:paraId="1E63B35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14:paraId="5A5A66D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14:paraId="22C0129A">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p>
    <w:p w14:paraId="78F309E4">
      <w:pPr>
        <w:keepNext w:val="0"/>
        <w:keepLines w:val="0"/>
        <w:pageBreakBefore w:val="0"/>
        <w:widowControl w:val="0"/>
        <w:kinsoku/>
        <w:wordWrap w:val="0"/>
        <w:overflowPunct/>
        <w:topLinePunct w:val="0"/>
        <w:autoSpaceDE w:val="0"/>
        <w:autoSpaceDN w:val="0"/>
        <w:bidi w:val="0"/>
        <w:adjustRightInd w:val="0"/>
        <w:spacing w:line="360" w:lineRule="auto"/>
        <w:ind w:firstLine="5280" w:firstLineChars="2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14:paraId="1470FBA1">
      <w:pPr>
        <w:keepNext w:val="0"/>
        <w:keepLines w:val="0"/>
        <w:pageBreakBefore w:val="0"/>
        <w:widowControl w:val="0"/>
        <w:kinsoku/>
        <w:wordWrap w:val="0"/>
        <w:overflowPunct/>
        <w:topLinePunct w:val="0"/>
        <w:autoSpaceDE w:val="0"/>
        <w:autoSpaceDN w:val="0"/>
        <w:bidi w:val="0"/>
        <w:adjustRightInd w:val="0"/>
        <w:spacing w:line="360" w:lineRule="auto"/>
        <w:ind w:firstLine="3360" w:firstLineChars="14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14:paraId="13AFA33D">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7B6FDB4D">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p>
    <w:p w14:paraId="0340707F">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14:paraId="28B501E4">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14:paraId="0EC68D2F">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sectPr>
      <w:headerReference r:id="rId13" w:type="default"/>
      <w:footerReference r:id="rId14" w:type="default"/>
      <w:pgSz w:w="11907" w:h="16840"/>
      <w:pgMar w:top="1440" w:right="1800" w:bottom="1440" w:left="18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华文楷体">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2A420">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13C4CB">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0C13C4CB">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21</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241D2">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4CB1FE">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3A4CB1FE">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posOffset>2839720</wp:posOffset>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DDFE82">
                          <w:pPr>
                            <w:pStyle w:val="7"/>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6pt;margin-top:0pt;height:144pt;width:144pt;mso-position-horizontal-relative:margin;mso-wrap-style:none;z-index:251660288;mso-width-relative:page;mso-height-relative:page;" filled="f" stroked="f" coordsize="21600,21600" o:gfxdata="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6vsSv1QAAAAgBAAAPAAAAAAAAAAEAIAAAACIAAABkcnMvZG93bnJldi54bWxQ&#10;SwECFAAUAAAACACHTuJAgoR2GDMCAABjBAAADgAAAAAAAAABACAAAAAkAQAAZHJzL2Uyb0RvYy54&#10;bWxQSwUGAAAAAAYABgBZAQAAyQUAAAAA&#10;">
              <v:fill on="f" focussize="0,0"/>
              <v:stroke on="f" weight="0.5pt"/>
              <v:imagedata o:title=""/>
              <o:lock v:ext="edit" aspectratio="f"/>
              <v:textbox inset="0mm,0mm,0mm,0mm" style="mso-fit-shape-to-text:t;">
                <w:txbxContent>
                  <w:p w14:paraId="37DDFE82">
                    <w:pPr>
                      <w:pStyle w:val="7"/>
                      <w:rPr>
                        <w:rFonts w:hint="eastAsia" w:eastAsia="宋体"/>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985DB">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18571F">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5F18571F">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97A1E">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B663CC">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3DB663CC">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04C5F">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E5AECE">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6EE5AECE">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BFD11">
    <w:pPr>
      <w:pStyle w:val="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D46FC">
    <w:pPr>
      <w:pStyle w:val="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3D4C0">
    <w:pPr>
      <w:pStyle w:val="8"/>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07585">
    <w:pPr>
      <w:pStyle w:val="8"/>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2CFED">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B61EB6"/>
    <w:multiLevelType w:val="multilevel"/>
    <w:tmpl w:val="0EB61EB6"/>
    <w:lvl w:ilvl="0" w:tentative="0">
      <w:start w:val="1"/>
      <w:numFmt w:val="decimal"/>
      <w:lvlText w:val="%1."/>
      <w:lvlJc w:val="left"/>
      <w:pPr>
        <w:ind w:left="860" w:hanging="44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
    <w:nsid w:val="45EF0B75"/>
    <w:multiLevelType w:val="singleLevel"/>
    <w:tmpl w:val="45EF0B75"/>
    <w:lvl w:ilvl="0" w:tentative="0">
      <w:start w:val="3"/>
      <w:numFmt w:val="chineseCounting"/>
      <w:suff w:val="space"/>
      <w:lvlText w:val="第%1条"/>
      <w:lvlJc w:val="left"/>
      <w:rPr>
        <w:rFonts w:hint="eastAsia"/>
      </w:rPr>
    </w:lvl>
  </w:abstractNum>
  <w:abstractNum w:abstractNumId="2">
    <w:nsid w:val="527C1410"/>
    <w:multiLevelType w:val="multilevel"/>
    <w:tmpl w:val="527C1410"/>
    <w:lvl w:ilvl="0" w:tentative="0">
      <w:start w:val="1"/>
      <w:numFmt w:val="decimal"/>
      <w:lvlText w:val="%1."/>
      <w:lvlJc w:val="left"/>
      <w:pPr>
        <w:ind w:left="920" w:hanging="360"/>
      </w:pPr>
      <w:rPr>
        <w:rFonts w:hint="default"/>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3">
    <w:nsid w:val="6643FA8D"/>
    <w:multiLevelType w:val="singleLevel"/>
    <w:tmpl w:val="6643FA8D"/>
    <w:lvl w:ilvl="0" w:tentative="0">
      <w:start w:val="3"/>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DU5ODFjOGEyNWRlYTNkMjA0OTNkYmM2YTBlNjc3YTEifQ=="/>
  </w:docVars>
  <w:rsids>
    <w:rsidRoot w:val="00000000"/>
    <w:rsid w:val="01023C00"/>
    <w:rsid w:val="02980B47"/>
    <w:rsid w:val="0304627B"/>
    <w:rsid w:val="03F005BF"/>
    <w:rsid w:val="049308F0"/>
    <w:rsid w:val="05C82C12"/>
    <w:rsid w:val="064B2778"/>
    <w:rsid w:val="06731CDB"/>
    <w:rsid w:val="06BD7DF4"/>
    <w:rsid w:val="07DA69D5"/>
    <w:rsid w:val="08743EB7"/>
    <w:rsid w:val="08896F10"/>
    <w:rsid w:val="08DF64FD"/>
    <w:rsid w:val="095962AF"/>
    <w:rsid w:val="09A84B40"/>
    <w:rsid w:val="09A960A9"/>
    <w:rsid w:val="0A2175C7"/>
    <w:rsid w:val="0A4E3858"/>
    <w:rsid w:val="0A530F50"/>
    <w:rsid w:val="0A7D7363"/>
    <w:rsid w:val="0ADC6029"/>
    <w:rsid w:val="0BA47589"/>
    <w:rsid w:val="0C152235"/>
    <w:rsid w:val="0C272EF4"/>
    <w:rsid w:val="0C450913"/>
    <w:rsid w:val="0CF167FE"/>
    <w:rsid w:val="0E3E7CBD"/>
    <w:rsid w:val="0EB9334C"/>
    <w:rsid w:val="0EE83C0B"/>
    <w:rsid w:val="0F130CAE"/>
    <w:rsid w:val="0FF95996"/>
    <w:rsid w:val="0FFF7484"/>
    <w:rsid w:val="10832DEB"/>
    <w:rsid w:val="10AD3D47"/>
    <w:rsid w:val="11E54B27"/>
    <w:rsid w:val="11F10D0E"/>
    <w:rsid w:val="120B59A8"/>
    <w:rsid w:val="13504EE3"/>
    <w:rsid w:val="13D318D3"/>
    <w:rsid w:val="14184102"/>
    <w:rsid w:val="146A4EE4"/>
    <w:rsid w:val="147A2410"/>
    <w:rsid w:val="14B05372"/>
    <w:rsid w:val="156F62EF"/>
    <w:rsid w:val="15C27640"/>
    <w:rsid w:val="16655340"/>
    <w:rsid w:val="16882EF5"/>
    <w:rsid w:val="16FD3ABE"/>
    <w:rsid w:val="172F0E42"/>
    <w:rsid w:val="18277578"/>
    <w:rsid w:val="196A0814"/>
    <w:rsid w:val="19B27315"/>
    <w:rsid w:val="1A972372"/>
    <w:rsid w:val="1BFF6021"/>
    <w:rsid w:val="1C587110"/>
    <w:rsid w:val="1CC05665"/>
    <w:rsid w:val="1D656883"/>
    <w:rsid w:val="1D7F2147"/>
    <w:rsid w:val="1D996CC8"/>
    <w:rsid w:val="1DA01659"/>
    <w:rsid w:val="1E6454A8"/>
    <w:rsid w:val="1F2760B0"/>
    <w:rsid w:val="1F7A155F"/>
    <w:rsid w:val="1FCD677B"/>
    <w:rsid w:val="1FCF1E87"/>
    <w:rsid w:val="1FFB0F7F"/>
    <w:rsid w:val="208E4164"/>
    <w:rsid w:val="21A07893"/>
    <w:rsid w:val="23554AEF"/>
    <w:rsid w:val="23645F64"/>
    <w:rsid w:val="23F5677C"/>
    <w:rsid w:val="23FB5E39"/>
    <w:rsid w:val="244A2A1D"/>
    <w:rsid w:val="2564491D"/>
    <w:rsid w:val="25B83A87"/>
    <w:rsid w:val="266463E7"/>
    <w:rsid w:val="26E9311B"/>
    <w:rsid w:val="27DB3EDB"/>
    <w:rsid w:val="28032F0B"/>
    <w:rsid w:val="2A3D0E7D"/>
    <w:rsid w:val="2A924A38"/>
    <w:rsid w:val="2AE32E31"/>
    <w:rsid w:val="2CD208B5"/>
    <w:rsid w:val="2D0637A8"/>
    <w:rsid w:val="2D48568B"/>
    <w:rsid w:val="2E6C7ED8"/>
    <w:rsid w:val="2EA57FA1"/>
    <w:rsid w:val="2EF243BC"/>
    <w:rsid w:val="2F884949"/>
    <w:rsid w:val="30EF0857"/>
    <w:rsid w:val="3140197F"/>
    <w:rsid w:val="31E05F1C"/>
    <w:rsid w:val="320C16C0"/>
    <w:rsid w:val="32672625"/>
    <w:rsid w:val="32831B16"/>
    <w:rsid w:val="32C043F9"/>
    <w:rsid w:val="32E93950"/>
    <w:rsid w:val="32F6583E"/>
    <w:rsid w:val="333A48FA"/>
    <w:rsid w:val="334A1323"/>
    <w:rsid w:val="33D92F7A"/>
    <w:rsid w:val="348E47AF"/>
    <w:rsid w:val="34B2130C"/>
    <w:rsid w:val="34BD6E42"/>
    <w:rsid w:val="350E12EA"/>
    <w:rsid w:val="354173ED"/>
    <w:rsid w:val="355552CD"/>
    <w:rsid w:val="35992C99"/>
    <w:rsid w:val="359A3628"/>
    <w:rsid w:val="360F3354"/>
    <w:rsid w:val="373D426B"/>
    <w:rsid w:val="37BD0585"/>
    <w:rsid w:val="37CA6352"/>
    <w:rsid w:val="38533A18"/>
    <w:rsid w:val="396226AE"/>
    <w:rsid w:val="3AB900AC"/>
    <w:rsid w:val="3B223EA3"/>
    <w:rsid w:val="3BAF7174"/>
    <w:rsid w:val="3BE61375"/>
    <w:rsid w:val="3C4D3D4D"/>
    <w:rsid w:val="3CA32DC2"/>
    <w:rsid w:val="3D660BE0"/>
    <w:rsid w:val="3DF70FE5"/>
    <w:rsid w:val="3E954D99"/>
    <w:rsid w:val="3EB41E07"/>
    <w:rsid w:val="3FD339BE"/>
    <w:rsid w:val="413C5593"/>
    <w:rsid w:val="41F66AB4"/>
    <w:rsid w:val="43D372D6"/>
    <w:rsid w:val="44B74AB0"/>
    <w:rsid w:val="44BA71CA"/>
    <w:rsid w:val="44C27AD5"/>
    <w:rsid w:val="45300AE7"/>
    <w:rsid w:val="453E72E0"/>
    <w:rsid w:val="4594599D"/>
    <w:rsid w:val="463F4C16"/>
    <w:rsid w:val="46832AB5"/>
    <w:rsid w:val="46942B8F"/>
    <w:rsid w:val="469734F0"/>
    <w:rsid w:val="475C4FE3"/>
    <w:rsid w:val="481147CD"/>
    <w:rsid w:val="487675DC"/>
    <w:rsid w:val="498A3D49"/>
    <w:rsid w:val="4A471230"/>
    <w:rsid w:val="4A837FA5"/>
    <w:rsid w:val="4A9E5827"/>
    <w:rsid w:val="4B5A4E4F"/>
    <w:rsid w:val="4BBB7B8C"/>
    <w:rsid w:val="4CB97E79"/>
    <w:rsid w:val="4CBA2C7D"/>
    <w:rsid w:val="4CDB2104"/>
    <w:rsid w:val="4E5C03B2"/>
    <w:rsid w:val="4EE44EF8"/>
    <w:rsid w:val="4F652159"/>
    <w:rsid w:val="4FA36E2B"/>
    <w:rsid w:val="50CD1D3A"/>
    <w:rsid w:val="50DF62FA"/>
    <w:rsid w:val="514A7858"/>
    <w:rsid w:val="51C77A74"/>
    <w:rsid w:val="538452A3"/>
    <w:rsid w:val="53A25729"/>
    <w:rsid w:val="554A067A"/>
    <w:rsid w:val="562B2D19"/>
    <w:rsid w:val="566F2249"/>
    <w:rsid w:val="571C70F4"/>
    <w:rsid w:val="578C1E3F"/>
    <w:rsid w:val="58122B18"/>
    <w:rsid w:val="582157B7"/>
    <w:rsid w:val="583737A8"/>
    <w:rsid w:val="59791FCF"/>
    <w:rsid w:val="59C70462"/>
    <w:rsid w:val="5B942EAB"/>
    <w:rsid w:val="5BFB1656"/>
    <w:rsid w:val="5C2A2760"/>
    <w:rsid w:val="5C805C3A"/>
    <w:rsid w:val="5CED210B"/>
    <w:rsid w:val="5DD33159"/>
    <w:rsid w:val="5E401EE1"/>
    <w:rsid w:val="5E862024"/>
    <w:rsid w:val="5EDB6949"/>
    <w:rsid w:val="5FE54AEF"/>
    <w:rsid w:val="5FE62E42"/>
    <w:rsid w:val="5FFB4512"/>
    <w:rsid w:val="604F0C94"/>
    <w:rsid w:val="60811390"/>
    <w:rsid w:val="60E905BC"/>
    <w:rsid w:val="611C486A"/>
    <w:rsid w:val="612C3317"/>
    <w:rsid w:val="613320B7"/>
    <w:rsid w:val="617831AD"/>
    <w:rsid w:val="64B4350F"/>
    <w:rsid w:val="64C17C5F"/>
    <w:rsid w:val="64E32222"/>
    <w:rsid w:val="660C0310"/>
    <w:rsid w:val="674A54CB"/>
    <w:rsid w:val="68324E76"/>
    <w:rsid w:val="68740EAF"/>
    <w:rsid w:val="691A37DC"/>
    <w:rsid w:val="695F7E2D"/>
    <w:rsid w:val="6A443604"/>
    <w:rsid w:val="6A723E22"/>
    <w:rsid w:val="6ACC2E0B"/>
    <w:rsid w:val="6B3453A9"/>
    <w:rsid w:val="6B6B37C9"/>
    <w:rsid w:val="6B9F656F"/>
    <w:rsid w:val="6BF82344"/>
    <w:rsid w:val="6CA4338B"/>
    <w:rsid w:val="6DAF0580"/>
    <w:rsid w:val="6DD02520"/>
    <w:rsid w:val="6DE17F47"/>
    <w:rsid w:val="6E1128F7"/>
    <w:rsid w:val="6E307C9A"/>
    <w:rsid w:val="6E667E5D"/>
    <w:rsid w:val="6E6B7F83"/>
    <w:rsid w:val="6EA77C40"/>
    <w:rsid w:val="6EE2110B"/>
    <w:rsid w:val="700A4966"/>
    <w:rsid w:val="70411D13"/>
    <w:rsid w:val="70A41317"/>
    <w:rsid w:val="718B602C"/>
    <w:rsid w:val="71927477"/>
    <w:rsid w:val="7222612A"/>
    <w:rsid w:val="727D45B0"/>
    <w:rsid w:val="727F5D14"/>
    <w:rsid w:val="728C1627"/>
    <w:rsid w:val="72D8486C"/>
    <w:rsid w:val="74143D3D"/>
    <w:rsid w:val="7571756C"/>
    <w:rsid w:val="75EA0EAB"/>
    <w:rsid w:val="76102BC1"/>
    <w:rsid w:val="768D73E4"/>
    <w:rsid w:val="778B45A3"/>
    <w:rsid w:val="77AC443F"/>
    <w:rsid w:val="786749F3"/>
    <w:rsid w:val="786848E4"/>
    <w:rsid w:val="78F607B2"/>
    <w:rsid w:val="79A15AC2"/>
    <w:rsid w:val="7B1B79EC"/>
    <w:rsid w:val="7BC65611"/>
    <w:rsid w:val="7C2C76E7"/>
    <w:rsid w:val="7C793524"/>
    <w:rsid w:val="7CAF1A73"/>
    <w:rsid w:val="7CBA7331"/>
    <w:rsid w:val="7DAB214F"/>
    <w:rsid w:val="7DC51E9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rPr>
      <w:rFonts w:ascii="宋体" w:hAnsi="宋体" w:eastAsia="宋体" w:cs="宋体"/>
      <w:sz w:val="31"/>
      <w:szCs w:val="31"/>
      <w:lang w:val="en-US" w:eastAsia="en-US" w:bidi="ar-SA"/>
    </w:rPr>
  </w:style>
  <w:style w:type="paragraph" w:styleId="4">
    <w:name w:val="annotation text"/>
    <w:basedOn w:val="1"/>
    <w:autoRedefine/>
    <w:qFormat/>
    <w:uiPriority w:val="0"/>
    <w:pPr>
      <w:jc w:val="left"/>
    </w:pPr>
  </w:style>
  <w:style w:type="paragraph" w:styleId="5">
    <w:name w:val="Body Text Indent"/>
    <w:basedOn w:val="1"/>
    <w:next w:val="1"/>
    <w:autoRedefine/>
    <w:qFormat/>
    <w:uiPriority w:val="0"/>
    <w:pPr>
      <w:tabs>
        <w:tab w:val="left" w:pos="0"/>
      </w:tabs>
      <w:ind w:firstLine="538" w:firstLineChars="192"/>
    </w:pPr>
    <w:rPr>
      <w:rFonts w:ascii="Tahoma" w:hAnsi="Tahoma"/>
      <w:kern w:val="2"/>
      <w:sz w:val="28"/>
      <w:szCs w:val="24"/>
    </w:rPr>
  </w:style>
  <w:style w:type="paragraph" w:styleId="6">
    <w:name w:val="Plain Text"/>
    <w:basedOn w:val="1"/>
    <w:qFormat/>
    <w:uiPriority w:val="0"/>
    <w:rPr>
      <w:rFonts w:ascii="宋体" w:hAnsi="Courier New" w:cs="Courier New"/>
      <w:szCs w:val="21"/>
    </w:rPr>
  </w:style>
  <w:style w:type="paragraph" w:styleId="7">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8">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9">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0">
    <w:name w:val="Body Text First Indent"/>
    <w:basedOn w:val="2"/>
    <w:next w:val="11"/>
    <w:qFormat/>
    <w:uiPriority w:val="99"/>
    <w:pPr>
      <w:spacing w:after="120"/>
      <w:ind w:firstLine="420" w:firstLineChars="100"/>
    </w:pPr>
    <w:rPr>
      <w:sz w:val="21"/>
    </w:rPr>
  </w:style>
  <w:style w:type="paragraph" w:styleId="11">
    <w:name w:val="Body Text First Indent 2"/>
    <w:basedOn w:val="5"/>
    <w:next w:val="1"/>
    <w:autoRedefine/>
    <w:unhideWhenUsed/>
    <w:qFormat/>
    <w:uiPriority w:val="99"/>
    <w:pPr>
      <w:spacing w:after="120"/>
      <w:ind w:left="420" w:leftChars="200" w:firstLine="420" w:firstLineChars="200"/>
    </w:pPr>
    <w:rPr>
      <w:rFonts w:ascii="宋体" w:hAnsi="Courier New"/>
      <w:spacing w:val="-4"/>
      <w:kern w:val="2"/>
      <w:sz w:val="21"/>
      <w:szCs w:val="24"/>
    </w:rPr>
  </w:style>
  <w:style w:type="paragraph" w:customStyle="1" w:styleId="14">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5">
    <w:name w:val="Default"/>
    <w:next w:val="1"/>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16">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17">
    <w:name w:val="Table Normal"/>
    <w:autoRedefine/>
    <w:semiHidden/>
    <w:unhideWhenUsed/>
    <w:qFormat/>
    <w:uiPriority w:val="0"/>
    <w:tblPr>
      <w:tblCellMar>
        <w:top w:w="0" w:type="dxa"/>
        <w:left w:w="0" w:type="dxa"/>
        <w:bottom w:w="0" w:type="dxa"/>
        <w:right w:w="0" w:type="dxa"/>
      </w:tblCellMar>
    </w:tblPr>
  </w:style>
  <w:style w:type="paragraph" w:customStyle="1" w:styleId="18">
    <w:name w:val="Table Text"/>
    <w:basedOn w:val="1"/>
    <w:autoRedefine/>
    <w:semiHidden/>
    <w:qFormat/>
    <w:uiPriority w:val="0"/>
    <w:rPr>
      <w:rFonts w:ascii="Arial" w:hAnsi="Arial" w:eastAsia="Arial" w:cs="Arial"/>
      <w:sz w:val="21"/>
      <w:szCs w:val="21"/>
      <w:lang w:val="en-US" w:eastAsia="en-US" w:bidi="ar-SA"/>
    </w:rPr>
  </w:style>
  <w:style w:type="paragraph" w:customStyle="1" w:styleId="19">
    <w:name w:val="列出段落1"/>
    <w:basedOn w:val="1"/>
    <w:autoRedefine/>
    <w:qFormat/>
    <w:uiPriority w:val="0"/>
    <w:pPr>
      <w:ind w:firstLine="420" w:firstLineChars="200"/>
    </w:pPr>
    <w:rPr>
      <w:szCs w:val="21"/>
    </w:rPr>
  </w:style>
  <w:style w:type="paragraph" w:styleId="20">
    <w:name w:val="List Paragraph"/>
    <w:basedOn w:val="1"/>
    <w:qFormat/>
    <w:uiPriority w:val="34"/>
    <w:pPr>
      <w:ind w:left="720"/>
      <w:contextualSpacing/>
    </w:pPr>
  </w:style>
  <w:style w:type="paragraph" w:customStyle="1" w:styleId="21">
    <w:name w:val="unnamed1"/>
    <w:basedOn w:val="1"/>
    <w:qFormat/>
    <w:uiPriority w:val="0"/>
    <w:pPr>
      <w:spacing w:before="100" w:beforeAutospacing="1" w:after="100" w:afterAutospacing="1" w:line="360" w:lineRule="auto"/>
    </w:pPr>
    <w:rPr>
      <w:rFonts w:ascii="宋体" w:hAnsi="宋体" w:cs="宋体"/>
      <w:color w:val="008888"/>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53</Pages>
  <Words>5536</Words>
  <Characters>5950</Characters>
  <TotalTime>41</TotalTime>
  <ScaleCrop>false</ScaleCrop>
  <LinksUpToDate>false</LinksUpToDate>
  <CharactersWithSpaces>6114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NTKO</cp:lastModifiedBy>
  <cp:lastPrinted>2026-08-04T01:04:00Z</cp:lastPrinted>
  <dcterms:modified xsi:type="dcterms:W3CDTF">2026-08-07T08:16:37Z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2052-12.1.0.26895</vt:lpwstr>
  </property>
  <property fmtid="{D5CDD505-2E9C-101B-9397-08002B2CF9AE}" pid="5" name="ICV">
    <vt:lpwstr>6AB574A0880D404CA7CFB4EB954663CA_13</vt:lpwstr>
  </property>
  <property fmtid="{D5CDD505-2E9C-101B-9397-08002B2CF9AE}" pid="6" name="KSOTemplateDocerSaveRecord">
    <vt:lpwstr>eyJoZGlkIjoiYTUyM2UwYjBmYzc3YmM3ZjI1ODg2NTk3ZGJhZGNiNGIiLCJ1c2VySWQiOiI0MTY3MTE2MDgifQ==</vt:lpwstr>
  </property>
</Properties>
</file>