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49494">
      <w:pPr>
        <w:keepNext w:val="0"/>
        <w:keepLines w:val="0"/>
        <w:pageBreakBefore w:val="0"/>
        <w:kinsoku/>
        <w:wordWrap w:val="0"/>
        <w:overflowPunct/>
        <w:topLinePunct w:val="0"/>
        <w:bidi w:val="0"/>
        <w:spacing w:line="281" w:lineRule="auto"/>
        <w:jc w:val="both"/>
        <w:rPr>
          <w:rFonts w:ascii="Arial"/>
          <w:sz w:val="21"/>
        </w:rPr>
      </w:pPr>
    </w:p>
    <w:p w14:paraId="5CEDFECB">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pPr>
    </w:p>
    <w:p w14:paraId="00C738D0">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52"/>
          <w:szCs w:val="52"/>
        </w:rPr>
      </w:pPr>
      <w:r>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t>南阳市</w:t>
      </w:r>
      <w:r>
        <w:rPr>
          <w:rFonts w:hint="eastAsia" w:ascii="宋体" w:hAnsi="宋体" w:eastAsia="宋体" w:cs="宋体"/>
          <w:spacing w:val="-2"/>
          <w:sz w:val="52"/>
          <w:szCs w:val="52"/>
          <w14:textOutline w14:w="3844" w14:cap="flat" w14:cmpd="sng">
            <w14:solidFill>
              <w14:srgbClr w14:val="000000"/>
            </w14:solidFill>
            <w14:prstDash w14:val="solid"/>
            <w14:miter w14:val="0"/>
          </w14:textOutline>
        </w:rPr>
        <w:t>政府采购项目</w:t>
      </w:r>
    </w:p>
    <w:p w14:paraId="27452B72">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52"/>
          <w:szCs w:val="52"/>
        </w:rPr>
      </w:pPr>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竞争性磋商文件</w:t>
      </w:r>
    </w:p>
    <w:p w14:paraId="1C9677C1">
      <w:pPr>
        <w:keepNext w:val="0"/>
        <w:keepLines w:val="0"/>
        <w:pageBreakBefore w:val="0"/>
        <w:kinsoku/>
        <w:wordWrap w:val="0"/>
        <w:overflowPunct/>
        <w:topLinePunct w:val="0"/>
        <w:bidi w:val="0"/>
        <w:spacing w:line="248" w:lineRule="auto"/>
        <w:jc w:val="both"/>
        <w:rPr>
          <w:rFonts w:ascii="Arial"/>
          <w:sz w:val="21"/>
        </w:rPr>
      </w:pPr>
    </w:p>
    <w:p w14:paraId="6814AF9F">
      <w:pPr>
        <w:keepNext w:val="0"/>
        <w:keepLines w:val="0"/>
        <w:pageBreakBefore w:val="0"/>
        <w:kinsoku/>
        <w:wordWrap w:val="0"/>
        <w:overflowPunct/>
        <w:topLinePunct w:val="0"/>
        <w:bidi w:val="0"/>
        <w:spacing w:line="249" w:lineRule="auto"/>
        <w:jc w:val="both"/>
        <w:rPr>
          <w:rFonts w:ascii="Arial"/>
          <w:sz w:val="21"/>
        </w:rPr>
      </w:pPr>
    </w:p>
    <w:p w14:paraId="1FA6797C">
      <w:pPr>
        <w:keepNext w:val="0"/>
        <w:keepLines w:val="0"/>
        <w:pageBreakBefore w:val="0"/>
        <w:kinsoku/>
        <w:wordWrap w:val="0"/>
        <w:overflowPunct/>
        <w:topLinePunct w:val="0"/>
        <w:bidi w:val="0"/>
        <w:spacing w:line="249" w:lineRule="auto"/>
        <w:jc w:val="both"/>
        <w:rPr>
          <w:rFonts w:ascii="Arial"/>
          <w:sz w:val="21"/>
        </w:rPr>
      </w:pPr>
    </w:p>
    <w:p w14:paraId="14764BB1">
      <w:pPr>
        <w:keepNext w:val="0"/>
        <w:keepLines w:val="0"/>
        <w:pageBreakBefore w:val="0"/>
        <w:kinsoku/>
        <w:wordWrap w:val="0"/>
        <w:overflowPunct/>
        <w:topLinePunct w:val="0"/>
        <w:bidi w:val="0"/>
        <w:spacing w:line="249" w:lineRule="auto"/>
        <w:jc w:val="both"/>
        <w:rPr>
          <w:rFonts w:ascii="Arial"/>
          <w:sz w:val="21"/>
        </w:rPr>
      </w:pPr>
    </w:p>
    <w:p w14:paraId="553570E3">
      <w:pPr>
        <w:keepNext w:val="0"/>
        <w:keepLines w:val="0"/>
        <w:pageBreakBefore w:val="0"/>
        <w:kinsoku/>
        <w:wordWrap w:val="0"/>
        <w:overflowPunct/>
        <w:topLinePunct w:val="0"/>
        <w:bidi w:val="0"/>
        <w:spacing w:line="249" w:lineRule="auto"/>
        <w:jc w:val="both"/>
        <w:rPr>
          <w:rFonts w:ascii="Arial"/>
          <w:sz w:val="21"/>
        </w:rPr>
      </w:pPr>
    </w:p>
    <w:p w14:paraId="731CB9B6">
      <w:pPr>
        <w:keepNext w:val="0"/>
        <w:keepLines w:val="0"/>
        <w:pageBreakBefore w:val="0"/>
        <w:kinsoku/>
        <w:wordWrap w:val="0"/>
        <w:overflowPunct/>
        <w:topLinePunct w:val="0"/>
        <w:bidi w:val="0"/>
        <w:spacing w:line="249" w:lineRule="auto"/>
        <w:jc w:val="both"/>
        <w:rPr>
          <w:rFonts w:ascii="Arial"/>
          <w:sz w:val="21"/>
        </w:rPr>
      </w:pPr>
    </w:p>
    <w:p w14:paraId="27D3E29F">
      <w:pPr>
        <w:keepNext w:val="0"/>
        <w:keepLines w:val="0"/>
        <w:pageBreakBefore w:val="0"/>
        <w:kinsoku/>
        <w:wordWrap w:val="0"/>
        <w:overflowPunct/>
        <w:topLinePunct w:val="0"/>
        <w:bidi w:val="0"/>
        <w:spacing w:line="249" w:lineRule="auto"/>
        <w:jc w:val="both"/>
        <w:rPr>
          <w:rFonts w:ascii="Arial"/>
          <w:sz w:val="21"/>
        </w:rPr>
      </w:pPr>
    </w:p>
    <w:p w14:paraId="78423914">
      <w:pPr>
        <w:keepNext w:val="0"/>
        <w:keepLines w:val="0"/>
        <w:pageBreakBefore w:val="0"/>
        <w:kinsoku/>
        <w:wordWrap w:val="0"/>
        <w:overflowPunct/>
        <w:topLinePunct w:val="0"/>
        <w:bidi w:val="0"/>
        <w:spacing w:line="249" w:lineRule="auto"/>
        <w:jc w:val="both"/>
        <w:rPr>
          <w:rFonts w:ascii="Arial"/>
          <w:sz w:val="21"/>
        </w:rPr>
      </w:pPr>
    </w:p>
    <w:p w14:paraId="2F08C908">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    南阳市体育事业发展中心南阳市    </w:t>
      </w:r>
    </w:p>
    <w:p w14:paraId="0315D9A1">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u w:val="none"/>
          <w:lang w:val="en-US" w:eastAsia="zh-CN"/>
        </w:rPr>
        <w:t xml:space="preserve">          </w:t>
      </w:r>
      <w:r>
        <w:rPr>
          <w:rFonts w:hint="eastAsia" w:asciiTheme="minorEastAsia" w:hAnsiTheme="minorEastAsia" w:eastAsiaTheme="minorEastAsia" w:cstheme="minorEastAsia"/>
          <w:b/>
          <w:bCs/>
          <w:spacing w:val="-17"/>
          <w:sz w:val="32"/>
          <w:szCs w:val="32"/>
          <w:u w:val="single"/>
          <w:lang w:val="en-US" w:eastAsia="zh-CN"/>
        </w:rPr>
        <w:t xml:space="preserve">       第一健身中心安保服务项目      </w:t>
      </w:r>
    </w:p>
    <w:p w14:paraId="2F790692">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南阳政采磋商-2026-37          </w:t>
      </w:r>
    </w:p>
    <w:p w14:paraId="27F43DAA">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 xml:space="preserve">      南阳政采磋商-2026-37-1         </w:t>
      </w:r>
    </w:p>
    <w:p w14:paraId="6A9BC991">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南阳市体育事业发展中心        </w:t>
      </w:r>
    </w:p>
    <w:p w14:paraId="02F5CE66">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南阳市公共资源交易中心      </w:t>
      </w:r>
    </w:p>
    <w:p w14:paraId="01360E1B">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14:paraId="40EC4A89">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14:paraId="18C81A73">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u w:val="single"/>
          <w:lang w:val="en-US" w:eastAsia="zh-CN"/>
        </w:rPr>
      </w:pPr>
    </w:p>
    <w:p w14:paraId="33F624ED">
      <w:pPr>
        <w:pStyle w:val="4"/>
        <w:bidi w:val="0"/>
      </w:pPr>
    </w:p>
    <w:p w14:paraId="3C301192">
      <w:pPr>
        <w:pStyle w:val="15"/>
      </w:pPr>
    </w:p>
    <w:p w14:paraId="786C6B9B">
      <w:pPr>
        <w:pStyle w:val="4"/>
        <w:keepNext w:val="0"/>
        <w:keepLines w:val="0"/>
        <w:pageBreakBefore w:val="0"/>
        <w:kinsoku/>
        <w:wordWrap w:val="0"/>
        <w:overflowPunct/>
        <w:topLinePunct w:val="0"/>
        <w:bidi w:val="0"/>
        <w:spacing w:before="117" w:line="220" w:lineRule="auto"/>
        <w:ind w:left="3829"/>
        <w:jc w:val="both"/>
        <w:rPr>
          <w:spacing w:val="-3"/>
          <w:sz w:val="44"/>
          <w:szCs w:val="44"/>
          <w14:textOutline w14:w="2306" w14:cap="flat" w14:cmpd="sng">
            <w14:solidFill>
              <w14:srgbClr w14:val="000000"/>
            </w14:solidFill>
            <w14:prstDash w14:val="solid"/>
            <w14:miter w14:val="0"/>
          </w14:textOutline>
        </w:rPr>
      </w:pPr>
    </w:p>
    <w:p w14:paraId="548B130E">
      <w:pPr>
        <w:pStyle w:val="4"/>
        <w:keepNext w:val="0"/>
        <w:keepLines w:val="0"/>
        <w:pageBreakBefore w:val="0"/>
        <w:kinsoku/>
        <w:wordWrap w:val="0"/>
        <w:overflowPunct/>
        <w:topLinePunct w:val="0"/>
        <w:bidi w:val="0"/>
        <w:spacing w:before="117" w:line="220" w:lineRule="auto"/>
        <w:ind w:left="3829"/>
        <w:jc w:val="both"/>
        <w:rPr>
          <w:spacing w:val="-3"/>
          <w:sz w:val="44"/>
          <w:szCs w:val="44"/>
          <w14:textOutline w14:w="2306" w14:cap="flat" w14:cmpd="sng">
            <w14:solidFill>
              <w14:srgbClr w14:val="000000"/>
            </w14:solidFill>
            <w14:prstDash w14:val="solid"/>
            <w14:miter w14:val="0"/>
          </w14:textOutline>
        </w:rPr>
      </w:pPr>
    </w:p>
    <w:p w14:paraId="67495EF4">
      <w:pPr>
        <w:pStyle w:val="4"/>
        <w:keepNext w:val="0"/>
        <w:keepLines w:val="0"/>
        <w:pageBreakBefore w:val="0"/>
        <w:kinsoku/>
        <w:wordWrap w:val="0"/>
        <w:overflowPunct/>
        <w:topLinePunct w:val="0"/>
        <w:bidi w:val="0"/>
        <w:spacing w:before="117" w:line="360" w:lineRule="auto"/>
        <w:jc w:val="center"/>
        <w:rPr>
          <w:spacing w:val="-3"/>
          <w:sz w:val="44"/>
          <w:szCs w:val="44"/>
          <w14:textOutline w14:w="2306" w14:cap="flat" w14:cmpd="sng">
            <w14:solidFill>
              <w14:srgbClr w14:val="000000"/>
            </w14:solidFill>
            <w14:prstDash w14:val="solid"/>
            <w14:miter w14:val="0"/>
          </w14:textOutline>
        </w:rPr>
        <w:sectPr>
          <w:headerReference r:id="rId5" w:type="default"/>
          <w:pgSz w:w="11907" w:h="16840"/>
          <w:pgMar w:top="1440" w:right="1800" w:bottom="1440" w:left="1800" w:header="878" w:footer="0" w:gutter="0"/>
          <w:pgNumType w:fmt="decimal"/>
          <w:cols w:space="720" w:num="1"/>
        </w:sectPr>
      </w:pPr>
    </w:p>
    <w:p w14:paraId="6F1941E7">
      <w:pPr>
        <w:keepNext w:val="0"/>
        <w:keepLines w:val="0"/>
        <w:pageBreakBefore w:val="0"/>
        <w:kinsoku/>
        <w:wordWrap w:val="0"/>
        <w:overflowPunct/>
        <w:topLinePunct w:val="0"/>
        <w:bidi w:val="0"/>
        <w:spacing w:line="326" w:lineRule="auto"/>
        <w:jc w:val="both"/>
        <w:rPr>
          <w:rFonts w:ascii="Arial"/>
          <w:sz w:val="21"/>
        </w:rPr>
      </w:pPr>
    </w:p>
    <w:sdt>
      <w:sdtPr>
        <w:rPr>
          <w:rFonts w:ascii="宋体" w:hAnsi="宋体" w:eastAsia="宋体" w:cs="宋体"/>
          <w:sz w:val="36"/>
          <w:szCs w:val="36"/>
        </w:rPr>
        <w:id w:val="1"/>
        <w:docPartObj>
          <w:docPartGallery w:val="Table of Contents"/>
          <w:docPartUnique/>
        </w:docPartObj>
      </w:sdtPr>
      <w:sdtEndPr>
        <w:rPr>
          <w:rFonts w:hint="eastAsia" w:ascii="宋体" w:hAnsi="宋体" w:eastAsia="宋体" w:cs="宋体"/>
          <w:sz w:val="28"/>
          <w:szCs w:val="28"/>
        </w:rPr>
      </w:sdtEndPr>
      <w:sdtContent>
        <w:p w14:paraId="567956CC">
          <w:pPr>
            <w:pStyle w:val="4"/>
            <w:keepNext w:val="0"/>
            <w:keepLines w:val="0"/>
            <w:pageBreakBefore w:val="0"/>
            <w:kinsoku/>
            <w:wordWrap w:val="0"/>
            <w:overflowPunct/>
            <w:topLinePunct w:val="0"/>
            <w:bidi w:val="0"/>
            <w:spacing w:before="117" w:line="222" w:lineRule="auto"/>
            <w:ind w:left="3716"/>
            <w:jc w:val="both"/>
            <w:rPr>
              <w:sz w:val="36"/>
              <w:szCs w:val="36"/>
            </w:rPr>
          </w:pPr>
          <w:bookmarkStart w:id="0" w:name="bookmark1"/>
          <w:bookmarkEnd w:id="0"/>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目</w:t>
          </w:r>
          <w:r>
            <w:rPr>
              <w:rFonts w:hint="eastAsia" w:ascii="宋体" w:hAnsi="宋体" w:eastAsia="宋体" w:cs="宋体"/>
              <w:spacing w:val="-42"/>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录</w:t>
          </w:r>
        </w:p>
        <w:p w14:paraId="311F5A11">
          <w:pPr>
            <w:keepNext w:val="0"/>
            <w:keepLines w:val="0"/>
            <w:pageBreakBefore w:val="0"/>
            <w:kinsoku/>
            <w:wordWrap w:val="0"/>
            <w:overflowPunct/>
            <w:topLinePunct w:val="0"/>
            <w:bidi w:val="0"/>
            <w:spacing w:line="286" w:lineRule="auto"/>
            <w:jc w:val="both"/>
            <w:rPr>
              <w:rFonts w:ascii="Arial"/>
              <w:sz w:val="21"/>
            </w:rPr>
          </w:pPr>
        </w:p>
        <w:p w14:paraId="4F0E3C30">
          <w:pPr>
            <w:pStyle w:val="4"/>
            <w:bidi w:val="0"/>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HYPERLINK\l"bookmark1"</w:instrText>
          </w:r>
          <w:r>
            <w:rPr>
              <w:rFonts w:hint="eastAsia" w:ascii="宋体" w:hAnsi="宋体" w:eastAsia="宋体" w:cs="宋体"/>
              <w:sz w:val="28"/>
              <w:szCs w:val="28"/>
            </w:rPr>
            <w:fldChar w:fldCharType="separate"/>
          </w:r>
          <w:r>
            <w:rPr>
              <w:rFonts w:hint="eastAsia" w:ascii="宋体" w:hAnsi="宋体" w:eastAsia="宋体" w:cs="宋体"/>
              <w:sz w:val="28"/>
              <w:szCs w:val="28"/>
            </w:rPr>
            <w:t>第一章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竞争性磋商公告</w:t>
          </w:r>
          <w:r>
            <w:rPr>
              <w:rFonts w:hint="eastAsia" w:ascii="宋体" w:hAnsi="宋体" w:eastAsia="宋体" w:cs="宋体"/>
              <w:sz w:val="28"/>
              <w:szCs w:val="28"/>
            </w:rPr>
            <w:fldChar w:fldCharType="end"/>
          </w:r>
        </w:p>
        <w:p w14:paraId="003E2D43">
          <w:pPr>
            <w:pStyle w:val="4"/>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第二章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采购需求</w:t>
          </w:r>
        </w:p>
        <w:p w14:paraId="04D96E96">
          <w:pPr>
            <w:pStyle w:val="4"/>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第三章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供应商须知</w:t>
          </w:r>
        </w:p>
        <w:p w14:paraId="3074FD92">
          <w:pPr>
            <w:pStyle w:val="4"/>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第四章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评</w:t>
          </w:r>
          <w:r>
            <w:rPr>
              <w:rFonts w:hint="eastAsia" w:ascii="宋体" w:hAnsi="宋体" w:eastAsia="宋体" w:cs="宋体"/>
              <w:sz w:val="28"/>
              <w:szCs w:val="28"/>
              <w:lang w:val="en-US" w:eastAsia="zh-CN"/>
            </w:rPr>
            <w:t>审</w:t>
          </w:r>
          <w:r>
            <w:rPr>
              <w:rFonts w:hint="eastAsia" w:ascii="宋体" w:hAnsi="宋体" w:eastAsia="宋体" w:cs="宋体"/>
              <w:sz w:val="28"/>
              <w:szCs w:val="28"/>
            </w:rPr>
            <w:t>程序、评审方法和评审标准</w:t>
          </w:r>
        </w:p>
        <w:p w14:paraId="2063A8B7">
          <w:pPr>
            <w:pStyle w:val="4"/>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第五章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政府采购合同（草案）</w:t>
          </w:r>
        </w:p>
        <w:p w14:paraId="056A18BF">
          <w:pPr>
            <w:pStyle w:val="4"/>
            <w:bidi w:val="0"/>
            <w:spacing w:line="360" w:lineRule="auto"/>
            <w:rPr>
              <w:rFonts w:hint="eastAsia" w:ascii="宋体" w:hAnsi="宋体" w:eastAsia="宋体" w:cs="宋体"/>
              <w:sz w:val="28"/>
              <w:szCs w:val="28"/>
            </w:rPr>
          </w:pPr>
          <w:r>
            <w:rPr>
              <w:rFonts w:hint="eastAsia" w:ascii="宋体" w:hAnsi="宋体" w:eastAsia="宋体" w:cs="宋体"/>
              <w:sz w:val="28"/>
              <w:szCs w:val="28"/>
            </w:rPr>
            <w:t>第六章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响应文件格式</w:t>
          </w:r>
        </w:p>
      </w:sdtContent>
    </w:sdt>
    <w:p w14:paraId="6AFCF144">
      <w:pPr>
        <w:keepNext w:val="0"/>
        <w:keepLines w:val="0"/>
        <w:pageBreakBefore w:val="0"/>
        <w:kinsoku/>
        <w:wordWrap w:val="0"/>
        <w:overflowPunct/>
        <w:topLinePunct w:val="0"/>
        <w:bidi w:val="0"/>
        <w:spacing w:line="219" w:lineRule="auto"/>
        <w:jc w:val="both"/>
        <w:rPr>
          <w:rFonts w:ascii="Arial" w:hAnsi="Arial" w:eastAsia="Arial" w:cs="Arial"/>
          <w:sz w:val="24"/>
          <w:szCs w:val="24"/>
        </w:rPr>
      </w:pPr>
    </w:p>
    <w:p w14:paraId="4E3FAFD9">
      <w:pPr>
        <w:bidi w:val="0"/>
        <w:rPr>
          <w:rFonts w:ascii="Arial" w:hAnsi="Arial" w:eastAsia="Arial" w:cs="Arial"/>
          <w:snapToGrid w:val="0"/>
          <w:color w:val="000000"/>
          <w:kern w:val="0"/>
          <w:sz w:val="21"/>
          <w:szCs w:val="21"/>
          <w:lang w:val="en-US" w:eastAsia="en-US" w:bidi="ar-SA"/>
        </w:rPr>
      </w:pPr>
    </w:p>
    <w:p w14:paraId="562A9177">
      <w:pPr>
        <w:bidi w:val="0"/>
        <w:rPr>
          <w:lang w:val="en-US" w:eastAsia="en-US"/>
        </w:rPr>
      </w:pPr>
    </w:p>
    <w:p w14:paraId="4B73306A">
      <w:pPr>
        <w:bidi w:val="0"/>
        <w:rPr>
          <w:lang w:val="en-US" w:eastAsia="en-US"/>
        </w:rPr>
      </w:pPr>
    </w:p>
    <w:p w14:paraId="0168D35F">
      <w:pPr>
        <w:bidi w:val="0"/>
        <w:rPr>
          <w:lang w:val="en-US" w:eastAsia="en-US"/>
        </w:rPr>
      </w:pPr>
    </w:p>
    <w:p w14:paraId="7BD2C8A4">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4FA26018">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6368F29D">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0B4567E0">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5890CE27">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29CC2AB7">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103A9C6E">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5D88675F">
      <w:pPr>
        <w:pStyle w:val="4"/>
        <w:keepNext w:val="0"/>
        <w:keepLines w:val="0"/>
        <w:pageBreakBefore w:val="0"/>
        <w:kinsoku/>
        <w:wordWrap w:val="0"/>
        <w:overflowPunct/>
        <w:topLinePunct w:val="0"/>
        <w:bidi w:val="0"/>
        <w:spacing w:before="358" w:line="360" w:lineRule="auto"/>
        <w:jc w:val="both"/>
        <w:rPr>
          <w:spacing w:val="-1"/>
          <w:sz w:val="36"/>
          <w:szCs w:val="36"/>
          <w14:textOutline w14:w="2306" w14:cap="flat" w14:cmpd="sng">
            <w14:solidFill>
              <w14:srgbClr w14:val="000000"/>
            </w14:solidFill>
            <w14:prstDash w14:val="solid"/>
            <w14:miter w14:val="0"/>
          </w14:textOutline>
        </w:rPr>
      </w:pPr>
    </w:p>
    <w:p w14:paraId="3B6B01F0">
      <w:pPr>
        <w:pStyle w:val="4"/>
        <w:keepNext w:val="0"/>
        <w:keepLines w:val="0"/>
        <w:pageBreakBefore w:val="0"/>
        <w:kinsoku/>
        <w:wordWrap w:val="0"/>
        <w:overflowPunct/>
        <w:topLinePunct w:val="0"/>
        <w:bidi w:val="0"/>
        <w:spacing w:before="358" w:line="360" w:lineRule="auto"/>
        <w:jc w:val="center"/>
        <w:rPr>
          <w:rFonts w:ascii="Arial"/>
          <w:sz w:val="21"/>
        </w:rPr>
      </w:pPr>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p>
    <w:p w14:paraId="11A8D7E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竞争性磋商</w:t>
      </w:r>
      <w:r>
        <w:rPr>
          <w:spacing w:val="-6"/>
          <w:sz w:val="24"/>
          <w:szCs w:val="24"/>
        </w:rPr>
        <w:t>方式组织采购活动，</w:t>
      </w:r>
      <w:r>
        <w:rPr>
          <w:rFonts w:hint="eastAsia"/>
          <w:spacing w:val="-6"/>
          <w:sz w:val="24"/>
          <w:szCs w:val="24"/>
          <w:lang w:val="en-US" w:eastAsia="zh-CN"/>
        </w:rPr>
        <w:t>欢迎潜在供应商</w:t>
      </w:r>
      <w:r>
        <w:rPr>
          <w:spacing w:val="-6"/>
          <w:sz w:val="24"/>
          <w:szCs w:val="24"/>
        </w:rPr>
        <w:t>参与本项目</w:t>
      </w:r>
      <w:r>
        <w:rPr>
          <w:rFonts w:hint="eastAsia"/>
          <w:spacing w:val="-6"/>
          <w:sz w:val="24"/>
          <w:szCs w:val="24"/>
          <w:lang w:val="en-US" w:eastAsia="zh-CN"/>
        </w:rPr>
        <w:t>磋商</w:t>
      </w:r>
      <w:r>
        <w:rPr>
          <w:spacing w:val="-6"/>
          <w:sz w:val="24"/>
          <w:szCs w:val="24"/>
        </w:rPr>
        <w:t>。</w:t>
      </w:r>
    </w:p>
    <w:p w14:paraId="5894CFC2">
      <w:pPr>
        <w:pStyle w:val="4"/>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1"/>
        <w:rPr>
          <w:sz w:val="24"/>
          <w:szCs w:val="24"/>
        </w:rPr>
      </w:pPr>
      <w:r>
        <w:rPr>
          <w:spacing w:val="-2"/>
          <w:sz w:val="24"/>
          <w:szCs w:val="24"/>
          <w14:textOutline w14:w="1537" w14:cap="flat" w14:cmpd="sng">
            <w14:solidFill>
              <w14:srgbClr w14:val="000000"/>
            </w14:solidFill>
            <w14:prstDash w14:val="solid"/>
            <w14:miter w14:val="0"/>
          </w14:textOutline>
        </w:rPr>
        <w:t>一、项目基本情况</w:t>
      </w:r>
    </w:p>
    <w:p w14:paraId="5670401F">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1.项目编号：南阳政采磋商-2026-37</w:t>
      </w:r>
    </w:p>
    <w:p w14:paraId="7054CDD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2.项目名称：南阳市体育事业发展中心南阳市第一健身中心安保服务项目</w:t>
      </w:r>
    </w:p>
    <w:p w14:paraId="49E96E7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85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val="en-US" w:eastAsia="zh-CN"/>
        </w:rPr>
        <w:t xml:space="preserve"> 85 </w:t>
      </w:r>
      <w:r>
        <w:rPr>
          <w:rFonts w:hint="eastAsia" w:asciiTheme="minorEastAsia" w:hAnsiTheme="minorEastAsia" w:eastAsiaTheme="minorEastAsia" w:cstheme="minorEastAsia"/>
          <w:spacing w:val="-14"/>
          <w:sz w:val="24"/>
          <w:szCs w:val="24"/>
        </w:rPr>
        <w:t>万元</w:t>
      </w:r>
    </w:p>
    <w:p w14:paraId="7CA1D2F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17"/>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2E180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0E75818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14:paraId="1F51B355">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14:paraId="41FDF26D">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14:paraId="7FD96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center"/>
          </w:tcPr>
          <w:p w14:paraId="18AA9EE1">
            <w:pPr>
              <w:pStyle w:val="18"/>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val="en-US" w:eastAsia="zh-CN"/>
              </w:rPr>
              <w:t>南阳政采磋商-2026-37-</w:t>
            </w:r>
            <w:r>
              <w:rPr>
                <w:rFonts w:hint="eastAsia" w:asciiTheme="minorEastAsia" w:hAnsiTheme="minorEastAsia" w:eastAsiaTheme="minorEastAsia" w:cstheme="minorEastAsia"/>
                <w:spacing w:val="14"/>
                <w:sz w:val="24"/>
                <w:szCs w:val="24"/>
              </w:rPr>
              <w:t>1</w:t>
            </w:r>
          </w:p>
        </w:tc>
        <w:tc>
          <w:tcPr>
            <w:tcW w:w="4215" w:type="dxa"/>
            <w:vAlign w:val="center"/>
          </w:tcPr>
          <w:p w14:paraId="64D692DB">
            <w:pPr>
              <w:pStyle w:val="18"/>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南阳市体育事业发展中心南阳市</w:t>
            </w:r>
          </w:p>
          <w:p w14:paraId="2CC99FB1">
            <w:pPr>
              <w:pStyle w:val="18"/>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第一健身中心安保服务项目</w:t>
            </w:r>
          </w:p>
        </w:tc>
        <w:tc>
          <w:tcPr>
            <w:tcW w:w="2321" w:type="dxa"/>
            <w:vAlign w:val="center"/>
          </w:tcPr>
          <w:p w14:paraId="4C3204E8">
            <w:pPr>
              <w:pStyle w:val="18"/>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850000</w:t>
            </w:r>
          </w:p>
        </w:tc>
      </w:tr>
    </w:tbl>
    <w:p w14:paraId="7B9223DE">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5.服务要求</w:t>
      </w:r>
    </w:p>
    <w:p w14:paraId="4FF09138">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380" w:firstLineChars="200"/>
        <w:jc w:val="both"/>
        <w:textAlignment w:val="baseline"/>
        <w:rPr>
          <w:rFonts w:hint="default" w:asciiTheme="minorEastAsia" w:hAnsiTheme="minorEastAsia" w:eastAsiaTheme="minorEastAsia" w:cstheme="minorEastAsia"/>
          <w:spacing w:val="-25"/>
          <w:sz w:val="24"/>
          <w:szCs w:val="24"/>
          <w:lang w:val="en-US" w:eastAsia="zh-CN"/>
        </w:rPr>
      </w:pPr>
      <w:r>
        <w:rPr>
          <w:rFonts w:hint="eastAsia" w:asciiTheme="minorEastAsia" w:hAnsiTheme="minorEastAsia" w:eastAsiaTheme="minorEastAsia" w:cstheme="minorEastAsia"/>
          <w:spacing w:val="-25"/>
          <w:sz w:val="24"/>
          <w:szCs w:val="24"/>
          <w:lang w:val="en-US" w:eastAsia="zh-CN"/>
        </w:rPr>
        <w:t>第一体育健身中心的安全防范；广场、健身设施、道路照明灯具、电缆电线、消防设施、广场绿地、停车场（位）、公益广告栏等公共设施的安全防范及机动车、非机动车的有序停放，维护甲方正常办公秩序,内外场免费低收费开放工作的管理、安全，维护体育赛事、公益活动、商业活动等重大活动的治安秩序及人身财产安全等。</w:t>
      </w:r>
    </w:p>
    <w:p w14:paraId="54ED1D6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Theme="minorEastAsia" w:hAnsiTheme="minorEastAsia" w:eastAsiaTheme="minorEastAsia" w:cstheme="minorEastAsia"/>
          <w:spacing w:val="-5"/>
          <w:sz w:val="24"/>
          <w:szCs w:val="24"/>
          <w:lang w:val="en-US" w:eastAsia="zh-CN"/>
        </w:rPr>
        <w:t>一年</w:t>
      </w:r>
    </w:p>
    <w:p w14:paraId="2AE4D43B">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14:paraId="21B426E4">
      <w:pPr>
        <w:pStyle w:val="4"/>
        <w:keepNext w:val="0"/>
        <w:keepLines w:val="0"/>
        <w:pageBreakBefore w:val="0"/>
        <w:widowControl/>
        <w:kinsoku/>
        <w:wordWrap w:val="0"/>
        <w:overflowPunct/>
        <w:topLinePunct w:val="0"/>
        <w:bidi w:val="0"/>
        <w:spacing w:line="360" w:lineRule="auto"/>
        <w:jc w:val="both"/>
        <w:outlineLvl w:val="1"/>
        <w:rPr>
          <w:spacing w:val="-1"/>
          <w:sz w:val="24"/>
          <w:szCs w:val="24"/>
          <w14:textOutline w14:w="1537" w14:cap="flat" w14:cmpd="sng">
            <w14:solidFill>
              <w14:srgbClr w14:val="000000"/>
            </w14:solidFill>
            <w14:prstDash w14:val="solid"/>
            <w14:miter w14:val="0"/>
          </w14:textOutline>
        </w:rPr>
      </w:pPr>
    </w:p>
    <w:p w14:paraId="7AF32EEC">
      <w:pPr>
        <w:pStyle w:val="4"/>
        <w:keepNext w:val="0"/>
        <w:keepLines w:val="0"/>
        <w:pageBreakBefore w:val="0"/>
        <w:widowControl/>
        <w:kinsoku/>
        <w:wordWrap w:val="0"/>
        <w:overflowPunct/>
        <w:topLinePunct w:val="0"/>
        <w:bidi w:val="0"/>
        <w:spacing w:line="360" w:lineRule="auto"/>
        <w:jc w:val="both"/>
        <w:outlineLvl w:val="1"/>
        <w:rPr>
          <w:sz w:val="24"/>
          <w:szCs w:val="24"/>
        </w:rPr>
      </w:pPr>
      <w:r>
        <w:rPr>
          <w:spacing w:val="-1"/>
          <w:sz w:val="24"/>
          <w:szCs w:val="24"/>
          <w14:textOutline w14:w="1537" w14:cap="flat" w14:cmpd="sng">
            <w14:solidFill>
              <w14:srgbClr w14:val="000000"/>
            </w14:solidFill>
            <w14:prstDash w14:val="solid"/>
            <w14:miter w14:val="0"/>
          </w14:textOutline>
        </w:rPr>
        <w:t>二、申请人的资格要求（须同时满足）</w:t>
      </w:r>
    </w:p>
    <w:p w14:paraId="03322E8F">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173A5FF0">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43BEC7CA">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6591DACF">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02EA3434">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7A122212">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27CDF9F5">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31E46D65">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8.投标公司应具有保安服务从业资格，持有省公安厅发放的有效期内《保安服务许可证》。</w:t>
      </w:r>
    </w:p>
    <w:p w14:paraId="04221820">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71FE2B2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0C07E208">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14:paraId="4F4AC14B">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rPr>
        <w:t>本项目不专门面向中小企业预留采购份额。</w:t>
      </w:r>
    </w:p>
    <w:p w14:paraId="02EB330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spacing w:val="-2"/>
          <w:position w:val="17"/>
          <w:sz w:val="24"/>
          <w:szCs w:val="24"/>
          <w:highlight w:val="none"/>
        </w:rPr>
      </w:pPr>
      <w:r>
        <w:rPr>
          <w:rFonts w:hint="eastAsia" w:asciiTheme="minorEastAsia" w:hAnsiTheme="minorEastAsia" w:eastAsiaTheme="minorEastAsia" w:cstheme="minorEastAsia"/>
          <w:spacing w:val="12"/>
          <w:position w:val="17"/>
          <w:sz w:val="24"/>
          <w:szCs w:val="24"/>
          <w:highlight w:val="none"/>
          <w:lang w:eastAsia="zh-CN"/>
        </w:rPr>
        <w:t>☑</w:t>
      </w:r>
      <w:r>
        <w:rPr>
          <w:rFonts w:hint="eastAsia" w:asciiTheme="minorEastAsia" w:hAnsiTheme="minorEastAsia" w:eastAsiaTheme="minorEastAsia" w:cstheme="minorEastAsia"/>
          <w:spacing w:val="12"/>
          <w:position w:val="17"/>
          <w:sz w:val="24"/>
          <w:szCs w:val="24"/>
          <w:highlight w:val="none"/>
        </w:rPr>
        <w:t>本项目专门面向中小企业采购。</w:t>
      </w:r>
      <w:r>
        <w:rPr>
          <w:rFonts w:hint="eastAsia" w:asciiTheme="minorEastAsia" w:hAnsiTheme="minorEastAsia" w:eastAsiaTheme="minorEastAsia" w:cstheme="minorEastAsia"/>
          <w:spacing w:val="-2"/>
          <w:position w:val="17"/>
          <w:sz w:val="24"/>
          <w:szCs w:val="24"/>
          <w:highlight w:val="none"/>
        </w:rPr>
        <w:t>即：</w:t>
      </w:r>
      <w:r>
        <w:rPr>
          <w:rFonts w:hint="eastAsia" w:asciiTheme="minorEastAsia" w:hAnsiTheme="minorEastAsia" w:eastAsiaTheme="minorEastAsia" w:cstheme="minorEastAsia"/>
          <w:spacing w:val="-2"/>
          <w:position w:val="17"/>
          <w:sz w:val="24"/>
          <w:szCs w:val="24"/>
          <w:highlight w:val="none"/>
          <w:lang w:val="en-US" w:eastAsia="zh-CN"/>
        </w:rPr>
        <w:t>提</w:t>
      </w:r>
      <w:r>
        <w:rPr>
          <w:rFonts w:hint="eastAsia" w:asciiTheme="minorEastAsia" w:hAnsiTheme="minorEastAsia" w:eastAsiaTheme="minorEastAsia" w:cstheme="minorEastAsia"/>
          <w:spacing w:val="-2"/>
          <w:position w:val="17"/>
          <w:sz w:val="24"/>
          <w:szCs w:val="24"/>
          <w:highlight w:val="none"/>
        </w:rPr>
        <w:t>供的货物全部由符合政策要求的中小</w:t>
      </w:r>
      <w:r>
        <w:rPr>
          <w:rFonts w:hint="eastAsia" w:asciiTheme="minorEastAsia" w:hAnsiTheme="minorEastAsia" w:eastAsiaTheme="minorEastAsia" w:cstheme="minorEastAsia"/>
          <w:spacing w:val="12"/>
          <w:position w:val="17"/>
          <w:sz w:val="24"/>
          <w:szCs w:val="24"/>
          <w:highlight w:val="none"/>
          <w:lang w:val="en-US" w:eastAsia="zh-CN"/>
        </w:rPr>
        <w:t>/微</w:t>
      </w:r>
      <w:r>
        <w:rPr>
          <w:rFonts w:hint="eastAsia" w:asciiTheme="minorEastAsia" w:hAnsiTheme="minorEastAsia" w:eastAsiaTheme="minorEastAsia" w:cstheme="minorEastAsia"/>
          <w:spacing w:val="-2"/>
          <w:position w:val="17"/>
          <w:sz w:val="24"/>
          <w:szCs w:val="24"/>
          <w:highlight w:val="none"/>
        </w:rPr>
        <w:t>企业制造、服务全部由符合政策要求的中小</w:t>
      </w:r>
      <w:r>
        <w:rPr>
          <w:rFonts w:hint="eastAsia" w:asciiTheme="minorEastAsia" w:hAnsiTheme="minorEastAsia" w:eastAsiaTheme="minorEastAsia" w:cstheme="minorEastAsia"/>
          <w:spacing w:val="-2"/>
          <w:position w:val="17"/>
          <w:sz w:val="24"/>
          <w:szCs w:val="24"/>
          <w:highlight w:val="none"/>
          <w:lang w:val="en-US" w:eastAsia="zh-CN"/>
        </w:rPr>
        <w:t>/微</w:t>
      </w:r>
      <w:r>
        <w:rPr>
          <w:rFonts w:hint="eastAsia" w:asciiTheme="minorEastAsia" w:hAnsiTheme="minorEastAsia" w:eastAsiaTheme="minorEastAsia" w:cstheme="minorEastAsia"/>
          <w:spacing w:val="-2"/>
          <w:position w:val="17"/>
          <w:sz w:val="24"/>
          <w:szCs w:val="24"/>
          <w:highlight w:val="none"/>
        </w:rPr>
        <w:t>企业承接。</w:t>
      </w:r>
    </w:p>
    <w:p w14:paraId="768C3D6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highlight w:val="none"/>
          <w:lang w:eastAsia="zh-CN"/>
        </w:rPr>
        <w:t>□</w:t>
      </w:r>
      <w:r>
        <w:rPr>
          <w:rFonts w:hint="eastAsia" w:asciiTheme="minorEastAsia" w:hAnsiTheme="minorEastAsia" w:eastAsiaTheme="minorEastAsia" w:cstheme="minorEastAsia"/>
          <w:spacing w:val="-2"/>
          <w:position w:val="17"/>
          <w:sz w:val="24"/>
          <w:szCs w:val="24"/>
          <w:highlight w:val="none"/>
        </w:rPr>
        <w:t>本项目预留部分采购项目预算专门面向中小企业采购。对于预留份额，</w:t>
      </w:r>
      <w:r>
        <w:rPr>
          <w:rFonts w:hint="eastAsia" w:asciiTheme="minorEastAsia" w:hAnsiTheme="minorEastAsia" w:eastAsiaTheme="minorEastAsia" w:cstheme="minorEastAsia"/>
          <w:spacing w:val="-2"/>
          <w:position w:val="17"/>
          <w:sz w:val="24"/>
          <w:szCs w:val="24"/>
          <w:highlight w:val="none"/>
          <w:lang w:val="en-US" w:eastAsia="zh-CN"/>
        </w:rPr>
        <w:t>提</w:t>
      </w:r>
      <w:r>
        <w:rPr>
          <w:rFonts w:hint="eastAsia" w:asciiTheme="minorEastAsia" w:hAnsiTheme="minorEastAsia" w:eastAsiaTheme="minorEastAsia" w:cstheme="minorEastAsia"/>
          <w:spacing w:val="-2"/>
          <w:position w:val="17"/>
          <w:sz w:val="24"/>
          <w:szCs w:val="24"/>
          <w:highlight w:val="none"/>
        </w:rPr>
        <w:t>供的货物由符合政策要求的中小</w:t>
      </w:r>
      <w:r>
        <w:rPr>
          <w:rFonts w:hint="eastAsia" w:asciiTheme="minorEastAsia" w:hAnsiTheme="minorEastAsia" w:eastAsiaTheme="minorEastAsia" w:cstheme="minorEastAsia"/>
          <w:spacing w:val="-2"/>
          <w:position w:val="17"/>
          <w:sz w:val="24"/>
          <w:szCs w:val="24"/>
          <w:highlight w:val="none"/>
          <w:lang w:val="en-US" w:eastAsia="zh-CN"/>
        </w:rPr>
        <w:t>/微</w:t>
      </w:r>
      <w:r>
        <w:rPr>
          <w:rFonts w:hint="eastAsia" w:asciiTheme="minorEastAsia" w:hAnsiTheme="minorEastAsia" w:eastAsiaTheme="minorEastAsia" w:cstheme="minorEastAsia"/>
          <w:spacing w:val="-2"/>
          <w:position w:val="17"/>
          <w:sz w:val="24"/>
          <w:szCs w:val="24"/>
          <w:highlight w:val="none"/>
        </w:rPr>
        <w:t>企业制造、服务由符合政策要求的中小</w:t>
      </w:r>
      <w:r>
        <w:rPr>
          <w:rFonts w:hint="eastAsia" w:asciiTheme="minorEastAsia" w:hAnsiTheme="minorEastAsia" w:eastAsiaTheme="minorEastAsia" w:cstheme="minorEastAsia"/>
          <w:spacing w:val="-2"/>
          <w:position w:val="17"/>
          <w:sz w:val="24"/>
          <w:szCs w:val="24"/>
          <w:highlight w:val="none"/>
          <w:lang w:val="en-US" w:eastAsia="zh-CN"/>
        </w:rPr>
        <w:t>/微</w:t>
      </w:r>
      <w:r>
        <w:rPr>
          <w:rFonts w:hint="eastAsia" w:asciiTheme="minorEastAsia" w:hAnsiTheme="minorEastAsia" w:eastAsiaTheme="minorEastAsia" w:cstheme="minorEastAsia"/>
          <w:spacing w:val="-2"/>
          <w:position w:val="17"/>
          <w:sz w:val="24"/>
          <w:szCs w:val="24"/>
          <w:highlight w:val="none"/>
        </w:rPr>
        <w:t>企业承接。预留份额通过以下措施进行：</w:t>
      </w:r>
      <w:r>
        <w:rPr>
          <w:rFonts w:hint="eastAsia" w:asciiTheme="minorEastAsia" w:hAnsiTheme="minorEastAsia" w:eastAsiaTheme="minorEastAsia" w:cstheme="minorEastAsia"/>
          <w:spacing w:val="-2"/>
          <w:position w:val="17"/>
          <w:sz w:val="24"/>
          <w:szCs w:val="24"/>
          <w:highlight w:val="none"/>
          <w:lang w:val="en-US" w:eastAsia="zh-CN"/>
        </w:rPr>
        <w:t>预留金额</w:t>
      </w:r>
      <w:r>
        <w:rPr>
          <w:rFonts w:hint="eastAsia" w:asciiTheme="minorEastAsia" w:hAnsiTheme="minorEastAsia" w:eastAsiaTheme="minorEastAsia" w:cstheme="minorEastAsia"/>
          <w:spacing w:val="-2"/>
          <w:position w:val="17"/>
          <w:sz w:val="24"/>
          <w:szCs w:val="24"/>
          <w:highlight w:val="none"/>
          <w:u w:val="single"/>
          <w:lang w:val="en-US" w:eastAsia="zh-CN"/>
        </w:rPr>
        <w:t xml:space="preserve">   </w:t>
      </w:r>
      <w:r>
        <w:rPr>
          <w:rFonts w:hint="eastAsia" w:asciiTheme="minorEastAsia" w:hAnsiTheme="minorEastAsia" w:eastAsiaTheme="minorEastAsia" w:cstheme="minorEastAsia"/>
          <w:spacing w:val="-2"/>
          <w:position w:val="17"/>
          <w:sz w:val="24"/>
          <w:szCs w:val="24"/>
          <w:highlight w:val="none"/>
          <w:lang w:val="en-US" w:eastAsia="zh-CN"/>
        </w:rPr>
        <w:t>万元或预留</w:t>
      </w:r>
      <w:r>
        <w:rPr>
          <w:rFonts w:hint="eastAsia" w:asciiTheme="minorEastAsia" w:hAnsiTheme="minorEastAsia" w:eastAsiaTheme="minorEastAsia" w:cstheme="minorEastAsia"/>
          <w:spacing w:val="-2"/>
          <w:position w:val="17"/>
          <w:sz w:val="24"/>
          <w:szCs w:val="24"/>
          <w:highlight w:val="none"/>
          <w:u w:val="single"/>
          <w:lang w:val="en-US" w:eastAsia="zh-CN"/>
        </w:rPr>
        <w:t xml:space="preserve">   </w:t>
      </w:r>
      <w:r>
        <w:rPr>
          <w:rFonts w:hint="eastAsia" w:asciiTheme="minorEastAsia" w:hAnsiTheme="minorEastAsia" w:eastAsiaTheme="minorEastAsia" w:cstheme="minorEastAsia"/>
          <w:spacing w:val="-2"/>
          <w:position w:val="17"/>
          <w:sz w:val="24"/>
          <w:szCs w:val="24"/>
          <w:highlight w:val="none"/>
          <w:lang w:val="en-US" w:eastAsia="zh-CN"/>
        </w:rPr>
        <w:t>%份额</w:t>
      </w:r>
      <w:r>
        <w:rPr>
          <w:rFonts w:hint="eastAsia" w:asciiTheme="minorEastAsia" w:hAnsiTheme="minorEastAsia" w:eastAsiaTheme="minorEastAsia" w:cstheme="minorEastAsia"/>
          <w:spacing w:val="-2"/>
          <w:position w:val="17"/>
          <w:sz w:val="24"/>
          <w:szCs w:val="24"/>
          <w:highlight w:val="none"/>
        </w:rPr>
        <w:t>。</w:t>
      </w:r>
    </w:p>
    <w:p w14:paraId="72382F1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21279E8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20CBB9D9">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14:paraId="197CB82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14:paraId="289D94BA">
      <w:pPr>
        <w:keepNext w:val="0"/>
        <w:keepLines w:val="0"/>
        <w:pageBreakBefore w:val="0"/>
        <w:kinsoku/>
        <w:wordWrap w:val="0"/>
        <w:overflowPunct/>
        <w:topLinePunct w:val="0"/>
        <w:bidi w:val="0"/>
        <w:spacing w:line="259" w:lineRule="auto"/>
        <w:ind w:firstLine="472" w:firstLineChars="200"/>
        <w:jc w:val="both"/>
        <w:rPr>
          <w:rFonts w:ascii="Arial"/>
          <w:sz w:val="21"/>
        </w:rPr>
      </w:pP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341A703F">
      <w:pPr>
        <w:keepNext w:val="0"/>
        <w:keepLines w:val="0"/>
        <w:pageBreakBefore w:val="0"/>
        <w:kinsoku/>
        <w:wordWrap w:val="0"/>
        <w:overflowPunct/>
        <w:topLinePunct w:val="0"/>
        <w:bidi w:val="0"/>
        <w:spacing w:line="259" w:lineRule="auto"/>
        <w:jc w:val="both"/>
        <w:rPr>
          <w:rFonts w:ascii="Arial"/>
          <w:sz w:val="21"/>
        </w:rPr>
      </w:pPr>
    </w:p>
    <w:p w14:paraId="60A1200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spacing w:val="-1"/>
          <w:sz w:val="24"/>
          <w:szCs w:val="24"/>
          <w:lang w:val="en-US" w:eastAsia="zh-CN"/>
          <w14:textOutline w14:w="1537" w14:cap="flat" w14:cmpd="sng">
            <w14:solidFill>
              <w14:srgbClr w14:val="000000"/>
            </w14:solidFill>
            <w14:prstDash w14:val="solid"/>
            <w14:miter w14:val="0"/>
          </w14:textOutline>
        </w:rPr>
      </w:pPr>
    </w:p>
    <w:p w14:paraId="51BA6EE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四</w:t>
      </w:r>
      <w:r>
        <w:rPr>
          <w:spacing w:val="-1"/>
          <w:sz w:val="24"/>
          <w:szCs w:val="24"/>
          <w14:textOutline w14:w="1537" w14:cap="flat" w14:cmpd="sng">
            <w14:solidFill>
              <w14:srgbClr w14:val="000000"/>
            </w14:solidFill>
            <w14:prstDash w14:val="solid"/>
            <w14:miter w14:val="0"/>
          </w14:textOutline>
        </w:rPr>
        <w:t>、获取采购文件</w:t>
      </w:r>
    </w:p>
    <w:p w14:paraId="42B474C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highlight w:val="none"/>
          <w:u w:val="single"/>
          <w:lang w:val="en-US" w:eastAsia="zh-CN"/>
        </w:rPr>
        <w:t xml:space="preserve"> 9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5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9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11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0:00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23:59 </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14:paraId="7AF6218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w:t>
      </w:r>
      <w:r>
        <w:rPr>
          <w:rFonts w:hint="eastAsia" w:asciiTheme="minorEastAsia" w:hAnsiTheme="minorEastAsia" w:eastAsiaTheme="minorEastAsia" w:cstheme="minorEastAsia"/>
          <w:sz w:val="24"/>
          <w:szCs w:val="24"/>
          <w:lang w:eastAsia="zh-CN"/>
        </w:rPr>
        <w:t>全国公共资源交易平台（河南省·南阳市）</w:t>
      </w:r>
      <w:r>
        <w:rPr>
          <w:rFonts w:hint="eastAsia" w:asciiTheme="minorEastAsia" w:hAnsiTheme="minorEastAsia" w:eastAsiaTheme="minorEastAsia" w:cstheme="minorEastAsia"/>
          <w:sz w:val="24"/>
          <w:szCs w:val="24"/>
        </w:rPr>
        <w:t>https://ggzyjy.nanyang.gov.cn</w:t>
      </w:r>
    </w:p>
    <w:p w14:paraId="2B4ECB01">
      <w:pPr>
        <w:keepNext w:val="0"/>
        <w:keepLines w:val="0"/>
        <w:pageBreakBefore w:val="0"/>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登录全国公共资源交易平台（河南省·南阳市）（https://ggzyjy.nanyang.gov.cn），注册后凭办理的企业身份认证锁（CA数字证书）登录会员系统按网上提示下载招标文件(*.nyzf格式)及资料（操作程序详见全国公共资源交易平台（河南省·南阳市）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，电子交易系统技术支持电话：0512-58188538，</w:t>
      </w:r>
      <w:r>
        <w:rPr>
          <w:rFonts w:hint="eastAsia" w:asciiTheme="minorEastAsia" w:hAnsiTheme="minorEastAsia" w:eastAsiaTheme="minorEastAsia" w:cstheme="minorEastAsia"/>
          <w:spacing w:val="-4"/>
          <w:sz w:val="24"/>
          <w:szCs w:val="24"/>
          <w:lang w:eastAsia="zh-CN"/>
        </w:rPr>
        <w:t>CA数字证书技术支持电话：15672779650。</w:t>
      </w:r>
    </w:p>
    <w:p w14:paraId="3406530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14:paraId="31A5AF8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7B544C78">
      <w:pPr>
        <w:pStyle w:val="4"/>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五、响应文件的制作及上传</w:t>
      </w:r>
    </w:p>
    <w:p w14:paraId="3F8E42F4">
      <w:pPr>
        <w:keepNext w:val="0"/>
        <w:keepLines w:val="0"/>
        <w:pageBreakBefore w:val="0"/>
        <w:shd w:val="clear" w:color="auto" w:fill="FFFFFF"/>
        <w:kinsoku/>
        <w:wordWrap w:val="0"/>
        <w:overflowPunct/>
        <w:topLinePunct w:val="0"/>
        <w:bidi w:val="0"/>
        <w:spacing w:line="360" w:lineRule="auto"/>
        <w:ind w:firstLine="600"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文件需要使用投标文件制作工具制作，制作工具及操作手册可在全国公共资源交易平台（河南省·南阳市）“下载专区”中下载。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文件应在</w:t>
      </w:r>
      <w:r>
        <w:rPr>
          <w:rFonts w:hint="eastAsia" w:asciiTheme="minorEastAsia" w:hAnsiTheme="minorEastAsia" w:eastAsiaTheme="minorEastAsia" w:cstheme="minorEastAsia"/>
          <w:spacing w:val="-4"/>
          <w:sz w:val="24"/>
          <w:szCs w:val="24"/>
          <w:lang w:val="en-US" w:eastAsia="zh-CN"/>
        </w:rPr>
        <w:t>竞争性磋商</w:t>
      </w:r>
      <w:r>
        <w:rPr>
          <w:rFonts w:hint="eastAsia" w:asciiTheme="minorEastAsia" w:hAnsiTheme="minorEastAsia" w:eastAsiaTheme="minorEastAsia" w:cstheme="minorEastAsia"/>
          <w:spacing w:val="-4"/>
          <w:sz w:val="24"/>
          <w:szCs w:val="24"/>
          <w:lang w:eastAsia="zh-CN"/>
        </w:rPr>
        <w:t>文件规定的</w:t>
      </w:r>
      <w:r>
        <w:rPr>
          <w:rFonts w:hint="eastAsia" w:asciiTheme="minorEastAsia" w:hAnsiTheme="minorEastAsia" w:eastAsiaTheme="minorEastAsia" w:cstheme="minorEastAsia"/>
          <w:spacing w:val="-4"/>
          <w:sz w:val="24"/>
          <w:szCs w:val="24"/>
          <w:lang w:val="en-US" w:eastAsia="zh-CN"/>
        </w:rPr>
        <w:t>上传</w:t>
      </w:r>
      <w:r>
        <w:rPr>
          <w:rFonts w:hint="eastAsia" w:asciiTheme="minorEastAsia" w:hAnsiTheme="minorEastAsia" w:eastAsiaTheme="minorEastAsia" w:cstheme="minorEastAsia"/>
          <w:spacing w:val="-4"/>
          <w:sz w:val="24"/>
          <w:szCs w:val="24"/>
          <w:lang w:eastAsia="zh-CN"/>
        </w:rPr>
        <w:t>截止时间前到达交易系统。逾期到达交易系统的电子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文件视为放弃本次</w:t>
      </w:r>
      <w:r>
        <w:rPr>
          <w:rFonts w:hint="eastAsia" w:asciiTheme="minorEastAsia" w:hAnsiTheme="minorEastAsia" w:eastAsiaTheme="minorEastAsia" w:cstheme="minorEastAsia"/>
          <w:spacing w:val="-4"/>
          <w:sz w:val="24"/>
          <w:szCs w:val="24"/>
          <w:lang w:val="en-US" w:eastAsia="zh-CN"/>
        </w:rPr>
        <w:t>磋商</w:t>
      </w:r>
      <w:r>
        <w:rPr>
          <w:rFonts w:hint="eastAsia" w:asciiTheme="minorEastAsia" w:hAnsiTheme="minorEastAsia" w:eastAsiaTheme="minorEastAsia" w:cstheme="minorEastAsia"/>
          <w:spacing w:val="-4"/>
          <w:sz w:val="24"/>
          <w:szCs w:val="24"/>
          <w:lang w:eastAsia="zh-CN"/>
        </w:rPr>
        <w:t>。</w:t>
      </w:r>
    </w:p>
    <w:p w14:paraId="5338FC57">
      <w:pPr>
        <w:keepNext w:val="0"/>
        <w:keepLines w:val="0"/>
        <w:pageBreakBefore w:val="0"/>
        <w:shd w:val="clear" w:color="auto" w:fill="FFFFFF"/>
        <w:kinsoku/>
        <w:wordWrap w:val="0"/>
        <w:overflowPunct/>
        <w:topLinePunct w:val="0"/>
        <w:bidi w:val="0"/>
        <w:spacing w:line="360" w:lineRule="auto"/>
        <w:ind w:firstLine="464" w:firstLineChars="200"/>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pacing w:val="-4"/>
          <w:sz w:val="24"/>
          <w:szCs w:val="24"/>
          <w:lang w:eastAsia="zh-CN"/>
        </w:rPr>
        <w:t>本项目采用全流程电子化，供应商应在电子响应文件上传截止时间前登录不见面开标大厅，所有准备工作需要自行到位。</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过程中如遇到紧急事项，可在不见面开标大厅中进行提出异议或文字交流，严重问题可拨打技术支持电话0377-61176137。</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w:t>
      </w:r>
      <w:r>
        <w:rPr>
          <w:rFonts w:hint="eastAsia" w:asciiTheme="minorEastAsia" w:hAnsiTheme="minorEastAsia" w:eastAsiaTheme="minorEastAsia" w:cstheme="minorEastAsia"/>
          <w:spacing w:val="-4"/>
          <w:sz w:val="24"/>
          <w:szCs w:val="24"/>
          <w:lang w:eastAsia="zh-CN"/>
        </w:rPr>
        <w:t>造成无法及时解密的，视为该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文件”。电子交易系统技术支持电话：0512-58188538</w:t>
      </w:r>
      <w:r>
        <w:rPr>
          <w:rFonts w:hint="eastAsia" w:asciiTheme="minorEastAsia" w:hAnsiTheme="minorEastAsia" w:eastAsiaTheme="minorEastAsia" w:cstheme="minorEastAsia"/>
          <w:spacing w:val="-4"/>
          <w:sz w:val="24"/>
          <w:szCs w:val="24"/>
          <w:lang w:val="en-US" w:eastAsia="zh-CN"/>
        </w:rPr>
        <w:t>。</w:t>
      </w:r>
    </w:p>
    <w:p w14:paraId="02E08383">
      <w:pPr>
        <w:pStyle w:val="4"/>
        <w:keepNext w:val="0"/>
        <w:keepLines w:val="0"/>
        <w:pageBreakBefore w:val="0"/>
        <w:kinsoku/>
        <w:wordWrap w:val="0"/>
        <w:overflowPunct/>
        <w:topLinePunct w:val="0"/>
        <w:bidi w:val="0"/>
        <w:spacing w:before="79" w:line="222" w:lineRule="auto"/>
        <w:ind w:left="15"/>
        <w:jc w:val="both"/>
        <w:outlineLvl w:val="1"/>
        <w:rPr>
          <w:rFonts w:hint="eastAsia"/>
          <w:spacing w:val="-3"/>
          <w:sz w:val="24"/>
          <w:szCs w:val="24"/>
          <w:lang w:val="en-US" w:eastAsia="zh-CN"/>
          <w14:textOutline w14:w="1537" w14:cap="flat" w14:cmpd="sng">
            <w14:solidFill>
              <w14:srgbClr w14:val="000000"/>
            </w14:solidFill>
            <w14:prstDash w14:val="solid"/>
            <w14:miter w14:val="0"/>
          </w14:textOutline>
        </w:rPr>
      </w:pPr>
    </w:p>
    <w:p w14:paraId="3ACEACEA">
      <w:pPr>
        <w:pStyle w:val="4"/>
        <w:keepNext w:val="0"/>
        <w:keepLines w:val="0"/>
        <w:pageBreakBefore w:val="0"/>
        <w:kinsoku/>
        <w:wordWrap w:val="0"/>
        <w:overflowPunct/>
        <w:topLinePunct w:val="0"/>
        <w:bidi w:val="0"/>
        <w:spacing w:before="79" w:line="222" w:lineRule="auto"/>
        <w:ind w:left="15"/>
        <w:jc w:val="both"/>
        <w:outlineLvl w:val="1"/>
        <w:rPr>
          <w:rFonts w:hint="default" w:eastAsia="宋体"/>
          <w:sz w:val="24"/>
          <w:szCs w:val="24"/>
          <w:lang w:val="en-US" w:eastAsia="zh-CN"/>
        </w:rPr>
      </w:pPr>
      <w:r>
        <w:rPr>
          <w:rFonts w:hint="eastAsia"/>
          <w:spacing w:val="-3"/>
          <w:sz w:val="24"/>
          <w:szCs w:val="24"/>
          <w:lang w:val="en-US" w:eastAsia="zh-CN"/>
          <w14:textOutline w14:w="1537" w14:cap="flat" w14:cmpd="sng">
            <w14:solidFill>
              <w14:srgbClr w14:val="000000"/>
            </w14:solidFill>
            <w14:prstDash w14:val="solid"/>
            <w14:miter w14:val="0"/>
          </w14:textOutline>
        </w:rPr>
        <w:t>六</w:t>
      </w:r>
      <w:r>
        <w:rPr>
          <w:spacing w:val="-3"/>
          <w:sz w:val="24"/>
          <w:szCs w:val="24"/>
          <w14:textOutline w14:w="1537" w14:cap="flat" w14:cmpd="sng">
            <w14:solidFill>
              <w14:srgbClr w14:val="000000"/>
            </w14:solidFill>
            <w14:prstDash w14:val="solid"/>
            <w14:miter w14:val="0"/>
          </w14:textOutline>
        </w:rPr>
        <w:t>、</w:t>
      </w:r>
      <w:r>
        <w:rPr>
          <w:rFonts w:hint="eastAsia"/>
          <w:spacing w:val="-3"/>
          <w:sz w:val="24"/>
          <w:szCs w:val="24"/>
          <w:lang w:val="en-US" w:eastAsia="zh-CN"/>
          <w14:textOutline w14:w="1537" w14:cap="flat" w14:cmpd="sng">
            <w14:solidFill>
              <w14:srgbClr w14:val="000000"/>
            </w14:solidFill>
            <w14:prstDash w14:val="solid"/>
            <w14:miter w14:val="0"/>
          </w14:textOutline>
        </w:rPr>
        <w:t>上传截止时间、</w:t>
      </w:r>
      <w:r>
        <w:rPr>
          <w:spacing w:val="-3"/>
          <w:sz w:val="24"/>
          <w:szCs w:val="24"/>
          <w14:textOutline w14:w="1537" w14:cap="flat" w14:cmpd="sng">
            <w14:solidFill>
              <w14:srgbClr w14:val="000000"/>
            </w14:solidFill>
            <w14:prstDash w14:val="solid"/>
            <w14:miter w14:val="0"/>
          </w14:textOutline>
        </w:rPr>
        <w:t>开启</w:t>
      </w:r>
      <w:r>
        <w:rPr>
          <w:rFonts w:hint="eastAsia"/>
          <w:spacing w:val="-3"/>
          <w:sz w:val="24"/>
          <w:szCs w:val="24"/>
          <w:lang w:val="en-US" w:eastAsia="zh-CN"/>
          <w14:textOutline w14:w="1537" w14:cap="flat" w14:cmpd="sng">
            <w14:solidFill>
              <w14:srgbClr w14:val="000000"/>
            </w14:solidFill>
            <w14:prstDash w14:val="solid"/>
            <w14:miter w14:val="0"/>
          </w14:textOutline>
        </w:rPr>
        <w:t>响应文件时间和地点</w:t>
      </w:r>
    </w:p>
    <w:p w14:paraId="726404A7">
      <w:pPr>
        <w:pStyle w:val="4"/>
        <w:keepNext w:val="0"/>
        <w:keepLines w:val="0"/>
        <w:pageBreakBefore w:val="0"/>
        <w:kinsoku/>
        <w:wordWrap w:val="0"/>
        <w:overflowPunct/>
        <w:topLinePunct w:val="0"/>
        <w:bidi w:val="0"/>
        <w:spacing w:before="181" w:line="220" w:lineRule="auto"/>
        <w:jc w:val="both"/>
        <w:rPr>
          <w:sz w:val="24"/>
          <w:szCs w:val="24"/>
        </w:rPr>
      </w:pPr>
      <w:r>
        <w:rPr>
          <w:spacing w:val="-25"/>
          <w:sz w:val="24"/>
          <w:szCs w:val="24"/>
        </w:rPr>
        <w:t>时间：</w:t>
      </w:r>
      <w:r>
        <w:rPr>
          <w:rFonts w:hint="eastAsia" w:asciiTheme="minorEastAsia" w:hAnsiTheme="minorEastAsia" w:eastAsiaTheme="minorEastAsia" w:cstheme="minorEastAsia"/>
          <w:spacing w:val="-14"/>
          <w:sz w:val="24"/>
          <w:szCs w:val="24"/>
          <w:u w:val="single"/>
          <w:lang w:val="en-US" w:eastAsia="zh-CN"/>
        </w:rPr>
        <w:t xml:space="preserve"> 2026 </w:t>
      </w:r>
      <w:r>
        <w:rPr>
          <w:rFonts w:hint="eastAsia" w:asciiTheme="minorEastAsia" w:hAnsiTheme="minorEastAsia" w:eastAsiaTheme="minorEastAsia" w:cstheme="minorEastAsia"/>
          <w:snapToGrid w:val="0"/>
          <w:color w:val="000000"/>
          <w:spacing w:val="-4"/>
          <w:kern w:val="0"/>
          <w:sz w:val="24"/>
          <w:szCs w:val="24"/>
          <w:lang w:val="en-US" w:eastAsia="zh-CN" w:bidi="ar-SA"/>
        </w:rPr>
        <w:t>年</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15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lang w:val="en-US" w:eastAsia="zh-CN" w:bidi="ar-SA"/>
        </w:rPr>
        <w:t>点</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lang w:val="en-US" w:eastAsia="zh-CN" w:bidi="ar-SA"/>
        </w:rPr>
        <w:t>分</w:t>
      </w:r>
      <w:r>
        <w:rPr>
          <w:spacing w:val="-25"/>
          <w:sz w:val="24"/>
          <w:szCs w:val="24"/>
        </w:rPr>
        <w:t>（北京时间）。</w:t>
      </w:r>
    </w:p>
    <w:p w14:paraId="14F3D842">
      <w:pPr>
        <w:pStyle w:val="4"/>
        <w:keepNext w:val="0"/>
        <w:keepLines w:val="0"/>
        <w:pageBreakBefore w:val="0"/>
        <w:kinsoku/>
        <w:wordWrap w:val="0"/>
        <w:overflowPunct/>
        <w:topLinePunct w:val="0"/>
        <w:bidi w:val="0"/>
        <w:spacing w:before="180" w:line="189" w:lineRule="auto"/>
        <w:jc w:val="both"/>
        <w:rPr>
          <w:rFonts w:ascii="Arial"/>
          <w:sz w:val="21"/>
        </w:rPr>
      </w:pPr>
      <w:r>
        <w:rPr>
          <w:rFonts w:hint="eastAsia" w:ascii="Arial" w:hAnsi="Arial" w:eastAsia="宋体" w:cs="Arial"/>
          <w:position w:val="5"/>
          <w:sz w:val="24"/>
          <w:szCs w:val="24"/>
          <w:lang w:val="en-US" w:eastAsia="zh-CN"/>
        </w:rPr>
        <w:t>地点：</w:t>
      </w:r>
      <w:r>
        <w:rPr>
          <w:rFonts w:hint="eastAsia" w:ascii="Arial" w:hAnsi="Arial" w:eastAsia="Arial" w:cs="Arial"/>
          <w:position w:val="5"/>
          <w:sz w:val="24"/>
          <w:szCs w:val="24"/>
        </w:rPr>
        <w:t>全国公共资源交易平台(河南省·南阳市)（https://ggzyjy.nanyang.gov.cn</w:t>
      </w:r>
      <w:r>
        <w:rPr>
          <w:rFonts w:hint="eastAsia" w:ascii="Arial" w:hAnsi="Arial" w:eastAsia="宋体" w:cs="Arial"/>
          <w:position w:val="5"/>
          <w:sz w:val="24"/>
          <w:szCs w:val="24"/>
          <w:lang w:eastAsia="zh-CN"/>
        </w:rPr>
        <w:t>）</w:t>
      </w:r>
    </w:p>
    <w:p w14:paraId="3D2DB298">
      <w:pPr>
        <w:keepNext w:val="0"/>
        <w:keepLines w:val="0"/>
        <w:pageBreakBefore w:val="0"/>
        <w:kinsoku/>
        <w:wordWrap w:val="0"/>
        <w:overflowPunct/>
        <w:topLinePunct w:val="0"/>
        <w:bidi w:val="0"/>
        <w:spacing w:line="269" w:lineRule="auto"/>
        <w:jc w:val="both"/>
        <w:rPr>
          <w:rFonts w:ascii="Arial"/>
          <w:sz w:val="21"/>
        </w:rPr>
      </w:pPr>
    </w:p>
    <w:p w14:paraId="4E5E71A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2"/>
          <w:sz w:val="24"/>
          <w:szCs w:val="24"/>
          <w:lang w:val="en-US" w:eastAsia="zh-CN"/>
          <w14:textOutline w14:w="1537" w14:cap="flat" w14:cmpd="sng">
            <w14:solidFill>
              <w14:srgbClr w14:val="000000"/>
            </w14:solidFill>
            <w14:prstDash w14:val="solid"/>
            <w14:miter w14:val="0"/>
          </w14:textOutline>
        </w:rPr>
        <w:t>七</w:t>
      </w:r>
      <w:r>
        <w:rPr>
          <w:spacing w:val="-2"/>
          <w:sz w:val="24"/>
          <w:szCs w:val="24"/>
          <w14:textOutline w14:w="1537" w14:cap="flat" w14:cmpd="sng">
            <w14:solidFill>
              <w14:srgbClr w14:val="000000"/>
            </w14:solidFill>
            <w14:prstDash w14:val="solid"/>
            <w14:miter w14:val="0"/>
          </w14:textOutline>
        </w:rPr>
        <w:t>、公告期限</w:t>
      </w:r>
    </w:p>
    <w:p w14:paraId="6B51204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highlight w:val="none"/>
          <w:u w:val="single"/>
          <w:lang w:val="en-US" w:eastAsia="zh-CN"/>
        </w:rPr>
        <w:t xml:space="preserve"> 9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5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9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9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lang w:eastAsia="zh-CN"/>
        </w:rPr>
        <w:t>。</w:t>
      </w:r>
    </w:p>
    <w:p w14:paraId="7DDFB747">
      <w:pPr>
        <w:keepNext w:val="0"/>
        <w:keepLines w:val="0"/>
        <w:pageBreakBefore w:val="0"/>
        <w:kinsoku/>
        <w:wordWrap w:val="0"/>
        <w:overflowPunct/>
        <w:topLinePunct w:val="0"/>
        <w:bidi w:val="0"/>
        <w:spacing w:line="259" w:lineRule="auto"/>
        <w:jc w:val="both"/>
        <w:rPr>
          <w:rFonts w:ascii="Arial"/>
          <w:sz w:val="21"/>
        </w:rPr>
      </w:pPr>
    </w:p>
    <w:p w14:paraId="3991422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八</w:t>
      </w:r>
      <w:r>
        <w:rPr>
          <w:spacing w:val="-1"/>
          <w:sz w:val="24"/>
          <w:szCs w:val="24"/>
          <w14:textOutline w14:w="1537" w14:cap="flat" w14:cmpd="sng">
            <w14:solidFill>
              <w14:srgbClr w14:val="000000"/>
            </w14:solidFill>
            <w14:prstDash w14:val="solid"/>
            <w14:miter w14:val="0"/>
          </w14:textOutline>
        </w:rPr>
        <w:t>、其他补充事宜</w:t>
      </w:r>
    </w:p>
    <w:p w14:paraId="25D8ED4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9"/>
          <w:sz w:val="24"/>
          <w:szCs w:val="24"/>
          <w:lang w:val="en-US" w:eastAsia="zh-CN"/>
        </w:rPr>
        <w:t>本次招标公告在河南省政府采购网、全国公共资源交易平台(河南省·南阳市)发布。</w:t>
      </w:r>
    </w:p>
    <w:p w14:paraId="2218B1C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采购提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6BC8528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14:paraId="537811D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pacing w:val="-15"/>
          <w:sz w:val="24"/>
          <w:szCs w:val="24"/>
        </w:rPr>
      </w:pPr>
      <w:r>
        <w:rPr>
          <w:rFonts w:hint="eastAsia" w:asciiTheme="minorEastAsia" w:hAnsiTheme="minorEastAsia" w:eastAsiaTheme="minorEastAsia" w:cstheme="minorEastAsia"/>
          <w:color w:val="auto"/>
          <w:spacing w:val="-15"/>
          <w:sz w:val="24"/>
          <w:szCs w:val="24"/>
        </w:rPr>
        <w:t>名称：南阳市体育事业发展中心</w:t>
      </w:r>
    </w:p>
    <w:p w14:paraId="42B07D5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pacing w:val="-15"/>
          <w:sz w:val="24"/>
          <w:szCs w:val="24"/>
        </w:rPr>
      </w:pPr>
      <w:r>
        <w:rPr>
          <w:rFonts w:hint="eastAsia" w:asciiTheme="minorEastAsia" w:hAnsiTheme="minorEastAsia" w:eastAsiaTheme="minorEastAsia" w:cstheme="minorEastAsia"/>
          <w:color w:val="auto"/>
          <w:spacing w:val="-15"/>
          <w:sz w:val="24"/>
          <w:szCs w:val="24"/>
        </w:rPr>
        <w:t>地址：南阳市滨河东路体育中心</w:t>
      </w:r>
    </w:p>
    <w:p w14:paraId="3AFBF81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联系人：张女士</w:t>
      </w:r>
    </w:p>
    <w:p w14:paraId="36C87243">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5"/>
          <w:sz w:val="24"/>
          <w:szCs w:val="24"/>
        </w:rPr>
        <w:t>联系方式：</w:t>
      </w:r>
      <w:r>
        <w:rPr>
          <w:rFonts w:hint="eastAsia" w:asciiTheme="minorEastAsia" w:hAnsiTheme="minorEastAsia" w:eastAsiaTheme="minorEastAsia" w:cstheme="minorEastAsia"/>
          <w:color w:val="auto"/>
          <w:spacing w:val="-15"/>
          <w:sz w:val="24"/>
          <w:szCs w:val="24"/>
          <w:lang w:val="en-US" w:eastAsia="zh-CN"/>
        </w:rPr>
        <w:t>0377-</w:t>
      </w:r>
      <w:r>
        <w:rPr>
          <w:rFonts w:hint="eastAsia" w:asciiTheme="minorEastAsia" w:hAnsiTheme="minorEastAsia" w:eastAsiaTheme="minorEastAsia" w:cstheme="minorEastAsia"/>
          <w:color w:val="auto"/>
          <w:spacing w:val="-15"/>
          <w:sz w:val="24"/>
          <w:szCs w:val="24"/>
        </w:rPr>
        <w:t>61171851</w:t>
      </w:r>
    </w:p>
    <w:p w14:paraId="00BD71D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4"/>
          <w:sz w:val="24"/>
          <w:szCs w:val="24"/>
        </w:rPr>
      </w:pPr>
    </w:p>
    <w:p w14:paraId="0A643EE2">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7FC0990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名称：南阳市公共资源交易中心</w:t>
      </w:r>
    </w:p>
    <w:p w14:paraId="291A66C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地址：南阳市范蠡东路与南都路交叉口市民服务中心中区3号楼5楼</w:t>
      </w:r>
    </w:p>
    <w:p w14:paraId="06858FDF">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联系人：黄先生</w:t>
      </w:r>
    </w:p>
    <w:p w14:paraId="61262AD7">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0377-61176178</w:t>
      </w:r>
    </w:p>
    <w:p w14:paraId="422C713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24CC280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t>https://ggzyjy.nanyang.gov.cn   E-mail:nyszfcgzx@126.com</w:t>
      </w:r>
    </w:p>
    <w:p w14:paraId="6971A5A7">
      <w:pPr>
        <w:pStyle w:val="4"/>
        <w:keepNext w:val="0"/>
        <w:keepLines w:val="0"/>
        <w:pageBreakBefore w:val="0"/>
        <w:numPr>
          <w:ilvl w:val="0"/>
          <w:numId w:val="0"/>
        </w:numPr>
        <w:kinsoku/>
        <w:wordWrap w:val="0"/>
        <w:overflowPunct/>
        <w:topLinePunct w:val="0"/>
        <w:bidi w:val="0"/>
        <w:spacing w:before="352" w:line="690" w:lineRule="exact"/>
        <w:jc w:val="both"/>
        <w:rPr>
          <w:rFonts w:hint="eastAsia" w:ascii="仿宋_GB2312" w:hAnsi="宋体" w:eastAsia="仿宋_GB2312"/>
          <w:color w:val="0000FF"/>
          <w:sz w:val="28"/>
          <w:szCs w:val="28"/>
          <w:lang w:val="en-US" w:eastAsia="zh-CN"/>
        </w:rPr>
      </w:pPr>
    </w:p>
    <w:p w14:paraId="4D6DD25F">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南阳市公共资源交易中心</w:t>
      </w:r>
    </w:p>
    <w:p w14:paraId="56642D5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5564" w:firstLineChars="2600"/>
        <w:jc w:val="both"/>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highlight w:val="none"/>
          <w:u w:val="single"/>
          <w:lang w:val="en-US" w:eastAsia="zh-CN"/>
        </w:rPr>
        <w:t xml:space="preserve"> 9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4 </w:t>
      </w:r>
      <w:r>
        <w:rPr>
          <w:rFonts w:hint="eastAsia" w:asciiTheme="minorEastAsia" w:hAnsiTheme="minorEastAsia" w:eastAsiaTheme="minorEastAsia" w:cstheme="minorEastAsia"/>
          <w:spacing w:val="-13"/>
          <w:sz w:val="24"/>
          <w:szCs w:val="24"/>
          <w:highlight w:val="none"/>
        </w:rPr>
        <w:t>日</w:t>
      </w:r>
    </w:p>
    <w:p w14:paraId="22F4F369">
      <w:pPr>
        <w:pStyle w:val="4"/>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21C4EB0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F73716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FC255B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69F366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1A1CFA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2AF964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sectPr>
          <w:footerReference r:id="rId6" w:type="default"/>
          <w:pgSz w:w="11911" w:h="16840"/>
          <w:pgMar w:top="1431" w:right="1786" w:bottom="1304" w:left="1786" w:header="0" w:footer="1135" w:gutter="0"/>
          <w:pgNumType w:fmt="decimal"/>
          <w:cols w:space="720" w:num="1"/>
        </w:sectPr>
      </w:pPr>
    </w:p>
    <w:p w14:paraId="3A4F889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0C89639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730039E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1C74546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宋体" w:hAnsi="宋体" w:eastAsia="宋体" w:cs="宋体"/>
          <w:spacing w:val="-1"/>
          <w:sz w:val="24"/>
          <w:szCs w:val="24"/>
          <w:lang w:eastAsia="zh-CN"/>
        </w:rPr>
      </w:pPr>
      <w:r>
        <w:rPr>
          <w:rFonts w:hint="eastAsia" w:ascii="宋体" w:hAnsi="宋体" w:eastAsia="宋体" w:cs="宋体"/>
          <w:b/>
          <w:bCs/>
          <w:spacing w:val="-1"/>
          <w:sz w:val="24"/>
          <w:szCs w:val="24"/>
          <w:lang w:eastAsia="zh-CN"/>
        </w:rPr>
        <w:t>（</w:t>
      </w:r>
      <w:r>
        <w:rPr>
          <w:rFonts w:hint="eastAsia" w:ascii="宋体" w:hAnsi="宋体" w:eastAsia="宋体" w:cs="宋体"/>
          <w:b/>
          <w:bCs/>
          <w:spacing w:val="-1"/>
          <w:sz w:val="24"/>
          <w:szCs w:val="24"/>
          <w:lang w:val="en-US" w:eastAsia="zh-CN"/>
        </w:rPr>
        <w:t>一</w:t>
      </w:r>
      <w:r>
        <w:rPr>
          <w:rFonts w:hint="eastAsia" w:ascii="宋体" w:hAnsi="宋体" w:eastAsia="宋体" w:cs="宋体"/>
          <w:b/>
          <w:bCs/>
          <w:spacing w:val="-1"/>
          <w:sz w:val="24"/>
          <w:szCs w:val="24"/>
          <w:lang w:eastAsia="zh-CN"/>
        </w:rPr>
        <w:t>）安保服务范围</w:t>
      </w:r>
    </w:p>
    <w:p w14:paraId="2EED584F">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第一体育健身中心综合训练馆（1-6层功能用房及训练场地、一、二层及地下通道）面积8000平方，主体育馆（整个室内）面积15000平方，游泳馆外部及附属设施（内部安全由外包单位及入驻单位负责），第一体育健身中心院内广场、绿地（包括篮球场、网球场、足球场等健身场地）及南门外所辖区域面积40000平方，全民健身馆等岗点。</w:t>
      </w:r>
    </w:p>
    <w:p w14:paraId="664654E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b/>
          <w:bCs/>
          <w:spacing w:val="-1"/>
          <w:sz w:val="24"/>
          <w:szCs w:val="24"/>
          <w:lang w:val="en-US" w:eastAsia="zh-CN"/>
        </w:rPr>
      </w:pP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lang w:val="en-US" w:eastAsia="zh-CN"/>
        </w:rPr>
        <w:t>二</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lang w:val="en-US" w:eastAsia="zh-CN"/>
        </w:rPr>
        <w:t>总体安保任务</w:t>
      </w:r>
    </w:p>
    <w:p w14:paraId="7C140D1F">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第一体育健身中心的安全防范；广场、健身设施、道路照明灯具、电缆电线、消防设施、广场绿地、停车场（位）、公益广告栏等公共设施的安全防范及机动车、非机动车的有序停放，维护甲方正常办公秩序,内外场免费低收费开放工作的管理、安全，维护体育赛事、公益活动、商业活动等重大活动的治安秩序及人身财产安全等。</w:t>
      </w:r>
    </w:p>
    <w:p w14:paraId="5C95701B">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b/>
          <w:bCs/>
          <w:spacing w:val="-1"/>
          <w:sz w:val="24"/>
          <w:szCs w:val="24"/>
          <w:lang w:val="en-US" w:eastAsia="zh-CN"/>
        </w:rPr>
        <w:t>（三）安保岗位及职责</w:t>
      </w:r>
    </w:p>
    <w:p w14:paraId="1027079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1、人员要求：身体健康，年龄18周岁以上，50周岁以下，管理人员年龄可适当放宽。（合同期内人员一切安全事宜由乙方负责）</w:t>
      </w:r>
    </w:p>
    <w:p w14:paraId="000F994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2、要求安保人员实行24小时不间断在岗执勤。</w:t>
      </w:r>
    </w:p>
    <w:p w14:paraId="5F28FCA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3、南、北大门岗（均为白天4岗+夜间2岗）：</w:t>
      </w:r>
    </w:p>
    <w:p w14:paraId="6ED005A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负责出入第一体育健身中心的人员、车辆、物资的检查、询问、登记等工作。</w:t>
      </w:r>
    </w:p>
    <w:p w14:paraId="4E9472B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4、办公楼（全天4岗）：</w:t>
      </w:r>
    </w:p>
    <w:p w14:paraId="0022E6EE">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负责出入办公楼的人员、物资的检查、询问、登记等工作。</w:t>
      </w:r>
    </w:p>
    <w:p w14:paraId="2569B7DE">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5、体育馆（全天8岗）：</w:t>
      </w:r>
    </w:p>
    <w:p w14:paraId="30E79F68">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负责出入体育馆的人员、物资的检查、询问、登记及免费低收费开放工作的管理、安全等工作。</w:t>
      </w:r>
    </w:p>
    <w:p w14:paraId="283AC457">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6、篮球馆</w:t>
      </w:r>
    </w:p>
    <w:p w14:paraId="2FF248A4">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6.1室内二楼（白天2岗）：</w:t>
      </w:r>
    </w:p>
    <w:p w14:paraId="376F9328">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负责出入篮球馆的人员、物资的检查、询问、登记及免费低收费开放工作的管理、安全等工作。</w:t>
      </w:r>
    </w:p>
    <w:p w14:paraId="1E64D723">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6.2室外篮球馆（白天2岗）：</w:t>
      </w:r>
    </w:p>
    <w:p w14:paraId="3CF217E7">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负责出入篮球馆的人员、物资的检查、询问、登记及免费低收费开放工作的管理、安全等工作。</w:t>
      </w:r>
    </w:p>
    <w:p w14:paraId="6673BEE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7、巡逻班（白天2岗）：</w:t>
      </w:r>
    </w:p>
    <w:p w14:paraId="5577392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不定时地在第一体育健身中心围墙内外区域来回巡视，负责中心正常办公秩序的维护，广场、健身设施、道路照明灯具、电缆电线、消防设施、广场绿地、公益广告栏等公共设施的安全防范，机动车、非机动车的有序停放，发现问题及时汇报，妥善处理。</w:t>
      </w:r>
    </w:p>
    <w:p w14:paraId="2A59B28E">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8、管理人员（全天2岗）：</w:t>
      </w:r>
    </w:p>
    <w:p w14:paraId="44F170E0">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负责驻勤保安队员的勤务安排、日常管理及与第一体育健身中心的沟通协调等工作。</w:t>
      </w:r>
    </w:p>
    <w:p w14:paraId="6F03456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9、全民健身馆（全天8岗）：</w:t>
      </w:r>
    </w:p>
    <w:p w14:paraId="422B592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负责出入全民健身馆的人员、物资的检查、询问、登记及免费低收费开放工作的管理、安全等工作。</w:t>
      </w:r>
    </w:p>
    <w:p w14:paraId="4A1AA617">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注：本项目服务期限为一年，以上各岗安排为暂定岗位，可根据实际情况需要进行调整，每个岗点工作不分节假日，全年在岗，安保人员要熟悉所辖区域岗位环境，文明执勤，训练有素，言语规范，认真负责。</w:t>
      </w:r>
    </w:p>
    <w:p w14:paraId="5699E5D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eastAsia" w:asciiTheme="minorEastAsia" w:hAnsiTheme="minorEastAsia" w:eastAsiaTheme="minorEastAsia" w:cstheme="minorEastAsia"/>
          <w:b/>
          <w:bCs/>
          <w:spacing w:val="-1"/>
          <w:sz w:val="24"/>
          <w:szCs w:val="24"/>
          <w:lang w:val="en-US" w:eastAsia="zh-CN"/>
        </w:rPr>
      </w:pP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lang w:val="en-US" w:eastAsia="zh-CN"/>
        </w:rPr>
        <w:t>四</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lang w:val="en-US" w:eastAsia="zh-CN"/>
        </w:rPr>
        <w:t>安保服务工作标准</w:t>
      </w:r>
    </w:p>
    <w:p w14:paraId="05D09E1F">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1、制服、胸卡、禁烟袖标穿戴干净、整洁、一致。</w:t>
      </w:r>
    </w:p>
    <w:p w14:paraId="45D5E782">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2、见到客户单位领导或车辆做到敬礼或问好。</w:t>
      </w:r>
    </w:p>
    <w:p w14:paraId="752A01F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3、保持通讯设备随时畅通，各项记录书写整洁、规范、准确、详细。</w:t>
      </w:r>
    </w:p>
    <w:p w14:paraId="3CFAFF88">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4、交接班列队互敬军礼，确保交接物品完好，交接事宜跟进、清楚、明白。</w:t>
      </w:r>
    </w:p>
    <w:p w14:paraId="7B9F1749">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5、对在楼内抽烟人员及时进行劝阻。</w:t>
      </w:r>
    </w:p>
    <w:p w14:paraId="20E03919">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6、对在区域的小商贩及闲杂人员及时进行清理，劝其离开管辖区域。</w:t>
      </w:r>
    </w:p>
    <w:p w14:paraId="5355361D">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7、对未经允许擅自在管辖区域内乱写、乱画、乱贴者交客户单位处理。</w:t>
      </w:r>
    </w:p>
    <w:p w14:paraId="294BA75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8、对未经允许擅自在管辖区域拍照、摄像、采访者及时阻止并向上级汇报。</w:t>
      </w:r>
    </w:p>
    <w:p w14:paraId="7E59D3F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9、对在管辖区域发生争吵的人员进行耐心、礼貌劝解。</w:t>
      </w:r>
    </w:p>
    <w:p w14:paraId="4BDA7B2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10、对在管辖区域发生肢体冲突、打架斗殴者及时进行劝解、制止或上报。</w:t>
      </w:r>
    </w:p>
    <w:p w14:paraId="1EF43F9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11、对酒后在管辖区域寻衅滋事、影响公共秩序者及时进行制止和上报。</w:t>
      </w:r>
    </w:p>
    <w:p w14:paraId="7106B233">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12、对在管辖区域和楼内逗留的可疑人员进行盘问，劝其离开管辖区域。</w:t>
      </w:r>
    </w:p>
    <w:p w14:paraId="78F4B419">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13、对在管辖区域行窃者立即赶到将其控制交客户单位处理（注意事项：勿个人行动，需通知上级带领人员进行围堵）。</w:t>
      </w:r>
    </w:p>
    <w:p w14:paraId="54602B0B">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14、严禁非机动车辆进入楼内。</w:t>
      </w:r>
    </w:p>
    <w:p w14:paraId="1AF847D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15、发现、判断管辖区域内有轻生行为打算者，立即进行劝阻、控制和上报。</w:t>
      </w:r>
    </w:p>
    <w:p w14:paraId="75CB326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16、发现、捡到管辖区域内丢弃物品等立即通知队长报客户单位处理。</w:t>
      </w:r>
    </w:p>
    <w:p w14:paraId="07FD4A24">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17、发现消防设备异常、损坏或火灾隐患要及时通知队长报客户单位。</w:t>
      </w:r>
    </w:p>
    <w:p w14:paraId="3A1D296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18、接到火警、匪警通知必须以最快速度赶到现场进行处理。</w:t>
      </w:r>
    </w:p>
    <w:p w14:paraId="7C55530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outlineLvl w:val="9"/>
        <w:rPr>
          <w:rFonts w:hint="default" w:asciiTheme="minorEastAsia" w:hAnsiTheme="minorEastAsia" w:eastAsiaTheme="minorEastAsia" w:cstheme="minorEastAsia"/>
          <w:b/>
          <w:bCs/>
          <w:spacing w:val="-1"/>
          <w:sz w:val="24"/>
          <w:szCs w:val="24"/>
          <w:lang w:val="en-US" w:eastAsia="zh-CN"/>
        </w:rPr>
      </w:pP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lang w:val="en-US" w:eastAsia="zh-CN"/>
        </w:rPr>
        <w:t>五</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lang w:val="en-US" w:eastAsia="zh-CN"/>
        </w:rPr>
        <w:t>安保服务工作内容</w:t>
      </w:r>
    </w:p>
    <w:p w14:paraId="3C273F0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outlineLvl w:val="9"/>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1、门卫服务内容</w:t>
      </w:r>
    </w:p>
    <w:p w14:paraId="1D7F5C1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1.1保安员通过对客户单位出入口进行值守、验证、检查登记，维护客户安全。</w:t>
      </w:r>
    </w:p>
    <w:p w14:paraId="6832414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1.2查验出入人员的证件，办理登记手续，禁止无关人员进入。凡建筑和维修人员，必须持客户单位批准的手续，施工证，方可施工。</w:t>
      </w:r>
    </w:p>
    <w:p w14:paraId="4DA79BF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1.3对出入的人员、车辆及其携带或装运的物品进行查验，做到有证出入，无证禁行，防止区域内的财物流失及违禁物品流入。未经中心同意，禁止装修、维修材料、器材等物品的车辆出入。</w:t>
      </w:r>
    </w:p>
    <w:p w14:paraId="129DFC9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1.4指挥、疏导出入车辆，维护出入口的正常秩序。</w:t>
      </w:r>
    </w:p>
    <w:p w14:paraId="5148E21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1.5及时发现不法行为人，截获赃物，做好安全防范工作。</w:t>
      </w:r>
    </w:p>
    <w:p w14:paraId="2FE0EC7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outlineLvl w:val="9"/>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2、巡逻服务内容</w:t>
      </w:r>
    </w:p>
    <w:p w14:paraId="226BA81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2.1保安员通过对特定区域、地段和目标进行的巡视检查、 警戒，保护客户安全。</w:t>
      </w:r>
    </w:p>
    <w:p w14:paraId="7FEA6A6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2.2通过巡逻，震慑不法分子，有效防范对工作人员和办事群众可能造成的不法侵害。</w:t>
      </w:r>
    </w:p>
    <w:p w14:paraId="03FEB38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2.3通过巡逻，发现可疑人员，对有违法犯罪嫌疑的，依法扭送客户单位或公安部门处理。</w:t>
      </w:r>
    </w:p>
    <w:p w14:paraId="265ED62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2.4对正在发生的不法侵害行为，应采取相应措施予以制止，将不法行为人及时扭送客户单位或公安部门处理。</w:t>
      </w:r>
    </w:p>
    <w:p w14:paraId="5B5A3C6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2.5检查、发现、报告并及时消除各种安全隐患。防止火灾、爆炸等事故或抢劫、盗窃等不法侵害。</w:t>
      </w:r>
    </w:p>
    <w:p w14:paraId="51C4301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2.6在巡逻过程中，对已经发生的不法侵害案件或治安灾害事故，应及时报告值班领导、客户单位、公安部门，并采取相应措施保护现场。</w:t>
      </w:r>
    </w:p>
    <w:p w14:paraId="4D4A2F6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250DB99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14:paraId="208F66D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服务</w:t>
      </w:r>
      <w:r>
        <w:rPr>
          <w:rFonts w:hint="eastAsia" w:asciiTheme="minorEastAsia" w:hAnsiTheme="minorEastAsia" w:eastAsiaTheme="minorEastAsia" w:cstheme="minorEastAsia"/>
          <w:spacing w:val="-1"/>
          <w:sz w:val="24"/>
          <w:szCs w:val="24"/>
        </w:rPr>
        <w:t>期限</w:t>
      </w:r>
      <w:r>
        <w:rPr>
          <w:rFonts w:hint="eastAsia" w:asciiTheme="minorEastAsia" w:hAnsiTheme="minorEastAsia" w:eastAsiaTheme="minorEastAsia" w:cstheme="minorEastAsia"/>
          <w:spacing w:val="-1"/>
          <w:sz w:val="24"/>
          <w:szCs w:val="24"/>
          <w:lang w:eastAsia="zh-CN"/>
        </w:rPr>
        <w:t>：一年</w:t>
      </w:r>
    </w:p>
    <w:p w14:paraId="423E7281">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
          <w:sz w:val="24"/>
          <w:szCs w:val="24"/>
          <w:lang w:val="en-US" w:eastAsia="zh-CN"/>
        </w:rPr>
        <w:t>2.服务</w:t>
      </w:r>
      <w:r>
        <w:rPr>
          <w:rFonts w:hint="eastAsia" w:asciiTheme="minorEastAsia" w:hAnsiTheme="minorEastAsia" w:eastAsiaTheme="minorEastAsia" w:cstheme="minorEastAsia"/>
          <w:spacing w:val="-2"/>
          <w:sz w:val="24"/>
          <w:szCs w:val="24"/>
        </w:rPr>
        <w:t>范围</w:t>
      </w:r>
      <w:r>
        <w:rPr>
          <w:rFonts w:hint="eastAsia" w:asciiTheme="minorEastAsia" w:hAnsiTheme="minorEastAsia" w:eastAsiaTheme="minorEastAsia" w:cstheme="minorEastAsia"/>
          <w:spacing w:val="-2"/>
          <w:sz w:val="24"/>
          <w:szCs w:val="24"/>
          <w:lang w:eastAsia="zh-CN"/>
        </w:rPr>
        <w:t>：南阳市第一健身中心</w:t>
      </w:r>
    </w:p>
    <w:p w14:paraId="5DFFD4C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sz w:val="24"/>
          <w:szCs w:val="24"/>
          <w:lang w:val="en-US" w:eastAsia="zh-CN"/>
        </w:rPr>
        <w:t>3.服务质量：合格，满足采购人标准。</w:t>
      </w:r>
    </w:p>
    <w:p w14:paraId="346CF012">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4.付款方式：</w:t>
      </w:r>
      <w:r>
        <w:rPr>
          <w:rFonts w:hint="eastAsia" w:asciiTheme="minorEastAsia" w:hAnsiTheme="minorEastAsia" w:eastAsiaTheme="minorEastAsia" w:cstheme="minorEastAsia"/>
          <w:spacing w:val="-2"/>
          <w:sz w:val="24"/>
          <w:szCs w:val="24"/>
          <w:highlight w:val="none"/>
          <w:lang w:val="en-US" w:eastAsia="zh-CN"/>
        </w:rPr>
        <w:t>根据考评情况，经验收合格后一次性支付。</w:t>
      </w:r>
    </w:p>
    <w:p w14:paraId="26B3B91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0" w:firstLineChars="20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5.</w:t>
      </w:r>
      <w:r>
        <w:rPr>
          <w:rFonts w:hint="eastAsia" w:asciiTheme="minorEastAsia" w:hAnsiTheme="minorEastAsia" w:eastAsiaTheme="minorEastAsia" w:cstheme="minorEastAsia"/>
          <w:spacing w:val="-2"/>
          <w:sz w:val="24"/>
          <w:szCs w:val="24"/>
        </w:rPr>
        <w:t>保险</w:t>
      </w:r>
      <w:r>
        <w:rPr>
          <w:rFonts w:hint="eastAsia" w:asciiTheme="minorEastAsia" w:hAnsiTheme="minorEastAsia" w:eastAsiaTheme="minorEastAsia" w:cstheme="minorEastAsia"/>
          <w:spacing w:val="-2"/>
          <w:sz w:val="24"/>
          <w:szCs w:val="24"/>
          <w:lang w:eastAsia="zh-CN"/>
        </w:rPr>
        <w:t>：由成交供应商负责，供应商需为保安员办社保及意外险；其履职中因公负伤、身故等由供应商负责。</w:t>
      </w:r>
    </w:p>
    <w:p w14:paraId="4A61D49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供应商</w:t>
      </w:r>
      <w:r>
        <w:rPr>
          <w:rFonts w:hint="eastAsia" w:asciiTheme="minorEastAsia" w:hAnsiTheme="minorEastAsia" w:eastAsiaTheme="minorEastAsia" w:cstheme="minorEastAsia"/>
          <w:sz w:val="24"/>
          <w:szCs w:val="24"/>
        </w:rPr>
        <w:t>须明确本项目（指安保服务）的项目负责人、安保服务人员名单和人员基本情况</w:t>
      </w:r>
    </w:p>
    <w:p w14:paraId="5B371AB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7.供应商须提供本项目项目整体服务方案、安保服务固定岗服务方案、安保巡逻岗服务方案、大型赛事活动安保方案、应急预案、安保管理制度等。</w:t>
      </w:r>
    </w:p>
    <w:p w14:paraId="61C72F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pacing w:val="-1"/>
          <w:sz w:val="24"/>
          <w:szCs w:val="24"/>
        </w:rPr>
        <w:t>其他要求</w:t>
      </w:r>
      <w:r>
        <w:rPr>
          <w:rFonts w:hint="eastAsia" w:asciiTheme="minorEastAsia" w:hAnsiTheme="minorEastAsia" w:eastAsiaTheme="minorEastAsia" w:cstheme="minorEastAsia"/>
          <w:spacing w:val="-1"/>
          <w:sz w:val="24"/>
          <w:szCs w:val="24"/>
          <w:lang w:eastAsia="zh-CN"/>
        </w:rPr>
        <w:t>：供应商的报价应包含保安服务费，税费，人员工资，意外保险，社保费用，管理费等，釆购方不再支取其它费用。</w:t>
      </w:r>
    </w:p>
    <w:p w14:paraId="0A8278DA">
      <w:pPr>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outlineLvl w:val="9"/>
        <w:rPr>
          <w:rFonts w:hint="eastAsia"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val="en-US" w:eastAsia="zh-CN"/>
        </w:rPr>
        <w:t>9</w:t>
      </w:r>
      <w:r>
        <w:rPr>
          <w:rFonts w:hint="eastAsia" w:asciiTheme="minorEastAsia" w:hAnsiTheme="minorEastAsia" w:eastAsiaTheme="minorEastAsia" w:cstheme="minorEastAsia"/>
          <w:color w:val="auto"/>
          <w:spacing w:val="-1"/>
          <w:sz w:val="24"/>
          <w:szCs w:val="24"/>
          <w:lang w:eastAsia="zh-CN"/>
        </w:rPr>
        <w:t>.普通保安岗位全员须持有保安员证（若相关职业技能评价政策变动，以新规定为准）。</w:t>
      </w:r>
    </w:p>
    <w:p w14:paraId="3BBE301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0" w:firstLineChars="200"/>
        <w:jc w:val="both"/>
        <w:textAlignment w:val="baseline"/>
        <w:outlineLvl w:val="9"/>
        <w:rPr>
          <w:rFonts w:hint="eastAsia" w:asciiTheme="minorEastAsia" w:hAnsiTheme="minorEastAsia" w:eastAsiaTheme="minorEastAsia" w:cstheme="minorEastAsia"/>
          <w:spacing w:val="-5"/>
          <w:sz w:val="24"/>
          <w:szCs w:val="24"/>
          <w:lang w:val="en-US" w:eastAsia="zh-CN"/>
        </w:rPr>
        <w:sectPr>
          <w:pgSz w:w="11911" w:h="16840"/>
          <w:pgMar w:top="1431" w:right="1786" w:bottom="1304" w:left="1786" w:header="0" w:footer="1135" w:gutter="0"/>
          <w:pgNumType w:fmt="decimal"/>
          <w:cols w:space="720" w:num="1"/>
        </w:sectPr>
      </w:pPr>
    </w:p>
    <w:p w14:paraId="61BCE2A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p>
    <w:p w14:paraId="4DE6411C">
      <w:pPr>
        <w:pStyle w:val="4"/>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p>
    <w:p w14:paraId="15FEA1C6">
      <w:pPr>
        <w:pStyle w:val="4"/>
        <w:keepNext w:val="0"/>
        <w:keepLines w:val="0"/>
        <w:pageBreakBefore w:val="0"/>
        <w:kinsoku/>
        <w:wordWrap w:val="0"/>
        <w:overflowPunct/>
        <w:topLinePunct w:val="0"/>
        <w:bidi w:val="0"/>
        <w:spacing w:line="220" w:lineRule="auto"/>
        <w:jc w:val="center"/>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6B0447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623E94D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26AE218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365F07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006A6BC">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30A89FD">
            <w:pPr>
              <w:pStyle w:val="18"/>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64220AEC">
            <w:pPr>
              <w:pStyle w:val="18"/>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14:paraId="2CC4F1EB">
            <w:pPr>
              <w:pStyle w:val="18"/>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9"/>
                <w:sz w:val="24"/>
                <w:szCs w:val="24"/>
                <w:lang w:val="en-US" w:eastAsia="zh-CN"/>
              </w:rPr>
              <w:t>工程</w:t>
            </w:r>
          </w:p>
        </w:tc>
      </w:tr>
      <w:tr w14:paraId="6530B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A6FD37F">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0D548153">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1851D173">
            <w:pPr>
              <w:pStyle w:val="18"/>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54CA3E67">
            <w:pPr>
              <w:pStyle w:val="18"/>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007D9C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E051A1D">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7C58FDD">
            <w:pPr>
              <w:pStyle w:val="18"/>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tc>
      </w:tr>
      <w:tr w14:paraId="77A4B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472080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78D89C4">
            <w:pPr>
              <w:pStyle w:val="18"/>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tc>
      </w:tr>
      <w:tr w14:paraId="5B5120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C1B4B9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91A243C">
            <w:pPr>
              <w:pStyle w:val="18"/>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租赁和商务服务业 </w:t>
            </w:r>
          </w:p>
          <w:p w14:paraId="3B58EF0C">
            <w:pPr>
              <w:pStyle w:val="18"/>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14:paraId="20F6AC58">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w:t>
            </w:r>
          </w:p>
          <w:p w14:paraId="005923E8">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74006E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406E1CF0">
            <w:pPr>
              <w:pStyle w:val="18"/>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1983C7F8">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64F65940">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14:paraId="4EBA5CE7">
            <w:pPr>
              <w:pStyle w:val="18"/>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4D55C8CD">
            <w:pPr>
              <w:pStyle w:val="18"/>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AA9A159">
            <w:pPr>
              <w:pStyle w:val="18"/>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7D2E4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7682C3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2DE643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85 </w:t>
            </w:r>
            <w:r>
              <w:rPr>
                <w:rFonts w:hint="eastAsia" w:asciiTheme="minorEastAsia" w:hAnsiTheme="minorEastAsia" w:eastAsiaTheme="minorEastAsia" w:cstheme="minorEastAsia"/>
                <w:b w:val="0"/>
                <w:bCs/>
                <w:sz w:val="24"/>
                <w:szCs w:val="24"/>
                <w:lang w:val="en-US" w:eastAsia="zh-CN"/>
              </w:rPr>
              <w:t>万元</w:t>
            </w:r>
          </w:p>
        </w:tc>
      </w:tr>
      <w:tr w14:paraId="736E80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A1D77F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95EA05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1C6BE6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19F78A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F981D0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14:paraId="1DC2A1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EDCA52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080A3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2026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15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6E70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BD68A8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EF525A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2026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15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74884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7B91B3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B08F1A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14:paraId="1F149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178366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CE5301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14:paraId="1BD5C0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794BDBD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12" w:space="0"/>
              <w:right w:val="single" w:color="auto" w:sz="12" w:space="0"/>
            </w:tcBorders>
            <w:noWrap w:val="0"/>
            <w:vAlign w:val="center"/>
          </w:tcPr>
          <w:p w14:paraId="1CC40175">
            <w:pPr>
              <w:pStyle w:val="18"/>
              <w:keepNext w:val="0"/>
              <w:keepLines w:val="0"/>
              <w:pageBreakBefore w:val="0"/>
              <w:kinsoku/>
              <w:wordWrap w:val="0"/>
              <w:overflowPunct/>
              <w:topLinePunct w:val="0"/>
              <w:bidi w:val="0"/>
              <w:spacing w:before="1" w:line="220" w:lineRule="auto"/>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18BDD227">
      <w:pPr>
        <w:keepNext w:val="0"/>
        <w:keepLines w:val="0"/>
        <w:pageBreakBefore w:val="0"/>
        <w:kinsoku/>
        <w:wordWrap w:val="0"/>
        <w:overflowPunct/>
        <w:topLinePunct w:val="0"/>
        <w:bidi w:val="0"/>
        <w:spacing w:line="371" w:lineRule="auto"/>
        <w:jc w:val="both"/>
        <w:rPr>
          <w:rFonts w:ascii="Arial"/>
          <w:sz w:val="21"/>
        </w:rPr>
      </w:pPr>
    </w:p>
    <w:p w14:paraId="7F1B0E12">
      <w:pPr>
        <w:pStyle w:val="4"/>
        <w:keepNext w:val="0"/>
        <w:keepLines w:val="0"/>
        <w:pageBreakBefore w:val="0"/>
        <w:kinsoku/>
        <w:wordWrap w:val="0"/>
        <w:overflowPunct/>
        <w:topLinePunct w:val="0"/>
        <w:bidi w:val="0"/>
        <w:spacing w:before="91" w:line="360" w:lineRule="auto"/>
        <w:jc w:val="center"/>
        <w:rPr>
          <w:spacing w:val="-1"/>
          <w:sz w:val="28"/>
          <w:szCs w:val="28"/>
          <w14:textOutline w14:w="1800" w14:cap="flat" w14:cmpd="sng">
            <w14:solidFill>
              <w14:srgbClr w14:val="000000"/>
            </w14:solidFill>
            <w14:prstDash w14:val="solid"/>
            <w14:miter w14:val="0"/>
          </w14:textOutline>
        </w:rPr>
      </w:pPr>
    </w:p>
    <w:p w14:paraId="385409FE">
      <w:pPr>
        <w:pStyle w:val="4"/>
        <w:keepNext w:val="0"/>
        <w:keepLines w:val="0"/>
        <w:pageBreakBefore w:val="0"/>
        <w:kinsoku/>
        <w:wordWrap w:val="0"/>
        <w:overflowPunct/>
        <w:topLinePunct w:val="0"/>
        <w:bidi w:val="0"/>
        <w:spacing w:before="91" w:line="360" w:lineRule="auto"/>
        <w:jc w:val="center"/>
        <w:rPr>
          <w:spacing w:val="-1"/>
          <w:sz w:val="28"/>
          <w:szCs w:val="28"/>
          <w14:textOutline w14:w="1800" w14:cap="flat" w14:cmpd="sng">
            <w14:solidFill>
              <w14:srgbClr w14:val="000000"/>
            </w14:solidFill>
            <w14:prstDash w14:val="solid"/>
            <w14:miter w14:val="0"/>
          </w14:textOutline>
        </w:rPr>
      </w:pPr>
    </w:p>
    <w:p w14:paraId="69893EB0">
      <w:pPr>
        <w:pStyle w:val="4"/>
        <w:keepNext w:val="0"/>
        <w:keepLines w:val="0"/>
        <w:pageBreakBefore w:val="0"/>
        <w:kinsoku/>
        <w:wordWrap w:val="0"/>
        <w:overflowPunct/>
        <w:topLinePunct w:val="0"/>
        <w:bidi w:val="0"/>
        <w:spacing w:before="91" w:line="360" w:lineRule="auto"/>
        <w:jc w:val="center"/>
        <w:rPr>
          <w:sz w:val="28"/>
          <w:szCs w:val="28"/>
        </w:rPr>
      </w:pPr>
      <w:r>
        <w:rPr>
          <w:spacing w:val="-1"/>
          <w:sz w:val="28"/>
          <w:szCs w:val="28"/>
          <w14:textOutline w14:w="1800" w14:cap="flat" w14:cmpd="sng">
            <w14:solidFill>
              <w14:srgbClr w14:val="000000"/>
            </w14:solidFill>
            <w14:prstDash w14:val="solid"/>
            <w14:miter w14:val="0"/>
          </w14:textOutline>
        </w:rPr>
        <w:t>供应商须知</w:t>
      </w:r>
    </w:p>
    <w:p w14:paraId="4FB3EA13">
      <w:pPr>
        <w:pStyle w:val="4"/>
        <w:keepNext w:val="0"/>
        <w:keepLines w:val="0"/>
        <w:pageBreakBefore w:val="0"/>
        <w:kinsoku/>
        <w:wordWrap w:val="0"/>
        <w:overflowPunct/>
        <w:topLinePunct w:val="0"/>
        <w:bidi w:val="0"/>
        <w:spacing w:before="270" w:line="360" w:lineRule="auto"/>
        <w:jc w:val="both"/>
        <w:rPr>
          <w:rFonts w:hint="eastAsia" w:asciiTheme="minorEastAsia" w:hAnsiTheme="minorEastAsia" w:eastAsiaTheme="minorEastAsia" w:cstheme="minorEastAsia"/>
          <w:spacing w:val="-1"/>
          <w:sz w:val="24"/>
          <w:szCs w:val="24"/>
        </w:rPr>
      </w:pPr>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p>
    <w:p w14:paraId="330AD8A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14:paraId="07B6304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14:paraId="26051EB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0BA9B36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w:t>
      </w:r>
      <w:bookmarkStart w:id="1" w:name="_GoBack"/>
      <w:bookmarkEnd w:id="1"/>
      <w:r>
        <w:rPr>
          <w:rFonts w:hint="eastAsia" w:asciiTheme="minorEastAsia" w:hAnsiTheme="minorEastAsia" w:eastAsiaTheme="minorEastAsia" w:cstheme="minorEastAsia"/>
          <w:spacing w:val="2"/>
          <w:sz w:val="24"/>
          <w:szCs w:val="24"/>
        </w:rPr>
        <w:t>采购。</w:t>
      </w:r>
    </w:p>
    <w:p w14:paraId="5246237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14:paraId="629FED2F">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85 </w:t>
      </w:r>
      <w:r>
        <w:rPr>
          <w:rFonts w:hint="eastAsia" w:asciiTheme="minorEastAsia" w:hAnsiTheme="minorEastAsia" w:eastAsiaTheme="minorEastAsia" w:cstheme="minorEastAsia"/>
          <w:spacing w:val="7"/>
          <w:sz w:val="24"/>
          <w:szCs w:val="24"/>
          <w:u w:val="none"/>
          <w:lang w:val="en-US" w:eastAsia="zh-CN"/>
        </w:rPr>
        <w:t>万元。</w:t>
      </w:r>
    </w:p>
    <w:p w14:paraId="044841D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03EA03D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28F5141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3EADFB1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14:paraId="47E67B0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14:paraId="191A837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3951E3D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2C73498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73A28A01">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7194D8C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5ED0DBF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10CB7294">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2B36DC73">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4739E124">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5BE473E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7EC1F065">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49889CF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6E88E341">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5C350DFA">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3186089E">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50B9F9B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461D5BC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1EB120E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28CA0CC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61A3B80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466FBA1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3FADDD7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02C7884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14:paraId="7CA3E6D1">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14:paraId="20E0116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14:paraId="2DA7847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3 </w:t>
      </w:r>
      <w:r>
        <w:rPr>
          <w:rFonts w:hint="eastAsia" w:asciiTheme="minorEastAsia" w:hAnsiTheme="minorEastAsia" w:eastAsiaTheme="minorEastAsia" w:cstheme="minorEastAsia"/>
          <w:spacing w:val="2"/>
          <w:sz w:val="24"/>
          <w:szCs w:val="24"/>
        </w:rPr>
        <w:t>采购需求标准</w:t>
      </w:r>
    </w:p>
    <w:p w14:paraId="7347262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0BE9AFC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3</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34D3AA1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227AAD7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14:paraId="2A39A76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3ED8C925">
      <w:pPr>
        <w:keepNext w:val="0"/>
        <w:keepLines w:val="0"/>
        <w:pageBreakBefore w:val="0"/>
        <w:kinsoku/>
        <w:wordWrap w:val="0"/>
        <w:overflowPunct/>
        <w:topLinePunct w:val="0"/>
        <w:bidi w:val="0"/>
        <w:spacing w:line="360" w:lineRule="auto"/>
        <w:ind w:firstLine="432" w:firstLineChars="200"/>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6.采购范围及适用法律</w:t>
      </w:r>
    </w:p>
    <w:p w14:paraId="3C2F84B7">
      <w:pPr>
        <w:keepNext w:val="0"/>
        <w:keepLines w:val="0"/>
        <w:pageBreakBefore w:val="0"/>
        <w:kinsoku/>
        <w:wordWrap w:val="0"/>
        <w:overflowPunct/>
        <w:topLinePunct w:val="0"/>
        <w:bidi w:val="0"/>
        <w:spacing w:line="360" w:lineRule="auto"/>
        <w:ind w:firstLine="432" w:firstLineChars="200"/>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74CFB974">
      <w:pPr>
        <w:keepNext w:val="0"/>
        <w:keepLines w:val="0"/>
        <w:pageBreakBefore w:val="0"/>
        <w:kinsoku/>
        <w:wordWrap w:val="0"/>
        <w:overflowPunct/>
        <w:topLinePunct w:val="0"/>
        <w:bidi w:val="0"/>
        <w:spacing w:line="360" w:lineRule="auto"/>
        <w:ind w:firstLine="432" w:firstLineChars="200"/>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2F60E81E">
      <w:pPr>
        <w:keepNext w:val="0"/>
        <w:keepLines w:val="0"/>
        <w:pageBreakBefore w:val="0"/>
        <w:kinsoku/>
        <w:wordWrap w:val="0"/>
        <w:overflowPunct/>
        <w:topLinePunct w:val="0"/>
        <w:bidi w:val="0"/>
        <w:spacing w:line="360" w:lineRule="auto"/>
        <w:ind w:firstLine="432" w:firstLineChars="200"/>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6.3 “服务”指采购文件规定供应商应承担的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安保 </w:t>
      </w:r>
      <w:r>
        <w:rPr>
          <w:rFonts w:hint="eastAsia" w:asciiTheme="minorEastAsia" w:hAnsiTheme="minorEastAsia" w:eastAsiaTheme="minorEastAsia" w:cstheme="minorEastAsia"/>
          <w:snapToGrid w:val="0"/>
          <w:color w:val="000000"/>
          <w:spacing w:val="-12"/>
          <w:kern w:val="0"/>
          <w:sz w:val="24"/>
          <w:szCs w:val="24"/>
          <w:lang w:val="en-US" w:eastAsia="zh-CN" w:bidi="ar-SA"/>
        </w:rPr>
        <w:t>服务。</w:t>
      </w:r>
    </w:p>
    <w:p w14:paraId="222C53B4">
      <w:pPr>
        <w:keepNext w:val="0"/>
        <w:keepLines w:val="0"/>
        <w:pageBreakBefore w:val="0"/>
        <w:kinsoku/>
        <w:wordWrap w:val="0"/>
        <w:overflowPunct/>
        <w:topLinePunct w:val="0"/>
        <w:bidi w:val="0"/>
        <w:spacing w:line="292" w:lineRule="auto"/>
        <w:jc w:val="both"/>
        <w:rPr>
          <w:rFonts w:ascii="Arial"/>
          <w:sz w:val="21"/>
        </w:rPr>
      </w:pPr>
    </w:p>
    <w:p w14:paraId="19E92AA8">
      <w:pPr>
        <w:pStyle w:val="4"/>
        <w:keepNext w:val="0"/>
        <w:keepLines w:val="0"/>
        <w:pageBreakBefore w:val="0"/>
        <w:kinsoku/>
        <w:wordWrap w:val="0"/>
        <w:overflowPunct/>
        <w:topLinePunct w:val="0"/>
        <w:bidi w:val="0"/>
        <w:spacing w:before="91" w:line="360" w:lineRule="auto"/>
        <w:jc w:val="both"/>
        <w:rPr>
          <w:rFonts w:hint="eastAsia"/>
          <w:sz w:val="24"/>
          <w:szCs w:val="24"/>
          <w:lang w:val="en-US" w:eastAsia="zh-CN"/>
        </w:rPr>
      </w:pPr>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p>
    <w:p w14:paraId="1CA62664">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rPr>
      </w:pPr>
      <w:r>
        <w:rPr>
          <w:rFonts w:hint="eastAsia"/>
          <w:b/>
          <w:bCs/>
          <w:sz w:val="24"/>
          <w:szCs w:val="24"/>
          <w:lang w:val="en-US" w:eastAsia="zh-CN"/>
        </w:rPr>
        <w:t>7.</w:t>
      </w:r>
      <w:r>
        <w:rPr>
          <w:b/>
          <w:bCs/>
          <w:sz w:val="24"/>
          <w:szCs w:val="24"/>
        </w:rPr>
        <w:t>竞争性磋商文件构成</w:t>
      </w:r>
    </w:p>
    <w:p w14:paraId="78D3DA42">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14:paraId="7ACF1D2F">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竞争性磋商公告</w:t>
      </w:r>
      <w:r>
        <w:rPr>
          <w:spacing w:val="-1"/>
          <w:sz w:val="24"/>
          <w:szCs w:val="24"/>
        </w:rPr>
        <w:fldChar w:fldCharType="end"/>
      </w:r>
    </w:p>
    <w:p w14:paraId="291254C7">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14:paraId="28874EFF">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14:paraId="40031706">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p>
    <w:p w14:paraId="0F4781F1">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14:paraId="0746D1E3">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14:paraId="5743571A">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2A02B701">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14:paraId="1F74520B">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14:paraId="38E94198">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14:paraId="65B501AA">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14:paraId="744A1B6C">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全国公共资源交易平台（河南省·南阳市）”等媒体发布，请潜在供应商随时查询有关公告信息。若因潜在供应商没有及时查看到公告信息而造成的失误，责任自负。</w:t>
      </w:r>
    </w:p>
    <w:p w14:paraId="228D994D">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8.5 供应商应关注是否有发布最新的澄清更正公告和更正的最新磋商文件（电子答疑文件），如有则需下载最新的磋商文件，并在此基础上制作最新的响应文件并上传。</w:t>
      </w:r>
    </w:p>
    <w:p w14:paraId="0F5CB85F">
      <w:pPr>
        <w:pStyle w:val="4"/>
        <w:keepNext w:val="0"/>
        <w:keepLines w:val="0"/>
        <w:pageBreakBefore w:val="0"/>
        <w:kinsoku/>
        <w:wordWrap w:val="0"/>
        <w:overflowPunct/>
        <w:topLinePunct w:val="0"/>
        <w:bidi w:val="0"/>
        <w:spacing w:before="179" w:line="220" w:lineRule="auto"/>
        <w:jc w:val="both"/>
        <w:rPr>
          <w:sz w:val="24"/>
          <w:szCs w:val="24"/>
        </w:rPr>
      </w:pPr>
    </w:p>
    <w:p w14:paraId="261FE33C">
      <w:pPr>
        <w:pStyle w:val="4"/>
        <w:keepNext w:val="0"/>
        <w:keepLines w:val="0"/>
        <w:pageBreakBefore w:val="0"/>
        <w:kinsoku/>
        <w:wordWrap w:val="0"/>
        <w:overflowPunct/>
        <w:topLinePunct w:val="0"/>
        <w:bidi w:val="0"/>
        <w:spacing w:before="91" w:line="360" w:lineRule="auto"/>
        <w:jc w:val="both"/>
        <w:rPr>
          <w:rFonts w:hint="eastAsia" w:ascii="Arial" w:hAnsi="Arial" w:eastAsia="宋体" w:cs="Arial"/>
          <w:sz w:val="24"/>
          <w:szCs w:val="24"/>
          <w:lang w:val="en-US" w:eastAsia="zh-CN"/>
        </w:rPr>
      </w:pPr>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p>
    <w:p w14:paraId="65D4D3E7">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9.响应范围、竞争性磋商文件中计量单位的使用及磋商语言</w:t>
      </w:r>
    </w:p>
    <w:p w14:paraId="73BB65A8">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7D62EFE5">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除竞争性磋商文件有特殊要求外，本项目磋商所使用的计量单位，应采用中华人民共和国法定计量单位。</w:t>
      </w:r>
    </w:p>
    <w:p w14:paraId="0F65D139">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671A8B98">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14:paraId="382E39D1">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10.1 供应商应当按照竞争性磋商文件的要求编制响应文件，并对其提交的响应文件的真实性、合法性承担法律责任。响应文件的部分格式要求，见第六章《响应文件格式》。</w:t>
      </w:r>
    </w:p>
    <w:p w14:paraId="1B3FE0B0">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52942B5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14:paraId="4E91A66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14:paraId="3000A5B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03DB096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14:paraId="305D8D6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14:paraId="7CBE2C35">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14:paraId="270FD6B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14:paraId="20BB357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14:paraId="3EFF02D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1 </w:t>
      </w:r>
      <w:r>
        <w:rPr>
          <w:rFonts w:hint="eastAsia" w:asciiTheme="minorEastAsia" w:hAnsiTheme="minorEastAsia" w:eastAsiaTheme="minorEastAsia" w:cstheme="minorEastAsia"/>
          <w:sz w:val="24"/>
          <w:szCs w:val="24"/>
          <w:lang w:eastAsia="zh-CN"/>
        </w:rPr>
        <w:t>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75CBE5C7">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14:paraId="7AFAA4D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4991789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14:paraId="4502A54A">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 本项目将按供应商所提交的单价和总价来支付本项目所需的费用。对供应商没有填写单价和总价的内容,将被认为这些项目费用已包括在报价中。</w:t>
      </w:r>
    </w:p>
    <w:p w14:paraId="101EC134">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 磋商结束，供应商进行网上最终报价。</w:t>
      </w:r>
    </w:p>
    <w:p w14:paraId="26793D9E">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 本次采购设有预算，供应商最终报价超过预算的，磋商小组将不予评议。</w:t>
      </w:r>
    </w:p>
    <w:p w14:paraId="5825D775">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 供应商的所有报价不得低于成本恶意竞争。</w:t>
      </w:r>
    </w:p>
    <w:p w14:paraId="414C64A8">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14:paraId="2498C9FF">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14:paraId="25D706B5">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09764522">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14:paraId="42AF428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14:paraId="2DB29E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 竞争性磋商文件要求盖章的内容，一般通过CA加盖电子签章。</w:t>
      </w:r>
    </w:p>
    <w:p w14:paraId="0D554DF6">
      <w:pPr>
        <w:pStyle w:val="4"/>
        <w:keepNext w:val="0"/>
        <w:keepLines w:val="0"/>
        <w:pageBreakBefore w:val="0"/>
        <w:kinsoku/>
        <w:wordWrap w:val="0"/>
        <w:overflowPunct/>
        <w:topLinePunct w:val="0"/>
        <w:bidi w:val="0"/>
        <w:spacing w:before="122" w:line="190" w:lineRule="auto"/>
        <w:jc w:val="both"/>
        <w:rPr>
          <w:spacing w:val="-4"/>
          <w:sz w:val="28"/>
          <w:szCs w:val="28"/>
          <w14:textOutline w14:w="1800" w14:cap="flat" w14:cmpd="sng">
            <w14:solidFill>
              <w14:srgbClr w14:val="000000"/>
            </w14:solidFill>
            <w14:prstDash w14:val="solid"/>
            <w14:miter w14:val="0"/>
          </w14:textOutline>
        </w:rPr>
      </w:pPr>
    </w:p>
    <w:p w14:paraId="30E4A91B">
      <w:pPr>
        <w:pStyle w:val="4"/>
        <w:keepNext w:val="0"/>
        <w:keepLines w:val="0"/>
        <w:pageBreakBefore w:val="0"/>
        <w:kinsoku/>
        <w:wordWrap w:val="0"/>
        <w:overflowPunct/>
        <w:topLinePunct w:val="0"/>
        <w:bidi w:val="0"/>
        <w:spacing w:before="122" w:line="360" w:lineRule="auto"/>
        <w:jc w:val="both"/>
        <w:rPr>
          <w:rFonts w:hint="eastAsia" w:ascii="宋体" w:hAnsi="宋体" w:eastAsia="宋体" w:cs="宋体"/>
          <w:snapToGrid w:val="0"/>
          <w:color w:val="000000"/>
          <w:spacing w:val="-1"/>
          <w:kern w:val="0"/>
          <w:sz w:val="24"/>
          <w:szCs w:val="24"/>
          <w:lang w:val="en-US" w:eastAsia="zh-CN" w:bidi="ar-SA"/>
        </w:rPr>
      </w:pPr>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p>
    <w:p w14:paraId="76F6E66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14:paraId="215D86A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电子响应文件的提交是指使用南阳市公共资源交易中心交易系统在上传截止时间前完成制作软件生成的加密电子响应文件的上传。未在上传截止时间前完成上传的，视为逾期提交。逾期提交的响应文件不予受理。</w:t>
      </w:r>
    </w:p>
    <w:p w14:paraId="6DFB70A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采购人及采购代理机构拒绝接受通过电子交易平台以外任何形式提交的响应文件。</w:t>
      </w:r>
    </w:p>
    <w:p w14:paraId="1473D4B0">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14:paraId="42ABC4E6">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供应商应在竞争性磋商文件要求响应文件上传截止时间前，将电子响应文件提交至电子交易平台。</w:t>
      </w:r>
    </w:p>
    <w:p w14:paraId="10C7083C">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14:paraId="471F2F9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在采购文件规定的电子响应文件上传截止时间前，供应商可以修改或撤回已上传的电子响应文件，最终电子响应文件以上传截止时间前完成上传至南阳市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14:paraId="4CEC3E17">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17490F9B">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2EBBFE29">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589F4B2F">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0BE0FCA5">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31F70683">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1A5D4F15">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28DBDA08">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4C9C5013">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0C31DA79">
      <w:pPr>
        <w:pStyle w:val="4"/>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14:paraId="0F87EC33">
      <w:pPr>
        <w:pStyle w:val="4"/>
        <w:keepNext w:val="0"/>
        <w:keepLines w:val="0"/>
        <w:pageBreakBefore w:val="0"/>
        <w:kinsoku/>
        <w:wordWrap w:val="0"/>
        <w:overflowPunct/>
        <w:topLinePunct w:val="0"/>
        <w:bidi w:val="0"/>
        <w:spacing w:before="358" w:line="360" w:lineRule="auto"/>
        <w:jc w:val="center"/>
        <w:rPr>
          <w:spacing w:val="-2"/>
          <w:sz w:val="24"/>
          <w:szCs w:val="24"/>
          <w14:textOutline w14:w="1537" w14:cap="flat" w14:cmpd="sng">
            <w14:solidFill>
              <w14:srgbClr w14:val="000000"/>
            </w14:solidFill>
            <w14:prstDash w14:val="solid"/>
            <w14:miter w14:val="0"/>
          </w14:textOutline>
        </w:rPr>
      </w:pPr>
      <w:r>
        <w:rPr>
          <w:spacing w:val="-1"/>
          <w:sz w:val="36"/>
          <w:szCs w:val="36"/>
          <w14:textOutline w14:w="2306" w14:cap="flat" w14:cmpd="sng">
            <w14:solidFill>
              <w14:srgbClr w14:val="000000"/>
            </w14:solidFill>
            <w14:prstDash w14:val="solid"/>
            <w14:miter w14:val="0"/>
          </w14:textOutline>
        </w:rPr>
        <w:t>第</w:t>
      </w:r>
      <w:r>
        <w:rPr>
          <w:rFonts w:hint="eastAsia"/>
          <w:spacing w:val="-1"/>
          <w:sz w:val="36"/>
          <w:szCs w:val="36"/>
          <w:lang w:val="en-US" w:eastAsia="zh-CN"/>
          <w14:textOutline w14:w="2306" w14:cap="flat" w14:cmpd="sng">
            <w14:solidFill>
              <w14:srgbClr w14:val="000000"/>
            </w14:solidFill>
            <w14:prstDash w14:val="solid"/>
            <w14:miter w14:val="0"/>
          </w14:textOutline>
        </w:rPr>
        <w:t>四</w:t>
      </w:r>
      <w:r>
        <w:rPr>
          <w:spacing w:val="-1"/>
          <w:sz w:val="36"/>
          <w:szCs w:val="36"/>
          <w14:textOutline w14:w="2306" w14:cap="flat" w14:cmpd="sng">
            <w14:solidFill>
              <w14:srgbClr w14:val="000000"/>
            </w14:solidFill>
            <w14:prstDash w14:val="solid"/>
            <w14:miter w14:val="0"/>
          </w14:textOutline>
        </w:rPr>
        <w:t>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14:textOutline w14:w="2306" w14:cap="flat" w14:cmpd="sng">
            <w14:solidFill>
              <w14:srgbClr w14:val="000000"/>
            </w14:solidFill>
            <w14:prstDash w14:val="solid"/>
            <w14:miter w14:val="0"/>
          </w14:textOutline>
        </w:rPr>
        <w:t>评</w:t>
      </w:r>
      <w:r>
        <w:rPr>
          <w:rFonts w:hint="eastAsia"/>
          <w:spacing w:val="-1"/>
          <w:sz w:val="36"/>
          <w:szCs w:val="36"/>
          <w:lang w:val="en-US" w:eastAsia="zh-CN"/>
          <w14:textOutline w14:w="2306" w14:cap="flat" w14:cmpd="sng">
            <w14:solidFill>
              <w14:srgbClr w14:val="000000"/>
            </w14:solidFill>
            <w14:prstDash w14:val="solid"/>
            <w14:miter w14:val="0"/>
          </w14:textOutline>
        </w:rPr>
        <w:t>审</w:t>
      </w:r>
      <w:r>
        <w:rPr>
          <w:rFonts w:hint="eastAsia"/>
          <w:spacing w:val="-1"/>
          <w:sz w:val="36"/>
          <w:szCs w:val="36"/>
          <w14:textOutline w14:w="2306" w14:cap="flat" w14:cmpd="sng">
            <w14:solidFill>
              <w14:srgbClr w14:val="000000"/>
            </w14:solidFill>
            <w14:prstDash w14:val="solid"/>
            <w14:miter w14:val="0"/>
          </w14:textOutline>
        </w:rPr>
        <w:t>程序、</w:t>
      </w:r>
      <w:r>
        <w:rPr>
          <w:spacing w:val="-1"/>
          <w:sz w:val="36"/>
          <w:szCs w:val="36"/>
          <w14:textOutline w14:w="2306" w14:cap="flat" w14:cmpd="sng">
            <w14:solidFill>
              <w14:srgbClr w14:val="000000"/>
            </w14:solidFill>
            <w14:prstDash w14:val="solid"/>
            <w14:miter w14:val="0"/>
          </w14:textOutline>
        </w:rPr>
        <w:t>评审方法和评审标准</w:t>
      </w:r>
    </w:p>
    <w:p w14:paraId="6BE26114">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421FF40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p>
    <w:p w14:paraId="5598FA4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14:paraId="50595657">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3894F4F">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p>
    <w:p w14:paraId="65BFC28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竞争性磋商文件经采购人书面确认后，将在指定媒体和全国公共资源交易平台（河南省·南阳市）发布竞争性磋商公告。供应商按照公告和竞争性磋商文件要求制作并递交响应文件。</w:t>
      </w:r>
    </w:p>
    <w:p w14:paraId="63401CAE">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310D43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p>
    <w:p w14:paraId="7976F263">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567BF284">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14:paraId="135FC310">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14:paraId="26329F81">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26EA3620">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14:paraId="0F12D142">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5E14CE46">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779BD2E">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p>
    <w:p w14:paraId="7132C692">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进行加密，供应商在解密前须自行检查CA的有效性。解密时未在开启响应文件时间后30分钟内进行解密成功的视为撤销其响应文件（因电子开标系统原因除外）。</w:t>
      </w:r>
    </w:p>
    <w:p w14:paraId="6220E979">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488FB94">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p>
    <w:p w14:paraId="3966D6E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14:paraId="3703ACD4">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资格性审查</w:t>
      </w:r>
    </w:p>
    <w:tbl>
      <w:tblPr>
        <w:tblStyle w:val="17"/>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3851"/>
        <w:gridCol w:w="2662"/>
      </w:tblGrid>
      <w:tr w14:paraId="2A9F8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14:paraId="3BEDBD52">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8" w:type="dxa"/>
            <w:vAlign w:val="top"/>
          </w:tcPr>
          <w:p w14:paraId="2A57E001">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851" w:type="dxa"/>
            <w:vAlign w:val="top"/>
          </w:tcPr>
          <w:p w14:paraId="029C5DC4">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662" w:type="dxa"/>
            <w:vAlign w:val="top"/>
          </w:tcPr>
          <w:p w14:paraId="682F89F8">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0A1FF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1" w:type="dxa"/>
            <w:vAlign w:val="center"/>
          </w:tcPr>
          <w:p w14:paraId="09F787EF">
            <w:pPr>
              <w:pStyle w:val="18"/>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3074D9F5">
            <w:pPr>
              <w:pStyle w:val="18"/>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14:paraId="6C6F944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3851" w:type="dxa"/>
            <w:vAlign w:val="top"/>
          </w:tcPr>
          <w:p w14:paraId="08E5860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2F5560F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468591F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31B2920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4C046211">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3F86C84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5FC7EB81">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7BD2A4B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14"/>
                <w:kern w:val="0"/>
                <w:sz w:val="24"/>
                <w:szCs w:val="24"/>
                <w:lang w:val="en-US" w:eastAsia="zh-CN" w:bidi="ar-SA"/>
              </w:rPr>
              <w:t>8.投标公司应具有保安服务从业资格，持有省公安厅发放的有效期内《保安服务许可证》。</w:t>
            </w:r>
          </w:p>
        </w:tc>
        <w:tc>
          <w:tcPr>
            <w:tcW w:w="2662" w:type="dxa"/>
            <w:vAlign w:val="top"/>
          </w:tcPr>
          <w:p w14:paraId="2A33BFD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14:paraId="7F05349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14:paraId="71D8E01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14:paraId="0FE058B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14:paraId="6035E7C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1603C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vAlign w:val="top"/>
          </w:tcPr>
          <w:p w14:paraId="3BF6E20E">
            <w:pPr>
              <w:pStyle w:val="18"/>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58" w:type="dxa"/>
            <w:vAlign w:val="top"/>
          </w:tcPr>
          <w:p w14:paraId="7F2DDC56">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851" w:type="dxa"/>
            <w:vAlign w:val="top"/>
          </w:tcPr>
          <w:p w14:paraId="35D7530B">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662" w:type="dxa"/>
            <w:vAlign w:val="top"/>
          </w:tcPr>
          <w:p w14:paraId="0D917407">
            <w:pPr>
              <w:pStyle w:val="18"/>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3FE50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1" w:type="dxa"/>
            <w:vAlign w:val="top"/>
          </w:tcPr>
          <w:p w14:paraId="41598C8F">
            <w:pPr>
              <w:pStyle w:val="18"/>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610598FD">
            <w:pPr>
              <w:pStyle w:val="18"/>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BC1D36D">
            <w:pPr>
              <w:pStyle w:val="18"/>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195B03CD">
            <w:pPr>
              <w:pStyle w:val="18"/>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C6336D8">
            <w:pPr>
              <w:pStyle w:val="18"/>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3F23A948">
            <w:pPr>
              <w:pStyle w:val="18"/>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479AC4D9">
            <w:pPr>
              <w:pStyle w:val="18"/>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457C250">
            <w:pPr>
              <w:pStyle w:val="18"/>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5B9C35B5">
            <w:pPr>
              <w:pStyle w:val="18"/>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5A9E41A">
            <w:pPr>
              <w:pStyle w:val="18"/>
              <w:keepNext w:val="0"/>
              <w:keepLines w:val="0"/>
              <w:pageBreakBefore w:val="0"/>
              <w:kinsoku/>
              <w:wordWrap w:val="0"/>
              <w:overflowPunct/>
              <w:topLinePunct w:val="0"/>
              <w:bidi w:val="0"/>
              <w:spacing w:before="49" w:line="199" w:lineRule="auto"/>
              <w:ind w:firstLine="256"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vAlign w:val="top"/>
          </w:tcPr>
          <w:p w14:paraId="3D603ABD">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A1228F4">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5813FE2">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DCE6AED">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C58C75E">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68CD499">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EFFACEE">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70D30396">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406ED3DE">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6D293096">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851" w:type="dxa"/>
            <w:vAlign w:val="top"/>
          </w:tcPr>
          <w:p w14:paraId="74260378">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09FC4DD5">
            <w:pPr>
              <w:pStyle w:val="18"/>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val="en-US"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0FCF79EA">
            <w:pPr>
              <w:pStyle w:val="18"/>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662" w:type="dxa"/>
            <w:vAlign w:val="top"/>
          </w:tcPr>
          <w:p w14:paraId="2141F142">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F876E71">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14950B6">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34FAD62">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5EE21C3">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7F8D108">
            <w:pPr>
              <w:pStyle w:val="18"/>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718B32B">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73DCA9C5">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36063B7">
            <w:pPr>
              <w:pStyle w:val="18"/>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49A4031B">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r w14:paraId="4BBC9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vAlign w:val="top"/>
          </w:tcPr>
          <w:p w14:paraId="5B4CE7A1">
            <w:pPr>
              <w:pStyle w:val="18"/>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vAlign w:val="top"/>
          </w:tcPr>
          <w:p w14:paraId="0360A221">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851" w:type="dxa"/>
            <w:vAlign w:val="top"/>
          </w:tcPr>
          <w:p w14:paraId="30D28650">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tc>
        <w:tc>
          <w:tcPr>
            <w:tcW w:w="2662" w:type="dxa"/>
            <w:vAlign w:val="top"/>
          </w:tcPr>
          <w:p w14:paraId="56770F74">
            <w:pPr>
              <w:pStyle w:val="18"/>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6DB4FB60">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08CB738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p>
    <w:p w14:paraId="38CEDD8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p w14:paraId="274D3BA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p w14:paraId="50ECC42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14:paraId="5132F55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所响应的</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项目整体服务方案、安保服务固定岗服务方案、安保巡逻岗服务方案、大型赛事活动安保方案、应急预案、安保管理制度</w:t>
      </w:r>
      <w:r>
        <w:rPr>
          <w:rFonts w:hint="eastAsia" w:asciiTheme="minorEastAsia" w:hAnsiTheme="minorEastAsia" w:eastAsiaTheme="minorEastAsia" w:cstheme="minorEastAsia"/>
          <w:snapToGrid w:val="0"/>
          <w:color w:val="000000"/>
          <w:spacing w:val="3"/>
          <w:kern w:val="0"/>
          <w:sz w:val="24"/>
          <w:szCs w:val="24"/>
          <w:lang w:val="en-US" w:eastAsia="zh-CN" w:bidi="ar-SA"/>
        </w:rPr>
        <w:t>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14:paraId="225C260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14:paraId="352A81C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未实质性响应磋商文件的响应文件按无效响应处理，磋商小组应当告知提交响应文件的供应商。</w:t>
      </w:r>
    </w:p>
    <w:p w14:paraId="6A6A609B">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14:paraId="2A276917">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14:paraId="36B5F92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14:paraId="4997C85D">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14:paraId="0577CE4B">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14:paraId="2E481FA2">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认证并加密的；</w:t>
      </w:r>
    </w:p>
    <w:p w14:paraId="1A232BC9">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其他不符合磋商文件实质性要求的。</w:t>
      </w:r>
    </w:p>
    <w:p w14:paraId="6D35F4DC">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14:paraId="7304C4F9">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14:paraId="78947D7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14:paraId="78AF01E6">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14:paraId="3711EAB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14:paraId="53ABC4A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sz w:val="24"/>
          <w:szCs w:val="24"/>
        </w:rPr>
        <w:t>磋商小组所有成员将集中与单一供应商分别进行磋商，并给予所有参加磋商的供应商平等的磋商机会。</w:t>
      </w:r>
    </w:p>
    <w:p w14:paraId="353A836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14:paraId="269B68F1">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14:paraId="75EAF6D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14:paraId="6CE8032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14:paraId="55AE1E13">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14:paraId="37220384">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14:paraId="3D72AAAB">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磋商结束后，磋商小组通过电子评标系统向所有实质性响应的供应商发出最后报价要求，各供应商在会员系统中收到有关信息后，必须在规定时间内给出答复，并在签章后提交。提交最后报价的供应商不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14:paraId="01D3F0B2">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4C1F0C5F">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交最后报价之前，可以根据磋商情况退出磋商。</w:t>
      </w:r>
    </w:p>
    <w:p w14:paraId="56F9346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14:paraId="5586F5C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14:paraId="6E9B4A0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14:paraId="0AACB05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14:paraId="5B67B56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竞争性磋商文件中没有规定的评审标准不得作为评审依据。</w:t>
      </w:r>
    </w:p>
    <w:p w14:paraId="149B82D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.3</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w:t>
      </w:r>
    </w:p>
    <w:p w14:paraId="5A19AA4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.4</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关于无线局域网认证产品政府采购清单中的产品，优先采购的具体规定（如涉及）</w:t>
      </w:r>
      <w:r>
        <w:rPr>
          <w:spacing w:val="-25"/>
          <w:sz w:val="24"/>
          <w:szCs w:val="24"/>
        </w:rPr>
        <w:t>。</w:t>
      </w:r>
    </w:p>
    <w:p w14:paraId="4E2FDA5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14:paraId="5BF7D61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38F8C1F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 xml:space="preserve">2 </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14:paraId="524128D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14:paraId="7E1A31D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采购人书面授权磋商小组直接确定成交供应商。</w:t>
      </w:r>
    </w:p>
    <w:p w14:paraId="3F946C2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14:paraId="7073CDD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Arial"/>
          <w:sz w:val="21"/>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p>
    <w:p w14:paraId="7B285AA5">
      <w:pPr>
        <w:pStyle w:val="4"/>
        <w:keepNext w:val="0"/>
        <w:keepLines w:val="0"/>
        <w:pageBreakBefore w:val="0"/>
        <w:kinsoku/>
        <w:wordWrap w:val="0"/>
        <w:overflowPunct/>
        <w:topLinePunct w:val="0"/>
        <w:bidi w:val="0"/>
        <w:spacing w:before="78" w:line="221" w:lineRule="auto"/>
        <w:jc w:val="center"/>
        <w:outlineLvl w:val="1"/>
        <w:rPr>
          <w:spacing w:val="-2"/>
          <w:sz w:val="24"/>
          <w:szCs w:val="24"/>
          <w14:textOutline w14:w="1537" w14:cap="flat" w14:cmpd="sng">
            <w14:solidFill>
              <w14:srgbClr w14:val="000000"/>
            </w14:solidFill>
            <w14:prstDash w14:val="solid"/>
            <w14:miter w14:val="0"/>
          </w14:textOutline>
        </w:rPr>
      </w:pPr>
      <w:r>
        <w:rPr>
          <w:spacing w:val="-2"/>
          <w:sz w:val="24"/>
          <w:szCs w:val="24"/>
          <w14:textOutline w14:w="1537" w14:cap="flat" w14:cmpd="sng">
            <w14:solidFill>
              <w14:srgbClr w14:val="000000"/>
            </w14:solidFill>
            <w14:prstDash w14:val="solid"/>
            <w14:miter w14:val="0"/>
          </w14:textOutline>
        </w:rPr>
        <w:t>评审标准</w:t>
      </w:r>
    </w:p>
    <w:tbl>
      <w:tblPr>
        <w:tblStyle w:val="17"/>
        <w:tblW w:w="85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0"/>
        <w:gridCol w:w="1665"/>
        <w:gridCol w:w="1122"/>
        <w:gridCol w:w="5215"/>
      </w:tblGrid>
      <w:tr w14:paraId="3BC47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30" w:type="dxa"/>
            <w:vAlign w:val="top"/>
          </w:tcPr>
          <w:p w14:paraId="222DA5D4">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665" w:type="dxa"/>
            <w:vAlign w:val="top"/>
          </w:tcPr>
          <w:p w14:paraId="0C91E542">
            <w:pPr>
              <w:keepNext w:val="0"/>
              <w:keepLines w:val="0"/>
              <w:pageBreakBefore w:val="0"/>
              <w:kinsoku/>
              <w:wordWrap w:val="0"/>
              <w:overflowPunct/>
              <w:topLinePunct w:val="0"/>
              <w:bidi w:val="0"/>
              <w:spacing w:before="40" w:line="208" w:lineRule="auto"/>
              <w:ind w:left="26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评分因素</w:t>
            </w:r>
          </w:p>
        </w:tc>
        <w:tc>
          <w:tcPr>
            <w:tcW w:w="1122" w:type="dxa"/>
            <w:vAlign w:val="center"/>
          </w:tcPr>
          <w:p w14:paraId="4F9DE700">
            <w:pPr>
              <w:keepNext w:val="0"/>
              <w:keepLines w:val="0"/>
              <w:pageBreakBefore w:val="0"/>
              <w:kinsoku/>
              <w:wordWrap w:val="0"/>
              <w:overflowPunct/>
              <w:topLinePunct w:val="0"/>
              <w:bidi w:val="0"/>
              <w:spacing w:before="40" w:line="208" w:lineRule="auto"/>
              <w:ind w:firstLine="232" w:firstLineChars="1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分值</w:t>
            </w:r>
          </w:p>
        </w:tc>
        <w:tc>
          <w:tcPr>
            <w:tcW w:w="5215" w:type="dxa"/>
            <w:vAlign w:val="top"/>
          </w:tcPr>
          <w:p w14:paraId="0A8A7EE1">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w:t>
            </w: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细则</w:t>
            </w:r>
          </w:p>
        </w:tc>
      </w:tr>
      <w:tr w14:paraId="0CCCE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0" w:type="dxa"/>
            <w:vAlign w:val="center"/>
          </w:tcPr>
          <w:p w14:paraId="54BEA348">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14:paraId="2572D367">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4"/>
                <w:szCs w:val="24"/>
                <w:lang w:val="en-US" w:eastAsia="zh-CN"/>
              </w:rPr>
              <w:t>1</w:t>
            </w:r>
          </w:p>
        </w:tc>
        <w:tc>
          <w:tcPr>
            <w:tcW w:w="1665" w:type="dxa"/>
            <w:vAlign w:val="center"/>
          </w:tcPr>
          <w:p w14:paraId="3A476B60">
            <w:pPr>
              <w:pStyle w:val="18"/>
              <w:keepNext w:val="0"/>
              <w:keepLines w:val="0"/>
              <w:pageBreakBefore w:val="0"/>
              <w:kinsoku/>
              <w:wordWrap w:val="0"/>
              <w:overflowPunct/>
              <w:topLinePunct w:val="0"/>
              <w:bidi w:val="0"/>
              <w:spacing w:line="295" w:lineRule="auto"/>
              <w:jc w:val="both"/>
              <w:rPr>
                <w:rFonts w:hint="eastAsia" w:asciiTheme="minorEastAsia" w:hAnsiTheme="minorEastAsia" w:eastAsiaTheme="minorEastAsia" w:cstheme="minorEastAsia"/>
                <w:sz w:val="24"/>
                <w:szCs w:val="24"/>
              </w:rPr>
            </w:pPr>
          </w:p>
          <w:p w14:paraId="31D1FCE4">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报价</w:t>
            </w:r>
            <w:r>
              <w:rPr>
                <w:rFonts w:hint="eastAsia" w:asciiTheme="minorEastAsia" w:hAnsiTheme="minorEastAsia" w:eastAsiaTheme="minorEastAsia" w:cstheme="minorEastAsia"/>
                <w:spacing w:val="-3"/>
                <w:sz w:val="24"/>
                <w:szCs w:val="24"/>
                <w:lang w:val="en-US" w:eastAsia="zh-CN"/>
              </w:rPr>
              <w:t>部分</w:t>
            </w:r>
          </w:p>
          <w:p w14:paraId="767522FB">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lang w:val="en-US" w:eastAsia="zh-CN"/>
              </w:rPr>
              <w:t>（满分10分）</w:t>
            </w:r>
          </w:p>
        </w:tc>
        <w:tc>
          <w:tcPr>
            <w:tcW w:w="1122" w:type="dxa"/>
            <w:vAlign w:val="center"/>
          </w:tcPr>
          <w:p w14:paraId="07CB47E3">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磋商报价</w:t>
            </w:r>
          </w:p>
          <w:p w14:paraId="19596A63">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（10分）</w:t>
            </w:r>
          </w:p>
        </w:tc>
        <w:tc>
          <w:tcPr>
            <w:tcW w:w="5215" w:type="dxa"/>
            <w:vAlign w:val="top"/>
          </w:tcPr>
          <w:p w14:paraId="2EB22854">
            <w:pPr>
              <w:keepNext w:val="0"/>
              <w:keepLines w:val="0"/>
              <w:pageBreakBefore w:val="0"/>
              <w:kinsoku/>
              <w:wordWrap w:val="0"/>
              <w:overflowPunct/>
              <w:topLinePunct w:val="0"/>
              <w:bidi w:val="0"/>
              <w:spacing w:before="191" w:line="235" w:lineRule="auto"/>
              <w:ind w:left="113" w:right="103" w:firstLine="52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0"/>
                <w:sz w:val="24"/>
                <w:szCs w:val="24"/>
              </w:rPr>
              <w:t>文件要求且</w:t>
            </w:r>
            <w:r>
              <w:rPr>
                <w:rFonts w:hint="eastAsia" w:asciiTheme="minorEastAsia" w:hAnsiTheme="minorEastAsia" w:eastAsiaTheme="minorEastAsia" w:cstheme="minorEastAsia"/>
                <w:spacing w:val="10"/>
                <w:sz w:val="24"/>
                <w:szCs w:val="24"/>
                <w:lang w:val="en-US" w:eastAsia="zh-CN"/>
              </w:rPr>
              <w:t>磋商</w:t>
            </w:r>
            <w:r>
              <w:rPr>
                <w:rFonts w:hint="eastAsia" w:asciiTheme="minorEastAsia" w:hAnsiTheme="minorEastAsia" w:eastAsiaTheme="minorEastAsia" w:cstheme="minorEastAsia"/>
                <w:spacing w:val="10"/>
                <w:sz w:val="24"/>
                <w:szCs w:val="24"/>
              </w:rPr>
              <w:t>价格最低</w:t>
            </w:r>
            <w:r>
              <w:rPr>
                <w:rFonts w:hint="eastAsia" w:asciiTheme="minorEastAsia" w:hAnsiTheme="minorEastAsia" w:eastAsiaTheme="minorEastAsia" w:cstheme="minorEastAsia"/>
                <w:spacing w:val="-13"/>
                <w:sz w:val="24"/>
                <w:szCs w:val="24"/>
              </w:rPr>
              <w:t>的</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rPr>
              <w:t>报价为评标基准价，其价格分</w:t>
            </w:r>
            <w:r>
              <w:rPr>
                <w:rFonts w:hint="eastAsia" w:asciiTheme="minorEastAsia" w:hAnsiTheme="minorEastAsia" w:eastAsiaTheme="minorEastAsia" w:cstheme="minorEastAsia"/>
                <w:spacing w:val="-6"/>
                <w:sz w:val="24"/>
                <w:szCs w:val="24"/>
              </w:rPr>
              <w:t>为满分。其他</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6"/>
                <w:sz w:val="24"/>
                <w:szCs w:val="24"/>
              </w:rPr>
              <w:t>的价格分统一按</w:t>
            </w:r>
            <w:r>
              <w:rPr>
                <w:rFonts w:hint="eastAsia" w:asciiTheme="minorEastAsia" w:hAnsiTheme="minorEastAsia" w:eastAsiaTheme="minorEastAsia" w:cstheme="minorEastAsia"/>
                <w:spacing w:val="-8"/>
                <w:sz w:val="24"/>
                <w:szCs w:val="24"/>
              </w:rPr>
              <w:t>照下列公式计算：</w:t>
            </w:r>
          </w:p>
          <w:p w14:paraId="796F0995">
            <w:pPr>
              <w:pStyle w:val="18"/>
              <w:keepNext w:val="0"/>
              <w:keepLines w:val="0"/>
              <w:pageBreakBefore w:val="0"/>
              <w:kinsoku/>
              <w:wordWrap w:val="0"/>
              <w:overflowPunct/>
              <w:topLinePunct w:val="0"/>
              <w:bidi w:val="0"/>
              <w:spacing w:before="26" w:line="228" w:lineRule="auto"/>
              <w:ind w:left="111" w:right="103" w:firstLine="508" w:firstLineChars="200"/>
              <w:jc w:val="both"/>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报价得分</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7"/>
                <w:sz w:val="24"/>
                <w:szCs w:val="24"/>
              </w:rPr>
              <w:t>评标基准价/</w:t>
            </w: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12"/>
                <w:sz w:val="24"/>
                <w:szCs w:val="24"/>
              </w:rPr>
              <w:t>报价）×分值。</w:t>
            </w:r>
          </w:p>
          <w:p w14:paraId="6F633F54">
            <w:pPr>
              <w:pStyle w:val="18"/>
              <w:keepNext w:val="0"/>
              <w:keepLines w:val="0"/>
              <w:pageBreakBefore w:val="0"/>
              <w:kinsoku/>
              <w:wordWrap w:val="0"/>
              <w:overflowPunct/>
              <w:topLinePunct w:val="0"/>
              <w:bidi w:val="0"/>
              <w:spacing w:before="26" w:line="228" w:lineRule="auto"/>
              <w:ind w:left="111" w:right="103" w:firstLine="432"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2"/>
                <w:sz w:val="24"/>
                <w:szCs w:val="24"/>
                <w:lang w:val="en-US" w:eastAsia="zh-CN"/>
              </w:rPr>
              <w:t>注：价格分计算保留小数点后两位。</w:t>
            </w:r>
          </w:p>
        </w:tc>
      </w:tr>
      <w:tr w14:paraId="37AEA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restart"/>
            <w:vAlign w:val="center"/>
          </w:tcPr>
          <w:p w14:paraId="62421450">
            <w:pPr>
              <w:pStyle w:val="18"/>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p>
        </w:tc>
        <w:tc>
          <w:tcPr>
            <w:tcW w:w="1665" w:type="dxa"/>
            <w:vMerge w:val="restart"/>
            <w:vAlign w:val="center"/>
          </w:tcPr>
          <w:p w14:paraId="53C5031B">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技术部分</w:t>
            </w:r>
          </w:p>
          <w:p w14:paraId="04B5B2BD">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（满分60分）</w:t>
            </w:r>
          </w:p>
        </w:tc>
        <w:tc>
          <w:tcPr>
            <w:tcW w:w="1122" w:type="dxa"/>
            <w:vAlign w:val="center"/>
          </w:tcPr>
          <w:p w14:paraId="295FED4F">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项目整体服务方案</w:t>
            </w:r>
          </w:p>
          <w:p w14:paraId="1F9F0D46">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（10分）</w:t>
            </w:r>
          </w:p>
        </w:tc>
        <w:tc>
          <w:tcPr>
            <w:tcW w:w="5215" w:type="dxa"/>
            <w:vAlign w:val="top"/>
          </w:tcPr>
          <w:p w14:paraId="2EB5A92D">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针对本项目需求制定本项目整体服务方案，从工作思路、服务模式、服务机制等方面深入分析，能够体现本项目特点，明确服务重点和管理重点，提出明确可行的管理服务模式和机制，科学拟定组织机构和运作方案。方案须具有合理性、详细性、可操作性。</w:t>
            </w:r>
          </w:p>
          <w:p w14:paraId="62806DCC">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方案科学合理、针对性强，完全贴合本项目实际特点，全面覆盖各项核心模块，整体服务方案与项目需求高度匹配，可直接落地实施的得10分；</w:t>
            </w:r>
          </w:p>
          <w:p w14:paraId="03B84D1F">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方案基本完整、逻辑通顺，覆盖安保服务主要内容，基本满足本项目核心需求，但部分细节需进一步优化的得7分；</w:t>
            </w:r>
          </w:p>
          <w:p w14:paraId="64753AC7">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方案内容较为笼统，仅包含通用安保服务框架，未结合本项目特点制定针对性措施，且描述模糊，实用性不强，需要较大幅度改进的得4分；</w:t>
            </w:r>
          </w:p>
          <w:p w14:paraId="32AE9BFF">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有方案但存在明显逻辑漏洞，核心服务模块缺失，方案内容不符合本项目基本要求，可行性差的得1分；</w:t>
            </w:r>
          </w:p>
          <w:p w14:paraId="248E97B2">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0D230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continue"/>
            <w:vAlign w:val="center"/>
          </w:tcPr>
          <w:p w14:paraId="2A9CEC9E">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665" w:type="dxa"/>
            <w:vMerge w:val="continue"/>
            <w:vAlign w:val="center"/>
          </w:tcPr>
          <w:p w14:paraId="460E324D">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122" w:type="dxa"/>
            <w:vAlign w:val="center"/>
          </w:tcPr>
          <w:p w14:paraId="3BB44B84">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安保服务固定岗服务方案</w:t>
            </w:r>
          </w:p>
          <w:p w14:paraId="19BEC750">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（10分）</w:t>
            </w:r>
          </w:p>
        </w:tc>
        <w:tc>
          <w:tcPr>
            <w:tcW w:w="5215" w:type="dxa"/>
            <w:vAlign w:val="top"/>
          </w:tcPr>
          <w:p w14:paraId="36D370EE">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根据供应商制定的安保服务固定岗服务的方案</w:t>
            </w:r>
            <w:r>
              <w:rPr>
                <w:rFonts w:hint="eastAsia" w:asciiTheme="minorEastAsia" w:hAnsiTheme="minorEastAsia" w:eastAsiaTheme="minorEastAsia" w:cstheme="minorEastAsia"/>
                <w:snapToGrid w:val="0"/>
                <w:color w:val="000000"/>
                <w:spacing w:val="-13"/>
                <w:kern w:val="0"/>
                <w:sz w:val="24"/>
                <w:szCs w:val="24"/>
                <w:lang w:val="en-US" w:eastAsia="zh-CN" w:bidi="ar-SA"/>
              </w:rPr>
              <w:t>进行评分。</w:t>
            </w:r>
          </w:p>
          <w:p w14:paraId="21876DA0">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方案计划合理、详细科学，能够紧扣本项目特点，明确服务和管理重点，完全满足项目需求且具有较强针对性、有效性、实际可操作性的得</w:t>
            </w:r>
            <w:r>
              <w:rPr>
                <w:rFonts w:hint="eastAsia" w:asciiTheme="minorEastAsia" w:hAnsiTheme="minorEastAsia" w:eastAsiaTheme="minorEastAsia" w:cstheme="minorEastAsia"/>
                <w:snapToGrid w:val="0"/>
                <w:color w:val="000000"/>
                <w:spacing w:val="-13"/>
                <w:kern w:val="0"/>
                <w:sz w:val="24"/>
                <w:szCs w:val="24"/>
                <w:lang w:val="en-US" w:eastAsia="zh-CN" w:bidi="ar-SA"/>
              </w:rPr>
              <w:t xml:space="preserve"> </w:t>
            </w:r>
            <w:r>
              <w:rPr>
                <w:rFonts w:hint="eastAsia" w:asciiTheme="minorEastAsia" w:hAnsiTheme="minorEastAsia" w:eastAsiaTheme="minorEastAsia" w:cstheme="minorEastAsia"/>
                <w:snapToGrid w:val="0"/>
                <w:color w:val="000000"/>
                <w:spacing w:val="-13"/>
                <w:kern w:val="0"/>
                <w:sz w:val="24"/>
                <w:szCs w:val="24"/>
                <w:lang w:val="en-US" w:eastAsia="en-US" w:bidi="ar-SA"/>
              </w:rPr>
              <w:t>10</w:t>
            </w:r>
            <w:r>
              <w:rPr>
                <w:rFonts w:hint="eastAsia" w:asciiTheme="minorEastAsia" w:hAnsiTheme="minorEastAsia" w:eastAsiaTheme="minorEastAsia" w:cstheme="minorEastAsia"/>
                <w:snapToGrid w:val="0"/>
                <w:color w:val="000000"/>
                <w:spacing w:val="-13"/>
                <w:kern w:val="0"/>
                <w:sz w:val="24"/>
                <w:szCs w:val="24"/>
                <w:lang w:val="en-US" w:eastAsia="zh-CN" w:bidi="ar-SA"/>
              </w:rPr>
              <w:t xml:space="preserve"> </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1F07AE11">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方案基本合理完整，可执行性和针对性较强，基本满足服务需求的，得 7 分；</w:t>
            </w:r>
          </w:p>
          <w:p w14:paraId="2519775C">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方案内容简单，缺乏针对性、操作性明显需要改进的，得 4 分；</w:t>
            </w:r>
          </w:p>
          <w:p w14:paraId="52D06178">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方案残缺明显，脱离实际，基本无法满足服务需求的，得 1 分；</w:t>
            </w:r>
          </w:p>
          <w:p w14:paraId="039F725B">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69FC6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continue"/>
            <w:vAlign w:val="center"/>
          </w:tcPr>
          <w:p w14:paraId="2294E9A1">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665" w:type="dxa"/>
            <w:vMerge w:val="continue"/>
            <w:vAlign w:val="center"/>
          </w:tcPr>
          <w:p w14:paraId="250C682B">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122" w:type="dxa"/>
            <w:vAlign w:val="center"/>
          </w:tcPr>
          <w:p w14:paraId="447B4911">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安保巡逻岗服务方案</w:t>
            </w:r>
          </w:p>
          <w:p w14:paraId="08326691">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（10分）</w:t>
            </w:r>
          </w:p>
        </w:tc>
        <w:tc>
          <w:tcPr>
            <w:tcW w:w="5215" w:type="dxa"/>
            <w:vAlign w:val="top"/>
          </w:tcPr>
          <w:p w14:paraId="767DCD8D">
            <w:pPr>
              <w:pStyle w:val="18"/>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根据供应商制定的安保巡逻岗服务方案</w:t>
            </w:r>
            <w:r>
              <w:rPr>
                <w:rFonts w:hint="eastAsia" w:asciiTheme="minorEastAsia" w:hAnsiTheme="minorEastAsia" w:eastAsiaTheme="minorEastAsia" w:cstheme="minorEastAsia"/>
                <w:snapToGrid w:val="0"/>
                <w:color w:val="000000"/>
                <w:spacing w:val="-13"/>
                <w:kern w:val="0"/>
                <w:sz w:val="24"/>
                <w:szCs w:val="24"/>
                <w:lang w:val="en-US" w:eastAsia="zh-CN" w:bidi="ar-SA"/>
              </w:rPr>
              <w:t>进行评分。</w:t>
            </w:r>
          </w:p>
          <w:p w14:paraId="30C77036">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方案计划合理、详细科学，能够紧扣本项目特点，明确服务和管理重点，完全满足项目需求且具有较强针对性、有效性、实际可操作性的得10分；</w:t>
            </w:r>
          </w:p>
          <w:p w14:paraId="07054010">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方案基本合理完整，可执行性和针对性较强，基本满足服务需求的，得 7 分；</w:t>
            </w:r>
          </w:p>
          <w:p w14:paraId="61FA3C58">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方案内容简单，缺乏针对性、操作性明显需要改进的，得 4 分；</w:t>
            </w:r>
          </w:p>
          <w:p w14:paraId="07300C00">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方案残缺明显，脱离实际，基本无法满足服务需求的，得 1 分；</w:t>
            </w:r>
          </w:p>
          <w:p w14:paraId="540E41A3">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71E75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continue"/>
            <w:vAlign w:val="center"/>
          </w:tcPr>
          <w:p w14:paraId="0B56A8E9">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665" w:type="dxa"/>
            <w:vMerge w:val="continue"/>
            <w:vAlign w:val="center"/>
          </w:tcPr>
          <w:p w14:paraId="1598EC5B">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122" w:type="dxa"/>
            <w:vAlign w:val="center"/>
          </w:tcPr>
          <w:p w14:paraId="2A9F6065">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大型赛事、活动安保方案</w:t>
            </w:r>
          </w:p>
          <w:p w14:paraId="54F65BB5">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（10分）</w:t>
            </w:r>
          </w:p>
        </w:tc>
        <w:tc>
          <w:tcPr>
            <w:tcW w:w="5215" w:type="dxa"/>
            <w:vAlign w:val="top"/>
          </w:tcPr>
          <w:p w14:paraId="52E11487">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根据供应商制定的大型赛事活动、安保方案</w:t>
            </w:r>
            <w:r>
              <w:rPr>
                <w:rFonts w:hint="eastAsia" w:asciiTheme="minorEastAsia" w:hAnsiTheme="minorEastAsia" w:eastAsiaTheme="minorEastAsia" w:cstheme="minorEastAsia"/>
                <w:snapToGrid w:val="0"/>
                <w:color w:val="000000"/>
                <w:spacing w:val="-13"/>
                <w:kern w:val="0"/>
                <w:sz w:val="24"/>
                <w:szCs w:val="24"/>
                <w:lang w:val="en-US" w:eastAsia="zh-CN" w:bidi="ar-SA"/>
              </w:rPr>
              <w:t>进行评分。</w:t>
            </w:r>
          </w:p>
          <w:p w14:paraId="01B15892">
            <w:pPr>
              <w:pStyle w:val="18"/>
              <w:keepNext w:val="0"/>
              <w:keepLines w:val="0"/>
              <w:pageBreakBefore w:val="0"/>
              <w:widowControl/>
              <w:kinsoku/>
              <w:wordWrap w:val="0"/>
              <w:overflowPunct/>
              <w:topLinePunct w:val="0"/>
              <w:autoSpaceDE w:val="0"/>
              <w:autoSpaceDN w:val="0"/>
              <w:bidi w:val="0"/>
              <w:adjustRightInd w:val="0"/>
              <w:snapToGrid w:val="0"/>
              <w:spacing w:before="33" w:line="236" w:lineRule="auto"/>
              <w:ind w:left="74" w:right="23" w:firstLine="428" w:firstLineChars="200"/>
              <w:jc w:val="both"/>
              <w:textAlignment w:val="baseline"/>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方案分析深入，科学合理、完全满足项目需求且具有很强针对性、有效性、实际可操作性的得</w:t>
            </w:r>
            <w:r>
              <w:rPr>
                <w:rFonts w:hint="eastAsia" w:asciiTheme="minorEastAsia" w:hAnsiTheme="minorEastAsia" w:eastAsiaTheme="minorEastAsia" w:cstheme="minorEastAsia"/>
                <w:snapToGrid w:val="0"/>
                <w:color w:val="000000"/>
                <w:spacing w:val="-13"/>
                <w:kern w:val="0"/>
                <w:sz w:val="24"/>
                <w:szCs w:val="24"/>
                <w:lang w:val="en-US" w:eastAsia="zh-CN" w:bidi="ar-SA"/>
              </w:rPr>
              <w:t xml:space="preserve"> 10 </w:t>
            </w:r>
            <w:r>
              <w:rPr>
                <w:rFonts w:hint="eastAsia" w:asciiTheme="minorEastAsia" w:hAnsiTheme="minorEastAsia" w:eastAsiaTheme="minorEastAsia" w:cstheme="minorEastAsia"/>
                <w:snapToGrid w:val="0"/>
                <w:color w:val="000000"/>
                <w:spacing w:val="-13"/>
                <w:kern w:val="0"/>
                <w:sz w:val="24"/>
                <w:szCs w:val="24"/>
                <w:lang w:val="en-US" w:eastAsia="en-US" w:bidi="ar-SA"/>
              </w:rPr>
              <w:t>分；</w:t>
            </w:r>
          </w:p>
          <w:p w14:paraId="1DD05037">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方案合理，具备较强操作性、针对性，基本满足需求的得7分</w:t>
            </w:r>
            <w:r>
              <w:rPr>
                <w:rFonts w:hint="eastAsia" w:asciiTheme="minorEastAsia" w:hAnsiTheme="minorEastAsia" w:eastAsiaTheme="minorEastAsia" w:cstheme="minorEastAsia"/>
                <w:snapToGrid w:val="0"/>
                <w:color w:val="000000"/>
                <w:spacing w:val="-13"/>
                <w:kern w:val="0"/>
                <w:sz w:val="24"/>
                <w:szCs w:val="24"/>
                <w:lang w:val="en-US" w:eastAsia="zh-CN" w:bidi="ar-SA"/>
              </w:rPr>
              <w:t>；</w:t>
            </w:r>
          </w:p>
          <w:p w14:paraId="56408019">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计划一般，</w:t>
            </w:r>
            <w:r>
              <w:rPr>
                <w:rFonts w:hint="eastAsia" w:asciiTheme="minorEastAsia" w:hAnsiTheme="minorEastAsia" w:eastAsiaTheme="minorEastAsia" w:cstheme="minorEastAsia"/>
                <w:snapToGrid w:val="0"/>
                <w:color w:val="000000"/>
                <w:spacing w:val="-13"/>
                <w:kern w:val="0"/>
                <w:sz w:val="24"/>
                <w:szCs w:val="24"/>
                <w:lang w:val="en-US" w:eastAsia="zh-CN" w:bidi="ar-SA"/>
              </w:rPr>
              <w:t>内容简单，</w:t>
            </w:r>
            <w:r>
              <w:rPr>
                <w:rFonts w:hint="eastAsia" w:asciiTheme="minorEastAsia" w:hAnsiTheme="minorEastAsia" w:eastAsiaTheme="minorEastAsia" w:cstheme="minorEastAsia"/>
                <w:snapToGrid w:val="0"/>
                <w:color w:val="000000"/>
                <w:spacing w:val="-13"/>
                <w:kern w:val="0"/>
                <w:sz w:val="24"/>
                <w:szCs w:val="24"/>
                <w:lang w:val="en-US" w:eastAsia="en-US" w:bidi="ar-SA"/>
              </w:rPr>
              <w:t>实际可操作性</w:t>
            </w:r>
            <w:r>
              <w:rPr>
                <w:rFonts w:hint="eastAsia" w:asciiTheme="minorEastAsia" w:hAnsiTheme="minorEastAsia" w:eastAsiaTheme="minorEastAsia" w:cstheme="minorEastAsia"/>
                <w:snapToGrid w:val="0"/>
                <w:color w:val="000000"/>
                <w:spacing w:val="-13"/>
                <w:kern w:val="0"/>
                <w:sz w:val="24"/>
                <w:szCs w:val="24"/>
                <w:lang w:val="en-US" w:eastAsia="zh-CN" w:bidi="ar-SA"/>
              </w:rPr>
              <w:t>较</w:t>
            </w:r>
            <w:r>
              <w:rPr>
                <w:rFonts w:hint="eastAsia" w:asciiTheme="minorEastAsia" w:hAnsiTheme="minorEastAsia" w:eastAsiaTheme="minorEastAsia" w:cstheme="minorEastAsia"/>
                <w:snapToGrid w:val="0"/>
                <w:color w:val="000000"/>
                <w:spacing w:val="-13"/>
                <w:kern w:val="0"/>
                <w:sz w:val="24"/>
                <w:szCs w:val="24"/>
                <w:lang w:val="en-US" w:eastAsia="en-US" w:bidi="ar-SA"/>
              </w:rPr>
              <w:t>差的得4分</w:t>
            </w:r>
            <w:r>
              <w:rPr>
                <w:rFonts w:hint="eastAsia" w:asciiTheme="minorEastAsia" w:hAnsiTheme="minorEastAsia" w:eastAsiaTheme="minorEastAsia" w:cstheme="minorEastAsia"/>
                <w:snapToGrid w:val="0"/>
                <w:color w:val="000000"/>
                <w:spacing w:val="-13"/>
                <w:kern w:val="0"/>
                <w:sz w:val="24"/>
                <w:szCs w:val="24"/>
                <w:lang w:val="en-US" w:eastAsia="zh-CN" w:bidi="ar-SA"/>
              </w:rPr>
              <w:t>；</w:t>
            </w:r>
          </w:p>
          <w:p w14:paraId="29DF8988">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提供有方案，但没有可行性，不能满需项目需求的得1分</w:t>
            </w:r>
            <w:r>
              <w:rPr>
                <w:rFonts w:hint="eastAsia" w:asciiTheme="minorEastAsia" w:hAnsiTheme="minorEastAsia" w:eastAsiaTheme="minorEastAsia" w:cstheme="minorEastAsia"/>
                <w:snapToGrid w:val="0"/>
                <w:color w:val="000000"/>
                <w:spacing w:val="-13"/>
                <w:kern w:val="0"/>
                <w:sz w:val="24"/>
                <w:szCs w:val="24"/>
                <w:lang w:val="en-US" w:eastAsia="zh-CN" w:bidi="ar-SA"/>
              </w:rPr>
              <w:t>；</w:t>
            </w:r>
          </w:p>
          <w:p w14:paraId="39577170">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2C8FF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continue"/>
            <w:vAlign w:val="center"/>
          </w:tcPr>
          <w:p w14:paraId="2E533C13">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665" w:type="dxa"/>
            <w:vMerge w:val="continue"/>
            <w:vAlign w:val="center"/>
          </w:tcPr>
          <w:p w14:paraId="60662FD4">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122" w:type="dxa"/>
            <w:vAlign w:val="center"/>
          </w:tcPr>
          <w:p w14:paraId="61D1CC5C">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应急预案</w:t>
            </w:r>
          </w:p>
          <w:p w14:paraId="344A4DCC">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（10分）</w:t>
            </w:r>
          </w:p>
        </w:tc>
        <w:tc>
          <w:tcPr>
            <w:tcW w:w="5215" w:type="dxa"/>
            <w:vAlign w:val="top"/>
          </w:tcPr>
          <w:p w14:paraId="19745555">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供应商</w:t>
            </w:r>
            <w:r>
              <w:rPr>
                <w:rFonts w:hint="eastAsia" w:asciiTheme="minorEastAsia" w:hAnsiTheme="minorEastAsia" w:eastAsiaTheme="minorEastAsia" w:cstheme="minorEastAsia"/>
                <w:snapToGrid w:val="0"/>
                <w:color w:val="000000"/>
                <w:spacing w:val="-13"/>
                <w:kern w:val="0"/>
                <w:sz w:val="24"/>
                <w:szCs w:val="24"/>
                <w:lang w:val="en-US" w:eastAsia="en-US" w:bidi="ar-SA"/>
              </w:rPr>
              <w:t>根据本项目实际情况制定合理可行的应急预案，包括但不限以下内容：突发自然灾害应急预案、消防应急预案（包含消防报警信号处理、初期火警处理、火灾紧急处理、火灾事故应急等内容）、常见情况的应急处理（包含紧急事件处理、殴打暴力事件处理、盗窃等破坏事件处理、学校组织重大活动期间的应急、新生入学及学生毕业期间保安服务工作、非常时期安全保卫工作）等内容。</w:t>
            </w:r>
          </w:p>
          <w:p w14:paraId="6AE75195">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供应商提供的应急方案内容全面完整，方案合理、规范，可操作性强，完全满足采购文件的要求得10分；</w:t>
            </w:r>
          </w:p>
          <w:p w14:paraId="21C136E8">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供应商提供的应急方案内容较全面，方案较为合理，有可操作性，能满足采购文件的要求得7分；</w:t>
            </w:r>
          </w:p>
          <w:p w14:paraId="6F7666DF">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供应商提供的应急方案基本全面，内容基本完整，方案基本合理、规范，可操作性一般，基本满足采购文件的要求，得4分；</w:t>
            </w:r>
          </w:p>
          <w:p w14:paraId="3046CEFC">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供应商提供的应急方案不够全面，内容不够完整、合理，不够可行得1分；</w:t>
            </w:r>
          </w:p>
          <w:p w14:paraId="47843D7E">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49A5D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continue"/>
            <w:vAlign w:val="center"/>
          </w:tcPr>
          <w:p w14:paraId="7122EC00">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665" w:type="dxa"/>
            <w:vMerge w:val="continue"/>
            <w:vAlign w:val="center"/>
          </w:tcPr>
          <w:p w14:paraId="10539DF4">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122" w:type="dxa"/>
            <w:vAlign w:val="center"/>
          </w:tcPr>
          <w:p w14:paraId="43F6499B">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安保管理制度</w:t>
            </w:r>
          </w:p>
          <w:p w14:paraId="46BDEEB9">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（10分）</w:t>
            </w:r>
          </w:p>
        </w:tc>
        <w:tc>
          <w:tcPr>
            <w:tcW w:w="5215" w:type="dxa"/>
            <w:vAlign w:val="top"/>
          </w:tcPr>
          <w:p w14:paraId="7997FE12">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依据各供应商安保管理制度（各项工作制度、岗位责任制度、考核监督制度等）、档案管理制度及其他综合管理制度是否科学合理、健全完备，是否体现高标准、高质量要求等方面进行评审。</w:t>
            </w:r>
          </w:p>
          <w:p w14:paraId="5E2B2E15">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管理制度设置</w:t>
            </w:r>
            <w:r>
              <w:rPr>
                <w:rFonts w:hint="eastAsia" w:asciiTheme="minorEastAsia" w:hAnsiTheme="minorEastAsia" w:eastAsiaTheme="minorEastAsia" w:cstheme="minorEastAsia"/>
                <w:snapToGrid w:val="0"/>
                <w:color w:val="000000"/>
                <w:spacing w:val="-13"/>
                <w:kern w:val="0"/>
                <w:sz w:val="24"/>
                <w:szCs w:val="24"/>
                <w:lang w:val="en-US" w:eastAsia="en-US" w:bidi="ar-SA"/>
              </w:rPr>
              <w:t>合理科学，管理标准高，职责划分清晰，考核严密的得10分；</w:t>
            </w:r>
          </w:p>
          <w:p w14:paraId="5AF47F7A">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管理制度</w:t>
            </w:r>
            <w:r>
              <w:rPr>
                <w:rFonts w:hint="eastAsia" w:asciiTheme="minorEastAsia" w:hAnsiTheme="minorEastAsia" w:eastAsiaTheme="minorEastAsia" w:cstheme="minorEastAsia"/>
                <w:snapToGrid w:val="0"/>
                <w:color w:val="000000"/>
                <w:spacing w:val="-13"/>
                <w:kern w:val="0"/>
                <w:sz w:val="24"/>
                <w:szCs w:val="24"/>
                <w:lang w:val="en-US" w:eastAsia="zh-CN" w:bidi="ar-SA"/>
              </w:rPr>
              <w:t>设置</w:t>
            </w:r>
            <w:r>
              <w:rPr>
                <w:rFonts w:hint="eastAsia" w:asciiTheme="minorEastAsia" w:hAnsiTheme="minorEastAsia" w:eastAsiaTheme="minorEastAsia" w:cstheme="minorEastAsia"/>
                <w:snapToGrid w:val="0"/>
                <w:color w:val="000000"/>
                <w:spacing w:val="-13"/>
                <w:kern w:val="0"/>
                <w:sz w:val="24"/>
                <w:szCs w:val="24"/>
                <w:lang w:val="en-US" w:eastAsia="en-US" w:bidi="ar-SA"/>
              </w:rPr>
              <w:t>合理，有</w:t>
            </w:r>
            <w:r>
              <w:rPr>
                <w:rFonts w:hint="eastAsia" w:asciiTheme="minorEastAsia" w:hAnsiTheme="minorEastAsia" w:eastAsiaTheme="minorEastAsia" w:cstheme="minorEastAsia"/>
                <w:snapToGrid w:val="0"/>
                <w:color w:val="000000"/>
                <w:spacing w:val="-13"/>
                <w:kern w:val="0"/>
                <w:sz w:val="24"/>
                <w:szCs w:val="24"/>
                <w:lang w:val="en-US" w:eastAsia="zh-CN" w:bidi="ar-SA"/>
              </w:rPr>
              <w:t>较强</w:t>
            </w:r>
            <w:r>
              <w:rPr>
                <w:rFonts w:hint="eastAsia" w:asciiTheme="minorEastAsia" w:hAnsiTheme="minorEastAsia" w:eastAsiaTheme="minorEastAsia" w:cstheme="minorEastAsia"/>
                <w:snapToGrid w:val="0"/>
                <w:color w:val="000000"/>
                <w:spacing w:val="-13"/>
                <w:kern w:val="0"/>
                <w:sz w:val="24"/>
                <w:szCs w:val="24"/>
                <w:lang w:val="en-US" w:eastAsia="en-US" w:bidi="ar-SA"/>
              </w:rPr>
              <w:t>可操作性</w:t>
            </w:r>
            <w:r>
              <w:rPr>
                <w:rFonts w:hint="eastAsia" w:asciiTheme="minorEastAsia" w:hAnsiTheme="minorEastAsia" w:eastAsiaTheme="minorEastAsia" w:cstheme="minorEastAsia"/>
                <w:snapToGrid w:val="0"/>
                <w:color w:val="000000"/>
                <w:spacing w:val="-13"/>
                <w:kern w:val="0"/>
                <w:sz w:val="24"/>
                <w:szCs w:val="24"/>
                <w:lang w:val="en-US" w:eastAsia="zh-CN" w:bidi="ar-SA"/>
              </w:rPr>
              <w:t>和</w:t>
            </w:r>
            <w:r>
              <w:rPr>
                <w:rFonts w:hint="eastAsia" w:asciiTheme="minorEastAsia" w:hAnsiTheme="minorEastAsia" w:eastAsiaTheme="minorEastAsia" w:cstheme="minorEastAsia"/>
                <w:snapToGrid w:val="0"/>
                <w:color w:val="000000"/>
                <w:spacing w:val="-13"/>
                <w:kern w:val="0"/>
                <w:sz w:val="24"/>
                <w:szCs w:val="24"/>
                <w:lang w:val="en-US" w:eastAsia="en-US" w:bidi="ar-SA"/>
              </w:rPr>
              <w:t>完整的工作标准、岗位考核等，得7分；</w:t>
            </w:r>
          </w:p>
          <w:p w14:paraId="68476BFB">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管理制度</w:t>
            </w:r>
            <w:r>
              <w:rPr>
                <w:rFonts w:hint="eastAsia" w:asciiTheme="minorEastAsia" w:hAnsiTheme="minorEastAsia" w:eastAsiaTheme="minorEastAsia" w:cstheme="minorEastAsia"/>
                <w:snapToGrid w:val="0"/>
                <w:color w:val="000000"/>
                <w:spacing w:val="-13"/>
                <w:kern w:val="0"/>
                <w:sz w:val="24"/>
                <w:szCs w:val="24"/>
                <w:lang w:val="en-US" w:eastAsia="zh-CN" w:bidi="ar-SA"/>
              </w:rPr>
              <w:t>内容完整</w:t>
            </w:r>
            <w:r>
              <w:rPr>
                <w:rFonts w:hint="eastAsia" w:asciiTheme="minorEastAsia" w:hAnsiTheme="minorEastAsia" w:eastAsiaTheme="minorEastAsia" w:cstheme="minorEastAsia"/>
                <w:snapToGrid w:val="0"/>
                <w:color w:val="000000"/>
                <w:spacing w:val="-13"/>
                <w:kern w:val="0"/>
                <w:sz w:val="24"/>
                <w:szCs w:val="24"/>
                <w:lang w:val="en-US" w:eastAsia="en-US" w:bidi="ar-SA"/>
              </w:rPr>
              <w:t>，</w:t>
            </w:r>
            <w:r>
              <w:rPr>
                <w:rFonts w:hint="eastAsia" w:asciiTheme="minorEastAsia" w:hAnsiTheme="minorEastAsia" w:eastAsiaTheme="minorEastAsia" w:cstheme="minorEastAsia"/>
                <w:snapToGrid w:val="0"/>
                <w:color w:val="000000"/>
                <w:spacing w:val="-13"/>
                <w:kern w:val="0"/>
                <w:sz w:val="24"/>
                <w:szCs w:val="24"/>
                <w:lang w:val="en-US" w:eastAsia="zh-CN" w:bidi="ar-SA"/>
              </w:rPr>
              <w:t>但</w:t>
            </w:r>
            <w:r>
              <w:rPr>
                <w:rFonts w:hint="eastAsia" w:asciiTheme="minorEastAsia" w:hAnsiTheme="minorEastAsia" w:eastAsiaTheme="minorEastAsia" w:cstheme="minorEastAsia"/>
                <w:snapToGrid w:val="0"/>
                <w:color w:val="000000"/>
                <w:spacing w:val="-13"/>
                <w:kern w:val="0"/>
                <w:sz w:val="24"/>
                <w:szCs w:val="24"/>
                <w:lang w:val="en-US" w:eastAsia="en-US" w:bidi="ar-SA"/>
              </w:rPr>
              <w:t>工作标准、岗位考核等可操作性</w:t>
            </w:r>
            <w:r>
              <w:rPr>
                <w:rFonts w:hint="eastAsia" w:asciiTheme="minorEastAsia" w:hAnsiTheme="minorEastAsia" w:eastAsiaTheme="minorEastAsia" w:cstheme="minorEastAsia"/>
                <w:snapToGrid w:val="0"/>
                <w:color w:val="000000"/>
                <w:spacing w:val="-13"/>
                <w:kern w:val="0"/>
                <w:sz w:val="24"/>
                <w:szCs w:val="24"/>
                <w:lang w:val="en-US" w:eastAsia="zh-CN" w:bidi="ar-SA"/>
              </w:rPr>
              <w:t>一般</w:t>
            </w:r>
            <w:r>
              <w:rPr>
                <w:rFonts w:hint="eastAsia" w:asciiTheme="minorEastAsia" w:hAnsiTheme="minorEastAsia" w:eastAsiaTheme="minorEastAsia" w:cstheme="minorEastAsia"/>
                <w:snapToGrid w:val="0"/>
                <w:color w:val="000000"/>
                <w:spacing w:val="-13"/>
                <w:kern w:val="0"/>
                <w:sz w:val="24"/>
                <w:szCs w:val="24"/>
                <w:lang w:val="en-US" w:eastAsia="en-US" w:bidi="ar-SA"/>
              </w:rPr>
              <w:t>，得4分；</w:t>
            </w:r>
          </w:p>
          <w:p w14:paraId="4070F234">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方案和措施内容单一 ，岗位责任划分不清晰，考核简单，管理标准较低的得1分；</w:t>
            </w:r>
          </w:p>
          <w:p w14:paraId="2268F5B8">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1FB34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restart"/>
            <w:vAlign w:val="center"/>
          </w:tcPr>
          <w:p w14:paraId="453F614A">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kern w:val="0"/>
                <w:sz w:val="21"/>
                <w:szCs w:val="21"/>
                <w:lang w:val="en-US" w:eastAsia="zh-CN" w:bidi="ar-SA"/>
              </w:rPr>
            </w:pPr>
            <w:r>
              <w:rPr>
                <w:rFonts w:hint="eastAsia" w:asciiTheme="minorEastAsia" w:hAnsiTheme="minorEastAsia" w:eastAsiaTheme="minorEastAsia" w:cstheme="minorEastAsia"/>
                <w:sz w:val="24"/>
                <w:szCs w:val="24"/>
                <w:lang w:val="en-US" w:eastAsia="zh-CN"/>
              </w:rPr>
              <w:t>3</w:t>
            </w:r>
          </w:p>
        </w:tc>
        <w:tc>
          <w:tcPr>
            <w:tcW w:w="1665" w:type="dxa"/>
            <w:vMerge w:val="restart"/>
            <w:vAlign w:val="center"/>
          </w:tcPr>
          <w:p w14:paraId="1DD1C7FC">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综合部分</w:t>
            </w:r>
          </w:p>
          <w:p w14:paraId="1827FA35">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
                <w:sz w:val="24"/>
                <w:szCs w:val="24"/>
                <w:lang w:val="en-US" w:eastAsia="zh-CN"/>
              </w:rPr>
              <w:t>（满分30分）</w:t>
            </w:r>
          </w:p>
        </w:tc>
        <w:tc>
          <w:tcPr>
            <w:tcW w:w="1122" w:type="dxa"/>
            <w:vAlign w:val="center"/>
          </w:tcPr>
          <w:p w14:paraId="67A5ABBF">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业绩</w:t>
            </w:r>
          </w:p>
          <w:p w14:paraId="34682E75">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（4分）</w:t>
            </w:r>
          </w:p>
        </w:tc>
        <w:tc>
          <w:tcPr>
            <w:tcW w:w="5215" w:type="dxa"/>
            <w:vAlign w:val="top"/>
          </w:tcPr>
          <w:p w14:paraId="6A4A86BC">
            <w:pPr>
              <w:pStyle w:val="18"/>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供应商提供2023年1月1日以来类似（保安服务类）项目业绩的，每提供一份业绩合同得2分，本项最多得4分。（须提供业绩合同扫描件，时间以合同签订时间为准，未按要求提供或未提供不得分）</w:t>
            </w:r>
          </w:p>
        </w:tc>
      </w:tr>
      <w:tr w14:paraId="67F7C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continue"/>
            <w:vAlign w:val="center"/>
          </w:tcPr>
          <w:p w14:paraId="6B726F6A">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val="en-US" w:eastAsia="zh-CN"/>
              </w:rPr>
            </w:pPr>
          </w:p>
        </w:tc>
        <w:tc>
          <w:tcPr>
            <w:tcW w:w="1665" w:type="dxa"/>
            <w:vMerge w:val="continue"/>
            <w:vAlign w:val="center"/>
          </w:tcPr>
          <w:p w14:paraId="7DD76A5E">
            <w:pPr>
              <w:keepNext w:val="0"/>
              <w:keepLines w:val="0"/>
              <w:pageBreakBefore w:val="0"/>
              <w:kinsoku/>
              <w:wordWrap w:val="0"/>
              <w:overflowPunct/>
              <w:topLinePunct w:val="0"/>
              <w:bidi w:val="0"/>
              <w:spacing w:before="157" w:line="220" w:lineRule="auto"/>
              <w:jc w:val="center"/>
              <w:rPr>
                <w:rFonts w:hint="eastAsia" w:asciiTheme="minorEastAsia" w:hAnsiTheme="minorEastAsia" w:eastAsiaTheme="minorEastAsia" w:cstheme="minorEastAsia"/>
                <w:spacing w:val="-2"/>
                <w:sz w:val="24"/>
                <w:szCs w:val="24"/>
                <w:lang w:val="en-US" w:eastAsia="zh-CN"/>
              </w:rPr>
            </w:pPr>
          </w:p>
        </w:tc>
        <w:tc>
          <w:tcPr>
            <w:tcW w:w="1122" w:type="dxa"/>
            <w:shd w:val="clear" w:color="auto" w:fill="auto"/>
            <w:vAlign w:val="center"/>
          </w:tcPr>
          <w:p w14:paraId="01AE9C85">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服务质量保障措施</w:t>
            </w:r>
          </w:p>
          <w:p w14:paraId="2A03F433">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（10分）</w:t>
            </w:r>
          </w:p>
        </w:tc>
        <w:tc>
          <w:tcPr>
            <w:tcW w:w="5215" w:type="dxa"/>
            <w:shd w:val="clear" w:color="auto" w:fill="auto"/>
            <w:vAlign w:val="top"/>
          </w:tcPr>
          <w:p w14:paraId="6CB60855">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评委根据供应商针对项目的特点和要求，结合自身的条件，有利于保障和提高服务质量等方面的</w:t>
            </w:r>
            <w:r>
              <w:rPr>
                <w:rFonts w:hint="eastAsia" w:asciiTheme="minorEastAsia" w:hAnsiTheme="minorEastAsia" w:eastAsiaTheme="minorEastAsia" w:cstheme="minorEastAsia"/>
                <w:snapToGrid w:val="0"/>
                <w:color w:val="000000"/>
                <w:spacing w:val="-13"/>
                <w:kern w:val="0"/>
                <w:sz w:val="24"/>
                <w:szCs w:val="24"/>
                <w:lang w:val="en-US" w:eastAsia="zh-CN" w:bidi="ar-SA"/>
              </w:rPr>
              <w:t>措施</w:t>
            </w:r>
            <w:r>
              <w:rPr>
                <w:rFonts w:hint="eastAsia" w:asciiTheme="minorEastAsia" w:hAnsiTheme="minorEastAsia" w:eastAsiaTheme="minorEastAsia" w:cstheme="minorEastAsia"/>
                <w:snapToGrid w:val="0"/>
                <w:color w:val="000000"/>
                <w:spacing w:val="-13"/>
                <w:kern w:val="0"/>
                <w:sz w:val="24"/>
                <w:szCs w:val="24"/>
                <w:lang w:val="en-US" w:eastAsia="en-US" w:bidi="ar-SA"/>
              </w:rPr>
              <w:t>进行评分：</w:t>
            </w:r>
          </w:p>
          <w:p w14:paraId="03F74326">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方案详细，科学合理、可操作性强的得10分；</w:t>
            </w:r>
          </w:p>
          <w:p w14:paraId="2EE1F69A">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方案较详细，较科学合理、有可操作性的得7分；</w:t>
            </w:r>
          </w:p>
          <w:p w14:paraId="06EEB657">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方案较详细，科学性、合理性、可操作性一般的得4分；</w:t>
            </w:r>
          </w:p>
          <w:p w14:paraId="76E6C7AC">
            <w:pPr>
              <w:pStyle w:val="18"/>
              <w:keepNext w:val="0"/>
              <w:keepLines w:val="0"/>
              <w:pageBreakBefore w:val="0"/>
              <w:kinsoku/>
              <w:wordWrap w:val="0"/>
              <w:overflowPunct/>
              <w:topLinePunct w:val="0"/>
              <w:bidi w:val="0"/>
              <w:spacing w:before="33" w:line="235" w:lineRule="auto"/>
              <w:ind w:left="76" w:right="23" w:firstLine="428" w:firstLineChars="200"/>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方案不够详细，不够科学合理、操作性不强的得1分；</w:t>
            </w:r>
          </w:p>
          <w:p w14:paraId="1E19724A">
            <w:pPr>
              <w:pStyle w:val="18"/>
              <w:keepNext w:val="0"/>
              <w:keepLines w:val="0"/>
              <w:pageBreakBefore w:val="0"/>
              <w:kinsoku/>
              <w:wordWrap w:val="0"/>
              <w:overflowPunct/>
              <w:topLinePunct w:val="0"/>
              <w:bidi w:val="0"/>
              <w:spacing w:before="33" w:line="235" w:lineRule="auto"/>
              <w:ind w:left="76" w:leftChars="0" w:right="23" w:rightChars="0"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en-US" w:bidi="ar-SA"/>
              </w:rPr>
              <w:t>此项未提供不得分。</w:t>
            </w:r>
          </w:p>
        </w:tc>
      </w:tr>
      <w:tr w14:paraId="7C693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continue"/>
            <w:vAlign w:val="center"/>
          </w:tcPr>
          <w:p w14:paraId="43881F7E">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665" w:type="dxa"/>
            <w:vMerge w:val="continue"/>
            <w:vAlign w:val="center"/>
          </w:tcPr>
          <w:p w14:paraId="281D8C21">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1122" w:type="dxa"/>
            <w:vAlign w:val="center"/>
          </w:tcPr>
          <w:p w14:paraId="26326CDE">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项目负责人</w:t>
            </w:r>
          </w:p>
          <w:p w14:paraId="672A4F92">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（2分）</w:t>
            </w:r>
          </w:p>
        </w:tc>
        <w:tc>
          <w:tcPr>
            <w:tcW w:w="5215" w:type="dxa"/>
            <w:vAlign w:val="top"/>
          </w:tcPr>
          <w:p w14:paraId="163A6E76">
            <w:pPr>
              <w:pStyle w:val="18"/>
              <w:keepNext w:val="0"/>
              <w:keepLines w:val="0"/>
              <w:pageBreakBefore w:val="0"/>
              <w:kinsoku/>
              <w:wordWrap w:val="0"/>
              <w:overflowPunct/>
              <w:topLinePunct w:val="0"/>
              <w:bidi w:val="0"/>
              <w:spacing w:before="33" w:line="235" w:lineRule="auto"/>
              <w:ind w:right="23" w:firstLine="428" w:firstLineChars="200"/>
              <w:jc w:val="both"/>
              <w:rPr>
                <w:rFonts w:hint="default" w:asciiTheme="minorEastAsia" w:hAnsiTheme="minorEastAsia" w:eastAsiaTheme="minorEastAsia" w:cstheme="minorEastAsia"/>
                <w:snapToGrid w:val="0"/>
                <w:color w:val="auto"/>
                <w:spacing w:val="-13"/>
                <w:kern w:val="0"/>
                <w:sz w:val="24"/>
                <w:szCs w:val="24"/>
                <w:highlight w:val="none"/>
                <w:lang w:val="en-US" w:eastAsia="zh-CN" w:bidi="ar-SA"/>
              </w:rPr>
            </w:pP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供应商拟派本项目的主要负责人</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须满足以下条件：</w:t>
            </w:r>
          </w:p>
          <w:p w14:paraId="2D7E72F4">
            <w:pPr>
              <w:pStyle w:val="18"/>
              <w:keepNext w:val="0"/>
              <w:keepLines w:val="0"/>
              <w:pageBreakBefore w:val="0"/>
              <w:kinsoku/>
              <w:wordWrap w:val="0"/>
              <w:overflowPunct/>
              <w:topLinePunct w:val="0"/>
              <w:bidi w:val="0"/>
              <w:spacing w:before="33" w:line="235" w:lineRule="auto"/>
              <w:ind w:right="23" w:firstLine="428" w:firstLineChars="200"/>
              <w:jc w:val="both"/>
              <w:rPr>
                <w:rFonts w:hint="default" w:asciiTheme="minorEastAsia" w:hAnsiTheme="minorEastAsia" w:eastAsiaTheme="minorEastAsia" w:cstheme="minorEastAsia"/>
                <w:snapToGrid w:val="0"/>
                <w:color w:val="auto"/>
                <w:spacing w:val="-1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（1）</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有退役军人证、大专及以上学历</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的得1分。</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（须提供</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负责人</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相关</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证书、</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证件原件扫描件）</w:t>
            </w:r>
          </w:p>
          <w:p w14:paraId="53CDDDEE">
            <w:pPr>
              <w:pStyle w:val="18"/>
              <w:keepNext w:val="0"/>
              <w:keepLines w:val="0"/>
              <w:pageBreakBefore w:val="0"/>
              <w:kinsoku/>
              <w:wordWrap w:val="0"/>
              <w:overflowPunct/>
              <w:topLinePunct w:val="0"/>
              <w:bidi w:val="0"/>
              <w:spacing w:before="33" w:line="235" w:lineRule="auto"/>
              <w:ind w:right="23" w:firstLine="428" w:firstLineChars="200"/>
              <w:jc w:val="both"/>
              <w:rPr>
                <w:rFonts w:hint="default" w:asciiTheme="minorEastAsia" w:hAnsiTheme="minorEastAsia" w:eastAsiaTheme="minorEastAsia" w:cstheme="minorEastAsia"/>
                <w:snapToGrid w:val="0"/>
                <w:color w:val="auto"/>
                <w:spacing w:val="-1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（2）项目负责人有</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不少于3年的安保项目管理经验</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的得1分。</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（须提供可体现该人员担任安保项目管理岗位的证明材料，可提供安保服务项目合同关键页</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须体现服务起止时间、该人员管理岗位身份</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或业主出具任职证明、或劳动合同加履职证明，多个项目年限可累计）</w:t>
            </w:r>
          </w:p>
          <w:p w14:paraId="211290A6">
            <w:pPr>
              <w:pStyle w:val="18"/>
              <w:keepNext w:val="0"/>
              <w:keepLines w:val="0"/>
              <w:pageBreakBefore w:val="0"/>
              <w:kinsoku/>
              <w:wordWrap w:val="0"/>
              <w:overflowPunct/>
              <w:topLinePunct w:val="0"/>
              <w:bidi w:val="0"/>
              <w:spacing w:before="33" w:line="235" w:lineRule="auto"/>
              <w:ind w:right="23" w:firstLine="428" w:firstLineChars="200"/>
              <w:jc w:val="both"/>
              <w:rPr>
                <w:rFonts w:hint="default" w:asciiTheme="minorEastAsia" w:hAnsiTheme="minorEastAsia" w:eastAsiaTheme="minorEastAsia" w:cstheme="minorEastAsia"/>
                <w:snapToGrid w:val="0"/>
                <w:color w:val="auto"/>
                <w:spacing w:val="-1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注：证明材料提供不全的不得分。</w:t>
            </w:r>
          </w:p>
        </w:tc>
      </w:tr>
      <w:tr w14:paraId="62B59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530" w:type="dxa"/>
            <w:vMerge w:val="continue"/>
            <w:vAlign w:val="center"/>
          </w:tcPr>
          <w:p w14:paraId="038227B9">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665" w:type="dxa"/>
            <w:vMerge w:val="continue"/>
            <w:vAlign w:val="center"/>
          </w:tcPr>
          <w:p w14:paraId="60054FA3">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1122" w:type="dxa"/>
            <w:vAlign w:val="center"/>
          </w:tcPr>
          <w:p w14:paraId="27FFAAC3">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人员配备</w:t>
            </w:r>
          </w:p>
          <w:p w14:paraId="0ACBCD65">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（6分）</w:t>
            </w:r>
          </w:p>
        </w:tc>
        <w:tc>
          <w:tcPr>
            <w:tcW w:w="5215" w:type="dxa"/>
            <w:vAlign w:val="top"/>
          </w:tcPr>
          <w:p w14:paraId="6986D7CB">
            <w:pPr>
              <w:pStyle w:val="18"/>
              <w:keepNext w:val="0"/>
              <w:keepLines w:val="0"/>
              <w:pageBreakBefore w:val="0"/>
              <w:kinsoku/>
              <w:wordWrap w:val="0"/>
              <w:overflowPunct/>
              <w:topLinePunct w:val="0"/>
              <w:bidi w:val="0"/>
              <w:spacing w:before="33" w:line="235" w:lineRule="auto"/>
              <w:ind w:right="23" w:firstLine="428" w:firstLineChars="200"/>
              <w:jc w:val="both"/>
              <w:rPr>
                <w:rFonts w:hint="default" w:asciiTheme="minorEastAsia" w:hAnsiTheme="minorEastAsia" w:eastAsiaTheme="minorEastAsia" w:cstheme="minorEastAsia"/>
                <w:snapToGrid w:val="0"/>
                <w:color w:val="auto"/>
                <w:spacing w:val="-13"/>
                <w:kern w:val="0"/>
                <w:sz w:val="24"/>
                <w:szCs w:val="24"/>
                <w:highlight w:val="none"/>
                <w:lang w:val="en-US" w:eastAsia="zh-CN" w:bidi="ar-SA"/>
              </w:rPr>
            </w:pP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磋商小组</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依据</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供应商</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提供的服务团队人员配备、</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退伍兵比例、</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具体岗位设置、安防设备配备等指标进行评分。</w:t>
            </w:r>
          </w:p>
          <w:p w14:paraId="67055A89">
            <w:pPr>
              <w:pStyle w:val="18"/>
              <w:keepNext w:val="0"/>
              <w:keepLines w:val="0"/>
              <w:pageBreakBefore w:val="0"/>
              <w:kinsoku/>
              <w:wordWrap w:val="0"/>
              <w:overflowPunct/>
              <w:topLinePunct w:val="0"/>
              <w:bidi w:val="0"/>
              <w:spacing w:before="33" w:line="235" w:lineRule="auto"/>
              <w:ind w:right="23" w:firstLine="428" w:firstLineChars="200"/>
              <w:jc w:val="both"/>
              <w:rPr>
                <w:rFonts w:hint="default" w:asciiTheme="minorEastAsia" w:hAnsiTheme="minorEastAsia" w:eastAsiaTheme="minorEastAsia" w:cstheme="minorEastAsia"/>
                <w:snapToGrid w:val="0"/>
                <w:color w:val="auto"/>
                <w:spacing w:val="-13"/>
                <w:kern w:val="0"/>
                <w:sz w:val="24"/>
                <w:szCs w:val="24"/>
                <w:highlight w:val="none"/>
                <w:lang w:val="en-US" w:eastAsia="zh-CN" w:bidi="ar-SA"/>
              </w:rPr>
            </w:pP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人员配备充足，</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且退伍兵占比超40%，</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岗位设置完善</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岗位职责完整清晰</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且科学合理</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，安防设备</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齐全的</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得6分；</w:t>
            </w:r>
          </w:p>
          <w:p w14:paraId="0824CED4">
            <w:pPr>
              <w:pStyle w:val="18"/>
              <w:keepNext w:val="0"/>
              <w:keepLines w:val="0"/>
              <w:pageBreakBefore w:val="0"/>
              <w:kinsoku/>
              <w:wordWrap w:val="0"/>
              <w:overflowPunct/>
              <w:topLinePunct w:val="0"/>
              <w:bidi w:val="0"/>
              <w:spacing w:before="33" w:line="235" w:lineRule="auto"/>
              <w:ind w:right="23" w:firstLine="428" w:firstLineChars="200"/>
              <w:jc w:val="both"/>
              <w:rPr>
                <w:rFonts w:hint="default" w:asciiTheme="minorEastAsia" w:hAnsiTheme="minorEastAsia" w:eastAsiaTheme="minorEastAsia" w:cstheme="minorEastAsia"/>
                <w:snapToGrid w:val="0"/>
                <w:color w:val="auto"/>
                <w:spacing w:val="-13"/>
                <w:kern w:val="0"/>
                <w:sz w:val="24"/>
                <w:szCs w:val="24"/>
                <w:highlight w:val="none"/>
                <w:lang w:val="en-US" w:eastAsia="zh-CN" w:bidi="ar-SA"/>
              </w:rPr>
            </w:pP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人员配备</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基本</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满足招标文件要求，退伍兵占比超30%，岗位设置基本</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合理</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，安防设备</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基本</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齐全</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的</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得4分；</w:t>
            </w:r>
          </w:p>
          <w:p w14:paraId="3EA41D13">
            <w:pPr>
              <w:pStyle w:val="18"/>
              <w:keepNext w:val="0"/>
              <w:keepLines w:val="0"/>
              <w:pageBreakBefore w:val="0"/>
              <w:kinsoku/>
              <w:wordWrap w:val="0"/>
              <w:overflowPunct/>
              <w:topLinePunct w:val="0"/>
              <w:bidi w:val="0"/>
              <w:spacing w:before="33" w:line="235" w:lineRule="auto"/>
              <w:ind w:right="23" w:firstLine="428" w:firstLineChars="200"/>
              <w:jc w:val="both"/>
              <w:rPr>
                <w:rFonts w:hint="default" w:asciiTheme="minorEastAsia" w:hAnsiTheme="minorEastAsia" w:eastAsiaTheme="minorEastAsia" w:cstheme="minorEastAsia"/>
                <w:snapToGrid w:val="0"/>
                <w:color w:val="auto"/>
                <w:spacing w:val="-13"/>
                <w:kern w:val="0"/>
                <w:sz w:val="24"/>
                <w:szCs w:val="24"/>
                <w:highlight w:val="none"/>
                <w:lang w:val="en-US" w:eastAsia="zh-CN" w:bidi="ar-SA"/>
              </w:rPr>
            </w:pP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人员配备</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不够合理</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，退伍兵占比30%以下，岗位设置</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不够合理，</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安防设备</w:t>
            </w:r>
            <w:r>
              <w:rPr>
                <w:rFonts w:hint="eastAsia" w:asciiTheme="minorEastAsia" w:hAnsiTheme="minorEastAsia" w:eastAsiaTheme="minorEastAsia" w:cstheme="minorEastAsia"/>
                <w:snapToGrid w:val="0"/>
                <w:color w:val="auto"/>
                <w:spacing w:val="-13"/>
                <w:kern w:val="0"/>
                <w:sz w:val="24"/>
                <w:szCs w:val="24"/>
                <w:highlight w:val="none"/>
                <w:lang w:val="en-US" w:eastAsia="zh-CN" w:bidi="ar-SA"/>
              </w:rPr>
              <w:t>配置不足的</w:t>
            </w: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得2分；</w:t>
            </w:r>
          </w:p>
          <w:p w14:paraId="47BF9204">
            <w:pPr>
              <w:pStyle w:val="18"/>
              <w:keepNext w:val="0"/>
              <w:keepLines w:val="0"/>
              <w:pageBreakBefore w:val="0"/>
              <w:kinsoku/>
              <w:wordWrap w:val="0"/>
              <w:overflowPunct/>
              <w:topLinePunct w:val="0"/>
              <w:bidi w:val="0"/>
              <w:spacing w:before="33" w:line="235" w:lineRule="auto"/>
              <w:ind w:right="23" w:firstLine="428" w:firstLineChars="200"/>
              <w:jc w:val="both"/>
              <w:rPr>
                <w:rFonts w:hint="default" w:asciiTheme="minorEastAsia" w:hAnsiTheme="minorEastAsia" w:eastAsiaTheme="minorEastAsia" w:cstheme="minorEastAsia"/>
                <w:snapToGrid w:val="0"/>
                <w:color w:val="auto"/>
                <w:spacing w:val="-13"/>
                <w:kern w:val="0"/>
                <w:sz w:val="24"/>
                <w:szCs w:val="24"/>
                <w:highlight w:val="none"/>
                <w:lang w:val="en-US" w:eastAsia="zh-CN" w:bidi="ar-SA"/>
              </w:rPr>
            </w:pPr>
            <w:r>
              <w:rPr>
                <w:rFonts w:hint="default" w:asciiTheme="minorEastAsia" w:hAnsiTheme="minorEastAsia" w:eastAsiaTheme="minorEastAsia" w:cstheme="minorEastAsia"/>
                <w:snapToGrid w:val="0"/>
                <w:color w:val="auto"/>
                <w:spacing w:val="-13"/>
                <w:kern w:val="0"/>
                <w:sz w:val="24"/>
                <w:szCs w:val="24"/>
                <w:highlight w:val="none"/>
                <w:lang w:val="en-US" w:eastAsia="zh-CN" w:bidi="ar-SA"/>
              </w:rPr>
              <w:t>未提供的不得分。</w:t>
            </w:r>
          </w:p>
        </w:tc>
      </w:tr>
      <w:tr w14:paraId="07746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continue"/>
            <w:vAlign w:val="center"/>
          </w:tcPr>
          <w:p w14:paraId="57B129E7">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665" w:type="dxa"/>
            <w:vMerge w:val="continue"/>
            <w:vAlign w:val="center"/>
          </w:tcPr>
          <w:p w14:paraId="595F6175">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1122" w:type="dxa"/>
            <w:vAlign w:val="center"/>
          </w:tcPr>
          <w:p w14:paraId="07860CB8">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拟投入的设备设施</w:t>
            </w:r>
          </w:p>
          <w:p w14:paraId="12F0D49B">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（6分）</w:t>
            </w:r>
          </w:p>
        </w:tc>
        <w:tc>
          <w:tcPr>
            <w:tcW w:w="5215" w:type="dxa"/>
            <w:vAlign w:val="top"/>
          </w:tcPr>
          <w:p w14:paraId="19B90B81">
            <w:pPr>
              <w:pStyle w:val="18"/>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投标人应提供保障项目顺利实施所需的设备设施（包含但不限于器械、工具、通讯、安保及消防设备、防爆盾牌、橡胶棒等），根据提供的设备的数量、齐备性、先进性等打分。</w:t>
            </w:r>
          </w:p>
          <w:p w14:paraId="4967617B">
            <w:pPr>
              <w:pStyle w:val="18"/>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拟投入设备种类、数量齐全、配置合理，完全满足采购需求的得6分；</w:t>
            </w:r>
          </w:p>
          <w:p w14:paraId="044D34ED">
            <w:pPr>
              <w:pStyle w:val="18"/>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拟投入设备种类、数量较齐全、配置基本合理，能满足采购需求的得4分；</w:t>
            </w:r>
          </w:p>
          <w:p w14:paraId="52A74332">
            <w:pPr>
              <w:pStyle w:val="18"/>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拟投入设备不够齐全，分配不够合理的得2分；</w:t>
            </w:r>
          </w:p>
          <w:p w14:paraId="1182F116">
            <w:pPr>
              <w:pStyle w:val="18"/>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此项未提供不得分。</w:t>
            </w:r>
          </w:p>
        </w:tc>
      </w:tr>
      <w:tr w14:paraId="3C497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530" w:type="dxa"/>
            <w:vMerge w:val="continue"/>
            <w:vAlign w:val="center"/>
          </w:tcPr>
          <w:p w14:paraId="0E7142CF">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665" w:type="dxa"/>
            <w:vMerge w:val="continue"/>
            <w:vAlign w:val="center"/>
          </w:tcPr>
          <w:p w14:paraId="2215B121">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1122" w:type="dxa"/>
            <w:vAlign w:val="center"/>
          </w:tcPr>
          <w:p w14:paraId="52DB3165">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信用评价</w:t>
            </w:r>
          </w:p>
          <w:p w14:paraId="44068980">
            <w:pPr>
              <w:pStyle w:val="18"/>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（2分）</w:t>
            </w:r>
          </w:p>
        </w:tc>
        <w:tc>
          <w:tcPr>
            <w:tcW w:w="5215" w:type="dxa"/>
            <w:vAlign w:val="top"/>
          </w:tcPr>
          <w:p w14:paraId="69D7840C">
            <w:pPr>
              <w:pStyle w:val="18"/>
              <w:keepNext w:val="0"/>
              <w:keepLines w:val="0"/>
              <w:pageBreakBefore w:val="0"/>
              <w:kinsoku/>
              <w:wordWrap w:val="0"/>
              <w:overflowPunct/>
              <w:topLinePunct w:val="0"/>
              <w:bidi w:val="0"/>
              <w:spacing w:before="33" w:line="235" w:lineRule="auto"/>
              <w:ind w:left="76" w:right="23" w:firstLine="428" w:firstLineChars="20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default" w:asciiTheme="minorEastAsia" w:hAnsiTheme="minorEastAsia" w:eastAsiaTheme="minorEastAsia" w:cstheme="minorEastAsia"/>
                <w:snapToGrid w:val="0"/>
                <w:color w:val="000000"/>
                <w:spacing w:val="-13"/>
                <w:kern w:val="0"/>
                <w:sz w:val="24"/>
                <w:szCs w:val="24"/>
                <w:lang w:val="en-US" w:eastAsia="zh-CN" w:bidi="ar-SA"/>
              </w:rPr>
              <w:t>根据《南阳市政府采购信用评价实施办法》宛财购〔2025〕6号通知要求，诚信指数高的供应商，在参加南阳市本级的政府采购活动时，享受政策支持，在采用综合评分法的项目中，诚信评价为100分的得2分，90—99分（不含90分）之间得1分，90分以下的不得分；供应商可在投标（响应）文件递交截止前三个工作日，登录“南阳市政府采购信用管理系统”在线打印《南阳市政府采购供应商信用记录表》，作为投标（响应）文件的组成部分提交，评审时作为享受政策支持的依据。查询网站：http://web.zcxy.caizj.nanyang.gov.cn:8008/#/（供应商查询）</w:t>
            </w:r>
          </w:p>
        </w:tc>
      </w:tr>
      <w:tr w14:paraId="24E3A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195" w:type="dxa"/>
            <w:gridSpan w:val="2"/>
            <w:vAlign w:val="top"/>
          </w:tcPr>
          <w:p w14:paraId="27AC93C5">
            <w:pPr>
              <w:keepNext w:val="0"/>
              <w:keepLines w:val="0"/>
              <w:pageBreakBefore w:val="0"/>
              <w:kinsoku/>
              <w:wordWrap w:val="0"/>
              <w:overflowPunct/>
              <w:topLinePunct w:val="0"/>
              <w:bidi w:val="0"/>
              <w:spacing w:before="42" w:line="206" w:lineRule="auto"/>
              <w:ind w:left="93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合计</w:t>
            </w:r>
          </w:p>
        </w:tc>
        <w:tc>
          <w:tcPr>
            <w:tcW w:w="1122" w:type="dxa"/>
            <w:vAlign w:val="center"/>
          </w:tcPr>
          <w:p w14:paraId="24E062BD">
            <w:pPr>
              <w:pStyle w:val="18"/>
              <w:keepNext w:val="0"/>
              <w:keepLines w:val="0"/>
              <w:pageBreakBefore w:val="0"/>
              <w:kinsoku/>
              <w:wordWrap w:val="0"/>
              <w:overflowPunct/>
              <w:topLinePunct w:val="0"/>
              <w:bidi w:val="0"/>
              <w:spacing w:before="59" w:line="20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100</w:t>
            </w:r>
          </w:p>
        </w:tc>
        <w:tc>
          <w:tcPr>
            <w:tcW w:w="5215" w:type="dxa"/>
            <w:vAlign w:val="top"/>
          </w:tcPr>
          <w:p w14:paraId="085D491C">
            <w:pPr>
              <w:pStyle w:val="18"/>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046E0522">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616C23E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14:paraId="4D2EB5C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11.1 </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14:paraId="43DD4FB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11.2 </w:t>
      </w:r>
      <w:r>
        <w:rPr>
          <w:rFonts w:hint="eastAsia" w:ascii="宋体" w:hAnsi="宋体" w:eastAsia="宋体" w:cs="宋体"/>
          <w:snapToGrid w:val="0"/>
          <w:color w:val="000000"/>
          <w:kern w:val="0"/>
          <w:sz w:val="24"/>
          <w:szCs w:val="24"/>
          <w:lang w:val="en-US" w:eastAsia="en-US" w:bidi="ar-SA"/>
        </w:rPr>
        <w:t>出现影响采购公正的违法、违规行为的；</w:t>
      </w:r>
    </w:p>
    <w:p w14:paraId="77992702">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11.3 </w:t>
      </w:r>
      <w:r>
        <w:rPr>
          <w:rFonts w:hint="eastAsia" w:ascii="宋体" w:hAnsi="宋体" w:eastAsia="宋体" w:cs="宋体"/>
          <w:snapToGrid w:val="0"/>
          <w:color w:val="000000"/>
          <w:kern w:val="0"/>
          <w:sz w:val="24"/>
          <w:szCs w:val="24"/>
          <w:lang w:val="en-US" w:eastAsia="en-US" w:bidi="ar-SA"/>
        </w:rPr>
        <w:t>法律法规规定的其他情况。</w:t>
      </w:r>
    </w:p>
    <w:p w14:paraId="5ED1CCE9">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lang w:val="en-US" w:eastAsia="zh-CN"/>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14:paraId="351C2E2F">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zh-CN" w:bidi="ar-SA"/>
        </w:rPr>
      </w:pPr>
    </w:p>
    <w:p w14:paraId="04B3A83F">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p>
    <w:p w14:paraId="507D10C6">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14:paraId="6C81815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w:t>
      </w:r>
      <w:r>
        <w:rPr>
          <w:rFonts w:hint="eastAsia" w:ascii="宋体" w:hAnsi="宋体" w:eastAsia="宋体" w:cs="宋体"/>
          <w:snapToGrid w:val="0"/>
          <w:color w:val="000000"/>
          <w:kern w:val="0"/>
          <w:sz w:val="24"/>
          <w:szCs w:val="24"/>
          <w:lang w:val="en-US" w:eastAsia="zh-CN" w:bidi="ar-SA"/>
        </w:rPr>
        <w:t>全国公共资源交易平台（河南省·南阳市）</w:t>
      </w:r>
      <w:r>
        <w:rPr>
          <w:rFonts w:hint="eastAsia" w:ascii="宋体" w:hAnsi="宋体" w:eastAsia="宋体" w:cs="宋体"/>
          <w:snapToGrid w:val="0"/>
          <w:color w:val="000000"/>
          <w:kern w:val="0"/>
          <w:sz w:val="24"/>
          <w:szCs w:val="24"/>
          <w:lang w:val="en-US" w:eastAsia="en-US" w:bidi="ar-SA"/>
        </w:rPr>
        <w:t>”上发布成交公告。</w:t>
      </w:r>
    </w:p>
    <w:p w14:paraId="40050F3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14:paraId="5DDCED4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14:paraId="0134FB1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通过“南阳市公共资源交易中心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南阳市公共资源交易平台会员系统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14:paraId="3044D94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14:paraId="3087B31C">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14:paraId="04625BB0">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14:paraId="1CF229F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14:paraId="2094D90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14:paraId="387574E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p>
    <w:p w14:paraId="49D404FD">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p>
    <w:p w14:paraId="34422F66">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2A14589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1BAC642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39A0AD0A">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379E863C">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5041D599">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69B233C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7FD0E4EC">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zh-CN" w:bidi="ar-SA"/>
        </w:rPr>
      </w:pPr>
    </w:p>
    <w:p w14:paraId="42164761">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p>
    <w:p w14:paraId="02E952D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14:paraId="3B5E559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14:paraId="7640620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14:paraId="4E18E67F">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14:paraId="4B12D4A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309B322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42E40F8D">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E40585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19905E1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17FD4C1">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69C85AD">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4F9E4F0B">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1AA47F8">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5E6CDA8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81BCE9A">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449E4B36">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3B91658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79F0E83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6E2B5644">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0C67A56F">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167511C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1DCAE138">
      <w:pPr>
        <w:keepNext w:val="0"/>
        <w:keepLines w:val="0"/>
        <w:pageBreakBefore w:val="0"/>
        <w:kinsoku/>
        <w:wordWrap w:val="0"/>
        <w:overflowPunct/>
        <w:topLinePunct w:val="0"/>
        <w:bidi w:val="0"/>
        <w:spacing w:after="0" w:line="360" w:lineRule="auto"/>
        <w:jc w:val="cente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121AC10D">
      <w:pPr>
        <w:keepNext w:val="0"/>
        <w:keepLines w:val="0"/>
        <w:pageBreakBefore w:val="0"/>
        <w:kinsoku/>
        <w:wordWrap w:val="0"/>
        <w:overflowPunct/>
        <w:topLinePunct w:val="0"/>
        <w:bidi w:val="0"/>
        <w:spacing w:after="0" w:line="360" w:lineRule="auto"/>
        <w:jc w:val="cente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35049618">
      <w:pPr>
        <w:keepNext w:val="0"/>
        <w:keepLines w:val="0"/>
        <w:pageBreakBefore w:val="0"/>
        <w:kinsoku/>
        <w:wordWrap w:val="0"/>
        <w:overflowPunct/>
        <w:topLinePunct w:val="0"/>
        <w:bidi w:val="0"/>
        <w:spacing w:after="0" w:line="360" w:lineRule="auto"/>
        <w:jc w:val="cente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473770D4">
      <w:pPr>
        <w:keepNext w:val="0"/>
        <w:keepLines w:val="0"/>
        <w:pageBreakBefore w:val="0"/>
        <w:kinsoku/>
        <w:wordWrap w:val="0"/>
        <w:overflowPunct/>
        <w:topLinePunct w:val="0"/>
        <w:bidi w:val="0"/>
        <w:spacing w:after="0" w:line="360" w:lineRule="auto"/>
        <w:jc w:val="cente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1A0EBED0">
      <w:pPr>
        <w:keepNext w:val="0"/>
        <w:keepLines w:val="0"/>
        <w:pageBreakBefore w:val="0"/>
        <w:kinsoku/>
        <w:wordWrap w:val="0"/>
        <w:overflowPunct/>
        <w:topLinePunct w:val="0"/>
        <w:bidi w:val="0"/>
        <w:spacing w:after="0" w:line="360" w:lineRule="auto"/>
        <w:jc w:val="cente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0A041E3B">
      <w:pPr>
        <w:keepNext w:val="0"/>
        <w:keepLines w:val="0"/>
        <w:pageBreakBefore w:val="0"/>
        <w:kinsoku/>
        <w:wordWrap w:val="0"/>
        <w:overflowPunct/>
        <w:topLinePunct w:val="0"/>
        <w:bidi w:val="0"/>
        <w:spacing w:after="0" w:line="360" w:lineRule="auto"/>
        <w:jc w:val="center"/>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246B4900">
      <w:pPr>
        <w:keepNext w:val="0"/>
        <w:keepLines w:val="0"/>
        <w:pageBreakBefore w:val="0"/>
        <w:kinsoku/>
        <w:wordWrap w:val="0"/>
        <w:overflowPunct/>
        <w:topLinePunct w:val="0"/>
        <w:bidi w:val="0"/>
        <w:spacing w:after="0" w:line="360" w:lineRule="auto"/>
        <w:jc w:val="center"/>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p>
    <w:p w14:paraId="780FB485">
      <w:pPr>
        <w:spacing w:line="360" w:lineRule="auto"/>
        <w:jc w:val="center"/>
        <w:rPr>
          <w:rFonts w:hint="eastAsia" w:ascii="仿宋" w:hAnsi="仿宋" w:eastAsia="仿宋" w:cs="仿宋"/>
          <w:b/>
          <w:bCs/>
          <w:sz w:val="44"/>
          <w:szCs w:val="44"/>
          <w:lang w:eastAsia="zh-CN"/>
        </w:rPr>
      </w:pPr>
      <w:r>
        <w:rPr>
          <w:rFonts w:hint="eastAsia" w:ascii="仿宋" w:hAnsi="仿宋" w:eastAsia="仿宋" w:cs="仿宋"/>
          <w:b/>
          <w:bCs/>
          <w:sz w:val="44"/>
          <w:szCs w:val="44"/>
          <w:lang w:eastAsia="zh-CN"/>
        </w:rPr>
        <w:t>南阳市体育事业发展中心南阳市第一健身中心安保服务项目</w:t>
      </w:r>
    </w:p>
    <w:p w14:paraId="38378B97">
      <w:pPr>
        <w:pStyle w:val="4"/>
        <w:spacing w:line="360" w:lineRule="auto"/>
        <w:ind w:left="8" w:right="23" w:hanging="8"/>
        <w:jc w:val="center"/>
        <w:rPr>
          <w:sz w:val="28"/>
          <w:szCs w:val="28"/>
        </w:rPr>
      </w:pPr>
    </w:p>
    <w:p w14:paraId="1BB40C2A">
      <w:pPr>
        <w:pStyle w:val="5"/>
      </w:pPr>
    </w:p>
    <w:p w14:paraId="2AAAED39">
      <w:pPr>
        <w:shd w:val="clear" w:color="auto" w:fill="auto"/>
        <w:spacing w:before="309" w:line="360" w:lineRule="auto"/>
        <w:ind w:left="1957"/>
        <w:rPr>
          <w:rFonts w:hint="eastAsia" w:ascii="仿宋" w:hAnsi="仿宋" w:eastAsia="仿宋" w:cs="仿宋"/>
          <w:b/>
          <w:bCs/>
          <w:color w:val="auto"/>
          <w:sz w:val="36"/>
          <w:szCs w:val="36"/>
        </w:rPr>
      </w:pPr>
      <w:r>
        <w:rPr>
          <w:rFonts w:hint="eastAsia" w:ascii="仿宋" w:hAnsi="仿宋" w:eastAsia="仿宋" w:cs="仿宋"/>
          <w:b/>
          <w:bCs/>
          <w:color w:val="auto"/>
          <w:spacing w:val="-7"/>
          <w:position w:val="-4"/>
          <w:sz w:val="36"/>
          <w:szCs w:val="36"/>
        </w:rPr>
        <w:t>政</w:t>
      </w:r>
      <w:r>
        <w:rPr>
          <w:rFonts w:hint="eastAsia" w:ascii="仿宋" w:hAnsi="仿宋" w:eastAsia="仿宋" w:cs="仿宋"/>
          <w:b/>
          <w:bCs/>
          <w:color w:val="auto"/>
          <w:spacing w:val="-7"/>
          <w:position w:val="-4"/>
          <w:sz w:val="36"/>
          <w:szCs w:val="36"/>
          <w:lang w:val="en-US" w:eastAsia="zh-CN"/>
        </w:rPr>
        <w:t xml:space="preserve">   </w:t>
      </w:r>
      <w:r>
        <w:rPr>
          <w:rFonts w:hint="eastAsia" w:ascii="仿宋" w:hAnsi="仿宋" w:eastAsia="仿宋" w:cs="仿宋"/>
          <w:b/>
          <w:bCs/>
          <w:color w:val="auto"/>
          <w:spacing w:val="-7"/>
          <w:position w:val="-4"/>
          <w:sz w:val="36"/>
          <w:szCs w:val="36"/>
        </w:rPr>
        <w:t>府</w:t>
      </w:r>
      <w:r>
        <w:rPr>
          <w:rFonts w:hint="eastAsia" w:ascii="仿宋" w:hAnsi="仿宋" w:eastAsia="仿宋" w:cs="仿宋"/>
          <w:b/>
          <w:bCs/>
          <w:color w:val="auto"/>
          <w:spacing w:val="-7"/>
          <w:position w:val="-4"/>
          <w:sz w:val="36"/>
          <w:szCs w:val="36"/>
          <w:lang w:val="en-US" w:eastAsia="zh-CN"/>
        </w:rPr>
        <w:t xml:space="preserve">   </w:t>
      </w:r>
      <w:r>
        <w:rPr>
          <w:rFonts w:hint="eastAsia" w:ascii="仿宋" w:hAnsi="仿宋" w:eastAsia="仿宋" w:cs="仿宋"/>
          <w:b/>
          <w:bCs/>
          <w:color w:val="auto"/>
          <w:spacing w:val="-7"/>
          <w:position w:val="-4"/>
          <w:sz w:val="36"/>
          <w:szCs w:val="36"/>
        </w:rPr>
        <w:t>采</w:t>
      </w:r>
      <w:r>
        <w:rPr>
          <w:rFonts w:hint="eastAsia" w:ascii="仿宋" w:hAnsi="仿宋" w:eastAsia="仿宋" w:cs="仿宋"/>
          <w:b/>
          <w:bCs/>
          <w:color w:val="auto"/>
          <w:spacing w:val="-7"/>
          <w:position w:val="-4"/>
          <w:sz w:val="36"/>
          <w:szCs w:val="36"/>
          <w:lang w:val="en-US" w:eastAsia="zh-CN"/>
        </w:rPr>
        <w:t xml:space="preserve">   </w:t>
      </w:r>
      <w:r>
        <w:rPr>
          <w:rFonts w:hint="eastAsia" w:ascii="仿宋" w:hAnsi="仿宋" w:eastAsia="仿宋" w:cs="仿宋"/>
          <w:b/>
          <w:bCs/>
          <w:color w:val="auto"/>
          <w:spacing w:val="-7"/>
          <w:position w:val="-4"/>
          <w:sz w:val="36"/>
          <w:szCs w:val="36"/>
        </w:rPr>
        <w:t>购</w:t>
      </w:r>
      <w:r>
        <w:rPr>
          <w:rFonts w:hint="eastAsia" w:ascii="仿宋" w:hAnsi="仿宋" w:eastAsia="仿宋" w:cs="仿宋"/>
          <w:b/>
          <w:bCs/>
          <w:color w:val="auto"/>
          <w:spacing w:val="-7"/>
          <w:position w:val="-4"/>
          <w:sz w:val="36"/>
          <w:szCs w:val="36"/>
          <w:lang w:val="en-US" w:eastAsia="zh-CN"/>
        </w:rPr>
        <w:t xml:space="preserve">   </w:t>
      </w:r>
      <w:r>
        <w:rPr>
          <w:rFonts w:hint="eastAsia" w:ascii="仿宋" w:hAnsi="仿宋" w:eastAsia="仿宋" w:cs="仿宋"/>
          <w:b/>
          <w:bCs/>
          <w:color w:val="auto"/>
          <w:spacing w:val="-7"/>
          <w:position w:val="-4"/>
          <w:sz w:val="36"/>
          <w:szCs w:val="36"/>
        </w:rPr>
        <w:t>合</w:t>
      </w:r>
      <w:r>
        <w:rPr>
          <w:rFonts w:hint="eastAsia" w:ascii="仿宋" w:hAnsi="仿宋" w:eastAsia="仿宋" w:cs="仿宋"/>
          <w:b/>
          <w:bCs/>
          <w:color w:val="auto"/>
          <w:spacing w:val="-7"/>
          <w:position w:val="-4"/>
          <w:sz w:val="36"/>
          <w:szCs w:val="36"/>
          <w:lang w:val="en-US" w:eastAsia="zh-CN"/>
        </w:rPr>
        <w:t xml:space="preserve">   </w:t>
      </w:r>
      <w:r>
        <w:rPr>
          <w:rFonts w:hint="eastAsia" w:ascii="仿宋" w:hAnsi="仿宋" w:eastAsia="仿宋" w:cs="仿宋"/>
          <w:b/>
          <w:bCs/>
          <w:color w:val="auto"/>
          <w:spacing w:val="-7"/>
          <w:position w:val="-4"/>
          <w:sz w:val="36"/>
          <w:szCs w:val="36"/>
        </w:rPr>
        <w:t>同</w:t>
      </w:r>
    </w:p>
    <w:p w14:paraId="55838415">
      <w:pPr>
        <w:pStyle w:val="4"/>
        <w:spacing w:line="276" w:lineRule="auto"/>
      </w:pPr>
    </w:p>
    <w:p w14:paraId="0DD0B378">
      <w:pPr>
        <w:pStyle w:val="4"/>
        <w:spacing w:line="276" w:lineRule="auto"/>
      </w:pPr>
    </w:p>
    <w:p w14:paraId="5D1AE2D7">
      <w:pPr>
        <w:pStyle w:val="4"/>
        <w:spacing w:line="277" w:lineRule="auto"/>
      </w:pPr>
    </w:p>
    <w:p w14:paraId="3D779B49">
      <w:pPr>
        <w:spacing w:before="101" w:line="225" w:lineRule="auto"/>
        <w:ind w:left="1434"/>
        <w:rPr>
          <w:rFonts w:hint="eastAsia" w:ascii="仿宋" w:hAnsi="仿宋" w:eastAsia="仿宋" w:cs="仿宋"/>
          <w:b/>
          <w:bCs/>
          <w:spacing w:val="0"/>
          <w:sz w:val="28"/>
          <w:szCs w:val="28"/>
        </w:rPr>
      </w:pPr>
      <w:r>
        <w:rPr>
          <w:rFonts w:hint="eastAsia" w:ascii="仿宋" w:hAnsi="仿宋" w:eastAsia="仿宋" w:cs="仿宋"/>
          <w:b/>
          <w:bCs/>
          <w:spacing w:val="0"/>
          <w:sz w:val="28"/>
          <w:szCs w:val="28"/>
        </w:rPr>
        <w:t>项目名称：</w:t>
      </w:r>
    </w:p>
    <w:p w14:paraId="3FAD84C5">
      <w:pPr>
        <w:spacing w:before="101" w:line="225" w:lineRule="auto"/>
        <w:ind w:left="1434"/>
        <w:rPr>
          <w:rFonts w:hint="eastAsia" w:ascii="仿宋" w:hAnsi="仿宋" w:eastAsia="仿宋" w:cs="仿宋"/>
          <w:b/>
          <w:bCs/>
          <w:spacing w:val="0"/>
          <w:sz w:val="28"/>
          <w:szCs w:val="28"/>
        </w:rPr>
      </w:pPr>
      <w:r>
        <w:rPr>
          <w:rFonts w:hint="eastAsia" w:ascii="仿宋" w:hAnsi="仿宋" w:eastAsia="仿宋" w:cs="仿宋"/>
          <w:b/>
          <w:bCs/>
          <w:spacing w:val="0"/>
          <w:sz w:val="28"/>
          <w:szCs w:val="28"/>
        </w:rPr>
        <w:t xml:space="preserve">采购文件编号： </w:t>
      </w:r>
    </w:p>
    <w:p w14:paraId="6DA70C47">
      <w:pPr>
        <w:spacing w:before="101" w:line="225" w:lineRule="auto"/>
        <w:ind w:left="1434"/>
        <w:rPr>
          <w:rFonts w:hint="eastAsia" w:ascii="仿宋" w:hAnsi="仿宋" w:eastAsia="仿宋" w:cs="仿宋"/>
          <w:b/>
          <w:bCs/>
          <w:spacing w:val="0"/>
          <w:sz w:val="28"/>
          <w:szCs w:val="28"/>
        </w:rPr>
      </w:pPr>
      <w:r>
        <w:rPr>
          <w:rFonts w:hint="eastAsia" w:ascii="仿宋" w:hAnsi="仿宋" w:eastAsia="仿宋" w:cs="仿宋"/>
          <w:b/>
          <w:bCs/>
          <w:spacing w:val="0"/>
          <w:sz w:val="28"/>
          <w:szCs w:val="28"/>
        </w:rPr>
        <w:t>甲方合同编号：</w:t>
      </w:r>
    </w:p>
    <w:p w14:paraId="02E771F1">
      <w:pPr>
        <w:spacing w:before="101" w:line="225" w:lineRule="auto"/>
        <w:ind w:left="1434"/>
        <w:rPr>
          <w:rFonts w:hint="eastAsia" w:ascii="仿宋" w:hAnsi="仿宋" w:eastAsia="仿宋" w:cs="仿宋"/>
          <w:b/>
          <w:bCs/>
          <w:spacing w:val="0"/>
          <w:sz w:val="28"/>
          <w:szCs w:val="28"/>
          <w:lang w:eastAsia="zh-CN"/>
        </w:rPr>
      </w:pPr>
      <w:r>
        <w:rPr>
          <w:rFonts w:hint="eastAsia" w:ascii="仿宋" w:hAnsi="仿宋" w:eastAsia="仿宋" w:cs="仿宋"/>
          <w:b/>
          <w:bCs/>
          <w:spacing w:val="0"/>
          <w:sz w:val="28"/>
          <w:szCs w:val="28"/>
          <w:lang w:eastAsia="zh-CN"/>
        </w:rPr>
        <w:t>甲方：</w:t>
      </w:r>
    </w:p>
    <w:p w14:paraId="6AE24823">
      <w:pPr>
        <w:spacing w:before="101" w:line="225" w:lineRule="auto"/>
        <w:ind w:left="1434"/>
        <w:rPr>
          <w:rFonts w:hint="eastAsia" w:ascii="仿宋" w:hAnsi="仿宋" w:eastAsia="仿宋" w:cs="仿宋"/>
          <w:b/>
          <w:bCs/>
          <w:spacing w:val="0"/>
          <w:sz w:val="28"/>
          <w:szCs w:val="28"/>
        </w:rPr>
      </w:pPr>
      <w:r>
        <w:rPr>
          <w:rFonts w:hint="eastAsia" w:ascii="仿宋" w:hAnsi="仿宋" w:eastAsia="仿宋" w:cs="仿宋"/>
          <w:b/>
          <w:bCs/>
          <w:spacing w:val="0"/>
          <w:sz w:val="28"/>
          <w:szCs w:val="28"/>
        </w:rPr>
        <w:t>乙方：</w:t>
      </w:r>
    </w:p>
    <w:p w14:paraId="212B137B">
      <w:pPr>
        <w:spacing w:before="101" w:line="225" w:lineRule="auto"/>
        <w:ind w:left="1434"/>
        <w:rPr>
          <w:rFonts w:hint="eastAsia" w:ascii="仿宋" w:hAnsi="仿宋" w:eastAsia="仿宋" w:cs="仿宋"/>
          <w:b/>
          <w:bCs/>
          <w:spacing w:val="0"/>
          <w:sz w:val="28"/>
          <w:szCs w:val="28"/>
        </w:rPr>
      </w:pPr>
    </w:p>
    <w:p w14:paraId="524BFB98">
      <w:pPr>
        <w:pStyle w:val="4"/>
        <w:spacing w:line="254" w:lineRule="auto"/>
        <w:rPr>
          <w:b/>
          <w:bCs/>
        </w:rPr>
      </w:pPr>
    </w:p>
    <w:p w14:paraId="6D053BF0">
      <w:pPr>
        <w:pStyle w:val="4"/>
        <w:spacing w:line="254" w:lineRule="auto"/>
        <w:rPr>
          <w:b/>
          <w:bCs/>
        </w:rPr>
      </w:pPr>
    </w:p>
    <w:p w14:paraId="2F6670EB">
      <w:pPr>
        <w:pStyle w:val="4"/>
        <w:spacing w:line="254" w:lineRule="auto"/>
        <w:rPr>
          <w:b/>
          <w:bCs/>
        </w:rPr>
      </w:pPr>
    </w:p>
    <w:p w14:paraId="584D62A5">
      <w:pPr>
        <w:pStyle w:val="4"/>
        <w:spacing w:line="254" w:lineRule="auto"/>
        <w:rPr>
          <w:b/>
          <w:bCs/>
        </w:rPr>
      </w:pPr>
    </w:p>
    <w:p w14:paraId="467DF525">
      <w:pPr>
        <w:pStyle w:val="4"/>
        <w:spacing w:line="254" w:lineRule="auto"/>
        <w:rPr>
          <w:b/>
          <w:bCs/>
        </w:rPr>
      </w:pPr>
    </w:p>
    <w:p w14:paraId="0E2150EA">
      <w:pPr>
        <w:pStyle w:val="4"/>
        <w:spacing w:line="254" w:lineRule="auto"/>
        <w:rPr>
          <w:b/>
          <w:bCs/>
        </w:rPr>
      </w:pPr>
    </w:p>
    <w:p w14:paraId="1657F48C">
      <w:pPr>
        <w:spacing w:before="101" w:line="225" w:lineRule="auto"/>
        <w:ind w:left="1763"/>
        <w:rPr>
          <w:rFonts w:hint="eastAsia" w:ascii="仿宋" w:hAnsi="仿宋" w:eastAsia="仿宋" w:cs="仿宋"/>
          <w:b/>
          <w:bCs/>
          <w:sz w:val="28"/>
          <w:szCs w:val="28"/>
        </w:rPr>
      </w:pPr>
      <w:r>
        <w:rPr>
          <w:rFonts w:hint="eastAsia" w:ascii="仿宋" w:hAnsi="仿宋" w:eastAsia="仿宋" w:cs="仿宋"/>
          <w:b/>
          <w:bCs/>
          <w:spacing w:val="-34"/>
          <w:sz w:val="28"/>
          <w:szCs w:val="28"/>
        </w:rPr>
        <w:t>签订时间：</w:t>
      </w:r>
      <w:r>
        <w:rPr>
          <w:rFonts w:hint="eastAsia" w:ascii="仿宋" w:hAnsi="仿宋" w:eastAsia="仿宋" w:cs="仿宋"/>
          <w:b/>
          <w:bCs/>
          <w:spacing w:val="19"/>
          <w:sz w:val="28"/>
          <w:szCs w:val="28"/>
        </w:rPr>
        <w:t xml:space="preserve">       </w:t>
      </w:r>
      <w:r>
        <w:rPr>
          <w:rFonts w:hint="eastAsia" w:ascii="仿宋" w:hAnsi="仿宋" w:eastAsia="仿宋" w:cs="仿宋"/>
          <w:b/>
          <w:bCs/>
          <w:spacing w:val="-34"/>
          <w:sz w:val="28"/>
          <w:szCs w:val="28"/>
        </w:rPr>
        <w:t>年</w:t>
      </w:r>
      <w:r>
        <w:rPr>
          <w:rFonts w:hint="eastAsia" w:ascii="仿宋" w:hAnsi="仿宋" w:eastAsia="仿宋" w:cs="仿宋"/>
          <w:b/>
          <w:bCs/>
          <w:spacing w:val="33"/>
          <w:sz w:val="28"/>
          <w:szCs w:val="28"/>
        </w:rPr>
        <w:t xml:space="preserve">    </w:t>
      </w:r>
      <w:r>
        <w:rPr>
          <w:rFonts w:hint="eastAsia" w:ascii="仿宋" w:hAnsi="仿宋" w:eastAsia="仿宋" w:cs="仿宋"/>
          <w:b/>
          <w:bCs/>
          <w:spacing w:val="-34"/>
          <w:sz w:val="28"/>
          <w:szCs w:val="28"/>
        </w:rPr>
        <w:t>月</w:t>
      </w:r>
      <w:r>
        <w:rPr>
          <w:rFonts w:hint="eastAsia" w:ascii="仿宋" w:hAnsi="仿宋" w:eastAsia="仿宋" w:cs="仿宋"/>
          <w:b/>
          <w:bCs/>
          <w:spacing w:val="20"/>
          <w:sz w:val="28"/>
          <w:szCs w:val="28"/>
        </w:rPr>
        <w:t xml:space="preserve">     </w:t>
      </w:r>
      <w:r>
        <w:rPr>
          <w:rFonts w:hint="eastAsia" w:ascii="仿宋" w:hAnsi="仿宋" w:eastAsia="仿宋" w:cs="仿宋"/>
          <w:b/>
          <w:bCs/>
          <w:spacing w:val="-34"/>
          <w:sz w:val="28"/>
          <w:szCs w:val="28"/>
        </w:rPr>
        <w:t>日</w:t>
      </w:r>
    </w:p>
    <w:p w14:paraId="18FBBBCD">
      <w:pPr>
        <w:spacing w:line="225" w:lineRule="auto"/>
        <w:rPr>
          <w:rFonts w:ascii="宋体" w:hAnsi="宋体" w:eastAsia="宋体" w:cs="宋体"/>
          <w:sz w:val="31"/>
          <w:szCs w:val="31"/>
        </w:rPr>
        <w:sectPr>
          <w:pgSz w:w="11911" w:h="16840"/>
          <w:pgMar w:top="1431" w:right="1786" w:bottom="1304" w:left="1786" w:header="0" w:footer="1135" w:gutter="0"/>
          <w:pgNumType w:fmt="decimal"/>
          <w:cols w:space="720" w:num="1"/>
        </w:sectPr>
      </w:pPr>
    </w:p>
    <w:p w14:paraId="50897A0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采购合同编号：</w:t>
      </w:r>
    </w:p>
    <w:p w14:paraId="1A4FE258">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采购人（甲方）：</w:t>
      </w:r>
    </w:p>
    <w:p w14:paraId="02A95E7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（乙方）：</w:t>
      </w:r>
    </w:p>
    <w:p w14:paraId="29F324E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为了保护甲、乙双方合法权益，根据《中华人民共和国</w:t>
      </w:r>
      <w:r>
        <w:rPr>
          <w:rFonts w:hint="eastAsia" w:ascii="仿宋" w:hAnsi="仿宋" w:eastAsia="仿宋" w:cs="仿宋"/>
          <w:color w:val="auto"/>
          <w:sz w:val="24"/>
          <w:highlight w:val="none"/>
          <w:lang w:eastAsia="zh-CN"/>
        </w:rPr>
        <w:t>政府</w:t>
      </w:r>
      <w:r>
        <w:rPr>
          <w:rFonts w:hint="eastAsia" w:ascii="仿宋" w:hAnsi="仿宋" w:eastAsia="仿宋" w:cs="仿宋"/>
          <w:color w:val="auto"/>
          <w:sz w:val="24"/>
          <w:highlight w:val="none"/>
        </w:rPr>
        <w:t>采购法》及其他有关法律、法规、规章，双方签订本合同协议书。</w:t>
      </w:r>
    </w:p>
    <w:p w14:paraId="0E65C898">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 项目信息 </w:t>
      </w:r>
    </w:p>
    <w:p w14:paraId="00C06B70">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（1）采购项目名称：</w:t>
      </w:r>
    </w:p>
    <w:p w14:paraId="6FB475DC">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（2）采购计划编号：</w:t>
      </w:r>
    </w:p>
    <w:p w14:paraId="0F233A0E">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（3）项目内容：</w:t>
      </w:r>
    </w:p>
    <w:p w14:paraId="5794436F">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 合同金额</w:t>
      </w:r>
    </w:p>
    <w:p w14:paraId="161EE077">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（1）合同金额小写：        大写：</w:t>
      </w:r>
    </w:p>
    <w:p w14:paraId="1C1AFFF7">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（2）具体标的见附件。</w:t>
      </w:r>
    </w:p>
    <w:p w14:paraId="39166D43">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（3）合同价格形式</w:t>
      </w:r>
      <w:r>
        <w:rPr>
          <w:rFonts w:hint="eastAsia" w:ascii="仿宋" w:hAnsi="仿宋" w:eastAsia="仿宋" w:cs="仿宋"/>
          <w:color w:val="auto"/>
          <w:sz w:val="24"/>
          <w:highlight w:val="none"/>
          <w:u w:val="none"/>
        </w:rPr>
        <w:t>：</w:t>
      </w:r>
    </w:p>
    <w:p w14:paraId="7E91E716">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 履行合同的时间、地点及方式 </w:t>
      </w:r>
    </w:p>
    <w:p w14:paraId="5DE589DD">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起始日期：</w:t>
      </w:r>
    </w:p>
    <w:p w14:paraId="14FF4A01">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地点：</w:t>
      </w:r>
    </w:p>
    <w:p w14:paraId="1CE64E28">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方式：</w:t>
      </w:r>
    </w:p>
    <w:p w14:paraId="363F2F77">
      <w:pPr>
        <w:spacing w:line="50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4.付款方式：</w:t>
      </w:r>
    </w:p>
    <w:p w14:paraId="5E6C252F">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解决合同纠纷方式</w:t>
      </w:r>
    </w:p>
    <w:p w14:paraId="258F7D8F">
      <w:pPr>
        <w:spacing w:line="50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首先通过双方协商解决，协商解决不成，则通过以下途径之一解决纠纷</w:t>
      </w:r>
      <w:r>
        <w:rPr>
          <w:rFonts w:hint="eastAsia" w:ascii="仿宋" w:hAnsi="仿宋" w:eastAsia="仿宋" w:cs="仿宋"/>
          <w:color w:val="auto"/>
          <w:sz w:val="24"/>
          <w:highlight w:val="none"/>
          <w:lang w:eastAsia="zh-CN"/>
        </w:rPr>
        <w:t>：</w:t>
      </w:r>
    </w:p>
    <w:p w14:paraId="5238D21B">
      <w:pPr>
        <w:spacing w:line="50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w:t>
      </w:r>
      <w:r>
        <w:rPr>
          <w:rFonts w:hint="eastAsia" w:ascii="仿宋" w:hAnsi="仿宋" w:eastAsia="仿宋" w:cs="仿宋"/>
          <w:color w:val="auto"/>
          <w:sz w:val="24"/>
          <w:highlight w:val="none"/>
          <w:lang w:val="en-US" w:eastAsia="zh-CN"/>
        </w:rPr>
        <w:t xml:space="preserve">      </w:t>
      </w:r>
    </w:p>
    <w:p w14:paraId="3365FEA8">
      <w:pPr>
        <w:spacing w:line="50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lang w:val="en-US" w:eastAsia="zh-CN"/>
        </w:rPr>
        <w:t>；</w:t>
      </w:r>
    </w:p>
    <w:p w14:paraId="5DD0066E">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组成合同的文件</w:t>
      </w:r>
    </w:p>
    <w:p w14:paraId="681AE2F1">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本协议书与下列文件一起构成合同文件，如下述文件之间有任何抵触、矛盾或歧义，应按以下顺序解释：</w:t>
      </w:r>
    </w:p>
    <w:p w14:paraId="3A003403">
      <w:pPr>
        <w:spacing w:line="50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（1）在采购或合同履行过程中乙方作出的承诺以及双方协商达成的变更或补充协议</w:t>
      </w:r>
      <w:r>
        <w:rPr>
          <w:rFonts w:hint="eastAsia" w:ascii="仿宋" w:hAnsi="仿宋" w:eastAsia="仿宋" w:cs="仿宋"/>
          <w:color w:val="auto"/>
          <w:sz w:val="24"/>
          <w:highlight w:val="none"/>
          <w:lang w:val="en-US" w:eastAsia="zh-CN"/>
        </w:rPr>
        <w:t>.</w:t>
      </w:r>
    </w:p>
    <w:p w14:paraId="5D3FA305">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（2）中标通知书</w:t>
      </w:r>
    </w:p>
    <w:p w14:paraId="059E0318">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w:t>
      </w:r>
    </w:p>
    <w:p w14:paraId="4412F536">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（4）政府采购合同格式条款及其附件</w:t>
      </w:r>
    </w:p>
    <w:p w14:paraId="06BEB85D">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（5）专用合同条款</w:t>
      </w:r>
    </w:p>
    <w:p w14:paraId="5023DC40">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（6）通用合同条款（如果有）</w:t>
      </w:r>
    </w:p>
    <w:p w14:paraId="08F9CFD9">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（7）标准、规范及有关技术文件</w:t>
      </w:r>
    </w:p>
    <w:p w14:paraId="70DC78A3">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（8）其他合同文件。</w:t>
      </w:r>
    </w:p>
    <w:p w14:paraId="42A025E6">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 合同生效</w:t>
      </w:r>
    </w:p>
    <w:p w14:paraId="4CDD209E">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本合同经双方签字盖章生效。</w:t>
      </w:r>
    </w:p>
    <w:p w14:paraId="39D4D0EE">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 合同份数</w:t>
      </w:r>
    </w:p>
    <w:p w14:paraId="4E4E8FE3">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合同订立时间：</w:t>
      </w:r>
    </w:p>
    <w:p w14:paraId="04E4583F">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合同订立地点：</w:t>
      </w:r>
    </w:p>
    <w:p w14:paraId="34261E33">
      <w:pPr>
        <w:spacing w:line="500" w:lineRule="exact"/>
        <w:rPr>
          <w:rFonts w:hAnsi="宋体" w:cs="宋体"/>
          <w:color w:val="auto"/>
          <w:sz w:val="24"/>
          <w:highlight w:val="none"/>
        </w:rPr>
      </w:pPr>
    </w:p>
    <w:p w14:paraId="3109FF87">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rPr>
      </w:pPr>
      <w:r>
        <w:rPr>
          <w:rFonts w:hint="eastAsia" w:ascii="仿宋" w:hAnsi="仿宋" w:eastAsia="仿宋"/>
          <w:color w:val="auto"/>
          <w:sz w:val="28"/>
          <w:szCs w:val="18"/>
          <w:highlight w:val="none"/>
          <w:lang w:val="en-US" w:eastAsia="zh-CN"/>
        </w:rPr>
        <w:t>本合同一式</w:t>
      </w:r>
      <w:r>
        <w:rPr>
          <w:rFonts w:hint="eastAsia" w:ascii="仿宋" w:hAnsi="仿宋" w:eastAsia="仿宋"/>
          <w:color w:val="auto"/>
          <w:sz w:val="28"/>
          <w:szCs w:val="18"/>
          <w:highlight w:val="none"/>
          <w:u w:val="single"/>
          <w:lang w:val="en-US" w:eastAsia="zh-CN"/>
        </w:rPr>
        <w:t xml:space="preserve">      </w:t>
      </w:r>
      <w:r>
        <w:rPr>
          <w:rFonts w:hint="eastAsia" w:ascii="仿宋" w:hAnsi="仿宋" w:eastAsia="仿宋"/>
          <w:color w:val="auto"/>
          <w:sz w:val="28"/>
          <w:szCs w:val="18"/>
          <w:highlight w:val="none"/>
          <w:lang w:val="en-US" w:eastAsia="zh-CN"/>
        </w:rPr>
        <w:t>份，甲、乙双方各执</w:t>
      </w:r>
      <w:r>
        <w:rPr>
          <w:rFonts w:hint="eastAsia" w:ascii="仿宋" w:hAnsi="仿宋" w:eastAsia="仿宋"/>
          <w:color w:val="auto"/>
          <w:sz w:val="28"/>
          <w:szCs w:val="18"/>
          <w:highlight w:val="none"/>
          <w:u w:val="single"/>
          <w:lang w:val="en-US" w:eastAsia="zh-CN"/>
        </w:rPr>
        <w:t xml:space="preserve">      </w:t>
      </w:r>
      <w:r>
        <w:rPr>
          <w:rFonts w:hint="eastAsia" w:ascii="仿宋" w:hAnsi="仿宋" w:eastAsia="仿宋"/>
          <w:color w:val="auto"/>
          <w:sz w:val="28"/>
          <w:szCs w:val="18"/>
          <w:highlight w:val="none"/>
          <w:lang w:val="en-US" w:eastAsia="zh-CN"/>
        </w:rPr>
        <w:t>份。</w:t>
      </w:r>
    </w:p>
    <w:p w14:paraId="4F9E81DA">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甲方：                       乙方：</w:t>
      </w:r>
    </w:p>
    <w:p w14:paraId="7723CEF6">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法定代表人：                 法定代表人：</w:t>
      </w:r>
    </w:p>
    <w:p w14:paraId="499C6181">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 xml:space="preserve">授权代表（签字）：            授权代表（签字）: </w:t>
      </w:r>
    </w:p>
    <w:p w14:paraId="1DF2267D">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开户银行：                   开户银行：</w:t>
      </w:r>
    </w:p>
    <w:p w14:paraId="5178B0D0">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账号：                       账 号：</w:t>
      </w:r>
    </w:p>
    <w:p w14:paraId="208AB313">
      <w:pPr>
        <w:keepNext w:val="0"/>
        <w:keepLines w:val="0"/>
        <w:pageBreakBefore w:val="0"/>
        <w:widowControl w:val="0"/>
        <w:kinsoku/>
        <w:wordWrap/>
        <w:overflowPunct/>
        <w:topLinePunct w:val="0"/>
        <w:autoSpaceDE/>
        <w:autoSpaceDN/>
        <w:bidi w:val="0"/>
        <w:spacing w:line="600" w:lineRule="exact"/>
        <w:ind w:firstLine="560" w:firstLineChars="200"/>
        <w:jc w:val="left"/>
        <w:textAlignment w:val="auto"/>
        <w:rPr>
          <w:rFonts w:hint="eastAsia" w:ascii="仿宋" w:hAnsi="仿宋" w:eastAsia="仿宋"/>
          <w:color w:val="auto"/>
          <w:sz w:val="28"/>
          <w:szCs w:val="18"/>
          <w:highlight w:val="none"/>
          <w:lang w:val="en-US" w:eastAsia="zh-CN"/>
        </w:rPr>
      </w:pPr>
      <w:r>
        <w:rPr>
          <w:rFonts w:hint="eastAsia" w:ascii="仿宋" w:hAnsi="仿宋" w:eastAsia="仿宋"/>
          <w:color w:val="auto"/>
          <w:sz w:val="28"/>
          <w:szCs w:val="18"/>
          <w:highlight w:val="none"/>
          <w:lang w:val="en-US" w:eastAsia="zh-CN"/>
        </w:rPr>
        <w:t>电话：                       电话：</w:t>
      </w:r>
    </w:p>
    <w:p w14:paraId="4AE18034">
      <w:r>
        <w:rPr>
          <w:rFonts w:hint="eastAsia" w:ascii="仿宋" w:hAnsi="仿宋" w:eastAsia="仿宋" w:cs="仿宋"/>
          <w:b/>
          <w:bCs/>
          <w:spacing w:val="-6"/>
          <w:sz w:val="28"/>
          <w:szCs w:val="28"/>
          <w:lang w:val="en-US" w:eastAsia="zh-CN"/>
        </w:rPr>
        <w:t>（仅供参考，以实际签订为准，与实际情况不符合的条款可自行进行调整）</w:t>
      </w:r>
    </w:p>
    <w:p w14:paraId="418481F2"/>
    <w:p w14:paraId="2E6B6AFE">
      <w:pPr>
        <w:pStyle w:val="4"/>
        <w:keepNext w:val="0"/>
        <w:keepLines w:val="0"/>
        <w:pageBreakBefore w:val="0"/>
        <w:kinsoku/>
        <w:wordWrap w:val="0"/>
        <w:overflowPunct/>
        <w:topLinePunct w:val="0"/>
        <w:bidi w:val="0"/>
        <w:spacing w:before="353" w:line="360" w:lineRule="auto"/>
        <w:ind w:left="2654"/>
        <w:jc w:val="both"/>
        <w:rPr>
          <w:spacing w:val="-5"/>
          <w:sz w:val="36"/>
          <w:szCs w:val="36"/>
          <w14:textOutline w14:w="2306" w14:cap="flat" w14:cmpd="sng">
            <w14:solidFill>
              <w14:srgbClr w14:val="000000"/>
            </w14:solidFill>
            <w14:prstDash w14:val="solid"/>
            <w14:miter w14:val="0"/>
          </w14:textOutline>
        </w:rPr>
      </w:pPr>
    </w:p>
    <w:p w14:paraId="45EF2BB8">
      <w:pPr>
        <w:pStyle w:val="4"/>
        <w:keepNext w:val="0"/>
        <w:keepLines w:val="0"/>
        <w:pageBreakBefore w:val="0"/>
        <w:kinsoku/>
        <w:wordWrap w:val="0"/>
        <w:overflowPunct/>
        <w:topLinePunct w:val="0"/>
        <w:bidi w:val="0"/>
        <w:spacing w:before="353" w:line="360" w:lineRule="auto"/>
        <w:ind w:left="2654"/>
        <w:jc w:val="both"/>
        <w:rPr>
          <w:spacing w:val="-5"/>
          <w:sz w:val="36"/>
          <w:szCs w:val="36"/>
          <w14:textOutline w14:w="2306" w14:cap="flat" w14:cmpd="sng">
            <w14:solidFill>
              <w14:srgbClr w14:val="000000"/>
            </w14:solidFill>
            <w14:prstDash w14:val="solid"/>
            <w14:miter w14:val="0"/>
          </w14:textOutline>
        </w:rPr>
      </w:pPr>
    </w:p>
    <w:p w14:paraId="55AE9FFD">
      <w:pPr>
        <w:pStyle w:val="4"/>
        <w:keepNext w:val="0"/>
        <w:keepLines w:val="0"/>
        <w:pageBreakBefore w:val="0"/>
        <w:kinsoku/>
        <w:wordWrap w:val="0"/>
        <w:overflowPunct/>
        <w:topLinePunct w:val="0"/>
        <w:bidi w:val="0"/>
        <w:spacing w:before="353" w:line="360" w:lineRule="auto"/>
        <w:ind w:left="2654"/>
        <w:jc w:val="both"/>
        <w:rPr>
          <w:rFonts w:ascii="Arial"/>
          <w:sz w:val="21"/>
        </w:rPr>
      </w:pPr>
      <w:r>
        <w:rPr>
          <w:spacing w:val="-5"/>
          <w:sz w:val="36"/>
          <w:szCs w:val="36"/>
          <w14:textOutline w14:w="2306" w14:cap="flat" w14:cmpd="sng">
            <w14:solidFill>
              <w14:srgbClr w14:val="000000"/>
            </w14:solidFill>
            <w14:prstDash w14:val="solid"/>
            <w14:miter w14:val="0"/>
          </w14:textOutline>
        </w:rPr>
        <w:t>第六章</w:t>
      </w:r>
      <w:r>
        <w:rPr>
          <w:rFonts w:hint="eastAsia"/>
          <w:spacing w:val="-5"/>
          <w:sz w:val="36"/>
          <w:szCs w:val="36"/>
          <w:lang w:val="en-US" w:eastAsia="zh-CN"/>
          <w14:textOutline w14:w="2306" w14:cap="flat" w14:cmpd="sng">
            <w14:solidFill>
              <w14:srgbClr w14:val="000000"/>
            </w14:solidFill>
            <w14:prstDash w14:val="solid"/>
            <w14:miter w14:val="0"/>
          </w14:textOutline>
        </w:rPr>
        <w:t xml:space="preserve"> </w:t>
      </w:r>
      <w:r>
        <w:rPr>
          <w:spacing w:val="-5"/>
          <w:sz w:val="36"/>
          <w:szCs w:val="36"/>
          <w14:textOutline w14:w="2306" w14:cap="flat" w14:cmpd="sng">
            <w14:solidFill>
              <w14:srgbClr w14:val="000000"/>
            </w14:solidFill>
            <w14:prstDash w14:val="solid"/>
            <w14:miter w14:val="0"/>
          </w14:textOutline>
        </w:rPr>
        <w:t>响应文件格式</w:t>
      </w:r>
    </w:p>
    <w:p w14:paraId="65C270D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spacing w:val="-1"/>
          <w:sz w:val="24"/>
          <w:szCs w:val="24"/>
          <w14:textOutline w14:w="1537" w14:cap="flat" w14:cmpd="sng">
            <w14:solidFill>
              <w14:srgbClr w14:val="000000"/>
            </w14:solidFill>
            <w14:prstDash w14:val="solid"/>
            <w14:miter w14:val="0"/>
          </w14:textOutline>
        </w:rPr>
        <w:t>供应商编制文件须知</w:t>
      </w:r>
    </w:p>
    <w:p w14:paraId="7AD415E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val="en-US"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56DAE8A6">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rFonts w:hint="eastAsia" w:ascii="Arial" w:hAnsi="Arial" w:eastAsia="宋体" w:cs="Arial"/>
          <w:spacing w:val="-1"/>
          <w:sz w:val="24"/>
          <w:szCs w:val="24"/>
          <w:lang w:val="en-US" w:eastAsia="zh-CN"/>
        </w:rPr>
        <w:t>2.</w:t>
      </w:r>
      <w:r>
        <w:rPr>
          <w:spacing w:val="-1"/>
          <w:sz w:val="24"/>
          <w:szCs w:val="24"/>
        </w:rPr>
        <w:t>全部声明和问题的回答及所附材料必须是真实的、准确的和完整</w:t>
      </w:r>
      <w:r>
        <w:rPr>
          <w:spacing w:val="-2"/>
          <w:sz w:val="24"/>
          <w:szCs w:val="24"/>
        </w:rPr>
        <w:t>的。</w:t>
      </w:r>
    </w:p>
    <w:p w14:paraId="69C671B5">
      <w:pPr>
        <w:keepNext w:val="0"/>
        <w:keepLines w:val="0"/>
        <w:pageBreakBefore w:val="0"/>
        <w:kinsoku/>
        <w:wordWrap w:val="0"/>
        <w:overflowPunct/>
        <w:topLinePunct w:val="0"/>
        <w:bidi w:val="0"/>
        <w:spacing w:line="219" w:lineRule="auto"/>
        <w:jc w:val="both"/>
        <w:rPr>
          <w:sz w:val="24"/>
          <w:szCs w:val="24"/>
        </w:rPr>
        <w:sectPr>
          <w:headerReference r:id="rId7" w:type="default"/>
          <w:footerReference r:id="rId8" w:type="default"/>
          <w:pgSz w:w="11907" w:h="16840"/>
          <w:pgMar w:top="1440" w:right="1800" w:bottom="1440" w:left="1800" w:header="878" w:footer="886" w:gutter="0"/>
          <w:pgNumType w:fmt="decimal"/>
          <w:cols w:space="720" w:num="1"/>
        </w:sectPr>
      </w:pPr>
    </w:p>
    <w:p w14:paraId="1A80A6A3">
      <w:pPr>
        <w:keepNext w:val="0"/>
        <w:keepLines w:val="0"/>
        <w:pageBreakBefore w:val="0"/>
        <w:numPr>
          <w:ilvl w:val="0"/>
          <w:numId w:val="0"/>
        </w:numPr>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响应函格式</w:t>
      </w:r>
    </w:p>
    <w:p w14:paraId="131B0C5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18C10F0B">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w:t>
      </w:r>
    </w:p>
    <w:p w14:paraId="2E38D667">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24B64CA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14:paraId="1BED7C79">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根据贵方项目编号为____________的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3"/>
          <w:kern w:val="0"/>
          <w:sz w:val="24"/>
          <w:szCs w:val="24"/>
          <w:lang w:val="en-US" w:eastAsia="zh-CN" w:bidi="ar-SA"/>
        </w:rPr>
        <w:t>1</w:t>
      </w:r>
      <w:r>
        <w:rPr>
          <w:rFonts w:hint="eastAsia" w:asciiTheme="minorEastAsia" w:hAnsiTheme="minorEastAsia" w:eastAsiaTheme="minorEastAsia" w:cstheme="minorEastAsia"/>
          <w:snapToGrid w:val="0"/>
          <w:color w:val="000000"/>
          <w:spacing w:val="-3"/>
          <w:kern w:val="0"/>
          <w:sz w:val="24"/>
          <w:szCs w:val="24"/>
          <w:lang w:val="en-US" w:eastAsia="en-US" w:bidi="ar-SA"/>
        </w:rPr>
        <w:t>项至第</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3"/>
          <w:kern w:val="0"/>
          <w:sz w:val="24"/>
          <w:szCs w:val="24"/>
          <w:lang w:val="en-US" w:eastAsia="en-US" w:bidi="ar-SA"/>
        </w:rPr>
        <w:t>项的响应文件电子版本一份。</w:t>
      </w:r>
    </w:p>
    <w:p w14:paraId="2EA561FB">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据此函，签字代表宣布同意并郑重承诺如下：</w:t>
      </w:r>
    </w:p>
    <w:p w14:paraId="0C4A200C">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1、我方递交的响应文件中所有的资料均为真实的、准确的，无任何虚假内容。若存在有虚假内容，我方愿意承担法律责任。</w:t>
      </w:r>
    </w:p>
    <w:p w14:paraId="69320CDE">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2、我方已详细审查全部</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，包括修改文件（如有的话）以及全部参考资料和有关附件。我们完全理解并同意放弃对这方面有不明白及误解的权利。</w:t>
      </w:r>
    </w:p>
    <w:p w14:paraId="2EA5D98D">
      <w:pPr>
        <w:pStyle w:val="4"/>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3、若成交，我方将按照</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质量符合</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要求，并提供优质服务。如果在合同执行过程中，发现问题，我方一定尽快对其进行调整，并承担相应的经济责任。</w:t>
      </w:r>
    </w:p>
    <w:p w14:paraId="11D137D7">
      <w:pPr>
        <w:pStyle w:val="4"/>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4、我方保证，严格遵守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w:t>
      </w:r>
      <w:r>
        <w:rPr>
          <w:rFonts w:hint="eastAsia" w:ascii="宋体" w:hAnsi="宋体" w:eastAsia="宋体" w:cs="宋体"/>
          <w:snapToGrid w:val="0"/>
          <w:color w:val="000000"/>
          <w:kern w:val="0"/>
          <w:sz w:val="24"/>
          <w:szCs w:val="24"/>
          <w:lang w:val="en-US" w:eastAsia="en-US" w:bidi="ar-SA"/>
        </w:rPr>
        <w:t>《政府采购竞争性磋商采购方式管理暂行办法》</w:t>
      </w:r>
      <w:r>
        <w:rPr>
          <w:rFonts w:hint="eastAsia" w:asciiTheme="minorEastAsia" w:hAnsiTheme="minorEastAsia" w:eastAsiaTheme="minorEastAsia" w:cstheme="minorEastAsia"/>
          <w:snapToGrid w:val="0"/>
          <w:color w:val="000000"/>
          <w:spacing w:val="-3"/>
          <w:kern w:val="0"/>
          <w:sz w:val="24"/>
          <w:szCs w:val="24"/>
          <w:lang w:val="en-US" w:eastAsia="en-US" w:bidi="ar-SA"/>
        </w:rPr>
        <w:t>及其他相关法律法规的规定，若有违反上述法律法规的行为，愿意接受处罚并承担相应的法律责任。</w:t>
      </w:r>
    </w:p>
    <w:p w14:paraId="5E118CE6">
      <w:pPr>
        <w:pStyle w:val="4"/>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5、本承诺将成为合同不可分割的一部分，与合同具有同等的法律效力。</w:t>
      </w:r>
    </w:p>
    <w:p w14:paraId="35AF53FC">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35877FB">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14:paraId="4350C23A">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14:paraId="0CE78702">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DD2683C">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28B797BE">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7E95AF3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2523C81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二、法定代表人或负责人授权委托书格式：</w:t>
      </w:r>
    </w:p>
    <w:p w14:paraId="3B05DC03">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28ED46FB">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法定代表人或负责人授权委托书</w:t>
      </w:r>
    </w:p>
    <w:p w14:paraId="2347849B">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619513A2">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14:paraId="237B9831">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w:t>
      </w:r>
      <w:r>
        <w:rPr>
          <w:rFonts w:hint="eastAsia" w:asciiTheme="minorEastAsia" w:hAnsiTheme="minorEastAsia" w:eastAsiaTheme="minorEastAsia" w:cstheme="minorEastAsia"/>
          <w:snapToGrid w:val="0"/>
          <w:color w:val="000000"/>
          <w:spacing w:val="-3"/>
          <w:kern w:val="0"/>
          <w:sz w:val="24"/>
          <w:szCs w:val="24"/>
          <w:lang w:val="en-US" w:eastAsia="en-US" w:bidi="ar-SA"/>
        </w:rPr>
        <w:t>活动，并代表我方全权办理针对上述项目的具体事务和签署相关文件。我方对被授权人的签名事项负全部责任。</w:t>
      </w:r>
    </w:p>
    <w:p w14:paraId="5AE631D1">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在撤销授权的书面通知以前，本授权书一直有效。被授权人在授权书有效期内签署的所有文件不因授权的撤销而失效。</w:t>
      </w:r>
    </w:p>
    <w:p w14:paraId="69EE395F">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被授权人无转委托权，特此委托。</w:t>
      </w:r>
    </w:p>
    <w:p w14:paraId="7D92506A">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C986A6D">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法定代表人或负责人签名（或盖章）：</w:t>
      </w:r>
    </w:p>
    <w:p w14:paraId="6C0A9AAF">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被授权人签名（或盖章）：</w:t>
      </w:r>
    </w:p>
    <w:p w14:paraId="51B64524">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职务：</w:t>
      </w:r>
    </w:p>
    <w:p w14:paraId="6F2076F7">
      <w:pPr>
        <w:keepNext w:val="0"/>
        <w:keepLines w:val="0"/>
        <w:pageBreakBefore w:val="0"/>
        <w:kinsoku/>
        <w:wordWrap w:val="0"/>
        <w:overflowPunct/>
        <w:topLinePunct w:val="0"/>
        <w:bidi w:val="0"/>
        <w:spacing w:after="0" w:line="360" w:lineRule="auto"/>
        <w:ind w:firstLine="2634" w:firstLineChars="1126"/>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联系电话：</w:t>
      </w:r>
    </w:p>
    <w:p w14:paraId="024A3B0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25EC075">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法定代表人或负责人、被授权人身份证复印件</w:t>
      </w:r>
    </w:p>
    <w:p w14:paraId="3FC7A8F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423AC516">
      <w:pPr>
        <w:keepNext w:val="0"/>
        <w:keepLines w:val="0"/>
        <w:pageBreakBefore w:val="0"/>
        <w:kinsoku/>
        <w:wordWrap w:val="0"/>
        <w:overflowPunct/>
        <w:topLinePunct w:val="0"/>
        <w:bidi w:val="0"/>
        <w:spacing w:after="0" w:line="360" w:lineRule="auto"/>
        <w:ind w:firstLine="6786" w:firstLineChars="29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183A1ED7">
      <w:pPr>
        <w:keepNext w:val="0"/>
        <w:keepLines w:val="0"/>
        <w:pageBreakBefore w:val="0"/>
        <w:kinsoku/>
        <w:wordWrap w:val="0"/>
        <w:overflowPunct/>
        <w:topLinePunct w:val="0"/>
        <w:bidi w:val="0"/>
        <w:spacing w:after="0" w:line="360" w:lineRule="auto"/>
        <w:ind w:firstLine="5382" w:firstLineChars="2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供应商公章：</w:t>
      </w:r>
    </w:p>
    <w:p w14:paraId="38CBE935">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5B1FF1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sectPr>
          <w:headerReference r:id="rId9" w:type="default"/>
          <w:footerReference r:id="rId10" w:type="default"/>
          <w:pgSz w:w="11906" w:h="16838"/>
          <w:pgMar w:top="1440" w:right="1800" w:bottom="1440" w:left="1800" w:header="851" w:footer="992" w:gutter="0"/>
          <w:pgNumType w:fmt="decimal"/>
          <w:cols w:space="720" w:num="1"/>
          <w:docGrid w:type="lines" w:linePitch="312" w:charSpace="0"/>
        </w:sectPr>
      </w:pPr>
    </w:p>
    <w:p w14:paraId="31E47AD2">
      <w:pPr>
        <w:keepNext w:val="0"/>
        <w:keepLines w:val="0"/>
        <w:pageBreakBefore w:val="0"/>
        <w:numPr>
          <w:ilvl w:val="0"/>
          <w:numId w:val="1"/>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报价一览表格式：</w:t>
      </w:r>
    </w:p>
    <w:tbl>
      <w:tblPr>
        <w:tblStyle w:val="12"/>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14:paraId="6930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7CE402D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1E369C2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5873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E470E8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46B4DE2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49B2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CE48A9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2C5EA3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008B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8BFD8A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磋商报价</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6D71D6B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14:paraId="7B1E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5C9002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服务期限</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07825A9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2EFB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F7179D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服务质量</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7C91F40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r w14:paraId="547F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89B725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236" w:type="dxa"/>
            <w:tcBorders>
              <w:top w:val="single" w:color="auto" w:sz="4" w:space="0"/>
              <w:left w:val="single" w:color="auto" w:sz="4" w:space="0"/>
              <w:bottom w:val="single" w:color="auto" w:sz="4" w:space="0"/>
              <w:right w:val="single" w:color="auto" w:sz="4" w:space="0"/>
            </w:tcBorders>
            <w:noWrap w:val="0"/>
            <w:vAlign w:val="center"/>
          </w:tcPr>
          <w:p w14:paraId="4A75B3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482E8D3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tc>
      </w:tr>
    </w:tbl>
    <w:p w14:paraId="0C26410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供应商（公章）：法定代表人（负责人）或授权代表（签字）：</w:t>
      </w:r>
    </w:p>
    <w:p w14:paraId="636FB25D">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63CF87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1AA577F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7782B2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15D1722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28576CC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0C9E31C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37EF4C4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7296FF0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57EE3A30">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79011B50">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0E24685">
      <w:pPr>
        <w:keepNext w:val="0"/>
        <w:keepLines w:val="0"/>
        <w:pageBreakBefore w:val="0"/>
        <w:widowControl/>
        <w:numPr>
          <w:ilvl w:val="0"/>
          <w:numId w:val="1"/>
        </w:numPr>
        <w:kinsoku/>
        <w:wordWrap w:val="0"/>
        <w:overflowPunct/>
        <w:topLinePunct w:val="0"/>
        <w:autoSpaceDE w:val="0"/>
        <w:autoSpaceDN w:val="0"/>
        <w:bidi w:val="0"/>
        <w:adjustRightInd w:val="0"/>
        <w:snapToGrid w:val="0"/>
        <w:spacing w:line="360" w:lineRule="auto"/>
        <w:ind w:left="0" w:leftChars="0" w:firstLine="0" w:firstLineChars="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4"/>
          <w:szCs w:val="24"/>
          <w:lang w:val="en-US" w:eastAsia="zh-CN" w:bidi="ar-SA"/>
        </w:rPr>
        <w:t>近三年内在经营活动</w:t>
      </w:r>
    </w:p>
    <w:p w14:paraId="1A56276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中没有重大违法记录的声明等；</w:t>
      </w:r>
    </w:p>
    <w:p w14:paraId="6E4442B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val="en-US" w:eastAsia="zh-CN"/>
        </w:rPr>
      </w:pPr>
    </w:p>
    <w:p w14:paraId="794964B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审计或财务报告</w:t>
      </w:r>
      <w:r>
        <w:rPr>
          <w:rFonts w:hint="eastAsia" w:asciiTheme="minorEastAsia" w:hAnsiTheme="minorEastAsia" w:eastAsiaTheme="minorEastAsia" w:cstheme="minorEastAsia"/>
          <w:b w:val="0"/>
          <w:bCs w:val="0"/>
          <w:sz w:val="24"/>
          <w:szCs w:val="24"/>
          <w:lang w:eastAsia="zh-CN"/>
        </w:rPr>
        <w:t>说明：</w:t>
      </w:r>
    </w:p>
    <w:p w14:paraId="053C2162">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与银行之间业务往来正常，企业信誉良好等。</w:t>
      </w:r>
    </w:p>
    <w:p w14:paraId="6253A8FE">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提供企业有关财务会计制度。</w:t>
      </w:r>
    </w:p>
    <w:p w14:paraId="2D1A73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14:paraId="1E3D44B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近三年内在经营活动中没有重大违法记录的声明（格式）</w:t>
      </w:r>
    </w:p>
    <w:p w14:paraId="618323D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64411A8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声明函</w:t>
      </w:r>
    </w:p>
    <w:p w14:paraId="13E087E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5D3C02B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公司全称）向本项目的采购人和采购代理机构郑重声明如下：</w:t>
      </w:r>
    </w:p>
    <w:p w14:paraId="01E9DE0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14:paraId="0DB8AEE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14:paraId="1BF2D98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3E43206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71599C7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14:paraId="55904D8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14:paraId="2165C5E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067A4B7F">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8A09395">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7DE9A87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6EF7A0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6CC2FC0">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AC771C0">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09205ED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五、商务偏差表</w:t>
      </w:r>
    </w:p>
    <w:p w14:paraId="166C1245">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商务偏差表</w:t>
      </w:r>
    </w:p>
    <w:p w14:paraId="5F2B2EFF">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26DCA37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0807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14:paraId="40F23A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2B5DCF7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文件</w:t>
            </w:r>
          </w:p>
          <w:p w14:paraId="717C531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4C36834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w:t>
            </w:r>
          </w:p>
          <w:p w14:paraId="631FFF3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2045CE6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DE70BA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64AB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DAAC6D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CA7831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71E05B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E56AAE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916B3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990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C0A2CA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180DD1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68828B6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C2CB33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DA2637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D2B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559A67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B78F0E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ED8F87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0233CD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8184E8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CFB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AD98D6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02ED8B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D95F02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B05664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232907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0BF5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0406D07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F7D515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708688C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61E5E7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73CE3C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47F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F8EF3E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DDD67A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F72B2F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5B54D8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B83C92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A94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0C7480C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278191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7D29B2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FA28F4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18405E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A16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7BB3BD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C531DE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FCE75B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364A86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3FA514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1D1B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F38110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EC5069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934E1C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803D31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B9A3C6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F0B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11D359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7D3A79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F0899F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743713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ED6C81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0A5F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2F16D00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77BB48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F40411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D820BA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73B1D7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632CA61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bCs/>
          <w:spacing w:val="2"/>
          <w:sz w:val="24"/>
          <w:szCs w:val="24"/>
        </w:rPr>
        <w:t>供应商</w:t>
      </w:r>
      <w:r>
        <w:rPr>
          <w:rFonts w:hint="eastAsia" w:asciiTheme="minorEastAsia" w:hAnsiTheme="minorEastAsia" w:eastAsiaTheme="minorEastAsia" w:cstheme="minorEastAsia"/>
          <w:b/>
          <w:sz w:val="24"/>
          <w:szCs w:val="24"/>
          <w:lang w:eastAsia="zh-CN"/>
        </w:rPr>
        <w:t>（公章）：法定代表人（负责人）或授权代表（签字）：</w:t>
      </w:r>
    </w:p>
    <w:p w14:paraId="0D68DB2A">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7CF22B6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sz w:val="24"/>
          <w:szCs w:val="24"/>
        </w:rPr>
        <w:sectPr>
          <w:headerReference r:id="rId11" w:type="default"/>
          <w:footerReference r:id="rId12" w:type="default"/>
          <w:pgSz w:w="11907" w:h="16840"/>
          <w:pgMar w:top="1440" w:right="1800" w:bottom="1440" w:left="1800" w:header="851" w:footer="992" w:gutter="0"/>
          <w:pgNumType w:fmt="decimal"/>
          <w:cols w:space="720" w:num="1"/>
          <w:docGrid w:linePitch="332" w:charSpace="0"/>
        </w:sectPr>
      </w:pPr>
    </w:p>
    <w:p w14:paraId="1EEBC45B">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六、项目整体服务方案、安保服务固定岗服务方案、安保巡逻岗服务方案、大型赛事活动安保方案、应急预案、安保管理制度</w:t>
      </w:r>
    </w:p>
    <w:p w14:paraId="02CBDFD2">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七、业绩</w:t>
      </w:r>
    </w:p>
    <w:p w14:paraId="33D10052">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八、服务质量保障措施</w:t>
      </w:r>
    </w:p>
    <w:p w14:paraId="6192AC33">
      <w:pPr>
        <w:keepNext w:val="0"/>
        <w:keepLines w:val="0"/>
        <w:pageBreakBefore w:val="0"/>
        <w:kinsoku/>
        <w:wordWrap w:val="0"/>
        <w:overflowPunct/>
        <w:topLinePunct w:val="0"/>
        <w:bidi w:val="0"/>
        <w:spacing w:after="120" w:line="360" w:lineRule="auto"/>
        <w:jc w:val="both"/>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九、项目负责人、人员配备、拟投入的设施设备</w:t>
      </w:r>
    </w:p>
    <w:p w14:paraId="60F6FFF7">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十、供应商诚信承诺书</w:t>
      </w:r>
    </w:p>
    <w:p w14:paraId="6C4A92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14:paraId="78C55F7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诚信承诺书</w:t>
      </w:r>
    </w:p>
    <w:p w14:paraId="2D404AFC">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5CCBA87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39644BA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74E794D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7D855D4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3B0C4647">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448D89C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14:paraId="05E1964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14:paraId="15B649C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14:paraId="1D2085F1">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6E56921">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57C4A7F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33520F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BA0E8B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8351E5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十一、供应商认为需要的其他文件资料</w:t>
      </w:r>
    </w:p>
    <w:p w14:paraId="5FEAB04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中小企业声明函（工程、服务）格式</w:t>
      </w:r>
    </w:p>
    <w:p w14:paraId="1F40B51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3645AC24">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14:paraId="743D6C2F">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14:paraId="16630B95">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14:paraId="0F6AA52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14:paraId="59B59A2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394342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75F829F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pacing w:val="11"/>
          <w:sz w:val="24"/>
          <w:szCs w:val="24"/>
        </w:rPr>
      </w:pPr>
      <w:r>
        <w:rPr>
          <w:rFonts w:hint="eastAsia" w:asciiTheme="minorEastAsia" w:hAnsiTheme="minorEastAsia" w:eastAsiaTheme="minorEastAsia" w:cstheme="minorEastAsia"/>
          <w:spacing w:val="11"/>
          <w:sz w:val="24"/>
          <w:szCs w:val="24"/>
        </w:rPr>
        <w:t>以上企业，不属于大企业的分支机构，不存在控股股东为大企业的情形，</w:t>
      </w:r>
      <w:r>
        <w:rPr>
          <w:rFonts w:hint="eastAsia" w:asciiTheme="minorEastAsia" w:hAnsiTheme="minorEastAsia" w:eastAsiaTheme="minorEastAsia" w:cstheme="minorEastAsia"/>
          <w:spacing w:val="11"/>
          <w:sz w:val="24"/>
          <w:szCs w:val="24"/>
          <w:lang w:val="en-US" w:eastAsia="zh-CN"/>
        </w:rPr>
        <w:t>也不</w:t>
      </w:r>
      <w:r>
        <w:rPr>
          <w:rFonts w:hint="eastAsia" w:asciiTheme="minorEastAsia" w:hAnsiTheme="minorEastAsia" w:eastAsiaTheme="minorEastAsia" w:cstheme="minorEastAsia"/>
          <w:spacing w:val="11"/>
          <w:sz w:val="24"/>
          <w:szCs w:val="24"/>
        </w:rPr>
        <w:t>存在与大企业的负责人为同一人的情形。</w:t>
      </w:r>
    </w:p>
    <w:p w14:paraId="31D9CC9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pacing w:val="11"/>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14:paraId="7C31DB7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1698D08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46536F0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14:paraId="1C238BBD">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3F7083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14:paraId="5487039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14:paraId="45EE644C">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5B5A7D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DF890E2">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14:paraId="5742DFE3">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6085C1C7">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35BCD4C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0F35E6C4">
      <w:pPr>
        <w:pStyle w:val="4"/>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31593E4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57D64A0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640777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5EF2D7DA">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6343BEAD">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A4418BE">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14:paraId="408F37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5220625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07C257E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2CF4248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4063EF9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A72E9E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2B4E22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CAF040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4660A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F8C477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62B813B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1AF55FA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5DEC9F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0C11522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3DB2A307">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3B248661">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5894D4D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0E69D81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14:paraId="1F37821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eastAsia="zh-CN"/>
        </w:rPr>
      </w:pPr>
    </w:p>
    <w:p w14:paraId="7F6041D8">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eastAsia="zh-CN"/>
        </w:rPr>
      </w:pPr>
    </w:p>
    <w:p w14:paraId="655EDF0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对于市本级政府采购项目，全部实施供应商资格信用承诺，供应商</w:t>
      </w:r>
      <w:r>
        <w:rPr>
          <w:rFonts w:hint="eastAsia" w:asciiTheme="minorEastAsia" w:hAnsiTheme="minorEastAsia" w:eastAsiaTheme="minorEastAsia" w:cstheme="minorEastAsia"/>
          <w:b/>
          <w:bCs/>
          <w:sz w:val="24"/>
          <w:szCs w:val="24"/>
          <w:lang w:eastAsia="zh-CN"/>
        </w:rPr>
        <w:t>在</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第四</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35843DB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14:paraId="75A112C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14:paraId="198AC341">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44A64D18">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3ABD85E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4EE68660">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2E13ED69">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782C487B">
      <w:pPr>
        <w:pStyle w:val="4"/>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t>南阳市政府采购供应商信用承诺函（格式）</w:t>
      </w:r>
    </w:p>
    <w:p w14:paraId="3694A0B8">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0DC4BDE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526DD55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10D30F9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4539A82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383818A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394ECDE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08AACB15">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13A9FFF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2C1432F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5AA5E85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78896B5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1E63B35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5A5A66D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22C0129A">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14:paraId="78F309E4">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1470FBA1">
      <w:pPr>
        <w:keepNext w:val="0"/>
        <w:keepLines w:val="0"/>
        <w:pageBreakBefore w:val="0"/>
        <w:widowControl w:val="0"/>
        <w:kinsoku/>
        <w:wordWrap w:val="0"/>
        <w:overflowPunct/>
        <w:topLinePunct w:val="0"/>
        <w:autoSpaceDE w:val="0"/>
        <w:autoSpaceDN w:val="0"/>
        <w:bidi w:val="0"/>
        <w:adjustRightInd w:val="0"/>
        <w:spacing w:line="360" w:lineRule="auto"/>
        <w:ind w:firstLine="3360" w:firstLineChars="14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13AFA33D">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B6FDB4D">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14:paraId="0340707F">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28B501E4">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0EC68D2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sectPr>
      <w:headerReference r:id="rId13" w:type="default"/>
      <w:footerReference r:id="rId14"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F2E43">
    <w:pPr>
      <w:pStyle w:val="4"/>
      <w:spacing w:line="184" w:lineRule="auto"/>
      <w:ind w:left="4105"/>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9BCE69">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09BCE6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241D2">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CB1FE">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3A4CB1FE">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DFE82">
                          <w:pPr>
                            <w:pStyle w:val="8"/>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59264;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fill on="f" focussize="0,0"/>
              <v:stroke on="f" weight="0.5pt"/>
              <v:imagedata o:title=""/>
              <o:lock v:ext="edit" aspectratio="f"/>
              <v:textbox inset="0mm,0mm,0mm,0mm" style="mso-fit-shape-to-text:t;">
                <w:txbxContent>
                  <w:p w14:paraId="37DDFE82">
                    <w:pPr>
                      <w:pStyle w:val="8"/>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985DB">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8571F">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F18571F">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97A1E">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663CC">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DB663CC">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04C5F">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E5AECE">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6EE5AECE">
                    <w:pPr>
                      <w:pStyle w:val="8"/>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97F42">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D46FC">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3D4C0">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07585">
    <w:pPr>
      <w:pStyle w:val="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2CFED">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43FA8D"/>
    <w:multiLevelType w:val="singleLevel"/>
    <w:tmpl w:val="6643FA8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U5ODFjOGEyNWRlYTNkMjA0OTNkYmM2YTBlNjc3YTEifQ=="/>
  </w:docVars>
  <w:rsids>
    <w:rsidRoot w:val="00000000"/>
    <w:rsid w:val="00C44682"/>
    <w:rsid w:val="01C901A1"/>
    <w:rsid w:val="01FF3BC3"/>
    <w:rsid w:val="02980B47"/>
    <w:rsid w:val="02DA4630"/>
    <w:rsid w:val="0304627B"/>
    <w:rsid w:val="0313544C"/>
    <w:rsid w:val="03F005BF"/>
    <w:rsid w:val="049308F0"/>
    <w:rsid w:val="05C82C12"/>
    <w:rsid w:val="064B2778"/>
    <w:rsid w:val="06731CDB"/>
    <w:rsid w:val="06BD7DF4"/>
    <w:rsid w:val="079A6AC0"/>
    <w:rsid w:val="08743EB7"/>
    <w:rsid w:val="08896F10"/>
    <w:rsid w:val="08DA0EE6"/>
    <w:rsid w:val="08DF64FD"/>
    <w:rsid w:val="09175C96"/>
    <w:rsid w:val="095962AF"/>
    <w:rsid w:val="09A84B40"/>
    <w:rsid w:val="09A960A9"/>
    <w:rsid w:val="0A2175C7"/>
    <w:rsid w:val="0A4E3858"/>
    <w:rsid w:val="0A530F50"/>
    <w:rsid w:val="0A7D7363"/>
    <w:rsid w:val="0ADC6029"/>
    <w:rsid w:val="0B6E5916"/>
    <w:rsid w:val="0BA47589"/>
    <w:rsid w:val="0C0369A6"/>
    <w:rsid w:val="0C152235"/>
    <w:rsid w:val="0C272EF4"/>
    <w:rsid w:val="0C450913"/>
    <w:rsid w:val="0CF167FE"/>
    <w:rsid w:val="0D2070E4"/>
    <w:rsid w:val="0E3E7CBD"/>
    <w:rsid w:val="0E7476AF"/>
    <w:rsid w:val="0E8C5210"/>
    <w:rsid w:val="0EB9334C"/>
    <w:rsid w:val="0EE83C0B"/>
    <w:rsid w:val="0F0740B7"/>
    <w:rsid w:val="0F130CAE"/>
    <w:rsid w:val="0F700D5F"/>
    <w:rsid w:val="0FF95996"/>
    <w:rsid w:val="0FFF7484"/>
    <w:rsid w:val="10374E70"/>
    <w:rsid w:val="10832DEB"/>
    <w:rsid w:val="118A0FD0"/>
    <w:rsid w:val="11951E4E"/>
    <w:rsid w:val="11A16A45"/>
    <w:rsid w:val="11E54B27"/>
    <w:rsid w:val="11F10D0E"/>
    <w:rsid w:val="120B59A8"/>
    <w:rsid w:val="13504EE3"/>
    <w:rsid w:val="13854144"/>
    <w:rsid w:val="13D318D3"/>
    <w:rsid w:val="13F73083"/>
    <w:rsid w:val="14184102"/>
    <w:rsid w:val="141A488D"/>
    <w:rsid w:val="145853B5"/>
    <w:rsid w:val="146A4EE4"/>
    <w:rsid w:val="147A2410"/>
    <w:rsid w:val="14B05372"/>
    <w:rsid w:val="14DC27DA"/>
    <w:rsid w:val="150B6107"/>
    <w:rsid w:val="15520056"/>
    <w:rsid w:val="156F62EF"/>
    <w:rsid w:val="15A44D56"/>
    <w:rsid w:val="15C27640"/>
    <w:rsid w:val="16465E0D"/>
    <w:rsid w:val="165F6ECF"/>
    <w:rsid w:val="16655340"/>
    <w:rsid w:val="16882EF5"/>
    <w:rsid w:val="16B94831"/>
    <w:rsid w:val="16D27BAC"/>
    <w:rsid w:val="16ED6288"/>
    <w:rsid w:val="16FD3ABE"/>
    <w:rsid w:val="1706559C"/>
    <w:rsid w:val="172F0E42"/>
    <w:rsid w:val="17FA6EAF"/>
    <w:rsid w:val="18277578"/>
    <w:rsid w:val="18626802"/>
    <w:rsid w:val="18A230A3"/>
    <w:rsid w:val="18BA03EC"/>
    <w:rsid w:val="18C82B09"/>
    <w:rsid w:val="19121FD6"/>
    <w:rsid w:val="1933462F"/>
    <w:rsid w:val="196A0814"/>
    <w:rsid w:val="19B27315"/>
    <w:rsid w:val="19E064B1"/>
    <w:rsid w:val="1A475CB0"/>
    <w:rsid w:val="1BFF6021"/>
    <w:rsid w:val="1C587110"/>
    <w:rsid w:val="1C60574F"/>
    <w:rsid w:val="1C625023"/>
    <w:rsid w:val="1C9D4B06"/>
    <w:rsid w:val="1CC05665"/>
    <w:rsid w:val="1CC17F9B"/>
    <w:rsid w:val="1D0F0558"/>
    <w:rsid w:val="1D7F2147"/>
    <w:rsid w:val="1D996CC8"/>
    <w:rsid w:val="1DA01659"/>
    <w:rsid w:val="1DCF493A"/>
    <w:rsid w:val="1E6454A8"/>
    <w:rsid w:val="1EA062D6"/>
    <w:rsid w:val="1F013959"/>
    <w:rsid w:val="1F642E60"/>
    <w:rsid w:val="1F843502"/>
    <w:rsid w:val="1F971487"/>
    <w:rsid w:val="1FCD677B"/>
    <w:rsid w:val="1FCF1E87"/>
    <w:rsid w:val="20601879"/>
    <w:rsid w:val="208E4164"/>
    <w:rsid w:val="21843C8D"/>
    <w:rsid w:val="21A07893"/>
    <w:rsid w:val="21E8421C"/>
    <w:rsid w:val="22CE3412"/>
    <w:rsid w:val="23554AEF"/>
    <w:rsid w:val="23645F64"/>
    <w:rsid w:val="23902475"/>
    <w:rsid w:val="23A571CA"/>
    <w:rsid w:val="23C44815"/>
    <w:rsid w:val="23F5677C"/>
    <w:rsid w:val="23FB5E39"/>
    <w:rsid w:val="244A2A1D"/>
    <w:rsid w:val="24B108F5"/>
    <w:rsid w:val="251B0465"/>
    <w:rsid w:val="2564491D"/>
    <w:rsid w:val="257A162F"/>
    <w:rsid w:val="25B83A87"/>
    <w:rsid w:val="266463E7"/>
    <w:rsid w:val="26E9311B"/>
    <w:rsid w:val="26EE4083"/>
    <w:rsid w:val="271909D4"/>
    <w:rsid w:val="27DB3EDB"/>
    <w:rsid w:val="27E92A9C"/>
    <w:rsid w:val="28032F0B"/>
    <w:rsid w:val="28BC1F5F"/>
    <w:rsid w:val="28E86B18"/>
    <w:rsid w:val="29626E4F"/>
    <w:rsid w:val="2A3D0E7D"/>
    <w:rsid w:val="2A924A38"/>
    <w:rsid w:val="2AE32E31"/>
    <w:rsid w:val="2AEF03C9"/>
    <w:rsid w:val="2B51698E"/>
    <w:rsid w:val="2BEC4909"/>
    <w:rsid w:val="2C66290D"/>
    <w:rsid w:val="2C812741"/>
    <w:rsid w:val="2CD208B5"/>
    <w:rsid w:val="2CEE645F"/>
    <w:rsid w:val="2D0637A8"/>
    <w:rsid w:val="2D265350"/>
    <w:rsid w:val="2D297497"/>
    <w:rsid w:val="2E5E2FF5"/>
    <w:rsid w:val="2E6C7ED8"/>
    <w:rsid w:val="2EA57FA1"/>
    <w:rsid w:val="2EB15996"/>
    <w:rsid w:val="2EF243BC"/>
    <w:rsid w:val="2F566C69"/>
    <w:rsid w:val="2F854E58"/>
    <w:rsid w:val="2F884949"/>
    <w:rsid w:val="2F9C03F4"/>
    <w:rsid w:val="2FE83639"/>
    <w:rsid w:val="305A62E5"/>
    <w:rsid w:val="307D1FD3"/>
    <w:rsid w:val="30EF0857"/>
    <w:rsid w:val="3140197F"/>
    <w:rsid w:val="31422F43"/>
    <w:rsid w:val="315471D8"/>
    <w:rsid w:val="31677EB7"/>
    <w:rsid w:val="31E05F1C"/>
    <w:rsid w:val="320C16C0"/>
    <w:rsid w:val="32672625"/>
    <w:rsid w:val="32831B16"/>
    <w:rsid w:val="32CB171C"/>
    <w:rsid w:val="32E93950"/>
    <w:rsid w:val="32F6583E"/>
    <w:rsid w:val="333A48FA"/>
    <w:rsid w:val="334A1323"/>
    <w:rsid w:val="33837901"/>
    <w:rsid w:val="33CD5020"/>
    <w:rsid w:val="33D92F7A"/>
    <w:rsid w:val="34353C55"/>
    <w:rsid w:val="348E47AF"/>
    <w:rsid w:val="34B2130C"/>
    <w:rsid w:val="34BD6E42"/>
    <w:rsid w:val="350E12EA"/>
    <w:rsid w:val="35337105"/>
    <w:rsid w:val="354173ED"/>
    <w:rsid w:val="355552CD"/>
    <w:rsid w:val="35992C99"/>
    <w:rsid w:val="35D07049"/>
    <w:rsid w:val="35D76ECB"/>
    <w:rsid w:val="360F3354"/>
    <w:rsid w:val="36857E34"/>
    <w:rsid w:val="36F44886"/>
    <w:rsid w:val="373D426B"/>
    <w:rsid w:val="37BD0585"/>
    <w:rsid w:val="37CA6352"/>
    <w:rsid w:val="37CE1367"/>
    <w:rsid w:val="37ED3EE3"/>
    <w:rsid w:val="381E22EE"/>
    <w:rsid w:val="382D42DF"/>
    <w:rsid w:val="38533A18"/>
    <w:rsid w:val="393D49F6"/>
    <w:rsid w:val="396226AE"/>
    <w:rsid w:val="39754AB6"/>
    <w:rsid w:val="39E41315"/>
    <w:rsid w:val="3A40479E"/>
    <w:rsid w:val="3AB900AC"/>
    <w:rsid w:val="3B223EA3"/>
    <w:rsid w:val="3BAF7174"/>
    <w:rsid w:val="3BEC625F"/>
    <w:rsid w:val="3C131A3E"/>
    <w:rsid w:val="3C430575"/>
    <w:rsid w:val="3C5C1637"/>
    <w:rsid w:val="3C991F43"/>
    <w:rsid w:val="3CA32DC2"/>
    <w:rsid w:val="3D660BE0"/>
    <w:rsid w:val="3D8175A7"/>
    <w:rsid w:val="3E350391"/>
    <w:rsid w:val="3E5E394D"/>
    <w:rsid w:val="3EAF1EF2"/>
    <w:rsid w:val="3EB41E07"/>
    <w:rsid w:val="3F1E2BD3"/>
    <w:rsid w:val="3FD339BE"/>
    <w:rsid w:val="404C3770"/>
    <w:rsid w:val="407451A1"/>
    <w:rsid w:val="409969B6"/>
    <w:rsid w:val="40B41A41"/>
    <w:rsid w:val="413C5593"/>
    <w:rsid w:val="41F66AB4"/>
    <w:rsid w:val="42072045"/>
    <w:rsid w:val="43140575"/>
    <w:rsid w:val="4322216B"/>
    <w:rsid w:val="432804C5"/>
    <w:rsid w:val="43571F15"/>
    <w:rsid w:val="43D372D6"/>
    <w:rsid w:val="43F263DD"/>
    <w:rsid w:val="442C7B41"/>
    <w:rsid w:val="44B74AB0"/>
    <w:rsid w:val="44C27AD5"/>
    <w:rsid w:val="45300AE7"/>
    <w:rsid w:val="453E72E0"/>
    <w:rsid w:val="45432C14"/>
    <w:rsid w:val="4594599D"/>
    <w:rsid w:val="45F91CA4"/>
    <w:rsid w:val="4609241A"/>
    <w:rsid w:val="46250471"/>
    <w:rsid w:val="462C5BD6"/>
    <w:rsid w:val="463F4C16"/>
    <w:rsid w:val="46715CDF"/>
    <w:rsid w:val="46832AB5"/>
    <w:rsid w:val="46942B8F"/>
    <w:rsid w:val="46B1257F"/>
    <w:rsid w:val="47637D1D"/>
    <w:rsid w:val="476615BC"/>
    <w:rsid w:val="477F61D9"/>
    <w:rsid w:val="487675DC"/>
    <w:rsid w:val="49117305"/>
    <w:rsid w:val="498A3D49"/>
    <w:rsid w:val="49ED7D72"/>
    <w:rsid w:val="4A471230"/>
    <w:rsid w:val="4A4D25BF"/>
    <w:rsid w:val="4AC7411F"/>
    <w:rsid w:val="4B201A81"/>
    <w:rsid w:val="4BBB7B8C"/>
    <w:rsid w:val="4CB97E79"/>
    <w:rsid w:val="4CBA2C7D"/>
    <w:rsid w:val="4CC7552F"/>
    <w:rsid w:val="4CDB2104"/>
    <w:rsid w:val="4CDB65A8"/>
    <w:rsid w:val="4CE82103"/>
    <w:rsid w:val="4D297313"/>
    <w:rsid w:val="4DA4699A"/>
    <w:rsid w:val="4DE65204"/>
    <w:rsid w:val="4DEA4CF4"/>
    <w:rsid w:val="4E5C03B2"/>
    <w:rsid w:val="4E742810"/>
    <w:rsid w:val="4E880069"/>
    <w:rsid w:val="4F652159"/>
    <w:rsid w:val="4FA36E2B"/>
    <w:rsid w:val="4FBB7FCB"/>
    <w:rsid w:val="4FCC3F86"/>
    <w:rsid w:val="50CD1D3A"/>
    <w:rsid w:val="50DF62FA"/>
    <w:rsid w:val="51257DF2"/>
    <w:rsid w:val="514A7858"/>
    <w:rsid w:val="517616CE"/>
    <w:rsid w:val="52BB04D1"/>
    <w:rsid w:val="53283BC9"/>
    <w:rsid w:val="538452A3"/>
    <w:rsid w:val="538E6122"/>
    <w:rsid w:val="53A25729"/>
    <w:rsid w:val="53EA723C"/>
    <w:rsid w:val="55466588"/>
    <w:rsid w:val="554A067A"/>
    <w:rsid w:val="556451F6"/>
    <w:rsid w:val="55FF3307"/>
    <w:rsid w:val="560C77D2"/>
    <w:rsid w:val="562B2D19"/>
    <w:rsid w:val="564F3BCE"/>
    <w:rsid w:val="566F2249"/>
    <w:rsid w:val="571C70F4"/>
    <w:rsid w:val="578C1E3F"/>
    <w:rsid w:val="58022C3B"/>
    <w:rsid w:val="58122B18"/>
    <w:rsid w:val="582157B7"/>
    <w:rsid w:val="583737A8"/>
    <w:rsid w:val="59791FCF"/>
    <w:rsid w:val="59C70462"/>
    <w:rsid w:val="59E85E60"/>
    <w:rsid w:val="5A7A37E1"/>
    <w:rsid w:val="5A92474A"/>
    <w:rsid w:val="5AC02939"/>
    <w:rsid w:val="5B1A473F"/>
    <w:rsid w:val="5B303F63"/>
    <w:rsid w:val="5B942EAB"/>
    <w:rsid w:val="5BA34735"/>
    <w:rsid w:val="5BFB1656"/>
    <w:rsid w:val="5C2A2760"/>
    <w:rsid w:val="5C805C3A"/>
    <w:rsid w:val="5CAC586B"/>
    <w:rsid w:val="5CED210B"/>
    <w:rsid w:val="5D2D2508"/>
    <w:rsid w:val="5D3871D0"/>
    <w:rsid w:val="5D867E6A"/>
    <w:rsid w:val="5DB81EF7"/>
    <w:rsid w:val="5DC10EA2"/>
    <w:rsid w:val="5DD33159"/>
    <w:rsid w:val="5DDE1A54"/>
    <w:rsid w:val="5E401EE1"/>
    <w:rsid w:val="5E5227B4"/>
    <w:rsid w:val="5E862024"/>
    <w:rsid w:val="5E8C325E"/>
    <w:rsid w:val="5ED13367"/>
    <w:rsid w:val="5EDE3BFC"/>
    <w:rsid w:val="5FE54AEF"/>
    <w:rsid w:val="5FE62E42"/>
    <w:rsid w:val="601B6F8F"/>
    <w:rsid w:val="604F0C94"/>
    <w:rsid w:val="60811390"/>
    <w:rsid w:val="60E03D35"/>
    <w:rsid w:val="60E905BC"/>
    <w:rsid w:val="611C486A"/>
    <w:rsid w:val="612C3317"/>
    <w:rsid w:val="613320B7"/>
    <w:rsid w:val="61442516"/>
    <w:rsid w:val="61B03707"/>
    <w:rsid w:val="621A6DD3"/>
    <w:rsid w:val="63911317"/>
    <w:rsid w:val="64032214"/>
    <w:rsid w:val="64B4350F"/>
    <w:rsid w:val="64C17C5F"/>
    <w:rsid w:val="64E32222"/>
    <w:rsid w:val="660C0310"/>
    <w:rsid w:val="674A54CB"/>
    <w:rsid w:val="68324E76"/>
    <w:rsid w:val="68740EAF"/>
    <w:rsid w:val="68B32721"/>
    <w:rsid w:val="69074555"/>
    <w:rsid w:val="691A37DC"/>
    <w:rsid w:val="695F7E2D"/>
    <w:rsid w:val="69C73CE4"/>
    <w:rsid w:val="6A443604"/>
    <w:rsid w:val="6A633A0D"/>
    <w:rsid w:val="6ACC2E0B"/>
    <w:rsid w:val="6ACD0E86"/>
    <w:rsid w:val="6B080110"/>
    <w:rsid w:val="6B6537B4"/>
    <w:rsid w:val="6B6B37C9"/>
    <w:rsid w:val="6B9F656F"/>
    <w:rsid w:val="6BBB5183"/>
    <w:rsid w:val="6C2537A1"/>
    <w:rsid w:val="6C296590"/>
    <w:rsid w:val="6CA87DFD"/>
    <w:rsid w:val="6D8141AA"/>
    <w:rsid w:val="6DAF0580"/>
    <w:rsid w:val="6DD02520"/>
    <w:rsid w:val="6DE17F47"/>
    <w:rsid w:val="6DF66946"/>
    <w:rsid w:val="6E1128F7"/>
    <w:rsid w:val="6E6B7F83"/>
    <w:rsid w:val="6EA77C40"/>
    <w:rsid w:val="6EB352B4"/>
    <w:rsid w:val="6EE2110B"/>
    <w:rsid w:val="70411D13"/>
    <w:rsid w:val="706C0ED2"/>
    <w:rsid w:val="70A41317"/>
    <w:rsid w:val="71431EA2"/>
    <w:rsid w:val="71775FF0"/>
    <w:rsid w:val="718B602C"/>
    <w:rsid w:val="71927477"/>
    <w:rsid w:val="71A843FB"/>
    <w:rsid w:val="7222612A"/>
    <w:rsid w:val="727D45B0"/>
    <w:rsid w:val="727F5D14"/>
    <w:rsid w:val="728C1627"/>
    <w:rsid w:val="72D8486C"/>
    <w:rsid w:val="74125515"/>
    <w:rsid w:val="74143D3D"/>
    <w:rsid w:val="7479207F"/>
    <w:rsid w:val="74AE7F7A"/>
    <w:rsid w:val="75410DEE"/>
    <w:rsid w:val="7571756C"/>
    <w:rsid w:val="75862CA5"/>
    <w:rsid w:val="75AA6994"/>
    <w:rsid w:val="75EA0EAB"/>
    <w:rsid w:val="75F25C45"/>
    <w:rsid w:val="76102BC1"/>
    <w:rsid w:val="768A4DBF"/>
    <w:rsid w:val="768D73E4"/>
    <w:rsid w:val="76DA5057"/>
    <w:rsid w:val="778B45A3"/>
    <w:rsid w:val="77AC443F"/>
    <w:rsid w:val="786749F3"/>
    <w:rsid w:val="78AD22F7"/>
    <w:rsid w:val="78F607B2"/>
    <w:rsid w:val="791800B8"/>
    <w:rsid w:val="792720A9"/>
    <w:rsid w:val="79A15AC2"/>
    <w:rsid w:val="7A4B1DC7"/>
    <w:rsid w:val="7A74131E"/>
    <w:rsid w:val="7B1B79EC"/>
    <w:rsid w:val="7B7F7F7B"/>
    <w:rsid w:val="7BC65611"/>
    <w:rsid w:val="7C2C76E7"/>
    <w:rsid w:val="7C683105"/>
    <w:rsid w:val="7C793524"/>
    <w:rsid w:val="7C865339"/>
    <w:rsid w:val="7D9D6867"/>
    <w:rsid w:val="7DAB214F"/>
    <w:rsid w:val="7DC51E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line="360" w:lineRule="auto"/>
      <w:outlineLvl w:val="1"/>
    </w:pPr>
    <w:rPr>
      <w:rFonts w:ascii="Arial" w:hAnsi="Arial"/>
      <w:b/>
      <w:bCs/>
      <w:sz w:val="24"/>
      <w:szCs w:val="32"/>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next w:val="5"/>
    <w:autoRedefine/>
    <w:qFormat/>
    <w:uiPriority w:val="0"/>
    <w:rPr>
      <w:rFonts w:ascii="宋体" w:hAnsi="宋体" w:eastAsia="宋体" w:cs="宋体"/>
      <w:sz w:val="31"/>
      <w:szCs w:val="31"/>
      <w:lang w:val="en-US" w:eastAsia="en-US" w:bidi="ar-SA"/>
    </w:rPr>
  </w:style>
  <w:style w:type="paragraph" w:styleId="5">
    <w:name w:val="Body Text 2"/>
    <w:basedOn w:val="1"/>
    <w:next w:val="4"/>
    <w:semiHidden/>
    <w:qFormat/>
    <w:uiPriority w:val="99"/>
    <w:pPr>
      <w:spacing w:after="120" w:line="480" w:lineRule="auto"/>
    </w:pPr>
  </w:style>
  <w:style w:type="paragraph" w:styleId="6">
    <w:name w:val="Body Text Indent"/>
    <w:basedOn w:val="1"/>
    <w:autoRedefine/>
    <w:qFormat/>
    <w:uiPriority w:val="0"/>
    <w:pPr>
      <w:tabs>
        <w:tab w:val="left" w:pos="0"/>
      </w:tabs>
      <w:ind w:firstLine="538" w:firstLineChars="192"/>
    </w:pPr>
    <w:rPr>
      <w:rFonts w:ascii="Tahoma" w:hAnsi="Tahoma"/>
      <w:kern w:val="2"/>
      <w:sz w:val="28"/>
      <w:szCs w:val="24"/>
    </w:rPr>
  </w:style>
  <w:style w:type="paragraph" w:styleId="7">
    <w:name w:val="Plain Text"/>
    <w:basedOn w:val="1"/>
    <w:qFormat/>
    <w:uiPriority w:val="0"/>
    <w:rPr>
      <w:rFonts w:ascii="宋体" w:hAnsi="Courier New" w:cs="Courier New"/>
      <w:szCs w:val="21"/>
    </w:rPr>
  </w:style>
  <w:style w:type="paragraph" w:styleId="8">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0">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1">
    <w:name w:val="Body Text First Indent 2"/>
    <w:basedOn w:val="6"/>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paragraph" w:customStyle="1" w:styleId="14">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5">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16">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17">
    <w:name w:val="Table Normal"/>
    <w:autoRedefine/>
    <w:semiHidden/>
    <w:unhideWhenUsed/>
    <w:qFormat/>
    <w:uiPriority w:val="0"/>
    <w:tblPr>
      <w:tblCellMar>
        <w:top w:w="0" w:type="dxa"/>
        <w:left w:w="0" w:type="dxa"/>
        <w:bottom w:w="0" w:type="dxa"/>
        <w:right w:w="0" w:type="dxa"/>
      </w:tblCellMar>
    </w:tblPr>
  </w:style>
  <w:style w:type="paragraph" w:customStyle="1" w:styleId="18">
    <w:name w:val="Table Text"/>
    <w:basedOn w:val="1"/>
    <w:autoRedefine/>
    <w:semiHidden/>
    <w:qFormat/>
    <w:uiPriority w:val="0"/>
    <w:rPr>
      <w:rFonts w:ascii="Arial" w:hAnsi="Arial" w:eastAsia="Arial" w:cs="Arial"/>
      <w:sz w:val="21"/>
      <w:szCs w:val="21"/>
      <w:lang w:val="en-US" w:eastAsia="en-US" w:bidi="ar-SA"/>
    </w:rPr>
  </w:style>
  <w:style w:type="paragraph" w:customStyle="1" w:styleId="19">
    <w:name w:val="列出段落1"/>
    <w:basedOn w:val="1"/>
    <w:autoRedefine/>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46</Pages>
  <Words>15765</Words>
  <Characters>16645</Characters>
  <TotalTime>30</TotalTime>
  <ScaleCrop>false</ScaleCrop>
  <LinksUpToDate>false</LinksUpToDate>
  <CharactersWithSpaces>16959</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NTKO</cp:lastModifiedBy>
  <dcterms:modified xsi:type="dcterms:W3CDTF">2026-09-04T01:55:46Z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2052-12.1.0.28505</vt:lpwstr>
  </property>
  <property fmtid="{D5CDD505-2E9C-101B-9397-08002B2CF9AE}" pid="5" name="ICV">
    <vt:lpwstr>8D51803906414E998E870F17500B9188_13</vt:lpwstr>
  </property>
  <property fmtid="{D5CDD505-2E9C-101B-9397-08002B2CF9AE}" pid="6" name="KSOTemplateDocerSaveRecord">
    <vt:lpwstr>eyJoZGlkIjoiYTUyM2UwYjBmYzc3YmM3ZjI1ODg2NTk3ZGJhZGNiNGIiLCJ1c2VySWQiOiI0MTY3MTE2MDgifQ==</vt:lpwstr>
  </property>
</Properties>
</file>