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16B16">
      <w:pPr>
        <w:rPr>
          <w:rFonts w:hint="eastAsia" w:asciiTheme="minorEastAsia" w:hAnsiTheme="minorEastAsia" w:eastAsiaTheme="minorEastAsia" w:cstheme="minorEastAsia"/>
          <w:spacing w:val="-2"/>
          <w:sz w:val="52"/>
          <w:szCs w:val="52"/>
          <w:lang w:eastAsia="zh-CN"/>
        </w:rPr>
      </w:pPr>
    </w:p>
    <w:p w14:paraId="6BBA2A00">
      <w:pPr>
        <w:kinsoku/>
        <w:wordWrap w:val="0"/>
        <w:spacing w:line="360" w:lineRule="auto"/>
        <w:jc w:val="center"/>
        <w:outlineLvl w:val="0"/>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2"/>
          <w:sz w:val="52"/>
          <w:szCs w:val="52"/>
          <w:lang w:eastAsia="zh-CN"/>
        </w:rPr>
        <w:t>南阳市</w:t>
      </w:r>
      <w:r>
        <w:rPr>
          <w:rFonts w:hint="eastAsia" w:asciiTheme="minorEastAsia" w:hAnsiTheme="minorEastAsia" w:eastAsiaTheme="minorEastAsia" w:cstheme="minorEastAsia"/>
          <w:spacing w:val="-2"/>
          <w:sz w:val="52"/>
          <w:szCs w:val="52"/>
        </w:rPr>
        <w:t>政府采购项目</w:t>
      </w:r>
    </w:p>
    <w:p w14:paraId="4269291E">
      <w:pPr>
        <w:kinsoku/>
        <w:wordWrap w:val="0"/>
        <w:spacing w:line="360" w:lineRule="auto"/>
        <w:jc w:val="center"/>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3"/>
          <w:sz w:val="52"/>
          <w:szCs w:val="52"/>
        </w:rPr>
        <w:t>公开招标文件</w:t>
      </w:r>
    </w:p>
    <w:p w14:paraId="74EB57C3">
      <w:pPr>
        <w:kinsoku/>
        <w:wordWrap w:val="0"/>
        <w:spacing w:line="316" w:lineRule="auto"/>
        <w:jc w:val="both"/>
        <w:rPr>
          <w:rFonts w:asciiTheme="minorEastAsia" w:hAnsiTheme="minorEastAsia" w:eastAsiaTheme="minorEastAsia" w:cstheme="minorEastAsia"/>
        </w:rPr>
      </w:pPr>
    </w:p>
    <w:p w14:paraId="5EC95733">
      <w:pPr>
        <w:kinsoku/>
        <w:wordWrap w:val="0"/>
        <w:spacing w:line="316" w:lineRule="auto"/>
        <w:jc w:val="both"/>
        <w:rPr>
          <w:rFonts w:asciiTheme="minorEastAsia" w:hAnsiTheme="minorEastAsia" w:eastAsiaTheme="minorEastAsia" w:cstheme="minorEastAsia"/>
        </w:rPr>
      </w:pPr>
    </w:p>
    <w:p w14:paraId="7E88584F">
      <w:pPr>
        <w:kinsoku/>
        <w:wordWrap w:val="0"/>
        <w:spacing w:line="317" w:lineRule="auto"/>
        <w:jc w:val="both"/>
        <w:rPr>
          <w:rFonts w:asciiTheme="minorEastAsia" w:hAnsiTheme="minorEastAsia" w:eastAsiaTheme="minorEastAsia" w:cstheme="minorEastAsia"/>
        </w:rPr>
      </w:pPr>
    </w:p>
    <w:p w14:paraId="28340FD5">
      <w:pPr>
        <w:kinsoku/>
        <w:wordWrap w:val="0"/>
        <w:spacing w:line="360" w:lineRule="auto"/>
        <w:jc w:val="both"/>
        <w:rPr>
          <w:rFonts w:asciiTheme="minorEastAsia" w:hAnsiTheme="minorEastAsia" w:eastAsiaTheme="minorEastAsia" w:cstheme="minorEastAsia"/>
          <w:b/>
          <w:bCs/>
          <w:spacing w:val="-17"/>
          <w:sz w:val="36"/>
          <w:szCs w:val="36"/>
        </w:rPr>
      </w:pPr>
    </w:p>
    <w:p w14:paraId="22C10BA2">
      <w:pPr>
        <w:kinsoku/>
        <w:wordWrap w:val="0"/>
        <w:spacing w:line="360" w:lineRule="auto"/>
        <w:jc w:val="both"/>
        <w:rPr>
          <w:rFonts w:asciiTheme="minorEastAsia" w:hAnsiTheme="minorEastAsia" w:eastAsiaTheme="minorEastAsia" w:cstheme="minorEastAsia"/>
          <w:b/>
          <w:bCs/>
          <w:spacing w:val="-17"/>
          <w:sz w:val="36"/>
          <w:szCs w:val="36"/>
        </w:rPr>
      </w:pPr>
    </w:p>
    <w:p w14:paraId="6267A5B7">
      <w:pPr>
        <w:wordWrap w:val="0"/>
        <w:spacing w:line="249" w:lineRule="auto"/>
        <w:jc w:val="both"/>
        <w:rPr>
          <w:lang w:eastAsia="zh-CN"/>
        </w:rPr>
      </w:pPr>
    </w:p>
    <w:p w14:paraId="162FBF56">
      <w:pPr>
        <w:wordWrap w:val="0"/>
        <w:spacing w:line="249" w:lineRule="auto"/>
        <w:jc w:val="both"/>
        <w:rPr>
          <w:lang w:eastAsia="zh-CN"/>
        </w:rPr>
      </w:pPr>
    </w:p>
    <w:p w14:paraId="7F3A4CBD">
      <w:pPr>
        <w:pStyle w:val="7"/>
        <w:wordWrap w:val="0"/>
        <w:spacing w:line="360" w:lineRule="auto"/>
        <w:ind w:firstLine="287" w:firstLineChars="100"/>
        <w:jc w:val="both"/>
        <w:rPr>
          <w:rFonts w:hint="eastAsia"/>
          <w:b w:val="0"/>
          <w:bCs w:val="0"/>
          <w:spacing w:val="-17"/>
          <w:sz w:val="32"/>
          <w:szCs w:val="32"/>
          <w:u w:val="single"/>
          <w:lang w:val="en-US" w:eastAsia="zh-CN"/>
        </w:rPr>
      </w:pPr>
      <w:r>
        <w:rPr>
          <w:rFonts w:hint="eastAsia"/>
          <w:b/>
          <w:bCs/>
          <w:spacing w:val="-17"/>
          <w:sz w:val="32"/>
          <w:szCs w:val="32"/>
          <w:lang w:eastAsia="zh-CN"/>
        </w:rPr>
        <w:t>项目名称：</w:t>
      </w:r>
      <w:r>
        <w:rPr>
          <w:rFonts w:hint="eastAsia"/>
          <w:b w:val="0"/>
          <w:bCs w:val="0"/>
          <w:spacing w:val="-17"/>
          <w:sz w:val="32"/>
          <w:szCs w:val="32"/>
          <w:u w:val="single"/>
          <w:lang w:val="en-US" w:eastAsia="zh-CN"/>
        </w:rPr>
        <w:t>南阳市第二十二中学校2026年</w:t>
      </w:r>
    </w:p>
    <w:p w14:paraId="73B62E65">
      <w:pPr>
        <w:pStyle w:val="7"/>
        <w:wordWrap w:val="0"/>
        <w:spacing w:line="360" w:lineRule="auto"/>
        <w:ind w:firstLine="2002" w:firstLineChars="700"/>
        <w:jc w:val="both"/>
        <w:rPr>
          <w:rFonts w:hint="eastAsia" w:ascii="宋体" w:hAnsi="宋体" w:eastAsia="宋体" w:cs="宋体"/>
          <w:b w:val="0"/>
          <w:bCs w:val="0"/>
          <w:color w:val="000000"/>
          <w:kern w:val="0"/>
          <w:sz w:val="32"/>
          <w:szCs w:val="32"/>
          <w:u w:val="single"/>
          <w:lang w:val="en-US" w:eastAsia="zh-CN"/>
        </w:rPr>
      </w:pPr>
      <w:r>
        <w:rPr>
          <w:rFonts w:hint="eastAsia"/>
          <w:b w:val="0"/>
          <w:bCs w:val="0"/>
          <w:spacing w:val="-17"/>
          <w:sz w:val="32"/>
          <w:szCs w:val="32"/>
          <w:u w:val="single"/>
          <w:lang w:val="en-US" w:eastAsia="zh-CN"/>
        </w:rPr>
        <w:t>薄弱环节改造与能力提升项目</w:t>
      </w:r>
    </w:p>
    <w:p w14:paraId="5C0C2BE9">
      <w:pPr>
        <w:wordWrap w:val="0"/>
        <w:spacing w:line="360" w:lineRule="auto"/>
        <w:ind w:firstLine="287" w:firstLineChars="100"/>
        <w:jc w:val="both"/>
        <w:rPr>
          <w:rFonts w:ascii="宋体" w:hAnsi="宋体" w:eastAsia="宋体" w:cs="宋体"/>
          <w:spacing w:val="-15"/>
          <w:sz w:val="24"/>
          <w:szCs w:val="24"/>
          <w:lang w:eastAsia="zh-CN"/>
        </w:rPr>
      </w:pPr>
      <w:r>
        <w:rPr>
          <w:rFonts w:hint="eastAsia" w:ascii="宋体" w:hAnsi="宋体" w:eastAsia="宋体" w:cs="宋体"/>
          <w:b/>
          <w:bCs/>
          <w:spacing w:val="-17"/>
          <w:sz w:val="32"/>
          <w:szCs w:val="32"/>
          <w:lang w:eastAsia="zh-CN"/>
        </w:rPr>
        <w:t>项目编号：</w:t>
      </w:r>
      <w:r>
        <w:rPr>
          <w:rFonts w:hint="eastAsia" w:ascii="宋体" w:hAnsi="宋体" w:eastAsia="宋体" w:cs="宋体"/>
          <w:spacing w:val="-17"/>
          <w:sz w:val="32"/>
          <w:szCs w:val="32"/>
          <w:u w:val="single"/>
          <w:lang w:eastAsia="zh-CN"/>
        </w:rPr>
        <w:t xml:space="preserve"> </w:t>
      </w:r>
      <w:r>
        <w:rPr>
          <w:rFonts w:hint="eastAsia" w:ascii="宋体" w:hAnsi="宋体" w:eastAsia="宋体" w:cs="宋体"/>
          <w:spacing w:val="-17"/>
          <w:sz w:val="32"/>
          <w:szCs w:val="32"/>
          <w:u w:val="single"/>
          <w:lang w:val="en-US" w:eastAsia="zh-CN"/>
        </w:rPr>
        <w:t xml:space="preserve"> 南阳政采公开-2026-53   </w:t>
      </w:r>
      <w:r>
        <w:rPr>
          <w:rFonts w:hint="eastAsia" w:ascii="宋体" w:hAnsi="宋体" w:eastAsia="宋体" w:cs="宋体"/>
          <w:b/>
          <w:bCs/>
          <w:spacing w:val="-17"/>
          <w:sz w:val="32"/>
          <w:szCs w:val="32"/>
          <w:lang w:eastAsia="zh-CN"/>
        </w:rPr>
        <w:t xml:space="preserve">  </w:t>
      </w:r>
      <w:r>
        <w:rPr>
          <w:rFonts w:hint="eastAsia" w:ascii="宋体" w:hAnsi="宋体" w:eastAsia="宋体" w:cs="宋体"/>
          <w:spacing w:val="-15"/>
          <w:sz w:val="24"/>
          <w:szCs w:val="24"/>
          <w:lang w:eastAsia="zh-CN"/>
        </w:rPr>
        <w:t xml:space="preserve">               </w:t>
      </w:r>
    </w:p>
    <w:p w14:paraId="410A641C">
      <w:pPr>
        <w:wordWrap w:val="0"/>
        <w:spacing w:line="360" w:lineRule="auto"/>
        <w:ind w:firstLine="287" w:firstLineChars="100"/>
        <w:jc w:val="both"/>
        <w:rPr>
          <w:rFonts w:ascii="宋体" w:hAnsi="宋体" w:eastAsia="宋体" w:cs="宋体"/>
          <w:b/>
          <w:bCs/>
          <w:spacing w:val="-17"/>
          <w:sz w:val="32"/>
          <w:szCs w:val="32"/>
          <w:lang w:eastAsia="zh-CN"/>
        </w:rPr>
      </w:pPr>
      <w:r>
        <w:rPr>
          <w:rFonts w:hint="eastAsia" w:ascii="宋体" w:hAnsi="宋体" w:eastAsia="宋体" w:cs="宋体"/>
          <w:b/>
          <w:bCs/>
          <w:spacing w:val="-17"/>
          <w:sz w:val="32"/>
          <w:szCs w:val="32"/>
          <w:lang w:eastAsia="zh-CN"/>
        </w:rPr>
        <w:t>采 购 人：</w:t>
      </w:r>
      <w:r>
        <w:rPr>
          <w:rFonts w:hint="eastAsia" w:ascii="宋体" w:hAnsi="宋体" w:eastAsia="宋体" w:cs="宋体"/>
          <w:b/>
          <w:bCs/>
          <w:spacing w:val="-17"/>
          <w:sz w:val="32"/>
          <w:szCs w:val="32"/>
          <w:u w:val="single"/>
          <w:lang w:val="en-US" w:eastAsia="zh-CN"/>
        </w:rPr>
        <w:t xml:space="preserve">   </w:t>
      </w:r>
      <w:r>
        <w:rPr>
          <w:rFonts w:hint="eastAsia"/>
          <w:b w:val="0"/>
          <w:bCs w:val="0"/>
          <w:spacing w:val="-17"/>
          <w:sz w:val="32"/>
          <w:szCs w:val="32"/>
          <w:u w:val="single"/>
          <w:lang w:val="en-US" w:eastAsia="zh-CN"/>
        </w:rPr>
        <w:t>第二十二中学校</w:t>
      </w:r>
      <w:r>
        <w:rPr>
          <w:rFonts w:hint="eastAsia" w:ascii="宋体" w:hAnsi="宋体" w:eastAsia="宋体" w:cs="宋体"/>
          <w:b w:val="0"/>
          <w:bCs w:val="0"/>
          <w:spacing w:val="-15"/>
          <w:sz w:val="24"/>
          <w:szCs w:val="24"/>
          <w:u w:val="single"/>
          <w:lang w:eastAsia="zh-CN"/>
        </w:rPr>
        <w:t xml:space="preserve"> </w:t>
      </w:r>
      <w:r>
        <w:rPr>
          <w:rFonts w:hint="eastAsia" w:ascii="宋体" w:hAnsi="宋体" w:eastAsia="宋体" w:cs="宋体"/>
          <w:b w:val="0"/>
          <w:bCs w:val="0"/>
          <w:spacing w:val="-15"/>
          <w:sz w:val="24"/>
          <w:szCs w:val="24"/>
          <w:u w:val="single"/>
          <w:lang w:val="en-US" w:eastAsia="zh-CN"/>
        </w:rPr>
        <w:t xml:space="preserve">        </w:t>
      </w:r>
      <w:r>
        <w:rPr>
          <w:rFonts w:hint="eastAsia" w:ascii="宋体" w:hAnsi="宋体" w:eastAsia="宋体" w:cs="宋体"/>
          <w:spacing w:val="-15"/>
          <w:sz w:val="24"/>
          <w:szCs w:val="24"/>
          <w:lang w:eastAsia="zh-CN"/>
        </w:rPr>
        <w:t xml:space="preserve">               </w:t>
      </w:r>
    </w:p>
    <w:p w14:paraId="1E4B2403">
      <w:pPr>
        <w:pStyle w:val="7"/>
        <w:wordWrap w:val="0"/>
        <w:spacing w:line="360" w:lineRule="auto"/>
        <w:ind w:firstLine="287" w:firstLineChars="100"/>
        <w:jc w:val="both"/>
        <w:outlineLvl w:val="1"/>
        <w:rPr>
          <w:spacing w:val="-17"/>
          <w:sz w:val="32"/>
          <w:szCs w:val="32"/>
          <w:lang w:eastAsia="zh-CN"/>
        </w:rPr>
      </w:pPr>
      <w:r>
        <w:rPr>
          <w:rFonts w:hint="eastAsia"/>
          <w:b/>
          <w:bCs/>
          <w:spacing w:val="-17"/>
          <w:sz w:val="32"/>
          <w:szCs w:val="32"/>
          <w:lang w:eastAsia="zh-CN"/>
        </w:rPr>
        <w:t>采购代理机构：</w:t>
      </w:r>
      <w:r>
        <w:rPr>
          <w:rFonts w:hint="eastAsia"/>
          <w:spacing w:val="-17"/>
          <w:sz w:val="32"/>
          <w:szCs w:val="32"/>
          <w:u w:val="single"/>
          <w:lang w:eastAsia="zh-CN"/>
        </w:rPr>
        <w:t>南阳市公共资源交易中心</w:t>
      </w:r>
    </w:p>
    <w:p w14:paraId="5057C91F">
      <w:pPr>
        <w:wordWrap w:val="0"/>
        <w:spacing w:line="360" w:lineRule="auto"/>
        <w:jc w:val="both"/>
        <w:rPr>
          <w:rFonts w:ascii="宋体" w:hAnsi="宋体" w:eastAsia="宋体" w:cs="宋体"/>
          <w:b/>
          <w:bCs/>
          <w:spacing w:val="-17"/>
          <w:sz w:val="32"/>
          <w:szCs w:val="32"/>
          <w:u w:val="single"/>
          <w:lang w:eastAsia="zh-CN"/>
        </w:rPr>
      </w:pPr>
    </w:p>
    <w:p w14:paraId="72D039F6">
      <w:pPr>
        <w:wordWrap w:val="0"/>
        <w:spacing w:line="360" w:lineRule="auto"/>
        <w:jc w:val="both"/>
        <w:rPr>
          <w:rFonts w:ascii="宋体" w:hAnsi="宋体" w:eastAsia="宋体" w:cs="宋体"/>
          <w:b/>
          <w:bCs/>
          <w:spacing w:val="-17"/>
          <w:sz w:val="32"/>
          <w:szCs w:val="32"/>
          <w:u w:val="single"/>
          <w:lang w:eastAsia="zh-CN"/>
        </w:rPr>
      </w:pPr>
    </w:p>
    <w:p w14:paraId="518A28A2">
      <w:pPr>
        <w:pStyle w:val="37"/>
        <w:ind w:firstLine="3186" w:firstLineChars="900"/>
        <w:rPr>
          <w:rFonts w:hint="eastAsia"/>
          <w:color w:val="auto"/>
          <w:spacing w:val="-3"/>
          <w:sz w:val="36"/>
          <w:szCs w:val="36"/>
          <w:highlight w:val="none"/>
          <w:lang w:val="en-US" w:eastAsia="zh-CN"/>
        </w:rPr>
      </w:pPr>
    </w:p>
    <w:p w14:paraId="68226F65">
      <w:pPr>
        <w:pStyle w:val="37"/>
        <w:ind w:firstLine="3186" w:firstLineChars="900"/>
        <w:rPr>
          <w:rFonts w:hint="default"/>
          <w:color w:val="auto"/>
          <w:highlight w:val="none"/>
          <w:lang w:val="en-US"/>
        </w:rPr>
        <w:sectPr>
          <w:pgSz w:w="11907" w:h="16840"/>
          <w:pgMar w:top="1440" w:right="1800" w:bottom="1440" w:left="1800" w:header="878" w:footer="0" w:gutter="0"/>
          <w:cols w:space="720" w:num="1"/>
        </w:sectPr>
      </w:pPr>
      <w:r>
        <w:rPr>
          <w:rFonts w:hint="eastAsia"/>
          <w:color w:val="auto"/>
          <w:spacing w:val="-3"/>
          <w:sz w:val="36"/>
          <w:szCs w:val="36"/>
          <w:highlight w:val="none"/>
          <w:lang w:val="en-US" w:eastAsia="zh-CN"/>
        </w:rPr>
        <w:t>2026年9月</w:t>
      </w:r>
    </w:p>
    <w:p w14:paraId="2415F14C">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sz w:val="21"/>
        </w:rPr>
      </w:pPr>
    </w:p>
    <w:sdt>
      <w:sdtPr>
        <w:rPr>
          <w:rFonts w:hint="eastAsia" w:asciiTheme="minorEastAsia" w:hAnsiTheme="minorEastAsia" w:eastAsiaTheme="minorEastAsia" w:cstheme="minorEastAsia"/>
          <w:sz w:val="21"/>
          <w:szCs w:val="21"/>
        </w:rPr>
        <w:id w:val="2"/>
        <w:docPartObj>
          <w:docPartGallery w:val="Table of Contents"/>
          <w:docPartUnique/>
        </w:docPartObj>
      </w:sdtPr>
      <w:sdtEndPr>
        <w:rPr>
          <w:rFonts w:hint="eastAsia" w:asciiTheme="minorEastAsia" w:hAnsiTheme="minorEastAsia" w:eastAsiaTheme="minorEastAsia" w:cstheme="minorEastAsia"/>
          <w:sz w:val="28"/>
          <w:szCs w:val="28"/>
          <w:lang w:val="en-US"/>
        </w:rPr>
      </w:sdtEndPr>
      <w:sdtContent>
        <w:p w14:paraId="2CC0EAC0">
          <w:pPr>
            <w:pStyle w:val="7"/>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录</w:t>
          </w:r>
        </w:p>
        <w:p w14:paraId="3E25CFC7">
          <w:pPr>
            <w:pStyle w:val="7"/>
            <w:keepNext w:val="0"/>
            <w:keepLines w:val="0"/>
            <w:pageBreakBefore w:val="0"/>
            <w:kinsoku/>
            <w:wordWrap w:val="0"/>
            <w:overflowPunct/>
            <w:topLinePunct w:val="0"/>
            <w:bidi w:val="0"/>
            <w:jc w:val="both"/>
            <w:rPr>
              <w:rFonts w:hint="eastAsia"/>
              <w:shd w:val="clear" w:color="FFFFFF" w:fill="D9D9D9"/>
            </w:rPr>
          </w:pPr>
        </w:p>
        <w:p w14:paraId="4D7A6634">
          <w:pPr>
            <w:pStyle w:val="7"/>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第一章</w:t>
          </w:r>
          <w:r>
            <w:rPr>
              <w:rFonts w:hint="eastAsia"/>
              <w:sz w:val="28"/>
              <w:szCs w:val="28"/>
              <w:lang w:val="en-US" w:eastAsia="zh-CN"/>
            </w:rPr>
            <w:t xml:space="preserve"> </w:t>
          </w:r>
          <w:r>
            <w:rPr>
              <w:rFonts w:hint="eastAsia"/>
              <w:sz w:val="28"/>
              <w:szCs w:val="28"/>
              <w:lang w:eastAsia="zh-CN"/>
            </w:rPr>
            <w:t>公开招标公告</w:t>
          </w:r>
        </w:p>
        <w:p w14:paraId="168A436A">
          <w:pPr>
            <w:pStyle w:val="7"/>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二</w:t>
          </w:r>
          <w:r>
            <w:rPr>
              <w:rFonts w:hint="eastAsia"/>
              <w:sz w:val="28"/>
              <w:szCs w:val="28"/>
            </w:rPr>
            <w:t>章</w:t>
          </w:r>
          <w:r>
            <w:rPr>
              <w:rFonts w:hint="eastAsia"/>
              <w:sz w:val="28"/>
              <w:szCs w:val="28"/>
              <w:lang w:val="en-US" w:eastAsia="zh-CN"/>
            </w:rPr>
            <w:t xml:space="preserve"> </w:t>
          </w:r>
          <w:r>
            <w:rPr>
              <w:rFonts w:hint="eastAsia"/>
              <w:sz w:val="28"/>
              <w:szCs w:val="28"/>
            </w:rPr>
            <w:t>采购需求</w:t>
          </w:r>
        </w:p>
        <w:p w14:paraId="69076CD6">
          <w:pPr>
            <w:pStyle w:val="7"/>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三</w:t>
          </w:r>
          <w:r>
            <w:rPr>
              <w:rFonts w:hint="eastAsia"/>
              <w:sz w:val="28"/>
              <w:szCs w:val="28"/>
            </w:rPr>
            <w:t>章</w:t>
          </w:r>
          <w:r>
            <w:rPr>
              <w:rFonts w:hint="eastAsia"/>
              <w:sz w:val="28"/>
              <w:szCs w:val="28"/>
              <w:lang w:val="en-US" w:eastAsia="zh-CN"/>
            </w:rPr>
            <w:t xml:space="preserve"> </w:t>
          </w:r>
          <w:r>
            <w:rPr>
              <w:rFonts w:hint="eastAsia"/>
              <w:sz w:val="28"/>
              <w:szCs w:val="28"/>
            </w:rPr>
            <w:t>投标人须知</w:t>
          </w:r>
        </w:p>
        <w:p w14:paraId="0D30588B">
          <w:pPr>
            <w:pStyle w:val="7"/>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四</w:t>
          </w:r>
          <w:r>
            <w:rPr>
              <w:rFonts w:hint="eastAsia"/>
              <w:sz w:val="28"/>
              <w:szCs w:val="28"/>
            </w:rPr>
            <w:t>章</w:t>
          </w:r>
          <w:r>
            <w:rPr>
              <w:rFonts w:hint="eastAsia"/>
              <w:sz w:val="28"/>
              <w:szCs w:val="28"/>
              <w:lang w:val="en-US" w:eastAsia="zh-CN"/>
            </w:rPr>
            <w:t xml:space="preserve"> 开、</w:t>
          </w:r>
          <w:r>
            <w:rPr>
              <w:rFonts w:hint="eastAsia"/>
              <w:sz w:val="28"/>
              <w:szCs w:val="28"/>
            </w:rPr>
            <w:t>评标程序、评标方法和评标标准</w:t>
          </w:r>
        </w:p>
        <w:p w14:paraId="74AB1363">
          <w:pPr>
            <w:pStyle w:val="7"/>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五</w:t>
          </w:r>
          <w:r>
            <w:rPr>
              <w:rFonts w:hint="eastAsia"/>
              <w:sz w:val="28"/>
              <w:szCs w:val="28"/>
            </w:rPr>
            <w:t>章</w:t>
          </w:r>
          <w:r>
            <w:rPr>
              <w:rFonts w:hint="eastAsia"/>
              <w:sz w:val="28"/>
              <w:szCs w:val="28"/>
              <w:lang w:val="en-US" w:eastAsia="zh-CN"/>
            </w:rPr>
            <w:t xml:space="preserve"> </w:t>
          </w:r>
          <w:r>
            <w:rPr>
              <w:rFonts w:hint="eastAsia"/>
              <w:sz w:val="28"/>
              <w:szCs w:val="28"/>
              <w:lang w:eastAsia="zh-CN"/>
            </w:rPr>
            <w:t>政府采购合同（草案）</w:t>
          </w:r>
        </w:p>
        <w:p w14:paraId="4AEC450D">
          <w:pPr>
            <w:pStyle w:val="7"/>
            <w:keepNext w:val="0"/>
            <w:keepLines w:val="0"/>
            <w:pageBreakBefore w:val="0"/>
            <w:kinsoku/>
            <w:wordWrap w:val="0"/>
            <w:overflowPunct/>
            <w:topLinePunct w:val="0"/>
            <w:bidi w:val="0"/>
            <w:spacing w:line="360" w:lineRule="auto"/>
            <w:jc w:val="both"/>
            <w:rPr>
              <w:rFonts w:hint="eastAsia"/>
              <w:sz w:val="28"/>
              <w:szCs w:val="28"/>
            </w:rPr>
          </w:pPr>
          <w:r>
            <w:rPr>
              <w:rFonts w:hint="eastAsia"/>
              <w:sz w:val="28"/>
              <w:szCs w:val="28"/>
            </w:rPr>
            <w:t>第</w:t>
          </w:r>
          <w:r>
            <w:rPr>
              <w:rFonts w:hint="eastAsia"/>
              <w:sz w:val="28"/>
              <w:szCs w:val="28"/>
              <w:lang w:val="en-US" w:eastAsia="zh-CN"/>
            </w:rPr>
            <w:t>六</w:t>
          </w:r>
          <w:r>
            <w:rPr>
              <w:rFonts w:hint="eastAsia"/>
              <w:sz w:val="28"/>
              <w:szCs w:val="28"/>
            </w:rPr>
            <w:t>章</w:t>
          </w:r>
          <w:r>
            <w:rPr>
              <w:rFonts w:hint="eastAsia"/>
              <w:sz w:val="28"/>
              <w:szCs w:val="28"/>
              <w:lang w:val="en-US" w:eastAsia="zh-CN"/>
            </w:rPr>
            <w:t xml:space="preserve"> </w:t>
          </w:r>
          <w:r>
            <w:rPr>
              <w:rFonts w:hint="eastAsia"/>
              <w:sz w:val="28"/>
              <w:szCs w:val="28"/>
            </w:rPr>
            <w:t>投标文件格式</w:t>
          </w:r>
        </w:p>
      </w:sdtContent>
    </w:sdt>
    <w:p w14:paraId="29843182">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21ED4F5">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93CF4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18651E71">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0A611F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6E336E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691A500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F90979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79410B21">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3ED1769E">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246090E">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580FDE5">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7C2ED30">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993F7C6">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9CF83F3">
      <w:pPr>
        <w:pStyle w:val="7"/>
        <w:keepNext w:val="0"/>
        <w:keepLines w:val="0"/>
        <w:pageBreakBefore w:val="0"/>
        <w:kinsoku/>
        <w:wordWrap w:val="0"/>
        <w:overflowPunct/>
        <w:topLinePunct w:val="0"/>
        <w:bidi w:val="0"/>
        <w:spacing w:before="353" w:line="360" w:lineRule="auto"/>
        <w:jc w:val="center"/>
        <w:rPr>
          <w:spacing w:val="-6"/>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公开招标公告</w:t>
      </w:r>
    </w:p>
    <w:p w14:paraId="0A6A9C5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p>
    <w:p w14:paraId="5DFFBCA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公开</w:t>
      </w:r>
      <w:r>
        <w:rPr>
          <w:spacing w:val="-6"/>
          <w:sz w:val="24"/>
          <w:szCs w:val="24"/>
        </w:rPr>
        <w:t>招标方式组织采购活动，</w:t>
      </w:r>
      <w:r>
        <w:rPr>
          <w:rFonts w:hint="eastAsia"/>
          <w:spacing w:val="-6"/>
          <w:sz w:val="24"/>
          <w:szCs w:val="24"/>
          <w:lang w:eastAsia="zh-CN"/>
        </w:rPr>
        <w:t>欢迎潜在投标人</w:t>
      </w:r>
      <w:r>
        <w:rPr>
          <w:spacing w:val="-6"/>
          <w:sz w:val="24"/>
          <w:szCs w:val="24"/>
        </w:rPr>
        <w:t>参与本项目投标。</w:t>
      </w:r>
    </w:p>
    <w:p w14:paraId="0786EA2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一、项目基本情况</w:t>
      </w:r>
    </w:p>
    <w:p w14:paraId="020461B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5"/>
          <w:sz w:val="24"/>
          <w:szCs w:val="24"/>
        </w:rPr>
        <w:t>1.项目编号：</w:t>
      </w:r>
      <w:r>
        <w:rPr>
          <w:rFonts w:hint="eastAsia" w:asciiTheme="minorEastAsia" w:hAnsiTheme="minorEastAsia" w:eastAsiaTheme="minorEastAsia" w:cstheme="minorEastAsia"/>
          <w:color w:val="auto"/>
          <w:spacing w:val="-25"/>
          <w:sz w:val="24"/>
          <w:szCs w:val="24"/>
          <w:lang w:val="en-US" w:eastAsia="zh-CN"/>
        </w:rPr>
        <w:t>南阳政采公开-2026-53</w:t>
      </w:r>
    </w:p>
    <w:p w14:paraId="0AAEACA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24"/>
          <w:sz w:val="24"/>
          <w:szCs w:val="24"/>
          <w:lang w:val="en-US"/>
        </w:rPr>
      </w:pPr>
      <w:r>
        <w:rPr>
          <w:rFonts w:hint="eastAsia" w:asciiTheme="minorEastAsia" w:hAnsiTheme="minorEastAsia" w:eastAsiaTheme="minorEastAsia" w:cstheme="minorEastAsia"/>
          <w:color w:val="auto"/>
          <w:spacing w:val="-24"/>
          <w:sz w:val="24"/>
          <w:szCs w:val="24"/>
        </w:rPr>
        <w:t>2.项目名称：</w:t>
      </w:r>
      <w:r>
        <w:rPr>
          <w:rFonts w:hint="eastAsia"/>
          <w:color w:val="0D0D0D" w:themeColor="text1" w:themeTint="F2"/>
          <w:spacing w:val="0"/>
          <w:w w:val="100"/>
          <w:position w:val="0"/>
          <w:sz w:val="24"/>
          <w:szCs w:val="24"/>
          <w:highlight w:val="none"/>
          <w:u w:val="none"/>
          <w:lang w:val="en-US" w:eastAsia="zh-CN"/>
          <w14:textFill>
            <w14:solidFill>
              <w14:schemeClr w14:val="tx1">
                <w14:lumMod w14:val="95000"/>
                <w14:lumOff w14:val="5000"/>
              </w14:schemeClr>
            </w14:solidFill>
          </w14:textFill>
        </w:rPr>
        <w:t>南阳市第二十二中学校2026年薄弱环节改造与能力提升项目</w:t>
      </w:r>
    </w:p>
    <w:p w14:paraId="7164D31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rPr>
        <w:t>3.项目预算金额</w:t>
      </w:r>
      <w:r>
        <w:rPr>
          <w:rFonts w:hint="eastAsia" w:asciiTheme="minorEastAsia" w:hAnsiTheme="minorEastAsia" w:eastAsiaTheme="minorEastAsia" w:cstheme="minorEastAsia"/>
          <w:color w:val="auto"/>
          <w:spacing w:val="-14"/>
          <w:sz w:val="24"/>
          <w:szCs w:val="24"/>
          <w:highlight w:val="none"/>
        </w:rPr>
        <w:t>：</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156.915181</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color w:val="auto"/>
          <w:spacing w:val="-14"/>
          <w:sz w:val="24"/>
          <w:szCs w:val="24"/>
          <w:highlight w:val="none"/>
        </w:rPr>
        <w:t>万元、项目最高限价</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u w:val="single"/>
          <w:lang w:val="en-US" w:eastAsia="zh-CN"/>
        </w:rPr>
        <w:t>156.915181</w:t>
      </w:r>
      <w:r>
        <w:rPr>
          <w:rFonts w:hint="eastAsia" w:asciiTheme="minorEastAsia" w:hAnsiTheme="minorEastAsia" w:eastAsiaTheme="minorEastAsia" w:cstheme="minorEastAsia"/>
          <w:color w:val="auto"/>
          <w:spacing w:val="-14"/>
          <w:sz w:val="24"/>
          <w:szCs w:val="24"/>
          <w:highlight w:val="none"/>
        </w:rPr>
        <w:t>万元</w:t>
      </w:r>
    </w:p>
    <w:p w14:paraId="18F48C5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4.采购需求：</w:t>
      </w:r>
    </w:p>
    <w:tbl>
      <w:tblPr>
        <w:tblStyle w:val="35"/>
        <w:tblW w:w="879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8"/>
        <w:gridCol w:w="4431"/>
        <w:gridCol w:w="1457"/>
        <w:gridCol w:w="1472"/>
      </w:tblGrid>
      <w:tr w14:paraId="06028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1438" w:type="dxa"/>
            <w:vAlign w:val="center"/>
          </w:tcPr>
          <w:p w14:paraId="5585E06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4431" w:type="dxa"/>
            <w:vAlign w:val="center"/>
          </w:tcPr>
          <w:p w14:paraId="14340E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包</w:t>
            </w:r>
            <w:r>
              <w:rPr>
                <w:rFonts w:hint="eastAsia" w:asciiTheme="minorEastAsia" w:hAnsiTheme="minorEastAsia" w:eastAsiaTheme="minorEastAsia" w:cstheme="minorEastAsia"/>
                <w:spacing w:val="7"/>
                <w:sz w:val="24"/>
                <w:szCs w:val="24"/>
              </w:rPr>
              <w:t>名称</w:t>
            </w:r>
          </w:p>
        </w:tc>
        <w:tc>
          <w:tcPr>
            <w:tcW w:w="1457" w:type="dxa"/>
            <w:vAlign w:val="center"/>
          </w:tcPr>
          <w:p w14:paraId="1745B6A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包预算</w:t>
            </w:r>
          </w:p>
          <w:p w14:paraId="3239BC4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c>
          <w:tcPr>
            <w:tcW w:w="1472" w:type="dxa"/>
            <w:vAlign w:val="center"/>
          </w:tcPr>
          <w:p w14:paraId="6D50EF3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pacing w:val="-14"/>
                <w:sz w:val="24"/>
                <w:szCs w:val="24"/>
              </w:rPr>
            </w:pPr>
            <w:r>
              <w:rPr>
                <w:rFonts w:hint="eastAsia" w:asciiTheme="minorEastAsia" w:hAnsiTheme="minorEastAsia" w:eastAsiaTheme="minorEastAsia" w:cstheme="minorEastAsia"/>
                <w:color w:val="auto"/>
                <w:spacing w:val="-14"/>
                <w:sz w:val="24"/>
                <w:szCs w:val="24"/>
              </w:rPr>
              <w:t>最高限价</w:t>
            </w:r>
          </w:p>
          <w:p w14:paraId="4EE8F1A7">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r>
      <w:tr w14:paraId="7D72F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1438" w:type="dxa"/>
            <w:vAlign w:val="center"/>
          </w:tcPr>
          <w:p w14:paraId="35DA3126">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spacing w:val="-6"/>
                <w:sz w:val="22"/>
                <w:szCs w:val="22"/>
                <w:u w:val="none"/>
                <w:lang w:val="en-US" w:eastAsia="zh-CN"/>
              </w:rPr>
            </w:pPr>
            <w:r>
              <w:rPr>
                <w:rFonts w:hint="eastAsia"/>
                <w:spacing w:val="-6"/>
                <w:sz w:val="22"/>
                <w:szCs w:val="22"/>
                <w:u w:val="none"/>
                <w:lang w:val="en-US" w:eastAsia="zh-CN"/>
              </w:rPr>
              <w:t>南阳政采公开</w:t>
            </w:r>
          </w:p>
          <w:p w14:paraId="4D23BB58">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lang w:val="en-US"/>
              </w:rPr>
            </w:pPr>
            <w:r>
              <w:rPr>
                <w:rFonts w:hint="eastAsia"/>
                <w:spacing w:val="-6"/>
                <w:sz w:val="22"/>
                <w:szCs w:val="22"/>
                <w:u w:val="none"/>
                <w:lang w:val="en-US" w:eastAsia="zh-CN"/>
              </w:rPr>
              <w:t>-2026-53</w:t>
            </w:r>
          </w:p>
        </w:tc>
        <w:tc>
          <w:tcPr>
            <w:tcW w:w="4431" w:type="dxa"/>
            <w:vAlign w:val="center"/>
          </w:tcPr>
          <w:p w14:paraId="24216CB9">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color w:val="0D0D0D" w:themeColor="text1" w:themeTint="F2"/>
                <w:spacing w:val="0"/>
                <w:w w:val="100"/>
                <w:position w:val="0"/>
                <w:sz w:val="24"/>
                <w:szCs w:val="24"/>
                <w:highlight w:val="none"/>
                <w:u w:val="none"/>
                <w:lang w:val="en-US" w:eastAsia="zh-CN"/>
                <w14:textFill>
                  <w14:solidFill>
                    <w14:schemeClr w14:val="tx1">
                      <w14:lumMod w14:val="95000"/>
                      <w14:lumOff w14:val="5000"/>
                    </w14:schemeClr>
                  </w14:solidFill>
                </w14:textFill>
              </w:rPr>
              <w:t>南阳市第二十二中学校2026年薄弱环节改造与能力提升项目</w:t>
            </w:r>
          </w:p>
        </w:tc>
        <w:tc>
          <w:tcPr>
            <w:tcW w:w="1457" w:type="dxa"/>
            <w:vAlign w:val="center"/>
          </w:tcPr>
          <w:p w14:paraId="69B2DBBD">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156.915181</w:t>
            </w:r>
          </w:p>
        </w:tc>
        <w:tc>
          <w:tcPr>
            <w:tcW w:w="1472" w:type="dxa"/>
            <w:vAlign w:val="center"/>
          </w:tcPr>
          <w:p w14:paraId="34757DB1">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pacing w:val="5"/>
                <w:sz w:val="24"/>
                <w:szCs w:val="24"/>
                <w:highlight w:val="none"/>
                <w:u w:val="single"/>
                <w:lang w:val="en-US" w:eastAsia="zh-CN"/>
              </w:rPr>
            </w:pPr>
            <w:r>
              <w:rPr>
                <w:rFonts w:hint="eastAsia" w:asciiTheme="minorEastAsia" w:hAnsiTheme="minorEastAsia" w:eastAsiaTheme="minorEastAsia" w:cstheme="minorEastAsia"/>
                <w:spacing w:val="-14"/>
                <w:sz w:val="24"/>
                <w:szCs w:val="24"/>
                <w:highlight w:val="none"/>
                <w:u w:val="single"/>
                <w:lang w:val="en-US" w:eastAsia="zh-CN"/>
              </w:rPr>
              <w:t>156.915181</w:t>
            </w:r>
          </w:p>
        </w:tc>
      </w:tr>
    </w:tbl>
    <w:p w14:paraId="09FA3D4D">
      <w:pPr>
        <w:pStyle w:val="31"/>
        <w:numPr>
          <w:ilvl w:val="2"/>
          <w:numId w:val="0"/>
        </w:numPr>
        <w:ind w:leftChars="0"/>
        <w:rPr>
          <w:rFonts w:hint="eastAsia"/>
        </w:rPr>
      </w:pPr>
    </w:p>
    <w:p w14:paraId="7FACF1E1">
      <w:pPr>
        <w:pStyle w:val="7"/>
        <w:keepNext w:val="0"/>
        <w:keepLines w:val="0"/>
        <w:pageBreakBefore w:val="0"/>
        <w:widowControl/>
        <w:numPr>
          <w:ilvl w:val="0"/>
          <w:numId w:val="2"/>
        </w:numPr>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采购清单</w:t>
      </w:r>
    </w:p>
    <w:tbl>
      <w:tblPr>
        <w:tblStyle w:val="22"/>
        <w:tblW w:w="9116" w:type="dxa"/>
        <w:tblInd w:w="93" w:type="dxa"/>
        <w:tblLayout w:type="fixed"/>
        <w:tblCellMar>
          <w:top w:w="0" w:type="dxa"/>
          <w:left w:w="108" w:type="dxa"/>
          <w:bottom w:w="0" w:type="dxa"/>
          <w:right w:w="108" w:type="dxa"/>
        </w:tblCellMar>
      </w:tblPr>
      <w:tblGrid>
        <w:gridCol w:w="645"/>
        <w:gridCol w:w="4933"/>
        <w:gridCol w:w="1838"/>
        <w:gridCol w:w="1700"/>
      </w:tblGrid>
      <w:tr w14:paraId="6A874800">
        <w:tblPrEx>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B34B">
            <w:pPr>
              <w:spacing w:line="360" w:lineRule="auto"/>
              <w:jc w:val="center"/>
              <w:textAlignment w:val="center"/>
              <w:rPr>
                <w:rFonts w:ascii="宋体" w:hAnsi="宋体" w:eastAsia="宋体" w:cs="宋体"/>
                <w:b/>
                <w:bCs/>
                <w:color w:val="000000"/>
                <w:sz w:val="22"/>
                <w:szCs w:val="20"/>
              </w:rPr>
            </w:pPr>
            <w:r>
              <w:rPr>
                <w:rFonts w:hint="eastAsia" w:ascii="宋体" w:hAnsi="宋体" w:eastAsia="宋体" w:cs="宋体"/>
                <w:b/>
                <w:bCs/>
                <w:color w:val="000000"/>
                <w:kern w:val="0"/>
                <w:sz w:val="22"/>
                <w:szCs w:val="20"/>
                <w:lang w:bidi="ar"/>
              </w:rPr>
              <w:t>序号</w:t>
            </w:r>
          </w:p>
        </w:tc>
        <w:tc>
          <w:tcPr>
            <w:tcW w:w="4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6D85">
            <w:pPr>
              <w:spacing w:line="360" w:lineRule="auto"/>
              <w:jc w:val="center"/>
              <w:textAlignment w:val="center"/>
              <w:rPr>
                <w:rFonts w:ascii="宋体" w:hAnsi="宋体" w:eastAsia="宋体" w:cs="宋体"/>
                <w:b/>
                <w:bCs/>
                <w:color w:val="000000"/>
                <w:sz w:val="22"/>
                <w:szCs w:val="20"/>
              </w:rPr>
            </w:pPr>
            <w:r>
              <w:rPr>
                <w:rFonts w:hint="eastAsia" w:ascii="宋体" w:hAnsi="宋体" w:eastAsia="宋体" w:cs="宋体"/>
                <w:b/>
                <w:bCs/>
                <w:color w:val="000000"/>
                <w:kern w:val="0"/>
                <w:sz w:val="22"/>
                <w:szCs w:val="20"/>
                <w:lang w:bidi="ar"/>
              </w:rPr>
              <w:t>产品名称</w:t>
            </w:r>
          </w:p>
        </w:tc>
        <w:tc>
          <w:tcPr>
            <w:tcW w:w="1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D67C">
            <w:pPr>
              <w:spacing w:line="360" w:lineRule="auto"/>
              <w:jc w:val="center"/>
              <w:textAlignment w:val="center"/>
              <w:rPr>
                <w:rFonts w:ascii="宋体" w:hAnsi="宋体" w:eastAsia="宋体" w:cs="宋体"/>
                <w:b/>
                <w:bCs/>
                <w:color w:val="000000"/>
                <w:sz w:val="22"/>
                <w:szCs w:val="20"/>
              </w:rPr>
            </w:pPr>
            <w:r>
              <w:rPr>
                <w:rFonts w:hint="eastAsia" w:ascii="宋体" w:hAnsi="宋体" w:eastAsia="宋体" w:cs="宋体"/>
                <w:b/>
                <w:bCs/>
                <w:color w:val="000000"/>
                <w:kern w:val="0"/>
                <w:sz w:val="22"/>
                <w:szCs w:val="20"/>
                <w:lang w:bidi="ar"/>
              </w:rPr>
              <w:t>单位</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3EB4">
            <w:pPr>
              <w:spacing w:line="360" w:lineRule="auto"/>
              <w:jc w:val="center"/>
              <w:textAlignment w:val="center"/>
              <w:rPr>
                <w:rFonts w:ascii="宋体" w:hAnsi="宋体" w:eastAsia="宋体" w:cs="宋体"/>
                <w:b/>
                <w:bCs/>
                <w:color w:val="000000"/>
                <w:sz w:val="22"/>
                <w:szCs w:val="20"/>
              </w:rPr>
            </w:pPr>
            <w:r>
              <w:rPr>
                <w:rFonts w:hint="eastAsia" w:ascii="宋体" w:hAnsi="宋体" w:eastAsia="宋体" w:cs="宋体"/>
                <w:b/>
                <w:bCs/>
                <w:color w:val="000000"/>
                <w:kern w:val="0"/>
                <w:sz w:val="22"/>
                <w:szCs w:val="20"/>
                <w:lang w:bidi="ar"/>
              </w:rPr>
              <w:t>数量</w:t>
            </w:r>
          </w:p>
        </w:tc>
      </w:tr>
      <w:tr w14:paraId="34F5C688">
        <w:tblPrEx>
          <w:tblCellMar>
            <w:top w:w="0" w:type="dxa"/>
            <w:left w:w="108" w:type="dxa"/>
            <w:bottom w:w="0" w:type="dxa"/>
            <w:right w:w="108" w:type="dxa"/>
          </w:tblCellMar>
        </w:tblPrEx>
        <w:trPr>
          <w:trHeight w:val="539" w:hRule="atLeast"/>
        </w:trPr>
        <w:tc>
          <w:tcPr>
            <w:tcW w:w="91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C16105">
            <w:pPr>
              <w:spacing w:line="360" w:lineRule="auto"/>
              <w:jc w:val="center"/>
              <w:textAlignment w:val="center"/>
              <w:rPr>
                <w:rFonts w:hint="default" w:ascii="宋体" w:hAnsi="宋体" w:eastAsia="宋体" w:cs="宋体"/>
                <w:b/>
                <w:color w:val="000000"/>
                <w:kern w:val="0"/>
                <w:sz w:val="22"/>
                <w:szCs w:val="20"/>
                <w:lang w:val="en-US" w:eastAsia="zh-CN" w:bidi="ar"/>
              </w:rPr>
            </w:pPr>
            <w:r>
              <w:rPr>
                <w:rFonts w:hint="eastAsia" w:ascii="宋体" w:hAnsi="宋体" w:eastAsia="宋体" w:cs="宋体"/>
                <w:b/>
                <w:color w:val="000000"/>
                <w:kern w:val="0"/>
                <w:sz w:val="22"/>
                <w:szCs w:val="20"/>
                <w:lang w:val="en-US" w:eastAsia="zh-CN" w:bidi="ar"/>
              </w:rPr>
              <w:t>LED电子显示屏（东校区）</w:t>
            </w:r>
          </w:p>
        </w:tc>
      </w:tr>
      <w:tr w14:paraId="07A70C0D">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0093">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A3597">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户外全彩LED显示屏</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D954">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8C81">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41.727</w:t>
            </w:r>
          </w:p>
        </w:tc>
      </w:tr>
      <w:tr w14:paraId="628ABBA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1EC1">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2A38">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LED显示屏钢架结构及周边装饰</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D094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B635">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49.896</w:t>
            </w:r>
          </w:p>
        </w:tc>
      </w:tr>
      <w:tr w14:paraId="3A5A7171">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9E8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3</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DDB1">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LED控制系统</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F83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8D2E">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61C847FB">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9DCC">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4</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5B4A">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视频处理器</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26C0">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4166">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66B0F92E">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7C8F">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5</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5D3B">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 xml:space="preserve">数据接收卡 </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EA7B">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张</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CA4F">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28</w:t>
            </w:r>
          </w:p>
        </w:tc>
      </w:tr>
      <w:tr w14:paraId="03223028">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BEAC">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6</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3BFC">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接收卡间网线</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C9FD">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条</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EC7A">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25</w:t>
            </w:r>
          </w:p>
        </w:tc>
      </w:tr>
      <w:tr w14:paraId="37BBB004">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EC2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7</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5047">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散热风机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3A50">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156E">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4</w:t>
            </w:r>
          </w:p>
        </w:tc>
      </w:tr>
      <w:tr w14:paraId="6E68DF57">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2E0C">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8</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4E5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空调</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3383">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D97E">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34EE5C56">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F4BD">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9</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1E8C">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LED显示屏专用智能配电柜</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089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AB28">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7F4E198B">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1205">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10</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983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控制电脑</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B4C0">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66B1">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2B3F8299">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A97F">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B974">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主电源线</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0B7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盘</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DA75">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13</w:t>
            </w:r>
          </w:p>
        </w:tc>
      </w:tr>
      <w:tr w14:paraId="2EB032BE">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64FE">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E863">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其他辅材</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28D1">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51C0">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577D3C67">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A28A">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13</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679BB">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施工安装调试</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60EF">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BABD">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346881D1">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3BDC">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14</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1D0B">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空调拆装窗户拆改</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04E6">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6FF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2ABCCF7C">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81AB">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15</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B2E6">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主席台拆除</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8CC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F3F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767DF0A7">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B505">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16</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215F">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旗杆拆除</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2C7A">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F82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3CD121DB">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35E5">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17</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75F6">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绿化带拆除</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977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5EB7">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05D7A963">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4930">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18</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6128">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旗杆基础制作安装</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5DC6">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DA3C">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1A885039">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C09A">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19</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1A82">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主席台基础制作安装</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5B0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B08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682FE0ED">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1985F">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20</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46EF">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机械费</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F156">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C3BB">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41D9A423">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9A9B">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21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A6DD">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垃圾清运</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D004">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705A">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7B798FC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638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22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C4946">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施工其他辅材及人工</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35A9">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3565">
            <w:pPr>
              <w:spacing w:line="360" w:lineRule="auto"/>
              <w:jc w:val="center"/>
              <w:textAlignment w:val="center"/>
              <w:rPr>
                <w:rFonts w:hint="eastAsia" w:ascii="宋体" w:hAnsi="宋体" w:eastAsia="宋体" w:cs="宋体"/>
                <w:color w:val="000000"/>
                <w:kern w:val="0"/>
                <w:sz w:val="22"/>
                <w:szCs w:val="20"/>
                <w:lang w:val="en-US" w:eastAsia="zh-CN" w:bidi="ar"/>
              </w:rPr>
            </w:pPr>
            <w:r>
              <w:rPr>
                <w:rFonts w:hint="eastAsia" w:ascii="宋体" w:hAnsi="宋体" w:eastAsia="宋体" w:cs="宋体"/>
                <w:color w:val="000000"/>
                <w:kern w:val="0"/>
                <w:sz w:val="22"/>
                <w:szCs w:val="20"/>
                <w:lang w:val="en-US" w:eastAsia="zh-CN" w:bidi="ar"/>
              </w:rPr>
              <w:t>1</w:t>
            </w:r>
          </w:p>
        </w:tc>
      </w:tr>
      <w:tr w14:paraId="5ADB9EEC">
        <w:tblPrEx>
          <w:tblCellMar>
            <w:top w:w="0" w:type="dxa"/>
            <w:left w:w="108" w:type="dxa"/>
            <w:bottom w:w="0" w:type="dxa"/>
            <w:right w:w="108" w:type="dxa"/>
          </w:tblCellMar>
        </w:tblPrEx>
        <w:trPr>
          <w:trHeight w:val="348" w:hRule="atLeast"/>
        </w:trPr>
        <w:tc>
          <w:tcPr>
            <w:tcW w:w="91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AC4BAC">
            <w:pPr>
              <w:spacing w:line="360" w:lineRule="auto"/>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b/>
                <w:color w:val="000000"/>
                <w:kern w:val="0"/>
                <w:sz w:val="22"/>
                <w:szCs w:val="20"/>
                <w:lang w:val="en-US" w:eastAsia="zh-CN" w:bidi="ar"/>
              </w:rPr>
              <w:t>LED电子显示屏（西校区）</w:t>
            </w:r>
          </w:p>
        </w:tc>
      </w:tr>
      <w:tr w14:paraId="265F4F8C">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40A7">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5855">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户外全彩LED显示屏</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F22F">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450B">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12.1856</w:t>
            </w:r>
          </w:p>
        </w:tc>
      </w:tr>
      <w:tr w14:paraId="711C0848">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C4F0">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68C0">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LED显示屏钢架结构及周边装饰</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7239">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1402">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17</w:t>
            </w:r>
          </w:p>
        </w:tc>
      </w:tr>
      <w:tr w14:paraId="62BF8197">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BE76">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3</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914E">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LED控制系统</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235A">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A892">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w:t>
            </w:r>
          </w:p>
        </w:tc>
      </w:tr>
      <w:tr w14:paraId="115D71C0">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3077">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4</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75C5">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视频处理器</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F99D">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EF0E">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w:t>
            </w:r>
          </w:p>
        </w:tc>
      </w:tr>
      <w:tr w14:paraId="477ACC68">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BFA0">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5</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9080">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 xml:space="preserve">数据接收卡 </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16D1">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张</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86CB8">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28</w:t>
            </w:r>
          </w:p>
        </w:tc>
      </w:tr>
      <w:tr w14:paraId="44380761">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E30C">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6</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B1F8">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接收卡间网线</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48D5">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条</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4514">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26</w:t>
            </w:r>
          </w:p>
        </w:tc>
      </w:tr>
      <w:tr w14:paraId="1733B88D">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45B1">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7</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FF2D5">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散热风机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328B">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5B84">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3</w:t>
            </w:r>
          </w:p>
        </w:tc>
      </w:tr>
      <w:tr w14:paraId="5D3CE231">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3371">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8</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DC06">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LED显示屏专用智能配电柜</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53CA">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E5F0">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w:t>
            </w:r>
          </w:p>
        </w:tc>
      </w:tr>
      <w:tr w14:paraId="3672641B">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7854">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9</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9DC0">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控制电脑</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950A">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BB72">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w:t>
            </w:r>
          </w:p>
        </w:tc>
      </w:tr>
      <w:tr w14:paraId="69066940">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F590">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10</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BCAA">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主电源线</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F36F">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盘</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787B">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4</w:t>
            </w:r>
          </w:p>
        </w:tc>
      </w:tr>
      <w:tr w14:paraId="098FAA6A">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B31E">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961E">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其他辅材</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1488">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6F2D">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w:t>
            </w:r>
          </w:p>
        </w:tc>
      </w:tr>
      <w:tr w14:paraId="1BA9DA1C">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779F">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88E3">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施工安装调试</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6E6F">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190B">
            <w:pPr>
              <w:keepNext w:val="0"/>
              <w:keepLines w:val="0"/>
              <w:widowControl/>
              <w:suppressLineNumbers w:val="0"/>
              <w:jc w:val="center"/>
              <w:textAlignment w:val="center"/>
              <w:rPr>
                <w:rFonts w:hint="eastAsia" w:ascii="宋体" w:hAnsi="宋体" w:eastAsia="宋体" w:cs="宋体"/>
                <w:b/>
                <w:color w:val="000000"/>
                <w:kern w:val="0"/>
                <w:sz w:val="22"/>
                <w:szCs w:val="20"/>
                <w:lang w:bidi="ar"/>
              </w:rPr>
            </w:pPr>
            <w:r>
              <w:rPr>
                <w:rFonts w:hint="eastAsia" w:ascii="宋体" w:hAnsi="宋体" w:eastAsia="宋体" w:cs="宋体"/>
                <w:i w:val="0"/>
                <w:iCs w:val="0"/>
                <w:color w:val="000000"/>
                <w:kern w:val="0"/>
                <w:sz w:val="22"/>
                <w:szCs w:val="22"/>
                <w:u w:val="none"/>
                <w:lang w:val="en-US" w:eastAsia="zh-CN" w:bidi="ar"/>
              </w:rPr>
              <w:t>1</w:t>
            </w:r>
          </w:p>
        </w:tc>
      </w:tr>
      <w:tr w14:paraId="5BDD34E8">
        <w:tblPrEx>
          <w:tblCellMar>
            <w:top w:w="0" w:type="dxa"/>
            <w:left w:w="108" w:type="dxa"/>
            <w:bottom w:w="0" w:type="dxa"/>
            <w:right w:w="108" w:type="dxa"/>
          </w:tblCellMar>
        </w:tblPrEx>
        <w:trPr>
          <w:trHeight w:val="348" w:hRule="atLeast"/>
        </w:trPr>
        <w:tc>
          <w:tcPr>
            <w:tcW w:w="91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F29050">
            <w:pPr>
              <w:spacing w:line="360" w:lineRule="auto"/>
              <w:jc w:val="center"/>
              <w:textAlignment w:val="center"/>
              <w:rPr>
                <w:rFonts w:ascii="宋体" w:hAnsi="宋体" w:eastAsia="宋体" w:cs="宋体"/>
                <w:b/>
                <w:color w:val="000000"/>
                <w:kern w:val="0"/>
                <w:sz w:val="22"/>
                <w:szCs w:val="20"/>
                <w:lang w:bidi="ar"/>
              </w:rPr>
            </w:pPr>
            <w:r>
              <w:rPr>
                <w:rFonts w:hint="eastAsia" w:ascii="宋体" w:hAnsi="宋体" w:eastAsia="宋体" w:cs="宋体"/>
                <w:b/>
                <w:color w:val="000000"/>
                <w:kern w:val="0"/>
                <w:sz w:val="22"/>
                <w:szCs w:val="20"/>
                <w:lang w:bidi="ar"/>
              </w:rPr>
              <w:t>数据中心</w:t>
            </w:r>
          </w:p>
        </w:tc>
      </w:tr>
      <w:tr w14:paraId="4F47E7D9">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F7F4">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79D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服务器</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3BE8">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6E1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2</w:t>
            </w:r>
          </w:p>
        </w:tc>
      </w:tr>
      <w:tr w14:paraId="1FD05C32">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7FF2">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E8DA">
            <w:pPr>
              <w:spacing w:line="360" w:lineRule="auto"/>
              <w:jc w:val="center"/>
              <w:textAlignment w:val="center"/>
              <w:rPr>
                <w:rFonts w:hint="eastAsia" w:ascii="宋体" w:hAnsi="宋体" w:eastAsia="宋体" w:cs="宋体"/>
                <w:color w:val="000000"/>
                <w:sz w:val="22"/>
                <w:szCs w:val="20"/>
                <w:lang w:eastAsia="zh-CN"/>
              </w:rPr>
            </w:pPr>
            <w:r>
              <w:rPr>
                <w:rFonts w:hint="eastAsia" w:ascii="宋体" w:hAnsi="宋体" w:eastAsia="宋体" w:cs="宋体"/>
                <w:b/>
                <w:bCs/>
                <w:color w:val="000000"/>
                <w:kern w:val="0"/>
                <w:sz w:val="22"/>
                <w:szCs w:val="20"/>
                <w:lang w:bidi="ar"/>
              </w:rPr>
              <w:t>存储</w:t>
            </w:r>
            <w:r>
              <w:rPr>
                <w:rFonts w:hint="eastAsia" w:ascii="宋体" w:hAnsi="宋体" w:eastAsia="宋体" w:cs="宋体"/>
                <w:b/>
                <w:bCs/>
                <w:color w:val="000000"/>
                <w:kern w:val="0"/>
                <w:sz w:val="22"/>
                <w:szCs w:val="20"/>
                <w:lang w:eastAsia="zh-CN" w:bidi="ar"/>
              </w:rPr>
              <w:t>（核心产品）</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537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066D">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3C879C03">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EB8A">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3</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B2D4">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超融合虚拟化软件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2655">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4DF4E">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4</w:t>
            </w:r>
          </w:p>
        </w:tc>
      </w:tr>
      <w:tr w14:paraId="4964ED1A">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07EA0">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4</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0A51">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校园信息化资源管理软件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8DA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A71A">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24F94CF3">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63D0">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5</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D78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机柜</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AD26">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8B3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48E423F9">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96F97">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6</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A17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机柜附件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5AE0">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78B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563B38B3">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7411">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7</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17B4">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防火墙</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DF51">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69CC4">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6616A64C">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1BBD">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8</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EBDB">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交换机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ACBF">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54CF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46988EBA">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5FF2">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9</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C7E5">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精密空调</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8B0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5D85">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0B4A238B">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071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r>
              <w:rPr>
                <w:rFonts w:ascii="宋体" w:hAnsi="宋体" w:eastAsia="宋体" w:cs="宋体"/>
                <w:color w:val="000000"/>
                <w:kern w:val="0"/>
                <w:sz w:val="22"/>
                <w:szCs w:val="20"/>
                <w:lang w:bidi="ar"/>
              </w:rPr>
              <w:t>0</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869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空调附件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906E8">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7E68">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76699F04">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F7F6">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r>
              <w:rPr>
                <w:rFonts w:ascii="宋体" w:hAnsi="宋体" w:eastAsia="宋体" w:cs="宋体"/>
                <w:color w:val="000000"/>
                <w:kern w:val="0"/>
                <w:sz w:val="22"/>
                <w:szCs w:val="20"/>
                <w:lang w:bidi="ar"/>
              </w:rPr>
              <w:t>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BD1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柜式七氟丙烷气体灭火装置</w:t>
            </w:r>
          </w:p>
        </w:tc>
        <w:tc>
          <w:tcPr>
            <w:tcW w:w="1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3E6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30250">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0B649297">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63C3">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12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4D24">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集成</w:t>
            </w:r>
            <w:r>
              <w:rPr>
                <w:rFonts w:ascii="宋体" w:hAnsi="宋体" w:eastAsia="宋体" w:cs="宋体"/>
                <w:color w:val="000000"/>
                <w:kern w:val="0"/>
                <w:sz w:val="22"/>
                <w:szCs w:val="20"/>
                <w:lang w:bidi="ar"/>
              </w:rPr>
              <w:t>服务</w:t>
            </w:r>
          </w:p>
        </w:tc>
        <w:tc>
          <w:tcPr>
            <w:tcW w:w="1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9B8D">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9A17">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1</w:t>
            </w:r>
          </w:p>
        </w:tc>
      </w:tr>
      <w:tr w14:paraId="1B604C06">
        <w:tblPrEx>
          <w:tblCellMar>
            <w:top w:w="0" w:type="dxa"/>
            <w:left w:w="108" w:type="dxa"/>
            <w:bottom w:w="0" w:type="dxa"/>
            <w:right w:w="108" w:type="dxa"/>
          </w:tblCellMar>
        </w:tblPrEx>
        <w:trPr>
          <w:trHeight w:val="348" w:hRule="atLeast"/>
        </w:trPr>
        <w:tc>
          <w:tcPr>
            <w:tcW w:w="91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065EF8">
            <w:pPr>
              <w:spacing w:line="360" w:lineRule="auto"/>
              <w:jc w:val="center"/>
              <w:textAlignment w:val="center"/>
              <w:rPr>
                <w:rFonts w:ascii="宋体" w:hAnsi="宋体" w:eastAsia="宋体" w:cs="宋体"/>
                <w:b/>
                <w:color w:val="000000"/>
                <w:kern w:val="0"/>
                <w:sz w:val="22"/>
                <w:szCs w:val="20"/>
                <w:lang w:bidi="ar"/>
              </w:rPr>
            </w:pPr>
            <w:r>
              <w:rPr>
                <w:rFonts w:hint="eastAsia" w:ascii="宋体" w:hAnsi="宋体" w:eastAsia="宋体" w:cs="宋体"/>
                <w:b/>
                <w:color w:val="000000"/>
                <w:kern w:val="0"/>
                <w:sz w:val="22"/>
                <w:szCs w:val="20"/>
                <w:lang w:bidi="ar"/>
              </w:rPr>
              <w:t>录播</w:t>
            </w:r>
            <w:r>
              <w:rPr>
                <w:rFonts w:ascii="宋体" w:hAnsi="宋体" w:eastAsia="宋体" w:cs="宋体"/>
                <w:b/>
                <w:color w:val="000000"/>
                <w:kern w:val="0"/>
                <w:sz w:val="22"/>
                <w:szCs w:val="20"/>
                <w:lang w:bidi="ar"/>
              </w:rPr>
              <w:t>教室</w:t>
            </w:r>
          </w:p>
        </w:tc>
      </w:tr>
      <w:tr w14:paraId="2189ACC6">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51C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F48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4K智慧AI精品录播主机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D2C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FEA8">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1774C81E">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C3CE">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CB9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智能摄录与流媒体处理软件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3F1E">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607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47A89BAA">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B62C">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3</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F31A">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AI智能跟踪处理软件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2CAE">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7744">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1543EE5C">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0A3A">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4</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990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智能课堂行为分析软件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981E">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044A">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46B2313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735E">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5</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6EFD">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智能语音分析软件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0025">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C901">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185D636A">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5E32">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6</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6109">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录播课堂资源管理软件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0D9C">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3272">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1</w:t>
            </w:r>
          </w:p>
        </w:tc>
      </w:tr>
      <w:tr w14:paraId="28473F04">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6828">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7</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9C5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AI智能4K特写云台摄像机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BB5E">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FC1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4</w:t>
            </w:r>
          </w:p>
        </w:tc>
      </w:tr>
      <w:tr w14:paraId="7E4FC73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9B2C">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8</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FE9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AI智能特写跟踪拍摄软件</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A5B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0F21">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4</w:t>
            </w:r>
          </w:p>
        </w:tc>
      </w:tr>
      <w:tr w14:paraId="7A4126F5">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5599">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9</w:t>
            </w:r>
          </w:p>
        </w:tc>
        <w:tc>
          <w:tcPr>
            <w:tcW w:w="4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97760">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录播控制面板</w:t>
            </w:r>
          </w:p>
        </w:tc>
        <w:tc>
          <w:tcPr>
            <w:tcW w:w="1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5930">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个</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FB2A">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0084153A">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27E1">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10</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B438">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电源管理器</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322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0436">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2B1E699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62C4">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E9F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数字音频主机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0026">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083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1AA96A69">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70C9">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679F">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老师扩声麦克风</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C34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支</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D2B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2</w:t>
            </w:r>
          </w:p>
        </w:tc>
      </w:tr>
      <w:tr w14:paraId="614EC7D1">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E1C8">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13</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08DA">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学生麦克风</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8C8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支</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28DA">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4</w:t>
            </w:r>
          </w:p>
        </w:tc>
      </w:tr>
      <w:tr w14:paraId="4D66CDC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8414">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14</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823B">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专业级音箱</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9EF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6091">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73361E65">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29BD">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15</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A6DE">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教学交互平板</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14A2">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DA05">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10</w:t>
            </w:r>
          </w:p>
        </w:tc>
      </w:tr>
      <w:tr w14:paraId="2E08CC9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27CC">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16</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5C1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导播电脑</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17E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98AD">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38C6F2FE">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6CFF">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17</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F7B6">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数字媒体台式计算机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8DCE">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8714">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2</w:t>
            </w:r>
          </w:p>
        </w:tc>
      </w:tr>
      <w:tr w14:paraId="2F776F37">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07EA">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18</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2C45">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千兆交换机</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04BF">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94D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5FB7A4F4">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AC3F">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19</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E1C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智慧讲桌</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8F2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4D0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5514BCA3">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C897">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20</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7613">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学生桌椅</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CBC1">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085B">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56</w:t>
            </w:r>
          </w:p>
        </w:tc>
      </w:tr>
      <w:tr w14:paraId="4CAE2768">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51DF">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21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C82E">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观摩室音箱</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8057">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37BB">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139127AD">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FE6F">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22</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85C6">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观摩电视</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448B">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DF55">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2</w:t>
            </w:r>
          </w:p>
        </w:tc>
      </w:tr>
      <w:tr w14:paraId="6CC04E55">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AAB0">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23</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926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智慧黑板</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0008">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FA0F">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7C5FDB2E">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2E5D">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24</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D209">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视频展台</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62A1">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FF7C">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0EB7CFE9">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7BD7">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25</w:t>
            </w:r>
          </w:p>
        </w:tc>
        <w:tc>
          <w:tcPr>
            <w:tcW w:w="4933" w:type="dxa"/>
            <w:tcBorders>
              <w:top w:val="single" w:color="auto" w:sz="4" w:space="0"/>
              <w:left w:val="single" w:color="auto" w:sz="4" w:space="0"/>
              <w:bottom w:val="single" w:color="auto" w:sz="4" w:space="0"/>
              <w:right w:val="single" w:color="auto" w:sz="4" w:space="0"/>
            </w:tcBorders>
            <w:shd w:val="clear" w:color="auto" w:fill="auto"/>
            <w:vAlign w:val="center"/>
          </w:tcPr>
          <w:p w14:paraId="7CEAE68D">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课堂智能反馈系统</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62ADD611">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套</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6DF6">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2</w:t>
            </w:r>
          </w:p>
        </w:tc>
      </w:tr>
      <w:tr w14:paraId="3B20315F">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AA44">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26</w:t>
            </w:r>
          </w:p>
        </w:tc>
        <w:tc>
          <w:tcPr>
            <w:tcW w:w="4933" w:type="dxa"/>
            <w:tcBorders>
              <w:top w:val="nil"/>
              <w:left w:val="single" w:color="auto" w:sz="4" w:space="0"/>
              <w:bottom w:val="single" w:color="auto" w:sz="4" w:space="0"/>
              <w:right w:val="single" w:color="auto" w:sz="4" w:space="0"/>
            </w:tcBorders>
            <w:shd w:val="clear" w:color="auto" w:fill="auto"/>
            <w:vAlign w:val="center"/>
          </w:tcPr>
          <w:p w14:paraId="6661E80B">
            <w:pPr>
              <w:spacing w:line="360" w:lineRule="auto"/>
              <w:jc w:val="center"/>
              <w:textAlignment w:val="center"/>
              <w:rPr>
                <w:rFonts w:hint="eastAsia" w:ascii="宋体" w:hAnsi="宋体" w:eastAsia="宋体" w:cs="宋体"/>
                <w:color w:val="000000"/>
                <w:kern w:val="0"/>
                <w:sz w:val="22"/>
                <w:szCs w:val="20"/>
                <w:lang w:eastAsia="zh-CN" w:bidi="ar"/>
              </w:rPr>
            </w:pPr>
            <w:r>
              <w:rPr>
                <w:rFonts w:hint="eastAsia" w:ascii="宋体" w:hAnsi="宋体" w:eastAsia="宋体" w:cs="宋体"/>
                <w:color w:val="000000"/>
                <w:sz w:val="22"/>
                <w:szCs w:val="20"/>
              </w:rPr>
              <w:t>AI算力模块</w:t>
            </w:r>
            <w:r>
              <w:rPr>
                <w:rFonts w:hint="eastAsia" w:ascii="宋体" w:hAnsi="宋体" w:eastAsia="宋体" w:cs="宋体"/>
                <w:color w:val="000000"/>
                <w:sz w:val="22"/>
                <w:szCs w:val="20"/>
                <w:lang w:eastAsia="zh-CN"/>
              </w:rPr>
              <w:t>（</w:t>
            </w:r>
            <w:r>
              <w:rPr>
                <w:rFonts w:hint="eastAsia" w:ascii="宋体" w:hAnsi="宋体" w:eastAsia="宋体" w:cs="宋体"/>
                <w:color w:val="000000"/>
                <w:sz w:val="22"/>
                <w:szCs w:val="20"/>
                <w:lang w:val="en-US" w:eastAsia="zh-CN"/>
              </w:rPr>
              <w:t>智能分析终端</w:t>
            </w:r>
            <w:r>
              <w:rPr>
                <w:rFonts w:hint="eastAsia" w:ascii="宋体" w:hAnsi="宋体" w:eastAsia="宋体" w:cs="宋体"/>
                <w:color w:val="000000"/>
                <w:sz w:val="22"/>
                <w:szCs w:val="20"/>
                <w:lang w:eastAsia="zh-CN"/>
              </w:rPr>
              <w:t>）</w:t>
            </w:r>
          </w:p>
        </w:tc>
        <w:tc>
          <w:tcPr>
            <w:tcW w:w="1838" w:type="dxa"/>
            <w:tcBorders>
              <w:top w:val="nil"/>
              <w:left w:val="single" w:color="auto" w:sz="4" w:space="0"/>
              <w:bottom w:val="single" w:color="auto" w:sz="4" w:space="0"/>
              <w:right w:val="single" w:color="auto" w:sz="4" w:space="0"/>
            </w:tcBorders>
            <w:shd w:val="clear" w:color="auto" w:fill="auto"/>
            <w:vAlign w:val="center"/>
          </w:tcPr>
          <w:p w14:paraId="40F9D969">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BECD">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2</w:t>
            </w:r>
          </w:p>
        </w:tc>
      </w:tr>
      <w:tr w14:paraId="0690846C">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9E99">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27</w:t>
            </w:r>
          </w:p>
        </w:tc>
        <w:tc>
          <w:tcPr>
            <w:tcW w:w="4933" w:type="dxa"/>
            <w:tcBorders>
              <w:top w:val="nil"/>
              <w:left w:val="single" w:color="auto" w:sz="4" w:space="0"/>
              <w:bottom w:val="single" w:color="auto" w:sz="4" w:space="0"/>
              <w:right w:val="single" w:color="auto" w:sz="4" w:space="0"/>
            </w:tcBorders>
            <w:shd w:val="clear" w:color="auto" w:fill="auto"/>
            <w:vAlign w:val="center"/>
          </w:tcPr>
          <w:p w14:paraId="7CD0B778">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学生观察摄像机</w:t>
            </w:r>
          </w:p>
        </w:tc>
        <w:tc>
          <w:tcPr>
            <w:tcW w:w="1838" w:type="dxa"/>
            <w:tcBorders>
              <w:top w:val="nil"/>
              <w:left w:val="single" w:color="auto" w:sz="4" w:space="0"/>
              <w:bottom w:val="single" w:color="auto" w:sz="4" w:space="0"/>
              <w:right w:val="single" w:color="auto" w:sz="4" w:space="0"/>
            </w:tcBorders>
            <w:shd w:val="clear" w:color="auto" w:fill="auto"/>
            <w:vAlign w:val="center"/>
          </w:tcPr>
          <w:p w14:paraId="414698A9">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1FAA">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2</w:t>
            </w:r>
          </w:p>
        </w:tc>
      </w:tr>
      <w:tr w14:paraId="45946A7D">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A700">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28</w:t>
            </w:r>
          </w:p>
        </w:tc>
        <w:tc>
          <w:tcPr>
            <w:tcW w:w="4933" w:type="dxa"/>
            <w:tcBorders>
              <w:top w:val="nil"/>
              <w:left w:val="single" w:color="auto" w:sz="4" w:space="0"/>
              <w:bottom w:val="single" w:color="auto" w:sz="4" w:space="0"/>
              <w:right w:val="single" w:color="auto" w:sz="4" w:space="0"/>
            </w:tcBorders>
            <w:shd w:val="clear" w:color="auto" w:fill="auto"/>
            <w:vAlign w:val="center"/>
          </w:tcPr>
          <w:p w14:paraId="346F15ED">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教师观察摄像机</w:t>
            </w:r>
          </w:p>
        </w:tc>
        <w:tc>
          <w:tcPr>
            <w:tcW w:w="1838" w:type="dxa"/>
            <w:tcBorders>
              <w:top w:val="nil"/>
              <w:left w:val="single" w:color="auto" w:sz="4" w:space="0"/>
              <w:bottom w:val="single" w:color="auto" w:sz="4" w:space="0"/>
              <w:right w:val="single" w:color="auto" w:sz="4" w:space="0"/>
            </w:tcBorders>
            <w:shd w:val="clear" w:color="auto" w:fill="auto"/>
            <w:vAlign w:val="center"/>
          </w:tcPr>
          <w:p w14:paraId="28932FE7">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C737">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2</w:t>
            </w:r>
          </w:p>
        </w:tc>
      </w:tr>
      <w:tr w14:paraId="23430586">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1D13">
            <w:pPr>
              <w:spacing w:line="360" w:lineRule="auto"/>
              <w:jc w:val="center"/>
              <w:textAlignment w:val="center"/>
              <w:rPr>
                <w:rFonts w:ascii="宋体" w:hAnsi="宋体" w:eastAsia="宋体" w:cs="宋体"/>
                <w:color w:val="000000"/>
                <w:kern w:val="0"/>
                <w:sz w:val="22"/>
                <w:szCs w:val="20"/>
                <w:lang w:bidi="ar"/>
              </w:rPr>
            </w:pPr>
            <w:r>
              <w:rPr>
                <w:rFonts w:ascii="宋体" w:hAnsi="宋体" w:eastAsia="宋体" w:cs="宋体"/>
                <w:color w:val="000000"/>
                <w:kern w:val="0"/>
                <w:sz w:val="22"/>
                <w:szCs w:val="20"/>
                <w:lang w:bidi="ar"/>
              </w:rPr>
              <w:t>29</w:t>
            </w:r>
          </w:p>
        </w:tc>
        <w:tc>
          <w:tcPr>
            <w:tcW w:w="4933" w:type="dxa"/>
            <w:tcBorders>
              <w:top w:val="nil"/>
              <w:left w:val="single" w:color="auto" w:sz="4" w:space="0"/>
              <w:bottom w:val="single" w:color="auto" w:sz="4" w:space="0"/>
              <w:right w:val="single" w:color="auto" w:sz="4" w:space="0"/>
            </w:tcBorders>
            <w:shd w:val="clear" w:color="auto" w:fill="auto"/>
            <w:vAlign w:val="center"/>
          </w:tcPr>
          <w:p w14:paraId="66F1A2AC">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数字阵列麦克风</w:t>
            </w:r>
          </w:p>
        </w:tc>
        <w:tc>
          <w:tcPr>
            <w:tcW w:w="1838" w:type="dxa"/>
            <w:tcBorders>
              <w:top w:val="nil"/>
              <w:left w:val="single" w:color="auto" w:sz="4" w:space="0"/>
              <w:bottom w:val="single" w:color="auto" w:sz="4" w:space="0"/>
              <w:right w:val="single" w:color="auto" w:sz="4" w:space="0"/>
            </w:tcBorders>
            <w:shd w:val="clear" w:color="auto" w:fill="auto"/>
            <w:vAlign w:val="center"/>
          </w:tcPr>
          <w:p w14:paraId="631377A4">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sz w:val="22"/>
                <w:szCs w:val="20"/>
              </w:rPr>
              <w:t>台</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5175">
            <w:pPr>
              <w:spacing w:line="360" w:lineRule="auto"/>
              <w:jc w:val="center"/>
              <w:textAlignment w:val="center"/>
              <w:rPr>
                <w:rFonts w:ascii="宋体" w:hAnsi="宋体" w:eastAsia="宋体" w:cs="宋体"/>
                <w:color w:val="000000"/>
                <w:kern w:val="0"/>
                <w:sz w:val="22"/>
                <w:szCs w:val="20"/>
                <w:lang w:bidi="ar"/>
              </w:rPr>
            </w:pPr>
            <w:r>
              <w:rPr>
                <w:rFonts w:hint="eastAsia" w:ascii="宋体" w:hAnsi="宋体" w:eastAsia="宋体" w:cs="宋体"/>
                <w:color w:val="000000"/>
                <w:kern w:val="0"/>
                <w:sz w:val="22"/>
                <w:szCs w:val="20"/>
                <w:lang w:bidi="ar"/>
              </w:rPr>
              <w:t>2</w:t>
            </w:r>
          </w:p>
        </w:tc>
      </w:tr>
      <w:tr w14:paraId="61376801">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82EF">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30</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F8F2">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环境改造</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B8B8">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2D5D">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r w14:paraId="29979DA8">
        <w:tblPrEx>
          <w:tblCellMar>
            <w:top w:w="0" w:type="dxa"/>
            <w:left w:w="108" w:type="dxa"/>
            <w:bottom w:w="0" w:type="dxa"/>
            <w:right w:w="108" w:type="dxa"/>
          </w:tblCellMar>
        </w:tblPrEx>
        <w:trPr>
          <w:trHeight w:val="348"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3A5A">
            <w:pPr>
              <w:spacing w:line="360" w:lineRule="auto"/>
              <w:jc w:val="center"/>
              <w:textAlignment w:val="center"/>
              <w:rPr>
                <w:rFonts w:ascii="宋体" w:hAnsi="宋体" w:eastAsia="宋体" w:cs="宋体"/>
                <w:color w:val="000000"/>
                <w:sz w:val="22"/>
                <w:szCs w:val="20"/>
              </w:rPr>
            </w:pPr>
            <w:r>
              <w:rPr>
                <w:rFonts w:ascii="宋体" w:hAnsi="宋体" w:eastAsia="宋体" w:cs="宋体"/>
                <w:color w:val="000000"/>
                <w:kern w:val="0"/>
                <w:sz w:val="22"/>
                <w:szCs w:val="20"/>
                <w:lang w:bidi="ar"/>
              </w:rPr>
              <w:t>31</w:t>
            </w:r>
          </w:p>
        </w:tc>
        <w:tc>
          <w:tcPr>
            <w:tcW w:w="4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5DFD">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系统集成</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FC8B">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项</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33D6">
            <w:pPr>
              <w:spacing w:line="360" w:lineRule="auto"/>
              <w:jc w:val="center"/>
              <w:textAlignment w:val="center"/>
              <w:rPr>
                <w:rFonts w:ascii="宋体" w:hAnsi="宋体" w:eastAsia="宋体" w:cs="宋体"/>
                <w:color w:val="000000"/>
                <w:sz w:val="22"/>
                <w:szCs w:val="20"/>
              </w:rPr>
            </w:pPr>
            <w:r>
              <w:rPr>
                <w:rFonts w:hint="eastAsia" w:ascii="宋体" w:hAnsi="宋体" w:eastAsia="宋体" w:cs="宋体"/>
                <w:color w:val="000000"/>
                <w:kern w:val="0"/>
                <w:sz w:val="22"/>
                <w:szCs w:val="20"/>
                <w:lang w:bidi="ar"/>
              </w:rPr>
              <w:t>1</w:t>
            </w:r>
          </w:p>
        </w:tc>
      </w:tr>
    </w:tbl>
    <w:p w14:paraId="7BF2C758">
      <w:pPr>
        <w:pStyle w:val="1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b w:val="0"/>
          <w:bCs w:val="0"/>
          <w:lang w:val="en-US" w:eastAsia="zh-CN"/>
        </w:rPr>
      </w:pPr>
      <w:r>
        <w:rPr>
          <w:rFonts w:hint="eastAsia"/>
          <w:b w:val="0"/>
          <w:bCs w:val="0"/>
          <w:lang w:val="en-US" w:eastAsia="zh-CN"/>
        </w:rPr>
        <w:t>详见采购文件第二部分。</w:t>
      </w:r>
    </w:p>
    <w:p w14:paraId="46AE040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b/>
          <w:bCs/>
          <w:color w:val="auto"/>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rPr>
        <w:t>本项目核心产品为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color w:val="auto"/>
          <w:spacing w:val="-1"/>
          <w:sz w:val="24"/>
          <w:szCs w:val="24"/>
          <w:highlight w:val="none"/>
          <w:u w:val="single"/>
          <w:lang w:val="en-US" w:eastAsia="zh-CN"/>
        </w:rPr>
        <w:t xml:space="preserve">    存储  </w:t>
      </w:r>
    </w:p>
    <w:p w14:paraId="29F66D5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default"/>
          <w:highlight w:val="none"/>
          <w:lang w:val="en-US"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16364AA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5"/>
          <w:sz w:val="24"/>
          <w:szCs w:val="24"/>
          <w:highlight w:val="none"/>
          <w:u w:val="singl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6</w:t>
      </w:r>
      <w:r>
        <w:rPr>
          <w:rFonts w:hint="eastAsia" w:asciiTheme="minorEastAsia" w:hAnsiTheme="minorEastAsia" w:eastAsiaTheme="minorEastAsia" w:cstheme="minorEastAsia"/>
          <w:color w:val="auto"/>
          <w:spacing w:val="-5"/>
          <w:sz w:val="24"/>
          <w:szCs w:val="24"/>
          <w:highlight w:val="none"/>
        </w:rPr>
        <w:t>.合同履行期限：</w:t>
      </w:r>
      <w:r>
        <w:rPr>
          <w:rFonts w:hint="eastAsia" w:asciiTheme="minorEastAsia" w:hAnsiTheme="minorEastAsia" w:eastAsiaTheme="minorEastAsia" w:cstheme="minorEastAsia"/>
          <w:color w:val="auto"/>
          <w:spacing w:val="-5"/>
          <w:sz w:val="24"/>
          <w:szCs w:val="24"/>
          <w:highlight w:val="none"/>
          <w:u w:val="single"/>
          <w:lang w:val="en-US" w:eastAsia="zh-CN"/>
        </w:rPr>
        <w:t>20 天</w:t>
      </w:r>
    </w:p>
    <w:p w14:paraId="025C95DE">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highlight w:val="none"/>
          <w:lang w:val="en-US" w:eastAsia="zh-CN"/>
        </w:rPr>
      </w:pPr>
      <w:r>
        <w:rPr>
          <w:rFonts w:hint="eastAsia" w:asciiTheme="minorEastAsia" w:hAnsiTheme="minorEastAsia" w:eastAsiaTheme="minorEastAsia" w:cstheme="minorEastAsia"/>
          <w:spacing w:val="-5"/>
          <w:sz w:val="24"/>
          <w:szCs w:val="24"/>
          <w:highlight w:val="none"/>
          <w:lang w:val="en-US" w:eastAsia="zh-CN"/>
        </w:rPr>
        <w:t>7</w:t>
      </w:r>
      <w:r>
        <w:rPr>
          <w:rFonts w:hint="eastAsia" w:asciiTheme="minorEastAsia" w:hAnsiTheme="minorEastAsia" w:eastAsiaTheme="minorEastAsia" w:cstheme="minorEastAsia"/>
          <w:spacing w:val="-5"/>
          <w:sz w:val="24"/>
          <w:szCs w:val="24"/>
          <w:highlight w:val="none"/>
        </w:rPr>
        <w:t>.本项目是否</w:t>
      </w:r>
      <w:r>
        <w:rPr>
          <w:rFonts w:hint="eastAsia" w:asciiTheme="minorEastAsia" w:hAnsiTheme="minorEastAsia" w:eastAsiaTheme="minorEastAsia" w:cstheme="minorEastAsia"/>
          <w:spacing w:val="-5"/>
          <w:sz w:val="24"/>
          <w:szCs w:val="24"/>
          <w:highlight w:val="none"/>
          <w:lang w:val="en-US" w:eastAsia="zh-CN"/>
        </w:rPr>
        <w:t>接受联合体投标：否。</w:t>
      </w:r>
    </w:p>
    <w:p w14:paraId="1E6755BA">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1"/>
        </w:rPr>
      </w:pPr>
    </w:p>
    <w:p w14:paraId="16BCC43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资格要求（须同时满足）</w:t>
      </w:r>
    </w:p>
    <w:p w14:paraId="008AC552">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7EB4C449">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32D608CC">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5F07A375">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0C1A8229">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7DBFE6D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74B7A7A1">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55E9700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5F3E426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4C04363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1.</w:t>
      </w:r>
      <w:r>
        <w:rPr>
          <w:rFonts w:hint="eastAsia" w:asciiTheme="minorEastAsia" w:hAnsiTheme="minorEastAsia" w:eastAsiaTheme="minorEastAsia" w:cstheme="minorEastAsia"/>
          <w:color w:val="auto"/>
          <w:spacing w:val="1"/>
          <w:sz w:val="24"/>
          <w:szCs w:val="24"/>
        </w:rPr>
        <w:t>中小企业政策</w:t>
      </w:r>
    </w:p>
    <w:p w14:paraId="359A625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本项目不专门面向中小企业预留采购份额。</w:t>
      </w:r>
    </w:p>
    <w:p w14:paraId="2C2E2D9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12"/>
          <w:position w:val="17"/>
          <w:sz w:val="24"/>
          <w:szCs w:val="24"/>
          <w:highlight w:val="none"/>
          <w:lang w:eastAsia="zh-CN"/>
        </w:rPr>
        <w:t>□</w:t>
      </w:r>
      <w:r>
        <w:rPr>
          <w:rFonts w:hint="eastAsia" w:asciiTheme="minorEastAsia" w:hAnsiTheme="minorEastAsia" w:eastAsiaTheme="minorEastAsia" w:cstheme="minorEastAsia"/>
          <w:color w:val="auto"/>
          <w:spacing w:val="12"/>
          <w:position w:val="17"/>
          <w:sz w:val="24"/>
          <w:szCs w:val="24"/>
          <w:highlight w:val="none"/>
        </w:rPr>
        <w:t>本项目专门面向中小企业采购。</w:t>
      </w:r>
      <w:r>
        <w:rPr>
          <w:rFonts w:hint="eastAsia" w:asciiTheme="minorEastAsia" w:hAnsiTheme="minorEastAsia" w:eastAsiaTheme="minorEastAsia" w:cstheme="minorEastAsia"/>
          <w:color w:val="auto"/>
          <w:spacing w:val="-2"/>
          <w:position w:val="17"/>
          <w:sz w:val="24"/>
          <w:szCs w:val="24"/>
          <w:highlight w:val="none"/>
        </w:rPr>
        <w:t>即：</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供的货物全部由符合政策要求的中小</w:t>
      </w:r>
      <w:r>
        <w:rPr>
          <w:rFonts w:hint="eastAsia" w:asciiTheme="minorEastAsia" w:hAnsiTheme="minorEastAsia" w:eastAsiaTheme="minorEastAsia" w:cstheme="minorEastAsia"/>
          <w:color w:val="auto"/>
          <w:spacing w:val="1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企业制造、服务全部由符合政策要求的中小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w:t>
      </w:r>
    </w:p>
    <w:p w14:paraId="14F85B2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lang w:eastAsia="zh-CN"/>
        </w:rPr>
        <w:t>□</w:t>
      </w:r>
      <w:r>
        <w:rPr>
          <w:rFonts w:hint="eastAsia" w:asciiTheme="minorEastAsia" w:hAnsiTheme="minorEastAsia" w:eastAsiaTheme="minorEastAsia" w:cstheme="minorEastAsia"/>
          <w:color w:val="auto"/>
          <w:spacing w:val="-2"/>
          <w:position w:val="17"/>
          <w:sz w:val="24"/>
          <w:szCs w:val="24"/>
        </w:rPr>
        <w:t>本项目预留部分采购项目预算专门面向中小企业采购。对于预留份额，</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企业承接。预留份额通过以下措施进行：</w:t>
      </w:r>
      <w:r>
        <w:rPr>
          <w:rFonts w:hint="eastAsia" w:asciiTheme="minorEastAsia" w:hAnsiTheme="minorEastAsia" w:eastAsiaTheme="minorEastAsia" w:cstheme="minorEastAsia"/>
          <w:color w:val="auto"/>
          <w:spacing w:val="-2"/>
          <w:position w:val="17"/>
          <w:sz w:val="24"/>
          <w:szCs w:val="24"/>
          <w:lang w:val="en-US" w:eastAsia="zh-CN"/>
        </w:rPr>
        <w:t>预留金额</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万元或预留</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%份额</w:t>
      </w:r>
      <w:r>
        <w:rPr>
          <w:rFonts w:hint="eastAsia" w:asciiTheme="minorEastAsia" w:hAnsiTheme="minorEastAsia" w:eastAsiaTheme="minorEastAsia" w:cstheme="minorEastAsia"/>
          <w:color w:val="auto"/>
          <w:spacing w:val="-2"/>
          <w:position w:val="17"/>
          <w:sz w:val="24"/>
          <w:szCs w:val="24"/>
        </w:rPr>
        <w:t>。</w:t>
      </w:r>
    </w:p>
    <w:p w14:paraId="7A31C97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6C324BC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62E0F7C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lang w:val="en-US" w:eastAsia="zh-CN"/>
        </w:rPr>
        <w:t>4</w:t>
      </w:r>
      <w:r>
        <w:rPr>
          <w:rFonts w:hint="eastAsia" w:asciiTheme="minorEastAsia" w:hAnsiTheme="minorEastAsia" w:eastAsiaTheme="minorEastAsia" w:cstheme="minorEastAsia"/>
          <w:spacing w:val="-5"/>
          <w:sz w:val="24"/>
          <w:szCs w:val="24"/>
          <w:highlight w:val="none"/>
        </w:rPr>
        <w:t>.本项目是属于政府购买</w:t>
      </w:r>
      <w:r>
        <w:rPr>
          <w:rFonts w:hint="eastAsia" w:asciiTheme="minorEastAsia" w:hAnsiTheme="minorEastAsia" w:eastAsiaTheme="minorEastAsia" w:cstheme="minorEastAsia"/>
          <w:spacing w:val="-5"/>
          <w:sz w:val="24"/>
          <w:szCs w:val="24"/>
          <w:highlight w:val="none"/>
          <w:lang w:val="en-US" w:eastAsia="zh-CN"/>
        </w:rPr>
        <w:t>货物</w:t>
      </w:r>
      <w:r>
        <w:rPr>
          <w:rFonts w:hint="eastAsia" w:asciiTheme="minorEastAsia" w:hAnsiTheme="minorEastAsia" w:eastAsiaTheme="minorEastAsia" w:cstheme="minorEastAsia"/>
          <w:spacing w:val="-5"/>
          <w:sz w:val="24"/>
          <w:szCs w:val="24"/>
          <w:highlight w:val="none"/>
        </w:rPr>
        <w:t>：</w:t>
      </w:r>
    </w:p>
    <w:p w14:paraId="4973464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b w:val="0"/>
          <w:bCs w:val="0"/>
          <w:color w:val="auto"/>
          <w:spacing w:val="-2"/>
          <w:position w:val="17"/>
          <w:sz w:val="24"/>
          <w:szCs w:val="24"/>
          <w:lang w:eastAsia="zh-CN"/>
        </w:rPr>
      </w:pPr>
      <w:r>
        <w:rPr>
          <w:rFonts w:hint="eastAsia" w:asciiTheme="minorEastAsia" w:hAnsiTheme="minorEastAsia" w:eastAsiaTheme="minorEastAsia" w:cstheme="minorEastAsia"/>
          <w:b w:val="0"/>
          <w:bCs w:val="0"/>
          <w:spacing w:val="-2"/>
          <w:position w:val="17"/>
          <w:sz w:val="24"/>
          <w:szCs w:val="24"/>
          <w:lang w:eastAsia="zh-CN"/>
        </w:rPr>
        <w:t>□否□接受进口产品</w:t>
      </w:r>
      <w:r>
        <w:rPr>
          <w:rFonts w:hint="eastAsia" w:asciiTheme="minorEastAsia" w:hAnsiTheme="minorEastAsia" w:eastAsiaTheme="minorEastAsia" w:cstheme="minorEastAsia"/>
          <w:b w:val="0"/>
          <w:bCs w:val="0"/>
          <w:color w:val="auto"/>
          <w:spacing w:val="-2"/>
          <w:position w:val="17"/>
          <w:sz w:val="24"/>
          <w:szCs w:val="24"/>
          <w:lang w:eastAsia="zh-CN"/>
        </w:rPr>
        <w:t>☑</w:t>
      </w:r>
      <w:r>
        <w:rPr>
          <w:rFonts w:hint="eastAsia" w:asciiTheme="minorEastAsia" w:hAnsiTheme="minorEastAsia" w:eastAsiaTheme="minorEastAsia" w:cstheme="minorEastAsia"/>
          <w:b w:val="0"/>
          <w:bCs w:val="0"/>
          <w:color w:val="auto"/>
          <w:spacing w:val="-2"/>
          <w:position w:val="17"/>
          <w:sz w:val="24"/>
          <w:szCs w:val="24"/>
          <w:lang w:val="en-US" w:eastAsia="zh-CN"/>
        </w:rPr>
        <w:t>不</w:t>
      </w:r>
      <w:r>
        <w:rPr>
          <w:rFonts w:hint="eastAsia" w:asciiTheme="minorEastAsia" w:hAnsiTheme="minorEastAsia" w:eastAsiaTheme="minorEastAsia" w:cstheme="minorEastAsia"/>
          <w:b w:val="0"/>
          <w:bCs w:val="0"/>
          <w:color w:val="auto"/>
          <w:spacing w:val="-2"/>
          <w:position w:val="17"/>
          <w:sz w:val="24"/>
          <w:szCs w:val="24"/>
          <w:lang w:eastAsia="zh-CN"/>
        </w:rPr>
        <w:t>接受进口产品</w:t>
      </w:r>
    </w:p>
    <w:p w14:paraId="07E8C8B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b w:val="0"/>
          <w:bCs w:val="0"/>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eastAsia="zh-CN"/>
        </w:rPr>
        <w:t>（政府采购活动中既有本国产品又有非本国产品参与竞争的，依法对本国产品给予价格评审优惠，对本国产品的报价给予 20%的价格扣除，用扣除后的价格参与评审。）</w:t>
      </w:r>
    </w:p>
    <w:p w14:paraId="5E35B2A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2"/>
          <w:sz w:val="24"/>
          <w:szCs w:val="24"/>
        </w:rPr>
        <w:t>□是，公益一类事业单位、使用事业编制且由财政</w:t>
      </w:r>
      <w:r>
        <w:rPr>
          <w:rFonts w:hint="eastAsia" w:asciiTheme="minorEastAsia" w:hAnsiTheme="minorEastAsia" w:eastAsiaTheme="minorEastAsia" w:cstheme="minorEastAsia"/>
          <w:spacing w:val="-3"/>
          <w:sz w:val="24"/>
          <w:szCs w:val="24"/>
        </w:rPr>
        <w:t>拨款保障的群团组织，不得</w:t>
      </w:r>
      <w:r>
        <w:rPr>
          <w:rFonts w:hint="eastAsia" w:asciiTheme="minorEastAsia" w:hAnsiTheme="minorEastAsia" w:eastAsiaTheme="minorEastAsia" w:cstheme="minorEastAsia"/>
          <w:spacing w:val="-9"/>
          <w:sz w:val="24"/>
          <w:szCs w:val="24"/>
        </w:rPr>
        <w:t>作为承接主体</w:t>
      </w:r>
      <w:r>
        <w:rPr>
          <w:rFonts w:hint="eastAsia" w:asciiTheme="minorEastAsia" w:hAnsiTheme="minorEastAsia" w:eastAsiaTheme="minorEastAsia" w:cstheme="minorEastAsia"/>
          <w:spacing w:val="-12"/>
          <w:sz w:val="24"/>
          <w:szCs w:val="24"/>
        </w:rPr>
        <w:t>。</w:t>
      </w:r>
    </w:p>
    <w:p w14:paraId="5975C89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F20194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四</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、获取招标文件</w:t>
      </w:r>
    </w:p>
    <w:p w14:paraId="0C2A510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rPr>
        <w:t>1.</w:t>
      </w:r>
      <w:r>
        <w:rPr>
          <w:rFonts w:hint="eastAsia" w:asciiTheme="minorEastAsia" w:hAnsiTheme="minorEastAsia" w:eastAsiaTheme="minorEastAsia" w:cstheme="minorEastAsia"/>
          <w:color w:val="auto"/>
          <w:spacing w:val="-13"/>
          <w:sz w:val="24"/>
          <w:szCs w:val="24"/>
          <w:highlight w:val="none"/>
        </w:rPr>
        <w:t>时间：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lang w:val="en-US" w:eastAsia="zh-CN"/>
        </w:rPr>
        <w:t>9</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30</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12</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4"/>
          <w:sz w:val="24"/>
          <w:szCs w:val="24"/>
          <w:highlight w:val="none"/>
        </w:rPr>
        <w:t>每天上午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0:00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，下午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23:59 </w:t>
      </w:r>
      <w:r>
        <w:rPr>
          <w:rFonts w:hint="eastAsia" w:asciiTheme="minorEastAsia" w:hAnsiTheme="minorEastAsia" w:eastAsiaTheme="minorEastAsia" w:cstheme="minorEastAsia"/>
          <w:color w:val="auto"/>
          <w:spacing w:val="-14"/>
          <w:sz w:val="24"/>
          <w:szCs w:val="24"/>
          <w:highlight w:val="none"/>
        </w:rPr>
        <w:t>（北京时</w:t>
      </w:r>
      <w:r>
        <w:rPr>
          <w:rFonts w:hint="eastAsia" w:asciiTheme="minorEastAsia" w:hAnsiTheme="minorEastAsia" w:eastAsiaTheme="minorEastAsia" w:cstheme="minorEastAsia"/>
          <w:color w:val="auto"/>
          <w:spacing w:val="-15"/>
          <w:sz w:val="24"/>
          <w:szCs w:val="24"/>
          <w:highlight w:val="none"/>
        </w:rPr>
        <w:t>间，法定节假日除外）。</w:t>
      </w:r>
    </w:p>
    <w:p w14:paraId="0FD4F3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2.地点：全国公共资源交易平台(河南省·南阳市)（https://ggzyjy.nanyang.gov.cn）</w:t>
      </w:r>
    </w:p>
    <w:p w14:paraId="3427626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3.方式：使用普通电子交易系统，登录全国公共资源交易平台(河南省·南阳市)</w:t>
      </w:r>
    </w:p>
    <w:p w14:paraId="100BE229">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https://ggzyjy.nanyang.gov.cn），注册后凭办理的企业身份认证锁（CA数字证书）登录会员系统按网上提示下载招标文件(*.nyzf格式)及资料（操作程序详见全国公共资源交易平台(河南省·南阳市)网站下载专区），电子交易系统技术支持电话：400-998-0000，CA数字证书技术支持：https://ggzyjy.nanyang.gov.cn/ptdl/011009/single.html。</w:t>
      </w:r>
    </w:p>
    <w:p w14:paraId="3396E7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4.售价：0元。</w:t>
      </w:r>
    </w:p>
    <w:p w14:paraId="11AD4B9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58A15067">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五、投标文件的制作及上传</w:t>
      </w:r>
    </w:p>
    <w:p w14:paraId="520ABCE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使用普通电子交易系统。投标人须上传加密电子投标文件，电子投标文件需要使用投标文件制作工具制作，制作工具及操作手册可在全国公共资源交易平台(河南省·南阳市)“下载专区”中下载。加密电子投标文件应在招标文件规定的投标截止时间前到达交易系统。逾期到达交易系统的电子投标文件视为放弃本次投标。</w:t>
      </w:r>
    </w:p>
    <w:p w14:paraId="463558E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因投标人无需现场参与开标，所有准备工作需要自行到位。开标过程中如遇到紧急事项，可在不见面开标大厅中进行提出异议或文字交流，严重问题可拨打技术支持电话0377-61176137。不见面开标过程中，如因投标人准备不到位、网络问题等情况（30分钟内）无法及时解密，造成开标无法继续的，视为该投标人自动放弃投标，将被退回投标文件”。电子交易系统技术支持电话：400-998-0000。</w:t>
      </w:r>
    </w:p>
    <w:p w14:paraId="483B8C67">
      <w:pPr>
        <w:pStyle w:val="34"/>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p>
    <w:p w14:paraId="508D60D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六</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交投标文件截止时间、开标时间和地点</w:t>
      </w:r>
    </w:p>
    <w:p w14:paraId="0EAF5C97">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auto"/>
          <w:spacing w:val="-14"/>
          <w:sz w:val="24"/>
          <w:szCs w:val="24"/>
          <w:highlight w:val="none"/>
        </w:rPr>
        <w:t>投标截止时间、开标时间：</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10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21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分（北</w:t>
      </w:r>
      <w:r>
        <w:rPr>
          <w:rFonts w:hint="eastAsia" w:asciiTheme="minorEastAsia" w:hAnsiTheme="minorEastAsia" w:eastAsiaTheme="minorEastAsia" w:cstheme="minorEastAsia"/>
          <w:color w:val="auto"/>
          <w:spacing w:val="-15"/>
          <w:sz w:val="24"/>
          <w:szCs w:val="24"/>
          <w:highlight w:val="none"/>
        </w:rPr>
        <w:t>京时间）。</w:t>
      </w:r>
    </w:p>
    <w:p w14:paraId="27722C42">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开标方式：不见面开标</w:t>
      </w:r>
    </w:p>
    <w:p w14:paraId="49631126">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地点：本项目使用不见面开标，投标人无需前往现场来参与投标。具体操作流程详见南阳市公共资源交易中心下载专区栏发布的南阳不见面开标-操作手册（投标人）。</w:t>
      </w:r>
    </w:p>
    <w:p w14:paraId="7807070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auto"/>
          <w:sz w:val="21"/>
        </w:rPr>
      </w:pPr>
    </w:p>
    <w:p w14:paraId="3A7B296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七</w:t>
      </w: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、公告期限</w:t>
      </w:r>
    </w:p>
    <w:p w14:paraId="776194AE">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30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3"/>
          <w:sz w:val="24"/>
          <w:szCs w:val="24"/>
          <w:highlight w:val="none"/>
          <w:lang w:eastAsia="zh-CN"/>
        </w:rPr>
        <w:t>。</w:t>
      </w:r>
    </w:p>
    <w:p w14:paraId="7A31D95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3"/>
          <w:sz w:val="24"/>
          <w:szCs w:val="24"/>
        </w:rPr>
      </w:pPr>
    </w:p>
    <w:p w14:paraId="07D7EC0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八</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、其他补充事宜</w:t>
      </w:r>
    </w:p>
    <w:p w14:paraId="017DA82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宋体" w:hAnsi="宋体" w:cs="宋体"/>
          <w:sz w:val="24"/>
          <w:szCs w:val="24"/>
        </w:rPr>
        <w:t>本项目采用</w:t>
      </w:r>
      <w:r>
        <w:rPr>
          <w:rFonts w:hint="eastAsia" w:ascii="宋体" w:hAnsi="宋体" w:cs="宋体"/>
          <w:b/>
          <w:bCs/>
          <w:color w:val="auto"/>
          <w:sz w:val="24"/>
          <w:szCs w:val="24"/>
        </w:rPr>
        <w:t>“暗标”评审</w:t>
      </w:r>
      <w:r>
        <w:rPr>
          <w:rFonts w:hint="eastAsia" w:ascii="宋体" w:hAnsi="宋体" w:cs="宋体"/>
          <w:sz w:val="24"/>
          <w:szCs w:val="24"/>
        </w:rPr>
        <w:t>。供应商应按照</w:t>
      </w:r>
      <w:r>
        <w:rPr>
          <w:rFonts w:hint="eastAsia" w:cs="宋体"/>
          <w:sz w:val="24"/>
          <w:szCs w:val="24"/>
          <w:lang w:val="en-US" w:eastAsia="zh-CN"/>
        </w:rPr>
        <w:t>招标</w:t>
      </w:r>
      <w:r>
        <w:rPr>
          <w:rFonts w:hint="eastAsia" w:ascii="宋体" w:hAnsi="宋体" w:cs="宋体"/>
          <w:sz w:val="24"/>
          <w:szCs w:val="24"/>
        </w:rPr>
        <w:t>文件要求制作投标文件。</w:t>
      </w:r>
    </w:p>
    <w:p w14:paraId="295E42F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p>
    <w:p w14:paraId="39734C5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、对本次招标</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1AF6449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5"/>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5"/>
          <w:sz w:val="24"/>
          <w:szCs w:val="24"/>
          <w:highlight w:val="none"/>
          <w14:textOutline w14:w="1537" w14:cap="flat" w14:cmpd="sng">
            <w14:solidFill>
              <w14:srgbClr w14:val="000000"/>
            </w14:solidFill>
            <w14:prstDash w14:val="solid"/>
            <w14:miter w14:val="0"/>
          </w14:textOutline>
        </w:rPr>
        <w:t>1.采购人信息</w:t>
      </w:r>
    </w:p>
    <w:p w14:paraId="42C35BBC">
      <w:pPr>
        <w:pStyle w:val="7"/>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eastAsia" w:asciiTheme="minorEastAsia" w:hAnsiTheme="minorEastAsia" w:eastAsiaTheme="minorEastAsia" w:cstheme="minorEastAsia"/>
          <w:color w:val="0D0D0D" w:themeColor="text1" w:themeTint="F2"/>
          <w:spacing w:val="0"/>
          <w:w w:val="100"/>
          <w:position w:val="0"/>
          <w:sz w:val="24"/>
          <w:szCs w:val="24"/>
          <w:highlight w:val="yellow"/>
          <w:lang w:val="en-US" w:eastAsia="zh-CN"/>
          <w14:textFill>
            <w14:solidFill>
              <w14:schemeClr w14:val="tx1">
                <w14:lumMod w14:val="95000"/>
                <w14:lumOff w14:val="5000"/>
              </w14:schemeClr>
            </w14:solidFill>
          </w14:textFill>
        </w:rPr>
      </w:pPr>
    </w:p>
    <w:p w14:paraId="57DF5079">
      <w:pPr>
        <w:pStyle w:val="7"/>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eastAsia"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pPr>
      <w:r>
        <w:rPr>
          <w:rFonts w:hint="eastAsia"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t>名称：南阳市第二十二中学校</w:t>
      </w:r>
    </w:p>
    <w:p w14:paraId="136BE925">
      <w:pPr>
        <w:pStyle w:val="7"/>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地址：南阳市卧龙区红庙路399号</w:t>
      </w:r>
    </w:p>
    <w:p w14:paraId="1DF5084A">
      <w:pPr>
        <w:pStyle w:val="7"/>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联系人：赵老师</w:t>
      </w:r>
    </w:p>
    <w:p w14:paraId="2DB406DD">
      <w:pPr>
        <w:pStyle w:val="7"/>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联系方式：0377-63132601</w:t>
      </w:r>
    </w:p>
    <w:p w14:paraId="6537CF8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1EBF371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rPr>
        <w:t>名称：</w:t>
      </w:r>
      <w:r>
        <w:rPr>
          <w:rFonts w:hint="eastAsia" w:asciiTheme="minorEastAsia" w:hAnsiTheme="minorEastAsia" w:eastAsiaTheme="minorEastAsia" w:cstheme="minorEastAsia"/>
          <w:spacing w:val="-15"/>
          <w:sz w:val="24"/>
          <w:szCs w:val="24"/>
          <w:lang w:val="en-US" w:eastAsia="zh-CN"/>
        </w:rPr>
        <w:t>南阳市公共资源交易中心</w:t>
      </w:r>
    </w:p>
    <w:p w14:paraId="363944C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w:t>
      </w:r>
      <w:r>
        <w:rPr>
          <w:rFonts w:hint="eastAsia" w:ascii="宋体" w:hAnsi="宋体" w:eastAsia="宋体" w:cs="宋体"/>
          <w:sz w:val="24"/>
          <w:szCs w:val="24"/>
          <w:u w:val="none"/>
          <w:lang w:eastAsia="zh-CN"/>
        </w:rPr>
        <w:t>南阳市范蠡东路与南都路交叉口市民服务中心中区3号楼5楼</w:t>
      </w:r>
    </w:p>
    <w:p w14:paraId="0BC003C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联系人：蔡有良</w:t>
      </w:r>
    </w:p>
    <w:p w14:paraId="0DEBE7D8">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5"/>
          <w:sz w:val="24"/>
          <w:szCs w:val="24"/>
        </w:rPr>
        <w:t>联系方式：</w:t>
      </w:r>
      <w:r>
        <w:rPr>
          <w:rFonts w:hint="eastAsia" w:asciiTheme="minorEastAsia" w:hAnsiTheme="minorEastAsia" w:eastAsiaTheme="minorEastAsia" w:cstheme="minorEastAsia"/>
          <w:spacing w:val="-15"/>
          <w:sz w:val="24"/>
          <w:szCs w:val="24"/>
          <w:lang w:val="en-US" w:eastAsia="zh-CN"/>
        </w:rPr>
        <w:t>61176188</w:t>
      </w:r>
    </w:p>
    <w:p w14:paraId="35D4D94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b/>
          <w:bCs/>
          <w:spacing w:val="5"/>
          <w:sz w:val="24"/>
          <w:szCs w:val="24"/>
        </w:rPr>
      </w:pPr>
    </w:p>
    <w:p w14:paraId="7466BD3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color w:val="auto"/>
          <w:spacing w:val="5"/>
          <w:sz w:val="24"/>
          <w:szCs w:val="24"/>
          <w:u w:val="single"/>
          <w:lang w:val="en-US" w:eastAsia="zh-CN"/>
        </w:rPr>
      </w:pPr>
      <w:r>
        <w:rPr>
          <w:rFonts w:hint="eastAsia" w:asciiTheme="minorEastAsia" w:hAnsiTheme="minorEastAsia" w:eastAsiaTheme="minorEastAsia" w:cstheme="minorEastAsia"/>
          <w:color w:val="auto"/>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color w:val="auto"/>
          <w:spacing w:val="-15"/>
          <w:sz w:val="24"/>
          <w:szCs w:val="24"/>
          <w:lang w:val="en-US" w:eastAsia="zh-CN"/>
        </w:rPr>
        <w:fldChar w:fldCharType="begin"/>
      </w:r>
      <w:r>
        <w:rPr>
          <w:rFonts w:hint="eastAsia" w:asciiTheme="minorEastAsia" w:hAnsiTheme="minorEastAsia" w:eastAsiaTheme="minorEastAsia" w:cstheme="minorEastAsia"/>
          <w:color w:val="auto"/>
          <w:spacing w:val="-15"/>
          <w:sz w:val="24"/>
          <w:szCs w:val="24"/>
          <w:lang w:val="en-US" w:eastAsia="zh-CN"/>
        </w:rPr>
        <w:instrText xml:space="preserve"> HYPERLINK "https://ggzyjy.nanyang.gov.cn" </w:instrText>
      </w:r>
      <w:r>
        <w:rPr>
          <w:rFonts w:hint="eastAsia" w:asciiTheme="minorEastAsia" w:hAnsiTheme="minorEastAsia" w:eastAsiaTheme="minorEastAsia" w:cstheme="minorEastAsia"/>
          <w:color w:val="auto"/>
          <w:spacing w:val="-15"/>
          <w:sz w:val="24"/>
          <w:szCs w:val="24"/>
          <w:lang w:val="en-US" w:eastAsia="zh-CN"/>
        </w:rPr>
        <w:fldChar w:fldCharType="separate"/>
      </w:r>
      <w:r>
        <w:rPr>
          <w:rStyle w:val="26"/>
          <w:rFonts w:hint="eastAsia" w:asciiTheme="minorEastAsia" w:hAnsiTheme="minorEastAsia" w:eastAsiaTheme="minorEastAsia" w:cstheme="minorEastAsia"/>
          <w:color w:val="auto"/>
          <w:spacing w:val="-15"/>
          <w:sz w:val="24"/>
          <w:szCs w:val="24"/>
          <w:lang w:val="en-US" w:eastAsia="zh-CN"/>
        </w:rPr>
        <w:t>https://ggzyjy.nanyang.gov.cn</w:t>
      </w:r>
      <w:r>
        <w:rPr>
          <w:rFonts w:hint="eastAsia" w:asciiTheme="minorEastAsia" w:hAnsiTheme="minorEastAsia" w:eastAsiaTheme="minorEastAsia" w:cstheme="minorEastAsia"/>
          <w:color w:val="auto"/>
          <w:spacing w:val="-15"/>
          <w:sz w:val="24"/>
          <w:szCs w:val="24"/>
          <w:lang w:val="en-US" w:eastAsia="zh-CN"/>
        </w:rPr>
        <w:fldChar w:fldCharType="end"/>
      </w:r>
      <w:r>
        <w:rPr>
          <w:rFonts w:hint="eastAsia" w:asciiTheme="minorEastAsia" w:hAnsiTheme="minorEastAsia" w:eastAsiaTheme="minorEastAsia" w:cstheme="minorEastAsia"/>
          <w:color w:val="auto"/>
          <w:spacing w:val="-15"/>
          <w:sz w:val="24"/>
          <w:szCs w:val="24"/>
          <w:lang w:val="en-US" w:eastAsia="zh-CN"/>
        </w:rPr>
        <w:t xml:space="preserve">   E-mail:nyszfcgzx@126.com</w:t>
      </w:r>
    </w:p>
    <w:p w14:paraId="296F250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spacing w:val="5"/>
          <w:sz w:val="24"/>
          <w:szCs w:val="24"/>
          <w:u w:val="single"/>
          <w:lang w:val="en-US" w:eastAsia="zh-CN"/>
        </w:rPr>
      </w:pPr>
    </w:p>
    <w:p w14:paraId="3394854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5"/>
          <w:sz w:val="24"/>
          <w:szCs w:val="24"/>
          <w:lang w:val="en-US" w:eastAsia="zh-CN"/>
        </w:rPr>
      </w:pPr>
    </w:p>
    <w:p w14:paraId="1C93FC1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p>
    <w:p w14:paraId="7233F7C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p>
    <w:p w14:paraId="60EB261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right"/>
        <w:textAlignment w:val="baseline"/>
        <w:outlineLvl w:val="1"/>
        <w:rPr>
          <w:rFonts w:hint="eastAsia" w:asciiTheme="minorEastAsia" w:hAnsiTheme="minorEastAsia" w:eastAsiaTheme="minorEastAsia" w:cstheme="minorEastAsia"/>
          <w:color w:val="auto"/>
          <w:spacing w:val="-15"/>
          <w:sz w:val="24"/>
          <w:szCs w:val="24"/>
          <w:lang w:val="en-US" w:eastAsia="zh-CN"/>
        </w:rPr>
      </w:pPr>
      <w:r>
        <w:rPr>
          <w:rFonts w:hint="eastAsia" w:asciiTheme="minorEastAsia" w:hAnsiTheme="minorEastAsia" w:eastAsiaTheme="minorEastAsia" w:cstheme="minorEastAsia"/>
          <w:color w:val="auto"/>
          <w:spacing w:val="-15"/>
          <w:sz w:val="24"/>
          <w:szCs w:val="24"/>
          <w:lang w:val="en-US" w:eastAsia="zh-CN"/>
        </w:rPr>
        <w:t>南阳市公共资源交易中心</w:t>
      </w:r>
    </w:p>
    <w:p w14:paraId="4418D0B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992" w:firstLineChars="2800"/>
        <w:jc w:val="both"/>
        <w:textAlignment w:val="baseline"/>
        <w:outlineLvl w:val="1"/>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29 </w:t>
      </w:r>
      <w:r>
        <w:rPr>
          <w:rFonts w:hint="eastAsia" w:asciiTheme="minorEastAsia" w:hAnsiTheme="minorEastAsia" w:eastAsiaTheme="minorEastAsia" w:cstheme="minorEastAsia"/>
          <w:color w:val="auto"/>
          <w:spacing w:val="-13"/>
          <w:sz w:val="24"/>
          <w:szCs w:val="24"/>
          <w:highlight w:val="none"/>
        </w:rPr>
        <w:t>日</w:t>
      </w:r>
    </w:p>
    <w:p w14:paraId="3F168B1B">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53C5AF9">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F213655">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1D4C949">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98E1550">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C0B6F88">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00C7F0E">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25F84AA8">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72C148D">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A6155DD">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22CBEC1">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75F47E2">
      <w:pPr>
        <w:ind w:firstLine="2506" w:firstLineChars="700"/>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00A4B64">
      <w:pPr>
        <w:ind w:firstLine="2506" w:firstLineChars="700"/>
        <w:rPr>
          <w:rFonts w:hint="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62CE9642">
      <w:pPr>
        <w:pStyle w:val="16"/>
        <w:rPr>
          <w:rFonts w:hint="eastAsia"/>
        </w:rPr>
      </w:pPr>
    </w:p>
    <w:p w14:paraId="7592B65D">
      <w:pPr>
        <w:numPr>
          <w:ilvl w:val="0"/>
          <w:numId w:val="0"/>
        </w:numPr>
        <w:rPr>
          <w:rFonts w:hint="eastAsia"/>
        </w:rPr>
      </w:pPr>
    </w:p>
    <w:p w14:paraId="57D82865">
      <w:pPr>
        <w:pStyle w:val="7"/>
        <w:keepNext w:val="0"/>
        <w:keepLines w:val="0"/>
        <w:pageBreakBefore w:val="0"/>
        <w:widowControl/>
        <w:numPr>
          <w:ilvl w:val="0"/>
          <w:numId w:val="3"/>
        </w:numPr>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采购</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内容及要求</w:t>
      </w:r>
    </w:p>
    <w:p w14:paraId="11FE00F5">
      <w:pPr>
        <w:numPr>
          <w:ilvl w:val="0"/>
          <w:numId w:val="4"/>
        </w:numPr>
        <w:rPr>
          <w:rFonts w:hint="eastAsia"/>
          <w:lang w:val="en-US" w:eastAsia="zh-CN"/>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采购货物需求及数量</w:t>
      </w:r>
    </w:p>
    <w:tbl>
      <w:tblPr>
        <w:tblStyle w:val="22"/>
        <w:tblW w:w="9328" w:type="dxa"/>
        <w:jc w:val="center"/>
        <w:tblLayout w:type="fixed"/>
        <w:tblCellMar>
          <w:top w:w="0" w:type="dxa"/>
          <w:left w:w="108" w:type="dxa"/>
          <w:bottom w:w="0" w:type="dxa"/>
          <w:right w:w="108" w:type="dxa"/>
        </w:tblCellMar>
      </w:tblPr>
      <w:tblGrid>
        <w:gridCol w:w="465"/>
        <w:gridCol w:w="1470"/>
        <w:gridCol w:w="6060"/>
        <w:gridCol w:w="660"/>
        <w:gridCol w:w="673"/>
      </w:tblGrid>
      <w:tr w14:paraId="3C288018">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B472">
            <w:pPr>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序号</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A3B5">
            <w:pPr>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val="en-US" w:eastAsia="zh-CN" w:bidi="ar"/>
              </w:rPr>
              <w:t>设备</w:t>
            </w:r>
            <w:r>
              <w:rPr>
                <w:rFonts w:hint="eastAsia" w:ascii="宋体" w:hAnsi="宋体" w:eastAsia="宋体" w:cs="宋体"/>
                <w:b/>
                <w:bCs/>
                <w:color w:val="000000"/>
                <w:kern w:val="0"/>
                <w:sz w:val="24"/>
                <w:lang w:bidi="ar"/>
              </w:rPr>
              <w:t>名称</w:t>
            </w:r>
          </w:p>
        </w:tc>
        <w:tc>
          <w:tcPr>
            <w:tcW w:w="6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808A">
            <w:pPr>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技术参数</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5BBF">
            <w:pPr>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单位</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9A18">
            <w:pPr>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数量</w:t>
            </w:r>
          </w:p>
        </w:tc>
      </w:tr>
      <w:tr w14:paraId="164A5B71">
        <w:tblPrEx>
          <w:tblCellMar>
            <w:top w:w="0" w:type="dxa"/>
            <w:left w:w="108" w:type="dxa"/>
            <w:bottom w:w="0" w:type="dxa"/>
            <w:right w:w="108" w:type="dxa"/>
          </w:tblCellMar>
        </w:tblPrEx>
        <w:trPr>
          <w:trHeight w:val="418" w:hRule="atLeast"/>
          <w:jc w:val="center"/>
        </w:trPr>
        <w:tc>
          <w:tcPr>
            <w:tcW w:w="93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2CEC8A">
            <w:pPr>
              <w:jc w:val="center"/>
              <w:textAlignment w:val="center"/>
              <w:rPr>
                <w:rFonts w:hint="eastAsia" w:ascii="宋体" w:hAnsi="宋体" w:eastAsia="宋体" w:cs="宋体"/>
                <w:b/>
                <w:color w:val="000000"/>
                <w:kern w:val="0"/>
                <w:sz w:val="24"/>
                <w:lang w:bidi="ar"/>
              </w:rPr>
            </w:pPr>
            <w:r>
              <w:rPr>
                <w:rFonts w:hint="eastAsia" w:ascii="宋体" w:hAnsi="宋体" w:eastAsia="宋体" w:cs="宋体"/>
                <w:b/>
                <w:color w:val="000000"/>
                <w:kern w:val="0"/>
                <w:sz w:val="24"/>
                <w:lang w:val="en-US" w:eastAsia="zh-CN" w:bidi="ar"/>
              </w:rPr>
              <w:t>LED电子显示屏（东校区）</w:t>
            </w:r>
          </w:p>
        </w:tc>
      </w:tr>
      <w:tr w14:paraId="0ACCDB3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4165">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4B9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户外全彩LED显示屏</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5D342211">
            <w:pPr>
              <w:keepNext w:val="0"/>
              <w:keepLines w:val="0"/>
              <w:widowControl/>
              <w:suppressLineNumbers w:val="0"/>
              <w:jc w:val="left"/>
              <w:textAlignment w:val="top"/>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1、像素点间距：≤4mm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2、单元板分辨率：≥3200Dots</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3、刷新率：≥3840Hz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4、像素构成：1R、1G、1B</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5、封装方式：SMD表贴三合一，铜线封装</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6、驱动方式：恒流驱动；控制方式：同步控制系统；维护方式：前后双向维护</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7、整屏平整度≤0.05mm；模组平整度≤0.03mm</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8、白平衡亮度：0-6000cd/㎡可调，亮度调节：0-100%亮度可调，256级手动/自动调节，屏幕亮度具有随环境照度的变化任意调整功能，亮度均匀性≥98%</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9、色温800K-18000K可调；白平衡状态下色温在6500K±5%；色温为6500K时，100%75%50%25%档电平白场调节色温误差≤100K</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10、对比度≥9500：1；水平视角≥170°；垂直视角≥170°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11、具有H2S宽动态处理技术，解决主控机二次重复播放时的衰减等现象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12、灰度等级≥14bit，红绿蓝各256级，可达16384级，采用EPWM 灰阶控制技术提升低灰视觉效果，100%亮度时，14bit灰度；70%亮度，14bit灰度；50%亮度，14bit灰度；20%亮度，12bit灰度，显示画面无单列或单行像素失控现象；支持0-100%亮度时，8-14bits灰度自定义设置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13、供电电源：在4.2*（1±10%）VDC～4.5*（1±10%）VDC范围内能正常工作；峰值功耗≤550W/m²；平均功耗≤150W/m²</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在器具输入插座端与屏正面之间施加试验电压3kv/50Hz，保持1min，不应出现飞弧和击穿现象，产品能正常工作；在5000米海拔环境下，产品可正常工作；输入电压：支持宽压输入在96-264VAC，支持窄压输入在200-240VAC，在该范围内能正常工作</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15、防护性能：具有防静电、防电磁干扰、防腐蚀、防霉菌、防虫、防潮、抗震动、抗雷击等功能；具有电源过压、过流、断电保护、分布上电措施、防护等级达到IP65</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16、具有列下消隐功能、倍频刷新率提升2/4/8倍、低灰偏色改善</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17、色坐标X、Y坐标符合SJ/T11141-2017 5.10.5规定；色度均匀性±0.001Cx、Cy内；色域空间≥120% NTSC，LED显示屏ColorSPace覆盖率≥170%YUV(PAL)</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7FC6">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945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41.727</w:t>
            </w:r>
          </w:p>
        </w:tc>
      </w:tr>
      <w:tr w14:paraId="4AD2F513">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4563">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BB1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LED显示屏钢架结构及周边装饰</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5D4A">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LED屏壁挂框架结构+铝塑板或不锈钢周边装饰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2F47">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D087">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49.896</w:t>
            </w:r>
          </w:p>
        </w:tc>
      </w:tr>
      <w:tr w14:paraId="2AF10D5E">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7D29">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086F">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LED控制系统</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72041FE5">
            <w:pPr>
              <w:keepNext w:val="0"/>
              <w:keepLines w:val="0"/>
              <w:widowControl/>
              <w:suppressLineNumbers w:val="0"/>
              <w:jc w:val="left"/>
              <w:textAlignment w:val="top"/>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用于 LED 显示屏控制和播放的专业软件。该软件功能丰富、性能优越，兼具良好 的操作界面，易学易用。支持视频、音频、图像、文字、Flash、Gif 等形式的媒体文件播放;支持 Microsoft office 的 Word、Excel、PPT 显示;支持时钟、计时、天气预报显示;支持外部视频信号(TV、AV、S-Video、 复合视频)播放;支持多页面多分区节目编辑;软件提供了丰富灵活的视频切换功能、分区特效，以 及三维特效动画，让显示屏的显示效果得到完美展现。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84DC">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6247">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02DF590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35B9">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E85D">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视频处理器</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3C359C87">
            <w:pPr>
              <w:keepNext w:val="0"/>
              <w:keepLines w:val="0"/>
              <w:widowControl/>
              <w:suppressLineNumbers w:val="0"/>
              <w:jc w:val="left"/>
              <w:textAlignment w:val="top"/>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1.支持丰富的数字信号接口，包括2路DVI，1路HDMI,1路SDI</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2.最大带载390万像素，最宽可达8192点，或最高可达4096点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3.最大输入分辨率1920x1200@60Hz，支持分辨率任意设置</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4.支持6路千兆网口输出，支持单机或双机冗余备份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5.支持对视频信号任意切换，裁剪，拼接，缩放</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6.支持3画面显示，位置、大小可自由调节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7.支持独立音频输入和音频输出，支持HDMI音频解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析</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8.支持RS232串口协议控制</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9.支持HDCP高带宽数字内容保护技术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10.支持亮度和色温调节</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11.支持低亮高灰，能有效地保持低亮下灰阶的完整</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显示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12.支持预制16场景，直接调用，方便使用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3A4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F437">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4DFC0ED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2EBC">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D076">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 xml:space="preserve">数据接收卡 </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536E4980">
            <w:pPr>
              <w:keepNext w:val="0"/>
              <w:keepLines w:val="0"/>
              <w:widowControl/>
              <w:suppressLineNumbers w:val="0"/>
              <w:jc w:val="left"/>
              <w:textAlignment w:val="top"/>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•集成16路HUB75接口，无需再配转接板，更方便，成本更低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•减少接插连接件，减少故障点，故障率更低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•支持常规芯片实现高刷新、高灰度、高亮度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•支持市场主流常规芯片、PWM芯片、士兰芯片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•全新灰度引擎，低灰度表现更佳</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•可消除单元板设计引起的某行偏暗、低灰偏红、鬼影等细节问题</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•支持高精度的色度、亮度一体化逐点校正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•支持静态到128扫之间的任意扫描类型</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•支持灵活抽点、抽行抽列、数据组偏移，可轻松实现各种异型屏、创意显示屏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•单卡支持24组RGB信号输出</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•支持箱体标定标序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•支持超大带载面积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•支持DC 3.8V~5.5V超宽工作电压</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6C00">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张</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3684">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28</w:t>
            </w:r>
          </w:p>
        </w:tc>
      </w:tr>
      <w:tr w14:paraId="403F220E">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1813">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D2C9">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接收卡间网线</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7F48">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定制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0A05">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条</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B60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25</w:t>
            </w:r>
          </w:p>
        </w:tc>
      </w:tr>
      <w:tr w14:paraId="07C3FF7C">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079D">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107B">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散热风机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DF5D">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轴流风机（低噪型）及百叶窗，屏内温度达到设定值后自动启动。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B12B">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1923">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4</w:t>
            </w:r>
          </w:p>
        </w:tc>
      </w:tr>
      <w:tr w14:paraId="0588A5CC">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BAD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79E6">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空调</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C4CF">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能效等级 1级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额定制冷量2600(150~4720)(瓦)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额定制热量4500(150~6100)(瓦)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电辅热1000(瓦)</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电源规格1-220-50(PH-V-Hz)</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制冷功率565(75~1700)(W)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制热功率1145（90~2106)）(W)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内机尺寸910 x 317 x 203mm(宽x高x深)</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内机重量11(Kg)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外机尺寸802 x 555 x 350mm(宽x高x深)</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外机重量26(Kg)</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内机噪音16~41(dB)A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外机噪音≤51(dB)A</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循环风量660(m3/h)</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2E7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E68B">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6B612061">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7D4A">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6C0A">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LED显示屏专用智能配电柜</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32EC4947">
            <w:pPr>
              <w:keepNext w:val="0"/>
              <w:keepLines w:val="0"/>
              <w:widowControl/>
              <w:suppressLineNumbers w:val="0"/>
              <w:jc w:val="left"/>
              <w:textAlignment w:val="top"/>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1.手动控制方式：三挡旋钮（手动/停止/自动）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2.自动控制方式：标配为远程线控、定时开关（可添加多功能卡、PLC、手机APP、无线遥控等多种控制方式）。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3.功率容量（KVA）：115KW。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4.输入接线方式：3相4线&amp;地线。</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5.输入电压（V）：380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6.输入频率（HZ）：50/60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7.输出接线方式：单相两线+地线，要均匀接入LED显示屏。</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8.输出电压（V）：交流220V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9.输出分路：21路显示屏+3路空调，单相交流220V</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10.分路接线空开容量（A）：25A，单相</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11.分路断路器安装：轨道安装</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12.IP等级：IP44</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13.外箱尺寸：宽600mm高800mm厚200mm（双开门）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14、额定功率：115KW，输出路数：21路</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15、配电柜输入电压为交流380V±15%，工频50Hz。具有定时、防雷、空调温控、短路、过流、过载、等保护功能。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16、配电柜具有远程线控功能。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17、支持远程开关电箱。</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18、自带维修插座。</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19、预留风机温控端子，最大负载800W。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20、配电柜自带延时上电功能，分七级上电。</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5714">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F9DC">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22E3EA23">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B890">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DCCD">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控制电脑</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9AE8">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1、CPU：≥Intel酷睿13代I5 13400处理器；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2、主板：不低于B760芯片主板，主板具备DP、HDMI接口；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3、内存：≥16GB DDR4，提供双内存插槽；</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4、硬盘：≥512G M.2 NVME SSD+1T HDD；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5、显卡：≥2G独立显卡及以上；</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6、声卡：集成或独立5.1声道声卡，提供至少5个立体声接口；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7、扩展槽：1个PCI-E*16、1个PCI-E*1、3个M.2接口(其中2个支持扩展SSD)；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8、接口：≥11个USB接口，其中至少8个USB 3.2 Gen 1、1个USB 3.2 Gen 2 Type-C接口</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9、机箱：标准MATX立式机箱，机箱≥15L，顶置电源开关键，方便使用；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10、键鼠：防水抗菌键盘、抗菌鼠标；</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11、显示器：≥23.8英寸 显示器，分辨率1920*1080；</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12、安全应用：可通过bios将USB端口设置为仅识别键盘鼠标，不识别存储设备，且每个USB端口在BIOS有单独控制开关，提供功能截图。</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D257">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AB1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026EACC7">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EF9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D1BD">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主电源线</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382B">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主电源线6mm²纯铜</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DF60">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盘</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228A">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13</w:t>
            </w:r>
          </w:p>
        </w:tc>
      </w:tr>
      <w:tr w14:paraId="51B1E2DD">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281B">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446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其他辅材</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7EA0">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包含16P长排线、主通讯线等配套线缆材料。</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7A8F">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6636">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66386289">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67C5">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F81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施工安装调试</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82E2">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含设备运输、安装、综合布线接线、系统调试，至正常运行</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A12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02D9">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3CDCF9B4">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1E8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F81B">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空调拆装窗户拆改</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3683">
            <w:pPr>
              <w:keepNext w:val="0"/>
              <w:keepLines w:val="0"/>
              <w:widowControl/>
              <w:suppressLineNumbers w:val="0"/>
              <w:jc w:val="left"/>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含空调拆装、新增线路、管道改造、窗户拆改、管线改造、组网。</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7128">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5728">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0C6530AA">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A3FF">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1D36">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主席台拆除</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F83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 xml:space="preserve"> 原主席台基础拆除及原结构修复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DA68">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D092">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7B17F2F8">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61D0">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24DD">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旗杆拆除</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FFC6">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原旗杆拆除及原基础部位修复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4AD3">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5EA0">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3FBF7F67">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2AB9">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FA24">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绿化带拆除</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9F8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 xml:space="preserve"> 绿化带拆除及场地修复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0CE3">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A040">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2F8FB9F4">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B66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18</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A2E2">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旗杆基础制作安装</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2DE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配合主席台扩建，完成旗杆基础制作与安装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159D">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67A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4510F1C7">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D7AF">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19</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F7A3">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主席台基础制作安装</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0F7A">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 xml:space="preserve">  商混基础浇筑、大理石饰面制作安装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D692">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753E">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0DA5E24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1996">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DDB5">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机械费</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F0EA">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含设备调运、土方开挖等机械全部费用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96B5">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C94C">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5EA2D8B5">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DC2B">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21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F7C4">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垃圾清运</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17A9">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建筑垃圾全部清理、外运处置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2701">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888D">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1AECDB18">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CAF0">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22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0E92">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施工其他辅材及人工</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977A">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 xml:space="preserve"> 结合现场踏勘工况，零星辅材、配套人工，包干使用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4AA2">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ED0B">
            <w:pPr>
              <w:keepNext w:val="0"/>
              <w:keepLines w:val="0"/>
              <w:widowControl/>
              <w:suppressLineNumbers w:val="0"/>
              <w:jc w:val="center"/>
              <w:textAlignment w:val="center"/>
              <w:rPr>
                <w:rFonts w:hint="eastAsia" w:ascii="宋体" w:hAnsi="宋体" w:eastAsia="宋体" w:cs="宋体"/>
                <w:b/>
                <w:color w:val="auto"/>
                <w:kern w:val="0"/>
                <w:sz w:val="24"/>
                <w:lang w:val="en-US" w:eastAsia="zh-CN" w:bidi="ar"/>
              </w:rPr>
            </w:pPr>
            <w:r>
              <w:rPr>
                <w:rFonts w:hint="eastAsia" w:ascii="宋体" w:hAnsi="宋体" w:eastAsia="宋体" w:cs="宋体"/>
                <w:i w:val="0"/>
                <w:iCs w:val="0"/>
                <w:color w:val="auto"/>
                <w:kern w:val="0"/>
                <w:sz w:val="24"/>
                <w:szCs w:val="24"/>
                <w:u w:val="none"/>
                <w:lang w:val="en-US" w:eastAsia="zh-CN" w:bidi="ar"/>
              </w:rPr>
              <w:t>1</w:t>
            </w:r>
          </w:p>
        </w:tc>
      </w:tr>
      <w:tr w14:paraId="4166FF86">
        <w:tblPrEx>
          <w:tblCellMar>
            <w:top w:w="0" w:type="dxa"/>
            <w:left w:w="108" w:type="dxa"/>
            <w:bottom w:w="0" w:type="dxa"/>
            <w:right w:w="108" w:type="dxa"/>
          </w:tblCellMar>
        </w:tblPrEx>
        <w:trPr>
          <w:trHeight w:val="501" w:hRule="atLeast"/>
          <w:jc w:val="center"/>
        </w:trPr>
        <w:tc>
          <w:tcPr>
            <w:tcW w:w="93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1C2518">
            <w:pPr>
              <w:jc w:val="center"/>
              <w:textAlignment w:val="center"/>
              <w:rPr>
                <w:rFonts w:hint="eastAsia" w:ascii="宋体" w:hAnsi="宋体" w:eastAsia="宋体" w:cs="宋体"/>
                <w:b/>
                <w:color w:val="000000"/>
                <w:kern w:val="0"/>
                <w:sz w:val="24"/>
                <w:lang w:bidi="ar"/>
              </w:rPr>
            </w:pPr>
            <w:r>
              <w:rPr>
                <w:rFonts w:hint="eastAsia" w:ascii="宋体" w:hAnsi="宋体" w:eastAsia="宋体" w:cs="宋体"/>
                <w:b/>
                <w:color w:val="000000"/>
                <w:kern w:val="0"/>
                <w:sz w:val="24"/>
                <w:lang w:val="en-US" w:eastAsia="zh-CN" w:bidi="ar"/>
              </w:rPr>
              <w:t>LED电子显示屏（西校区）</w:t>
            </w:r>
          </w:p>
        </w:tc>
      </w:tr>
      <w:tr w14:paraId="5712109A">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6314">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A257">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户外全彩LED显示屏</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1E8B76C8">
            <w:pPr>
              <w:keepNext w:val="0"/>
              <w:keepLines w:val="0"/>
              <w:widowControl/>
              <w:suppressLineNumbers w:val="0"/>
              <w:jc w:val="left"/>
              <w:textAlignment w:val="top"/>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1、像素点间距：≤4mm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2、单元板分辨率：≥3200Dots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3、刷新率：≥3840Hz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4、像素构成：1R、1G、1B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5、封装方式：SMD表贴三合一，铜线封装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6、驱动方式：恒流驱动；控制方式：同步控制系统；维护方式：前后双向维护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7、整屏平整度≤0.05mm；模组平整度≤0.03mm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8、白平衡亮度：0-6000cd/㎡可调，亮度调节：0-100%亮度可调，256级手动/自动调节，屏幕亮度具有随环境照度的变化任意调整功能，亮度均匀性≥98%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9、色温800K-18000K可调；白平衡状态下色温在6500K±5%；色温为6500K时，100%75%50%25%档电平白场调节色温误差≤100K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10、对比度≥9500：1；水平视角≥170°；垂直视角≥170°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11、具有H2S宽动态处理技术，解决主控机二次重复播放时的衰减等现象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12、灰度等级≥14bit，红绿蓝各256级，可达16384级，采用EPWM 灰阶控制技术提升低灰视觉效果，100%亮度时，14bit灰度；70%亮度，14bit灰度；50%亮度，14bit灰度；20%亮度，12bit灰度，显示画面无单列或单行像素失控现象；支持0-100%亮度时，8-14bits灰度自定义设置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13、供电电源：在4.2*（1±10%）VDC～4.5*（1±10%）VDC范围内能正常工作；峰值功耗≤550W/m²；平均功耗≤150W/m²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在器具输入插座端与屏正面之间施加试验电压3kv/50Hz，保持1min，不应出现飞弧和击穿现象，产品能正常工作；在5000米海拔环境下，产品可正常工作；输入电压：支持宽压输入在96-264VAC，支持窄压输入在200-240VAC，在该范围内能正常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15、防护性能：具有防静电、防电磁干扰、防腐蚀、防霉菌、防虫、防潮、抗震动、抗雷击等功能；具有电源过压、过流、断电保护、分布上电措施、防护等级达到IP65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16、具有列下消隐功能、倍频刷新率提升2/4/8倍、低灰偏色改善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17、色坐标X、Y坐标符合SJ/T11141-2017 5.10.5规定；色度均匀性±0.001Cx、Cy内；色域空间≥120% NTSC，LED显示屏ColorSPace覆盖率≥170%YUV(PAL)</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1186">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3BFA">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12.1856</w:t>
            </w:r>
          </w:p>
        </w:tc>
      </w:tr>
      <w:tr w14:paraId="2210596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A72D">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C85A">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LED显示屏钢架结构及周边装饰</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36B0">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LED屏框架结构+铝塑板后封和周边装饰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9985">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7053">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17</w:t>
            </w:r>
          </w:p>
        </w:tc>
      </w:tr>
      <w:tr w14:paraId="2A1A35B8">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E97C">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50F0">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LED控制系统</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09D8747A">
            <w:pPr>
              <w:keepNext w:val="0"/>
              <w:keepLines w:val="0"/>
              <w:widowControl/>
              <w:suppressLineNumbers w:val="0"/>
              <w:jc w:val="left"/>
              <w:textAlignment w:val="top"/>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用于 LED 显示屏控制和播放的专业软件。该软件功能丰富、性能优越，兼具良好 的操作界面，易学易用。支持视频、音频、图像、文字、Flash、Gif 等形式的媒体文件播放;支持 Microsoft office 的 Word、Excel、PPT 显示;支持时钟、计时、天气预报显示;支持外部视频信号(TV、AV、S-Video、 复合视频)播放;支持多页面多分区节目编辑;软件提供了丰富灵活的视频切换功能、分区特效，以 及三维特效动画，让显示屏的显示效果得到完美展现。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179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6AE3">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w:t>
            </w:r>
          </w:p>
        </w:tc>
      </w:tr>
      <w:tr w14:paraId="6F24CF3A">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D32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CD8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视频处理器</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17ABC376">
            <w:pPr>
              <w:keepNext w:val="0"/>
              <w:keepLines w:val="0"/>
              <w:widowControl/>
              <w:suppressLineNumbers w:val="0"/>
              <w:jc w:val="left"/>
              <w:textAlignment w:val="top"/>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1.具有5类视频输入接口,2xHDMI1.4,1xDVI,1xVGA,1xCVBS;1路u盘输入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2.最大带载260万像素，最宽可达3840点，或最高可达2000点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3.最大输入分辨率1920x1080@60Hz，支持分辨率任意设置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4.支持4路千兆网口输出，支持单机或双机冗余备份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5.1路独立音频输入，1路独立音频输出，支持HDMI、U-DISK音频解析输出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6.支持对视频信号任意切换，裁剪，缩放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7.支持画面偏移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8.支持画面调整:对比度、饱和度、色度、亮度补偿，锐度调整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9.支持有限转完全功能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10.支持发送/回读校正系数，高级修缝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11.支持HDCP1.4高带宽数字内容保护技术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12.支持精确颜色管理，可调节显示屏色域，需对应型号接收卡支持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13.支持亮度和色温调节，支持精确色温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14.支持低亮高灰，可有效保持低亮度下灰阶的完整显示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15.支持16个场景保存和调用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16.支持U盘播放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17.支持OSD(屏幕菜单调节:一般是按菜单键后屏幕弹出的显示器各项调节项目信息的矩形菜单，可调节屏幕灰度，色温，恢复出厂设置......)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79E0">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AB53">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w:t>
            </w:r>
          </w:p>
        </w:tc>
      </w:tr>
      <w:tr w14:paraId="5C709B63">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F797">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BB46">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 xml:space="preserve">数据接收卡 </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3029D792">
            <w:pPr>
              <w:keepNext w:val="0"/>
              <w:keepLines w:val="0"/>
              <w:widowControl/>
              <w:suppressLineNumbers w:val="0"/>
              <w:jc w:val="left"/>
              <w:textAlignment w:val="top"/>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•集成12路HUB75接口，无需再配转接板，更方便，成本更低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•减少接插连接件，减少故障点，故障率更低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•支持常规芯片实现高刷新、高灰度、高亮度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•支持市场主流常规芯片、PWM芯片、士兰芯片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•全新灰度引擎，低灰度表现更佳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•可消除单元板设计引起的某行偏暗、低灰偏红、鬼影等细节问题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•支持高精度的色度、亮度一体化逐点校正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•支持静态到128扫之间的任意扫描类型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•支持灵活抽点、抽行抽列、数据组偏移，可轻松实现各种异型屏、创意显示屏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•单卡支持24组RGB信号输出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•支持箱体标定标序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•支持超大带载面积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•支持DC 3.8V~5.5V超宽工作电压</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3330">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张</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3476">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28</w:t>
            </w:r>
          </w:p>
        </w:tc>
      </w:tr>
      <w:tr w14:paraId="59A98760">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855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C6C5">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接收卡间网线</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46EF">
            <w:pPr>
              <w:keepNext w:val="0"/>
              <w:keepLines w:val="0"/>
              <w:widowControl/>
              <w:suppressLineNumbers w:val="0"/>
              <w:jc w:val="left"/>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定制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5353">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条</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4DDB">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26</w:t>
            </w:r>
          </w:p>
        </w:tc>
      </w:tr>
      <w:tr w14:paraId="113E3AD5">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AB82">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80B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散热风机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8A13">
            <w:pPr>
              <w:keepNext w:val="0"/>
              <w:keepLines w:val="0"/>
              <w:widowControl/>
              <w:suppressLineNumbers w:val="0"/>
              <w:jc w:val="left"/>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轴流风机（低噪型）及百叶窗，屏内温度达到设定值后自动启动。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D311">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A3D0">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3</w:t>
            </w:r>
          </w:p>
        </w:tc>
      </w:tr>
      <w:tr w14:paraId="53252FA0">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F5B1">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8</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E4C5">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LED显示屏专用智能配电柜</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top"/>
          </w:tcPr>
          <w:p w14:paraId="4F380BC4">
            <w:pPr>
              <w:keepNext w:val="0"/>
              <w:keepLines w:val="0"/>
              <w:widowControl/>
              <w:suppressLineNumbers w:val="0"/>
              <w:jc w:val="left"/>
              <w:textAlignment w:val="top"/>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1.手动控制方式：三挡旋钮（手动/停止/自动）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2.自动控制方式：定时开关、远程线控（可添加多功能卡、PLC、手机APP、无线遥控等多种控制方式）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3.功率容量（KVA）：16KW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4.输入接线方式：3相4线&amp;地线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5.输入电压（V）：380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6.输入频率（HZ）：50/60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7.输出接线方式：单相两线+地线，要均匀接入LED显示屏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8.输出电压（V）：交流220V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9.输出分路：3路，单相交流220V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10.分路接线端子容量（A）：25A，单相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11.分路断路器安装：轨道安装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12.IP等级：IP44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13.外箱尺寸：宽300mm高400mm厚130mm（单开门）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14、额定功率：16KW，输出路数：3路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15、配电柜输入电压为交流380V±15%，工频50Hz。具有短路、过流、过载、等保护功能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16、配电柜具有远程线控功能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17、配电柜具有定时功能</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F8ED">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C007">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w:t>
            </w:r>
          </w:p>
        </w:tc>
      </w:tr>
      <w:tr w14:paraId="3368E2BA">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EB6F">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373D">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控制电脑</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8BFF">
            <w:pPr>
              <w:keepNext w:val="0"/>
              <w:keepLines w:val="0"/>
              <w:widowControl/>
              <w:suppressLineNumbers w:val="0"/>
              <w:jc w:val="left"/>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1、CPU：≥Intel酷睿13代I5 13400处理器；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2、主板：不低于B760芯片主板，主板具备DP、HDMI接口；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3、内存：≥16GB DDR4，提供双内存插槽；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4、硬盘：≥512G M.2 NVME SSD+1T HDD；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5、显卡：≥2G独立显卡及以上；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6、声卡：集成或独立5.1声道声卡，提供至少5个立体声接口；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7、扩展槽：1个PCI-E*16、1个PCI-E*1、3个M.2接口(其中2个支持扩展SSD)；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8、接口：≥11个USB接口，其中至少8个USB 3.2 Gen 1、1个USB 3.2 Gen 2 Type-C接口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9、机箱：标准MATX立式机箱，机箱≥15L，顶置电源开关键，方便使用；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10、键鼠：防水抗菌键盘、抗菌鼠标；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11、显示器：≥23.8英寸 显示器，分辨率1920*1080；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12、安全应用：可通过bios将USB端口设置为仅识别键盘鼠标，不识别存储设备，且每个USB端口在BIOS有单独控制开关；</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1DD6">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31B1">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w:t>
            </w:r>
          </w:p>
        </w:tc>
      </w:tr>
      <w:tr w14:paraId="7A2672AB">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6A91">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F6D5">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主电源线</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9E21">
            <w:pPr>
              <w:keepNext w:val="0"/>
              <w:keepLines w:val="0"/>
              <w:widowControl/>
              <w:suppressLineNumbers w:val="0"/>
              <w:jc w:val="left"/>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主电源线6mm²纯铜</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77A2">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盘</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552E">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4</w:t>
            </w:r>
          </w:p>
        </w:tc>
      </w:tr>
      <w:tr w14:paraId="31D77259">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1BD3">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6D3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其他辅材</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1BF6">
            <w:pPr>
              <w:keepNext w:val="0"/>
              <w:keepLines w:val="0"/>
              <w:widowControl/>
              <w:suppressLineNumbers w:val="0"/>
              <w:jc w:val="left"/>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包含16P长排线、主通讯线等配套线缆材料。</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B2F6">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5AF8">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w:t>
            </w:r>
          </w:p>
        </w:tc>
      </w:tr>
      <w:tr w14:paraId="4E179751">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2466">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201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施工安装调试</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E2D7">
            <w:pPr>
              <w:keepNext w:val="0"/>
              <w:keepLines w:val="0"/>
              <w:widowControl/>
              <w:suppressLineNumbers w:val="0"/>
              <w:jc w:val="left"/>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含设备运输、安装、综合布线接线、系统调试，至正常运行</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0D48">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8389">
            <w:pPr>
              <w:keepNext w:val="0"/>
              <w:keepLines w:val="0"/>
              <w:widowControl/>
              <w:suppressLineNumbers w:val="0"/>
              <w:jc w:val="center"/>
              <w:textAlignment w:val="center"/>
              <w:rPr>
                <w:rFonts w:hint="eastAsia" w:ascii="宋体" w:hAnsi="宋体" w:eastAsia="宋体" w:cs="宋体"/>
                <w:b/>
                <w:color w:val="000000"/>
                <w:kern w:val="0"/>
                <w:sz w:val="24"/>
                <w:lang w:bidi="ar"/>
              </w:rPr>
            </w:pPr>
            <w:r>
              <w:rPr>
                <w:rFonts w:hint="eastAsia" w:ascii="宋体" w:hAnsi="宋体" w:eastAsia="宋体" w:cs="宋体"/>
                <w:i w:val="0"/>
                <w:iCs w:val="0"/>
                <w:color w:val="000000"/>
                <w:kern w:val="0"/>
                <w:sz w:val="24"/>
                <w:szCs w:val="24"/>
                <w:u w:val="none"/>
                <w:lang w:val="en-US" w:eastAsia="zh-CN" w:bidi="ar"/>
              </w:rPr>
              <w:t>1</w:t>
            </w:r>
          </w:p>
        </w:tc>
      </w:tr>
      <w:tr w14:paraId="60405EA9">
        <w:tblPrEx>
          <w:tblCellMar>
            <w:top w:w="0" w:type="dxa"/>
            <w:left w:w="108" w:type="dxa"/>
            <w:bottom w:w="0" w:type="dxa"/>
            <w:right w:w="108" w:type="dxa"/>
          </w:tblCellMar>
        </w:tblPrEx>
        <w:trPr>
          <w:trHeight w:val="434" w:hRule="atLeast"/>
          <w:jc w:val="center"/>
        </w:trPr>
        <w:tc>
          <w:tcPr>
            <w:tcW w:w="93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41FEF">
            <w:pPr>
              <w:jc w:val="center"/>
              <w:textAlignment w:val="center"/>
              <w:rPr>
                <w:rFonts w:ascii="宋体" w:hAnsi="宋体" w:eastAsia="宋体" w:cs="宋体"/>
                <w:b/>
                <w:color w:val="000000"/>
                <w:kern w:val="0"/>
                <w:sz w:val="24"/>
                <w:lang w:bidi="ar"/>
              </w:rPr>
            </w:pPr>
            <w:r>
              <w:rPr>
                <w:rFonts w:hint="eastAsia" w:ascii="宋体" w:hAnsi="宋体" w:eastAsia="宋体" w:cs="宋体"/>
                <w:b/>
                <w:color w:val="000000"/>
                <w:kern w:val="0"/>
                <w:sz w:val="24"/>
                <w:lang w:bidi="ar"/>
              </w:rPr>
              <w:t>数据</w:t>
            </w:r>
            <w:r>
              <w:rPr>
                <w:rFonts w:ascii="宋体" w:hAnsi="宋体" w:eastAsia="宋体" w:cs="宋体"/>
                <w:b/>
                <w:color w:val="000000"/>
                <w:kern w:val="0"/>
                <w:sz w:val="24"/>
                <w:lang w:bidi="ar"/>
              </w:rPr>
              <w:t>中心</w:t>
            </w:r>
          </w:p>
        </w:tc>
      </w:tr>
      <w:tr w14:paraId="5F97C115">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8324">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673A">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服务器</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62850F2">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品牌：国产品牌，具有自主知识产权，非OEM产品；</w:t>
            </w:r>
          </w:p>
          <w:p w14:paraId="76CB12B6">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规格：≤2U，机架式服务器，带滑轨；</w:t>
            </w:r>
          </w:p>
          <w:p w14:paraId="373E8A3F">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CPU：配置≥2颗英特尔至强® 金牌处理器，单颗主频≥2.0GHz, 核数≥28核；</w:t>
            </w:r>
          </w:p>
          <w:p w14:paraId="4FECD2D5">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内存：内存配置容量≥256GB；</w:t>
            </w:r>
          </w:p>
          <w:p w14:paraId="435EFA1A">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硬盘：配置不少于2块≥960G企业级固态硬盘；</w:t>
            </w:r>
          </w:p>
          <w:p w14:paraId="5AA377D7">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RAID卡：可支持RAID 0/1/5/6/10；</w:t>
            </w:r>
          </w:p>
          <w:p w14:paraId="268972E8">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网口：≥4个千兆电口；≥2个万兆光口；</w:t>
            </w:r>
          </w:p>
          <w:p w14:paraId="5A4F0A58">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I/O扩展：最多14个PCIe4.0扩展槽位，≥1个RAID卡专用的PCIe扩展槽位，≥2个OCP3.0专用FLEX IO扩展槽位，≥11个标准PCIe4.0扩展槽位；</w:t>
            </w:r>
          </w:p>
          <w:p w14:paraId="5A8297E4">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配置：配置集成显卡,显存≥32 MB；</w:t>
            </w:r>
          </w:p>
          <w:p w14:paraId="40CD03DA">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电源：配置≥900W冗余热插拔电源模块；</w:t>
            </w:r>
          </w:p>
          <w:p w14:paraId="2D8BC474">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环境温度：长期工作环境温度支持5-45度；</w:t>
            </w:r>
          </w:p>
          <w:p w14:paraId="5371F046">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BIOS：投标产品BIOS支持图形化界面，支持鼠标操作，支持中文BIOS；</w:t>
            </w:r>
          </w:p>
          <w:p w14:paraId="373A5783">
            <w:pPr>
              <w:numPr>
                <w:ilvl w:val="0"/>
                <w:numId w:val="5"/>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管理功能：服务器管理软件应支持在中华人民共和国境内工商局登记注册的芯片，应支持内存UCE Non-Fatal精准告警及内存故障隔离功能，应支持PCIe标卡UCE故障精准告警功能，基于Redfish规范的SSDP自动发现协议支持网管通过SSDP报文识别新接入服务器设备；为保证产品使用安全，服务器带外管理固件在安全涉及、安全开发、安全测试、漏洞管理、配置管理方面需符合安全规范和要求；</w:t>
            </w:r>
          </w:p>
          <w:p w14:paraId="681345FE">
            <w:pPr>
              <w:numPr>
                <w:ilvl w:val="0"/>
                <w:numId w:val="5"/>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投标产品应具备对硬件故障进行数据收集、记录、诊断、告警、日志导出等功能。告警事件在WEB界面，通过部件健康树集中清晰的展示每个部件的故障信息。</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823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6046">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w:t>
            </w:r>
          </w:p>
        </w:tc>
      </w:tr>
      <w:tr w14:paraId="09765C7D">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E5E8">
            <w:pPr>
              <w:jc w:val="center"/>
              <w:textAlignment w:val="center"/>
              <w:rPr>
                <w:rFonts w:ascii="宋体" w:hAnsi="宋体" w:eastAsia="宋体" w:cs="宋体"/>
                <w:color w:val="000000"/>
                <w:kern w:val="0"/>
                <w:sz w:val="24"/>
                <w:lang w:bidi="ar"/>
              </w:rPr>
            </w:pPr>
          </w:p>
          <w:p w14:paraId="436CD791">
            <w:pPr>
              <w:jc w:val="center"/>
              <w:textAlignment w:val="center"/>
              <w:rPr>
                <w:rFonts w:ascii="宋体" w:hAnsi="宋体" w:eastAsia="宋体" w:cs="宋体"/>
                <w:color w:val="000000"/>
                <w:kern w:val="0"/>
                <w:sz w:val="24"/>
                <w:lang w:bidi="ar"/>
              </w:rPr>
            </w:pPr>
          </w:p>
          <w:p w14:paraId="6D512609">
            <w:pPr>
              <w:jc w:val="center"/>
              <w:textAlignment w:val="center"/>
              <w:rPr>
                <w:rFonts w:ascii="宋体" w:hAnsi="宋体" w:eastAsia="宋体" w:cs="宋体"/>
                <w:color w:val="000000"/>
                <w:kern w:val="0"/>
                <w:sz w:val="24"/>
                <w:lang w:bidi="ar"/>
              </w:rPr>
            </w:pPr>
          </w:p>
          <w:p w14:paraId="39302269">
            <w:pPr>
              <w:jc w:val="center"/>
              <w:textAlignment w:val="center"/>
              <w:rPr>
                <w:rFonts w:ascii="宋体" w:hAnsi="宋体" w:eastAsia="宋体" w:cs="宋体"/>
                <w:color w:val="000000"/>
                <w:kern w:val="0"/>
                <w:sz w:val="24"/>
                <w:lang w:bidi="ar"/>
              </w:rPr>
            </w:pPr>
          </w:p>
          <w:p w14:paraId="64FCFA03">
            <w:pPr>
              <w:jc w:val="center"/>
              <w:textAlignment w:val="center"/>
              <w:rPr>
                <w:rFonts w:ascii="宋体" w:hAnsi="宋体" w:eastAsia="宋体" w:cs="宋体"/>
                <w:color w:val="000000"/>
                <w:kern w:val="0"/>
                <w:sz w:val="24"/>
                <w:lang w:bidi="ar"/>
              </w:rPr>
            </w:pPr>
          </w:p>
          <w:p w14:paraId="07E17677">
            <w:pPr>
              <w:jc w:val="center"/>
              <w:textAlignment w:val="center"/>
              <w:rPr>
                <w:rFonts w:ascii="宋体" w:hAnsi="宋体" w:eastAsia="宋体" w:cs="宋体"/>
                <w:color w:val="000000"/>
                <w:kern w:val="0"/>
                <w:sz w:val="24"/>
                <w:lang w:bidi="ar"/>
              </w:rPr>
            </w:pPr>
          </w:p>
          <w:p w14:paraId="437949FF">
            <w:pPr>
              <w:jc w:val="center"/>
              <w:textAlignment w:val="center"/>
              <w:rPr>
                <w:rFonts w:ascii="宋体" w:hAnsi="宋体" w:eastAsia="宋体" w:cs="宋体"/>
                <w:color w:val="000000"/>
                <w:kern w:val="0"/>
                <w:sz w:val="24"/>
                <w:lang w:bidi="ar"/>
              </w:rPr>
            </w:pPr>
          </w:p>
          <w:p w14:paraId="12A29A70">
            <w:pPr>
              <w:jc w:val="center"/>
              <w:textAlignment w:val="center"/>
              <w:rPr>
                <w:rFonts w:ascii="宋体" w:hAnsi="宋体" w:eastAsia="宋体" w:cs="宋体"/>
                <w:color w:val="000000"/>
                <w:kern w:val="0"/>
                <w:sz w:val="24"/>
                <w:lang w:bidi="ar"/>
              </w:rPr>
            </w:pPr>
          </w:p>
          <w:p w14:paraId="43397E10">
            <w:pPr>
              <w:jc w:val="center"/>
              <w:textAlignment w:val="center"/>
              <w:rPr>
                <w:rFonts w:ascii="宋体" w:hAnsi="宋体" w:eastAsia="宋体" w:cs="宋体"/>
                <w:color w:val="000000"/>
                <w:kern w:val="0"/>
                <w:sz w:val="24"/>
                <w:lang w:bidi="ar"/>
              </w:rPr>
            </w:pPr>
          </w:p>
          <w:p w14:paraId="36B55105">
            <w:pPr>
              <w:jc w:val="center"/>
              <w:textAlignment w:val="center"/>
              <w:rPr>
                <w:rFonts w:ascii="宋体" w:hAnsi="宋体" w:eastAsia="宋体" w:cs="宋体"/>
                <w:color w:val="000000"/>
                <w:kern w:val="0"/>
                <w:sz w:val="24"/>
                <w:lang w:bidi="ar"/>
              </w:rPr>
            </w:pPr>
          </w:p>
          <w:p w14:paraId="67AB2171">
            <w:pPr>
              <w:jc w:val="center"/>
              <w:textAlignment w:val="center"/>
              <w:rPr>
                <w:rFonts w:ascii="宋体" w:hAnsi="宋体" w:eastAsia="宋体" w:cs="宋体"/>
                <w:color w:val="000000"/>
                <w:kern w:val="0"/>
                <w:sz w:val="24"/>
                <w:lang w:bidi="ar"/>
              </w:rPr>
            </w:pPr>
          </w:p>
          <w:p w14:paraId="7C9BA459">
            <w:pPr>
              <w:jc w:val="center"/>
              <w:textAlignment w:val="center"/>
              <w:rPr>
                <w:rFonts w:ascii="宋体" w:hAnsi="宋体" w:eastAsia="宋体" w:cs="宋体"/>
                <w:color w:val="000000"/>
                <w:kern w:val="0"/>
                <w:sz w:val="24"/>
                <w:lang w:bidi="ar"/>
              </w:rPr>
            </w:pPr>
          </w:p>
          <w:p w14:paraId="3A295454">
            <w:pPr>
              <w:jc w:val="center"/>
              <w:textAlignment w:val="center"/>
              <w:rPr>
                <w:rFonts w:ascii="宋体" w:hAnsi="宋体" w:eastAsia="宋体" w:cs="宋体"/>
                <w:color w:val="000000"/>
                <w:kern w:val="0"/>
                <w:sz w:val="24"/>
                <w:lang w:bidi="ar"/>
              </w:rPr>
            </w:pPr>
          </w:p>
          <w:p w14:paraId="7437D860">
            <w:pPr>
              <w:jc w:val="center"/>
              <w:textAlignment w:val="center"/>
              <w:rPr>
                <w:rFonts w:ascii="宋体" w:hAnsi="宋体" w:eastAsia="宋体" w:cs="宋体"/>
                <w:color w:val="000000"/>
                <w:kern w:val="0"/>
                <w:sz w:val="24"/>
                <w:lang w:bidi="ar"/>
              </w:rPr>
            </w:pPr>
          </w:p>
          <w:p w14:paraId="3329A14C">
            <w:pPr>
              <w:jc w:val="center"/>
              <w:textAlignment w:val="center"/>
              <w:rPr>
                <w:rFonts w:ascii="宋体" w:hAnsi="宋体" w:eastAsia="宋体" w:cs="宋体"/>
                <w:color w:val="000000"/>
                <w:kern w:val="0"/>
                <w:sz w:val="24"/>
                <w:lang w:bidi="ar"/>
              </w:rPr>
            </w:pPr>
          </w:p>
          <w:p w14:paraId="49FC0E46">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D243">
            <w:pPr>
              <w:jc w:val="center"/>
              <w:textAlignment w:val="center"/>
              <w:rPr>
                <w:rFonts w:hint="eastAsia" w:ascii="宋体" w:hAnsi="宋体" w:eastAsia="宋体" w:cs="宋体"/>
                <w:b/>
                <w:bCs/>
                <w:color w:val="000000"/>
                <w:kern w:val="0"/>
                <w:sz w:val="24"/>
                <w:lang w:bidi="ar"/>
              </w:rPr>
            </w:pPr>
          </w:p>
          <w:p w14:paraId="15829558">
            <w:pPr>
              <w:jc w:val="center"/>
              <w:textAlignment w:val="center"/>
              <w:rPr>
                <w:rFonts w:hint="eastAsia" w:ascii="宋体" w:hAnsi="宋体" w:eastAsia="宋体" w:cs="宋体"/>
                <w:b/>
                <w:bCs/>
                <w:color w:val="000000"/>
                <w:kern w:val="0"/>
                <w:sz w:val="24"/>
                <w:lang w:bidi="ar"/>
              </w:rPr>
            </w:pPr>
          </w:p>
          <w:p w14:paraId="393FFFDD">
            <w:pPr>
              <w:jc w:val="center"/>
              <w:textAlignment w:val="center"/>
              <w:rPr>
                <w:rFonts w:hint="eastAsia" w:ascii="宋体" w:hAnsi="宋体" w:eastAsia="宋体" w:cs="宋体"/>
                <w:b/>
                <w:bCs/>
                <w:color w:val="000000"/>
                <w:kern w:val="0"/>
                <w:sz w:val="24"/>
                <w:lang w:bidi="ar"/>
              </w:rPr>
            </w:pPr>
          </w:p>
          <w:p w14:paraId="6C3952C3">
            <w:pPr>
              <w:jc w:val="center"/>
              <w:textAlignment w:val="center"/>
              <w:rPr>
                <w:rFonts w:hint="eastAsia" w:ascii="宋体" w:hAnsi="宋体" w:eastAsia="宋体" w:cs="宋体"/>
                <w:b/>
                <w:bCs/>
                <w:color w:val="000000"/>
                <w:kern w:val="0"/>
                <w:sz w:val="24"/>
                <w:lang w:bidi="ar"/>
              </w:rPr>
            </w:pPr>
          </w:p>
          <w:p w14:paraId="46F559C8">
            <w:pPr>
              <w:jc w:val="center"/>
              <w:textAlignment w:val="center"/>
              <w:rPr>
                <w:rFonts w:hint="eastAsia" w:ascii="宋体" w:hAnsi="宋体" w:eastAsia="宋体" w:cs="宋体"/>
                <w:b/>
                <w:bCs/>
                <w:color w:val="000000"/>
                <w:kern w:val="0"/>
                <w:sz w:val="24"/>
                <w:lang w:bidi="ar"/>
              </w:rPr>
            </w:pPr>
          </w:p>
          <w:p w14:paraId="0E615BAB">
            <w:pPr>
              <w:jc w:val="center"/>
              <w:textAlignment w:val="center"/>
              <w:rPr>
                <w:rFonts w:hint="eastAsia" w:ascii="宋体" w:hAnsi="宋体" w:eastAsia="宋体" w:cs="宋体"/>
                <w:b/>
                <w:bCs/>
                <w:color w:val="000000"/>
                <w:kern w:val="0"/>
                <w:sz w:val="24"/>
                <w:lang w:bidi="ar"/>
              </w:rPr>
            </w:pPr>
          </w:p>
          <w:p w14:paraId="6EB19118">
            <w:pPr>
              <w:jc w:val="center"/>
              <w:textAlignment w:val="center"/>
              <w:rPr>
                <w:rFonts w:hint="eastAsia" w:ascii="宋体" w:hAnsi="宋体" w:eastAsia="宋体" w:cs="宋体"/>
                <w:b/>
                <w:bCs/>
                <w:color w:val="000000"/>
                <w:kern w:val="0"/>
                <w:sz w:val="24"/>
                <w:lang w:bidi="ar"/>
              </w:rPr>
            </w:pPr>
          </w:p>
          <w:p w14:paraId="061E0E93">
            <w:pPr>
              <w:jc w:val="center"/>
              <w:textAlignment w:val="center"/>
              <w:rPr>
                <w:rFonts w:hint="eastAsia" w:ascii="宋体" w:hAnsi="宋体" w:eastAsia="宋体" w:cs="宋体"/>
                <w:b/>
                <w:bCs/>
                <w:color w:val="000000"/>
                <w:kern w:val="0"/>
                <w:sz w:val="24"/>
                <w:lang w:bidi="ar"/>
              </w:rPr>
            </w:pPr>
          </w:p>
          <w:p w14:paraId="54EF071F">
            <w:pPr>
              <w:jc w:val="center"/>
              <w:textAlignment w:val="center"/>
              <w:rPr>
                <w:rFonts w:hint="eastAsia" w:ascii="宋体" w:hAnsi="宋体" w:eastAsia="宋体" w:cs="宋体"/>
                <w:b/>
                <w:bCs/>
                <w:color w:val="000000"/>
                <w:kern w:val="0"/>
                <w:sz w:val="24"/>
                <w:lang w:bidi="ar"/>
              </w:rPr>
            </w:pPr>
          </w:p>
          <w:p w14:paraId="6CB32B73">
            <w:pPr>
              <w:jc w:val="center"/>
              <w:textAlignment w:val="center"/>
              <w:rPr>
                <w:rFonts w:hint="eastAsia" w:ascii="宋体" w:hAnsi="宋体" w:eastAsia="宋体" w:cs="宋体"/>
                <w:b/>
                <w:bCs/>
                <w:color w:val="000000"/>
                <w:kern w:val="0"/>
                <w:sz w:val="24"/>
                <w:lang w:bidi="ar"/>
              </w:rPr>
            </w:pPr>
          </w:p>
          <w:p w14:paraId="2C612313">
            <w:pPr>
              <w:jc w:val="center"/>
              <w:textAlignment w:val="center"/>
              <w:rPr>
                <w:rFonts w:hint="eastAsia" w:ascii="宋体" w:hAnsi="宋体" w:eastAsia="宋体" w:cs="宋体"/>
                <w:b/>
                <w:bCs/>
                <w:color w:val="000000"/>
                <w:kern w:val="0"/>
                <w:sz w:val="24"/>
                <w:lang w:bidi="ar"/>
              </w:rPr>
            </w:pPr>
          </w:p>
          <w:p w14:paraId="517A87BE">
            <w:pPr>
              <w:jc w:val="center"/>
              <w:textAlignment w:val="center"/>
              <w:rPr>
                <w:rFonts w:hint="eastAsia" w:ascii="宋体" w:hAnsi="宋体" w:eastAsia="宋体" w:cs="宋体"/>
                <w:b/>
                <w:bCs/>
                <w:color w:val="000000"/>
                <w:kern w:val="0"/>
                <w:sz w:val="24"/>
                <w:lang w:bidi="ar"/>
              </w:rPr>
            </w:pPr>
          </w:p>
          <w:p w14:paraId="1841E52E">
            <w:pPr>
              <w:jc w:val="center"/>
              <w:textAlignment w:val="center"/>
              <w:rPr>
                <w:rFonts w:hint="eastAsia" w:ascii="宋体" w:hAnsi="宋体" w:eastAsia="宋体" w:cs="宋体"/>
                <w:b/>
                <w:bCs/>
                <w:color w:val="000000"/>
                <w:kern w:val="0"/>
                <w:sz w:val="24"/>
                <w:lang w:bidi="ar"/>
              </w:rPr>
            </w:pPr>
          </w:p>
          <w:p w14:paraId="76A4AF69">
            <w:pPr>
              <w:jc w:val="center"/>
              <w:textAlignment w:val="center"/>
              <w:rPr>
                <w:rFonts w:hint="eastAsia" w:ascii="宋体" w:hAnsi="宋体" w:eastAsia="宋体" w:cs="宋体"/>
                <w:b/>
                <w:bCs/>
                <w:color w:val="000000"/>
                <w:kern w:val="0"/>
                <w:sz w:val="24"/>
                <w:lang w:bidi="ar"/>
              </w:rPr>
            </w:pPr>
          </w:p>
          <w:p w14:paraId="77A205F6">
            <w:pPr>
              <w:jc w:val="center"/>
              <w:textAlignment w:val="center"/>
              <w:rPr>
                <w:rFonts w:hint="eastAsia" w:ascii="宋体" w:hAnsi="宋体" w:eastAsia="宋体" w:cs="宋体"/>
                <w:b/>
                <w:bCs/>
                <w:color w:val="000000"/>
                <w:kern w:val="0"/>
                <w:sz w:val="24"/>
                <w:lang w:bidi="ar"/>
              </w:rPr>
            </w:pPr>
          </w:p>
          <w:p w14:paraId="087F6D08">
            <w:pPr>
              <w:jc w:val="center"/>
              <w:textAlignment w:val="center"/>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存储</w:t>
            </w:r>
          </w:p>
          <w:p w14:paraId="4F8DA193">
            <w:pPr>
              <w:jc w:val="center"/>
              <w:textAlignment w:val="center"/>
              <w:rPr>
                <w:rFonts w:hint="eastAsia" w:ascii="宋体" w:hAnsi="宋体" w:eastAsia="宋体" w:cs="宋体"/>
                <w:b/>
                <w:bCs/>
                <w:color w:val="000000"/>
                <w:kern w:val="0"/>
                <w:sz w:val="24"/>
                <w:lang w:eastAsia="zh-CN" w:bidi="ar"/>
              </w:rPr>
            </w:pPr>
          </w:p>
          <w:p w14:paraId="626E3E3F">
            <w:pPr>
              <w:jc w:val="center"/>
              <w:textAlignment w:val="center"/>
              <w:rPr>
                <w:rFonts w:hint="default" w:ascii="宋体" w:hAnsi="宋体" w:eastAsia="宋体" w:cs="宋体"/>
                <w:color w:val="000000"/>
                <w:sz w:val="24"/>
                <w:lang w:val="en-US" w:eastAsia="zh-CN"/>
              </w:rPr>
            </w:pPr>
            <w:r>
              <w:rPr>
                <w:rFonts w:hint="eastAsia" w:ascii="宋体" w:hAnsi="宋体" w:eastAsia="宋体" w:cs="宋体"/>
                <w:b/>
                <w:bCs/>
                <w:color w:val="000000"/>
                <w:kern w:val="0"/>
                <w:sz w:val="24"/>
                <w:lang w:val="en-US" w:eastAsia="zh-CN" w:bidi="ar"/>
              </w:rPr>
              <w:t>(</w:t>
            </w:r>
            <w:r>
              <w:rPr>
                <w:rFonts w:hint="eastAsia" w:ascii="宋体" w:hAnsi="宋体" w:eastAsia="宋体" w:cs="宋体"/>
                <w:b/>
                <w:bCs/>
                <w:color w:val="000000"/>
                <w:kern w:val="0"/>
                <w:sz w:val="24"/>
                <w:lang w:eastAsia="zh-CN" w:bidi="ar"/>
              </w:rPr>
              <w:t>核心产品</w:t>
            </w:r>
            <w:r>
              <w:rPr>
                <w:rFonts w:hint="eastAsia" w:ascii="宋体" w:hAnsi="宋体" w:eastAsia="宋体" w:cs="宋体"/>
                <w:b/>
                <w:bCs/>
                <w:color w:val="000000"/>
                <w:kern w:val="0"/>
                <w:sz w:val="24"/>
                <w:lang w:val="en-US" w:eastAsia="zh-CN" w:bidi="ar"/>
              </w:rPr>
              <w:t>)</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4400FA63">
            <w:pPr>
              <w:numPr>
                <w:ilvl w:val="0"/>
                <w:numId w:val="6"/>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所投存储底层操作系统采用欧拉、统信、麒麟或基于开放原子开源基金会孵化及运营的开源系统衍生的国产操作系统，不得采用国外开源社区操作系统（包括但不限于RedHat、CentOS及衍生版本）和国外操作系统（如Suse Linux）。</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2.本次配置≥8个千兆电口；≥4个10Gb ETH(含多模SFP+)；≥4块480GB SSD SAS硬盘单元(3.5")；≥7块10TB 7.2K RPM NL SAS硬盘单元(3.5")。</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3.为保证核心数据安全，存储的关键芯片（系统 BMC 管理芯片、接口卡处理芯片、SSD 控制芯片）均为国产品牌，实现关键芯片自主可控，保障数据安全可靠。</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4.支持数据加密功能，可以通过与外置密管的配合实现数据的加密。</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5.存储系统采用对称AA架构，LUN无控制器归属，在多控配置下，能够负载到所有控制器，CPU利用率差异小于5%。</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6.存储系统支持 SAN 和 NAS 免网关一体化Active-Active 双活，实现两套核心存储数据双活（对单个 LUN 和单个文件系统的访问可通过两个站点负载均衡到两套存储设备上），任何一套设备宕机均不影响上层业务系统运行。双活架构需要具备独立的第三方仲裁设备。仲裁设备故障时，不影响业务运行；支持双仲裁模式，单台仲裁设备故障，不影响正常双活业务。一个站点发生故障后，另一个站点可自动快速拉起业务（秒级）；一个站点故障恢复后，业务可自动回切，并自动负载均衡。支持双活文件系统在线扩容和缩容，容量修改在单端完成，自动同步到对端，对双活状态无任何影响。支持双活 LUN 在线扩容，容量修改在单端完成，自动同步到对端，对双活状态无任何影响。</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7.配置≥2个控制器，控制器采用多核处理器，且单控制器处理器总核心数≥18核，CPU主频为≥2.1GHz。</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8.系统内总一级缓存容量配置≥64GB，且任意控制器一级缓存容量≥32GB（不含任何性能加速模块、FlashCache、PAM卡，SSD Cache、SCM等）。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9.支持RAID-TP，在同一个RAID组内任意3盘同时失效，数据不丢&amp;不中断业务。</w:t>
            </w:r>
          </w:p>
          <w:p w14:paraId="0FE7EA83">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10.通过性能监控界面可以实时统计指定对象（控制器的缓存、处理器、前端端口，以及LUN和卷组等）的性能指标（例如：占用率、IOPS、时延、带宽），并能单独统计读、写IOPS、时延和带宽指标，且性能监控数据的采样间隔小于等于5秒，并能持续观察15分钟以上的性能曲线。历史性能工具支持半年以上历史数据的查看、统计，支持查看指定周期内（小时、天、周、月）的性能数据。</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11.按照标准SJ/T 11527-2015条款5.7.1进行测试， 对非正常操作具有保护能力，对可能引起数据改变的人工操作具有警告确认提示，不同类型或不同接口的磁盘阵列控制器及其插拔盒具有防插错措施，对管理用户进行安全身份认证。</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1872">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08D8">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30030F21">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D05A">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74AF1">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超融合虚拟化软件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4B465E4">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1、支持在同一个管理界面中监控和管理计算、存储、交换机、虚拟化平台等。</w:t>
            </w:r>
          </w:p>
          <w:p w14:paraId="782AB830">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2、管理节点采用主备方式或每个节点都自带管理软件，确保平台的可用性，单节点故障不影响业务。</w:t>
            </w:r>
          </w:p>
          <w:p w14:paraId="36391E41">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3、支持经济高效的虚拟机自动重启，当硬件发生故障时，虚拟机可在几分钟内在正常运行的硬件上自动启动并恢复业务运行。</w:t>
            </w:r>
          </w:p>
          <w:p w14:paraId="28FE41C6">
            <w:pPr>
              <w:jc w:val="left"/>
              <w:textAlignment w:val="top"/>
              <w:rPr>
                <w:rFonts w:hint="eastAsia"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bidi="ar"/>
              </w:rPr>
              <w:t>4、支持对虚拟机打一致性快照，当发生故障时保障业务能够快速恢复到快照时间点状态。</w:t>
            </w:r>
            <w:r>
              <w:rPr>
                <w:rFonts w:hint="eastAsia" w:ascii="宋体" w:hAnsi="宋体" w:eastAsia="宋体" w:cs="宋体"/>
                <w:color w:val="000000"/>
                <w:kern w:val="0"/>
                <w:sz w:val="24"/>
                <w:highlight w:val="none"/>
                <w:lang w:val="en-US" w:eastAsia="zh-CN" w:bidi="ar"/>
              </w:rPr>
              <w:t>(提供有效证明材料)</w:t>
            </w:r>
          </w:p>
          <w:p w14:paraId="76868D83">
            <w:pPr>
              <w:jc w:val="left"/>
              <w:textAlignment w:val="top"/>
              <w:rPr>
                <w:rFonts w:hint="eastAsia"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bidi="ar"/>
              </w:rPr>
              <w:t>5、支持虚拟机启动阶段的负载均衡策略，虚拟机启动时根据集群内主机的实时CPU、内存负载情况动态选择运行的主机。</w:t>
            </w:r>
            <w:r>
              <w:rPr>
                <w:rFonts w:hint="eastAsia" w:ascii="宋体" w:hAnsi="宋体" w:eastAsia="宋体" w:cs="宋体"/>
                <w:color w:val="000000"/>
                <w:kern w:val="0"/>
                <w:sz w:val="24"/>
                <w:highlight w:val="none"/>
                <w:lang w:val="en-US" w:eastAsia="zh-CN" w:bidi="ar"/>
              </w:rPr>
              <w:t>(提供有效证明材料)</w:t>
            </w:r>
          </w:p>
          <w:p w14:paraId="6D044CEC">
            <w:pPr>
              <w:jc w:val="left"/>
              <w:textAlignment w:val="top"/>
              <w:rPr>
                <w:rFonts w:hint="eastAsia"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bidi="ar"/>
              </w:rPr>
              <w:t>6、支持通过文件夹对虚拟机进行分组，不同类型的虚拟机实现逻辑分组管理，方便运维，文件夹深度最多可以支持5层，并可以对分组虚拟机批量进行关闭、启动、克隆等操作。</w:t>
            </w:r>
            <w:r>
              <w:rPr>
                <w:rFonts w:hint="eastAsia" w:ascii="宋体" w:hAnsi="宋体" w:eastAsia="宋体" w:cs="宋体"/>
                <w:color w:val="000000"/>
                <w:kern w:val="0"/>
                <w:sz w:val="24"/>
                <w:highlight w:val="none"/>
                <w:lang w:val="en-US" w:eastAsia="zh-CN" w:bidi="ar"/>
              </w:rPr>
              <w:t>(提供有效证明材料)</w:t>
            </w:r>
          </w:p>
          <w:p w14:paraId="3874404C">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7、虚拟化平台使用存储设备时，须支持本地存储、IP-SAN、FC-SAN、NAS等不同类型的存储设备。支持这些存储资源的添加、删除、查询、扫描；</w:t>
            </w:r>
          </w:p>
          <w:p w14:paraId="0FC0D260">
            <w:pPr>
              <w:jc w:val="left"/>
              <w:textAlignment w:val="top"/>
              <w:rPr>
                <w:rFonts w:hint="eastAsia"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bidi="ar"/>
              </w:rPr>
              <w:t>8、支持只迁移虚拟机存储，在迁移设置可指定磁盘的目的配置模式并指定迁移速率控制；支持在线和离线迁移带快照的虚拟机。</w:t>
            </w:r>
            <w:r>
              <w:rPr>
                <w:rFonts w:hint="eastAsia" w:ascii="宋体" w:hAnsi="宋体" w:eastAsia="宋体" w:cs="宋体"/>
                <w:color w:val="000000"/>
                <w:kern w:val="0"/>
                <w:sz w:val="24"/>
                <w:highlight w:val="none"/>
                <w:lang w:val="en-US" w:eastAsia="zh-CN" w:bidi="ar"/>
              </w:rPr>
              <w:t>(提供有效证明材料)</w:t>
            </w:r>
          </w:p>
          <w:p w14:paraId="41D119DA">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9、支持虚拟交换机，通过对接受和发送的流量进行整形保证网络质量，至少支持安全组、平均带宽、峰值带宽、突发大小、优先级、DHCP隔离、广播抑制、TCP校验和的设置。</w:t>
            </w:r>
          </w:p>
          <w:p w14:paraId="26A8B8B3">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10、支持SR-IOV直通，网络传输绕过软件模拟层，直接分配到虚拟机，降低了软件模拟层中的I/O开销。</w:t>
            </w:r>
          </w:p>
          <w:p w14:paraId="197BE851">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11、解决全球互联网IPv4网络地址不足的问题，虚拟化平台包括容灾备份，需支持IPV4和IPV6双栈通信。</w:t>
            </w:r>
          </w:p>
          <w:p w14:paraId="3B0BFAEF">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12、支持图形化界面安全删除虚拟机，虚拟机删除的同时将底层存储空间进行置“0”操作，避免数据后期被恶意恢复。</w:t>
            </w:r>
          </w:p>
          <w:p w14:paraId="664DD677">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13、支持配置虚拟交换机，可通过设置安全组、DHCP隔离、广播抑制等能力保障虚拟机网络安全，虚拟交换机采用主从VLAN实现相同端口组的虚拟机网络设备之间的相互通信或隔离，以满足减少VLAN ID大量消耗和降低网络维护难度的诉求（MUX VLAN）。</w:t>
            </w:r>
            <w:r>
              <w:rPr>
                <w:rFonts w:hint="eastAsia" w:ascii="宋体" w:hAnsi="宋体" w:eastAsia="宋体" w:cs="宋体"/>
                <w:color w:val="000000"/>
                <w:kern w:val="0"/>
                <w:sz w:val="24"/>
                <w:highlight w:val="none"/>
                <w:lang w:val="en-US" w:eastAsia="zh-CN" w:bidi="ar"/>
              </w:rPr>
              <w:t>(提供有效证明材料)</w:t>
            </w:r>
          </w:p>
          <w:p w14:paraId="69E2388A">
            <w:pPr>
              <w:jc w:val="left"/>
              <w:textAlignment w:val="top"/>
              <w:rPr>
                <w:rFonts w:ascii="宋体" w:hAnsi="宋体" w:eastAsia="宋体" w:cs="宋体"/>
                <w:color w:val="000000"/>
                <w:sz w:val="24"/>
                <w:highlight w:val="none"/>
              </w:rPr>
            </w:pPr>
            <w:r>
              <w:rPr>
                <w:rFonts w:hint="eastAsia" w:ascii="宋体" w:hAnsi="宋体" w:eastAsia="宋体" w:cs="宋体"/>
                <w:color w:val="000000"/>
                <w:kern w:val="0"/>
                <w:sz w:val="24"/>
                <w:highlight w:val="none"/>
                <w:lang w:bidi="ar"/>
              </w:rPr>
              <w:t>14、为方便第三方监控系统对虚拟化平台的统一监控，虚拟化支持SNMP v2/v3协议。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0177">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166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r>
      <w:tr w14:paraId="34B552B1">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ACEC">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B99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校园信息化资源管理软件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1290F89D">
            <w:pPr>
              <w:jc w:val="left"/>
              <w:textAlignment w:val="top"/>
              <w:rPr>
                <w:rFonts w:ascii="宋体" w:hAnsi="宋体" w:eastAsia="宋体" w:cs="宋体"/>
                <w:color w:val="000000"/>
                <w:sz w:val="24"/>
              </w:rPr>
            </w:pPr>
            <w:r>
              <w:rPr>
                <w:rFonts w:hint="eastAsia" w:ascii="宋体" w:hAnsi="宋体" w:eastAsia="宋体" w:cs="宋体"/>
                <w:color w:val="000000"/>
                <w:sz w:val="24"/>
              </w:rPr>
              <w:t>一：整体要求</w:t>
            </w:r>
          </w:p>
          <w:p w14:paraId="23A79D0B">
            <w:pPr>
              <w:jc w:val="left"/>
              <w:textAlignment w:val="top"/>
              <w:rPr>
                <w:rFonts w:ascii="宋体" w:hAnsi="宋体" w:eastAsia="宋体" w:cs="宋体"/>
                <w:color w:val="000000"/>
                <w:sz w:val="24"/>
              </w:rPr>
            </w:pPr>
            <w:r>
              <w:rPr>
                <w:rFonts w:hint="eastAsia" w:ascii="宋体" w:hAnsi="宋体" w:eastAsia="宋体" w:cs="宋体"/>
                <w:color w:val="000000"/>
                <w:sz w:val="24"/>
              </w:rPr>
              <w:t>1、集成扩展性强，可对接学校现有各类资源软件平台，提供标准化开放接口，支持多应用集成；符合国家及教育信息化相关规范，PC端采用B/S架构、Java语言开发，移动端兼容iOS、安卓系统；服务器适配龙晰Anolis OS、Linux 64位操作系统，客户端支持Win7至Win11全系系统，兼容主流浏览器。</w:t>
            </w:r>
          </w:p>
          <w:p w14:paraId="76D96350">
            <w:pPr>
              <w:jc w:val="left"/>
              <w:textAlignment w:val="top"/>
              <w:rPr>
                <w:rFonts w:ascii="宋体" w:hAnsi="宋体" w:eastAsia="宋体" w:cs="宋体"/>
                <w:color w:val="000000"/>
                <w:sz w:val="24"/>
              </w:rPr>
            </w:pPr>
            <w:r>
              <w:rPr>
                <w:rFonts w:hint="eastAsia" w:ascii="宋体" w:hAnsi="宋体" w:eastAsia="宋体" w:cs="宋体"/>
                <w:color w:val="000000"/>
                <w:sz w:val="24"/>
              </w:rPr>
              <w:t>2、系统可7×24小时稳定运行，月度累计停机时长≤1小时；支持数据加密、事务一致性保障，具备自动、手动双模式数据备份及灾难恢复能力；实现底层与上层管理分离，配备云存储服务；搭建统一身份认证体系，支持单点登录、多方式登录，可对管理员、校长、教研组、班主任、教师等角色进行统一权限与分级管理。</w:t>
            </w:r>
          </w:p>
          <w:p w14:paraId="12D31DE7">
            <w:pPr>
              <w:jc w:val="left"/>
              <w:textAlignment w:val="top"/>
              <w:rPr>
                <w:rFonts w:ascii="宋体" w:hAnsi="宋体" w:eastAsia="宋体" w:cs="宋体"/>
                <w:color w:val="000000"/>
                <w:sz w:val="24"/>
              </w:rPr>
            </w:pPr>
            <w:r>
              <w:rPr>
                <w:rFonts w:hint="eastAsia" w:ascii="宋体" w:hAnsi="宋体" w:eastAsia="宋体" w:cs="宋体"/>
                <w:color w:val="000000"/>
                <w:sz w:val="24"/>
              </w:rPr>
              <w:t>3、具备完善的核心功能框架，包含教育部标准基础数据库、教育教学核心模块、校本资源共享、个人空间定制、终端延伸应用、多维度数据挖掘分析功能，支持自定义报表生成与数据统计分析。</w:t>
            </w:r>
          </w:p>
          <w:p w14:paraId="50ACA691">
            <w:pPr>
              <w:jc w:val="left"/>
              <w:textAlignment w:val="top"/>
              <w:rPr>
                <w:rFonts w:ascii="宋体" w:hAnsi="宋体" w:eastAsia="宋体" w:cs="宋体"/>
                <w:color w:val="000000"/>
                <w:sz w:val="24"/>
              </w:rPr>
            </w:pPr>
            <w:r>
              <w:rPr>
                <w:rFonts w:hint="eastAsia" w:ascii="宋体" w:hAnsi="宋体" w:eastAsia="宋体" w:cs="宋体"/>
                <w:color w:val="000000"/>
                <w:sz w:val="24"/>
              </w:rPr>
              <w:t>二、详细功能要求</w:t>
            </w:r>
          </w:p>
          <w:p w14:paraId="37FF2FEE">
            <w:pPr>
              <w:jc w:val="left"/>
              <w:textAlignment w:val="top"/>
              <w:rPr>
                <w:rFonts w:ascii="宋体" w:hAnsi="宋体" w:eastAsia="宋体" w:cs="宋体"/>
                <w:color w:val="000000"/>
                <w:sz w:val="24"/>
              </w:rPr>
            </w:pPr>
            <w:r>
              <w:rPr>
                <w:rFonts w:hint="eastAsia" w:ascii="宋体" w:hAnsi="宋体" w:eastAsia="宋体" w:cs="宋体"/>
                <w:color w:val="000000"/>
                <w:sz w:val="24"/>
              </w:rPr>
              <w:t>1、统一认证与权限管理：支持单点登录、多因子认证，实现用户、密码、操作审计集中管控；可自定义机构、角色、用户分组，灵活配置分级权限。</w:t>
            </w:r>
          </w:p>
          <w:p w14:paraId="7908A259">
            <w:pPr>
              <w:jc w:val="left"/>
              <w:textAlignment w:val="top"/>
              <w:rPr>
                <w:rFonts w:ascii="宋体" w:hAnsi="宋体" w:eastAsia="宋体" w:cs="宋体"/>
                <w:color w:val="000000"/>
                <w:sz w:val="24"/>
              </w:rPr>
            </w:pPr>
            <w:r>
              <w:rPr>
                <w:rFonts w:hint="eastAsia" w:ascii="宋体" w:hAnsi="宋体" w:eastAsia="宋体" w:cs="宋体"/>
                <w:color w:val="000000"/>
                <w:sz w:val="24"/>
              </w:rPr>
              <w:t>2、教务行政与校园管理：支持通知公告、考勤统计、校园通讯录、OA线上审批（请假、出差、采购、通用审批等），支持审批流程自定义；具备访客预约、扫码登记、留档查询功能；支持设备报修工单提交、进度跟踪及自动评价；包含疫情防控、智能排课、行政值班管理模块。</w:t>
            </w:r>
          </w:p>
          <w:p w14:paraId="748F8584">
            <w:pPr>
              <w:jc w:val="left"/>
              <w:textAlignment w:val="top"/>
              <w:rPr>
                <w:rFonts w:ascii="宋体" w:hAnsi="宋体" w:eastAsia="宋体" w:cs="宋体"/>
                <w:color w:val="000000"/>
                <w:sz w:val="24"/>
              </w:rPr>
            </w:pPr>
            <w:r>
              <w:rPr>
                <w:rFonts w:hint="eastAsia" w:ascii="宋体" w:hAnsi="宋体" w:eastAsia="宋体" w:cs="宋体"/>
                <w:color w:val="000000"/>
                <w:sz w:val="24"/>
              </w:rPr>
              <w:t>3、教师综合管理：涵盖教师基础信息档案、绩效考评管理、业绩证书电子化存档管理。</w:t>
            </w:r>
          </w:p>
          <w:p w14:paraId="12246B74">
            <w:pPr>
              <w:jc w:val="left"/>
              <w:textAlignment w:val="top"/>
              <w:rPr>
                <w:rFonts w:ascii="宋体" w:hAnsi="宋体" w:eastAsia="宋体" w:cs="宋体"/>
                <w:color w:val="000000"/>
                <w:sz w:val="24"/>
              </w:rPr>
            </w:pPr>
            <w:r>
              <w:rPr>
                <w:rFonts w:hint="eastAsia" w:ascii="宋体" w:hAnsi="宋体" w:eastAsia="宋体" w:cs="宋体"/>
                <w:color w:val="000000"/>
                <w:sz w:val="24"/>
              </w:rPr>
              <w:t>4、教研活动管理：支持课题论文归档、教学实践记录、教研组及备课组活动全程留档记录。</w:t>
            </w:r>
          </w:p>
          <w:p w14:paraId="08526372">
            <w:pPr>
              <w:jc w:val="left"/>
              <w:textAlignment w:val="top"/>
              <w:rPr>
                <w:rFonts w:ascii="宋体" w:hAnsi="宋体" w:eastAsia="宋体" w:cs="宋体"/>
                <w:color w:val="000000"/>
                <w:sz w:val="24"/>
              </w:rPr>
            </w:pPr>
            <w:r>
              <w:rPr>
                <w:rFonts w:hint="eastAsia" w:ascii="宋体" w:hAnsi="宋体" w:eastAsia="宋体" w:cs="宋体"/>
                <w:color w:val="000000"/>
                <w:sz w:val="24"/>
              </w:rPr>
              <w:t>5、学生综合管理：包含学生基础信息、成长电子档案、综合素质多维度评价、成绩查询留存、心理健康咨询管理功能。</w:t>
            </w:r>
          </w:p>
          <w:p w14:paraId="07815C3A">
            <w:pPr>
              <w:jc w:val="left"/>
              <w:textAlignment w:val="top"/>
              <w:rPr>
                <w:rFonts w:ascii="宋体" w:hAnsi="宋体" w:eastAsia="宋体" w:cs="宋体"/>
                <w:color w:val="000000"/>
                <w:sz w:val="24"/>
              </w:rPr>
            </w:pPr>
            <w:r>
              <w:rPr>
                <w:rFonts w:hint="eastAsia" w:ascii="宋体" w:hAnsi="宋体" w:eastAsia="宋体" w:cs="宋体"/>
                <w:color w:val="000000"/>
                <w:sz w:val="24"/>
              </w:rPr>
              <w:t>6、教学资源与个人空间：搭建校本本地资源库，为师生配备专属个人空间，支持学习、资源存储、数据统计、办公应用自定义配置。</w:t>
            </w:r>
          </w:p>
          <w:p w14:paraId="0C0627D8">
            <w:pPr>
              <w:jc w:val="left"/>
              <w:textAlignment w:val="top"/>
              <w:rPr>
                <w:rFonts w:ascii="宋体" w:hAnsi="宋体" w:eastAsia="宋体" w:cs="宋体"/>
                <w:color w:val="000000"/>
                <w:sz w:val="24"/>
              </w:rPr>
            </w:pPr>
            <w:r>
              <w:rPr>
                <w:rFonts w:hint="eastAsia" w:ascii="宋体" w:hAnsi="宋体" w:eastAsia="宋体" w:cs="宋体"/>
                <w:color w:val="000000"/>
                <w:sz w:val="24"/>
              </w:rPr>
              <w:t>7、物联网设备对接：可对接校园监控实现实时画面查看；支持LED显示屏字幕编辑与远程控制；同步电子班牌班级信息、公告实时更新；可对教学一体机进行状态监测、远程管控。</w:t>
            </w:r>
          </w:p>
          <w:p w14:paraId="1086B856">
            <w:pPr>
              <w:jc w:val="left"/>
              <w:textAlignment w:val="top"/>
              <w:rPr>
                <w:rFonts w:ascii="宋体" w:hAnsi="宋体" w:eastAsia="宋体" w:cs="宋体"/>
                <w:color w:val="000000"/>
                <w:sz w:val="24"/>
              </w:rPr>
            </w:pPr>
            <w:r>
              <w:rPr>
                <w:rFonts w:hint="eastAsia" w:ascii="宋体" w:hAnsi="宋体" w:eastAsia="宋体" w:cs="宋体"/>
                <w:color w:val="000000"/>
                <w:sz w:val="24"/>
              </w:rPr>
              <w:t>8、校园展示功能：支持二维码扫码查看校园文化介绍、学校简介等信息。</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A23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7CE9C">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656D7BC0">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2867">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717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机柜</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AF3ACF3">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1.规格：≥600mm(W)*2000mm(H)*1200mm(D)、符合19英寸安装规范；设备安装空间不低于42U；</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2.机柜前门采用单开网孔门，后门双开网孔门，前后网孔门开孔率、通风率应不低于80%；</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3.机柜前门和后门开启角度均应≥140°；</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4.结构：机柜采用十折型材拼合组焊式框架结构，稳定性高；</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5.材料：采用冷轧钢板制作，机柜承重立柱部件采用≥2.0mm厚优质冷轧钢板制作，其余组件采用≥1.2mm厚优质冷轧钢板制作，为保障产品材料选用规格符合技术要求。</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6C0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555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4CE0C5EA">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8882">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D236">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机柜附件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5464D6AD">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1、配置机柜承重架，采用角钢焊接定制，承重稳固，满足设备安装承载要求。</w:t>
            </w:r>
          </w:p>
          <w:p w14:paraId="157B1D9C">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2、包含机柜配套供电电缆布设、线路接入、PDU电源插板安装与接线调试。</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C895">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A041">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50AE14A8">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5BD7">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5C75">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防火墙</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FA27212">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防火墙需采用国产芯片及操作系统，吞吐量：≥4Gbps，应用层吞吐量：≥3.2Gbps，最大并发连接数：≥300万，每秒新建连接数：≥8万，开启全功能威胁防护吞吐量：≥1.5Gbps，IPSec吞吐量：≥3.5Gbps，IPSec最大隧道数：≥4000，SSL VPN并发用户数：≥1000，SSL VPN ≥100个用户授权，虚拟防火墙数≥100个,需提供官网性能截图证明。</w:t>
            </w:r>
          </w:p>
          <w:p w14:paraId="20805B38">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2、交流主机≥1U设备，配置：≥8个Combo口，≥2个SFP+万兆光口，≥2个GE电口，≥1个Console口，≥1个MGMT口，≥2个USB接口，支持硬盘热插拔扩展（最大支持960GB），（需提供设备面板证明）；标配单电源，可选购双电源；不少于3年的硬件质保服务，不少于3年高级威胁防护服务（含反病毒、入侵防御、URL远程查询、云沙箱、威胁信息服务）。</w:t>
            </w:r>
          </w:p>
          <w:p w14:paraId="43B5626A">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3、防火墙需采用国产安全操作系统，需提供有效证明材料。</w:t>
            </w:r>
          </w:p>
          <w:p w14:paraId="4A7BFEA6">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4、IPV6能力，支持IPv6协议栈、IPV6穿越技术、IPV6路由协议</w:t>
            </w:r>
            <w:r>
              <w:rPr>
                <w:rFonts w:hint="eastAsia" w:ascii="宋体" w:hAnsi="宋体" w:eastAsia="宋体" w:cs="宋体"/>
                <w:color w:val="000000"/>
                <w:kern w:val="0"/>
                <w:sz w:val="24"/>
                <w:highlight w:val="none"/>
                <w:lang w:eastAsia="zh-CN" w:bidi="ar"/>
              </w:rPr>
              <w:t>。</w:t>
            </w:r>
            <w:r>
              <w:rPr>
                <w:rFonts w:hint="eastAsia" w:ascii="宋体" w:hAnsi="宋体" w:eastAsia="宋体" w:cs="宋体"/>
                <w:color w:val="000000"/>
                <w:kern w:val="0"/>
                <w:sz w:val="24"/>
                <w:highlight w:val="none"/>
                <w:lang w:val="en-US" w:eastAsia="zh-CN" w:bidi="ar"/>
              </w:rPr>
              <w:t>(提供有效证明材料)</w:t>
            </w:r>
          </w:p>
          <w:p w14:paraId="58298E42">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5、策略管理，支持将基于端口的安全策略转换为基于应用的安全策略，分析设备策略风险，及冗余策略，需提供安全策略优化建议及功能截图。</w:t>
            </w:r>
          </w:p>
          <w:p w14:paraId="7289CA11">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6、NAT转换，支持NAT地址复用技术，可实现单个公网IP地址的无限制端口转换，可有效解决地址短缺问题。</w:t>
            </w:r>
          </w:p>
          <w:p w14:paraId="38F9EF74">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7、应支持数据防泄露，对传输的文件和内容进行识别过滤，对内容与身份证、信用卡、银行卡、社会安全卡号等类型进行匹配，需提供功能截图；支持DNS过滤，应支持对DNS高、中、低、自定义过滤级别选择，从而提高网站过滤的性能</w:t>
            </w:r>
            <w:r>
              <w:rPr>
                <w:rFonts w:hint="eastAsia" w:ascii="宋体" w:hAnsi="宋体" w:eastAsia="宋体" w:cs="宋体"/>
                <w:color w:val="000000"/>
                <w:kern w:val="0"/>
                <w:sz w:val="24"/>
                <w:highlight w:val="none"/>
                <w:lang w:eastAsia="zh-CN" w:bidi="ar"/>
              </w:rPr>
              <w:t>。</w:t>
            </w:r>
            <w:r>
              <w:rPr>
                <w:rFonts w:hint="eastAsia" w:ascii="宋体" w:hAnsi="宋体" w:eastAsia="宋体" w:cs="宋体"/>
                <w:color w:val="000000"/>
                <w:kern w:val="0"/>
                <w:sz w:val="24"/>
                <w:highlight w:val="none"/>
                <w:lang w:val="en-US" w:eastAsia="zh-CN" w:bidi="ar"/>
              </w:rPr>
              <w:t>(提供有效证明材料)</w:t>
            </w:r>
          </w:p>
          <w:p w14:paraId="17506216">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8、应支持多出口智能选路，可根据目的地址智能优选运营商链路，支持主备接口配置以及按比例分配的负载分担方式</w:t>
            </w:r>
            <w:r>
              <w:rPr>
                <w:rFonts w:hint="eastAsia" w:ascii="宋体" w:hAnsi="宋体" w:eastAsia="宋体" w:cs="宋体"/>
                <w:color w:val="000000"/>
                <w:kern w:val="0"/>
                <w:sz w:val="24"/>
                <w:highlight w:val="none"/>
                <w:lang w:eastAsia="zh-CN" w:bidi="ar"/>
              </w:rPr>
              <w:t>。</w:t>
            </w:r>
            <w:r>
              <w:rPr>
                <w:rFonts w:hint="eastAsia" w:ascii="宋体" w:hAnsi="宋体" w:eastAsia="宋体" w:cs="宋体"/>
                <w:color w:val="000000"/>
                <w:kern w:val="0"/>
                <w:sz w:val="24"/>
                <w:highlight w:val="none"/>
                <w:lang w:val="en-US" w:eastAsia="zh-CN" w:bidi="ar"/>
              </w:rPr>
              <w:t>(提供有效证明材料)</w:t>
            </w:r>
          </w:p>
          <w:p w14:paraId="6F59EB9E">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9、防火墙应支持安全运营管理，对安全状态评估，评估流程至少包括安全配置、威胁事件、待办事项等进行评估，同时支持资产风险统计，包括已失陷、被攻击、正常等统计。</w:t>
            </w:r>
          </w:p>
          <w:p w14:paraId="102D622D">
            <w:pPr>
              <w:jc w:val="left"/>
              <w:textAlignment w:val="top"/>
              <w:rPr>
                <w:rFonts w:ascii="宋体" w:hAnsi="宋体" w:eastAsia="宋体" w:cs="宋体"/>
                <w:color w:val="000000"/>
                <w:sz w:val="24"/>
                <w:highlight w:val="none"/>
              </w:rPr>
            </w:pPr>
            <w:r>
              <w:rPr>
                <w:rFonts w:hint="eastAsia" w:ascii="宋体" w:hAnsi="宋体" w:eastAsia="宋体" w:cs="宋体"/>
                <w:color w:val="000000"/>
                <w:kern w:val="0"/>
                <w:sz w:val="24"/>
                <w:highlight w:val="none"/>
                <w:lang w:bidi="ar"/>
              </w:rPr>
              <w:t>10、应支持虚拟防火墙，能够对虚拟资源灵活配置，配置项包括会话数、策略数、IPSec隧道数，整体带宽、新建回话速率等进行按需分配，同时应支持剩余资源查询，确保灵活分配；支持虚拟服务安全管控，虚拟服务策略应包括IP地址/地区、协议、时间段、WAN ID、反病毒/入侵防御/URL过滤/内容过滤/WEB应用防护等。</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81E6">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3532">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14E23BEF">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7E92">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8</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AB0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交换机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65E32D6B">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1、交换容量：≥2.56Tbps，包转发率：≥960Mpps。</w:t>
            </w:r>
            <w:r>
              <w:rPr>
                <w:rFonts w:hint="eastAsia" w:ascii="宋体" w:hAnsi="宋体" w:eastAsia="宋体" w:cs="宋体"/>
                <w:color w:val="000000"/>
                <w:kern w:val="0"/>
                <w:sz w:val="24"/>
                <w:highlight w:val="none"/>
                <w:lang w:val="en-US" w:eastAsia="zh-CN" w:bidi="ar"/>
              </w:rPr>
              <w:t>(提供有效证明材料)</w:t>
            </w:r>
          </w:p>
          <w:p w14:paraId="2A6C8478">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2、千兆电口：≥24个；万兆光口（SFP+）：≥16个；25G光口（SFP28）：≥8个；40G/100G混合端口（QSFP28）：≥2个；扩展插槽：≥1个；</w:t>
            </w:r>
            <w:r>
              <w:rPr>
                <w:rFonts w:hint="eastAsia" w:ascii="宋体" w:hAnsi="宋体" w:eastAsia="宋体" w:cs="宋体"/>
                <w:color w:val="000000"/>
                <w:kern w:val="0"/>
                <w:sz w:val="24"/>
                <w:highlight w:val="none"/>
                <w:lang w:val="en-US" w:eastAsia="zh-CN" w:bidi="ar"/>
              </w:rPr>
              <w:t>(提供有效证明材料)</w:t>
            </w:r>
            <w:r>
              <w:rPr>
                <w:rFonts w:hint="eastAsia" w:ascii="宋体" w:hAnsi="宋体" w:eastAsia="宋体" w:cs="宋体"/>
                <w:color w:val="000000"/>
                <w:kern w:val="0"/>
                <w:sz w:val="24"/>
                <w:highlight w:val="none"/>
                <w:lang w:bidi="ar"/>
              </w:rPr>
              <w:t>本次配置双电源；≥8个万兆多模光模块。</w:t>
            </w:r>
          </w:p>
          <w:p w14:paraId="6633470F">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3、设备支持可插拔双电源模块，支持 1+1 电源备份；支持高压直流输入；</w:t>
            </w:r>
            <w:r>
              <w:rPr>
                <w:rFonts w:hint="eastAsia" w:ascii="宋体" w:hAnsi="宋体" w:eastAsia="宋体" w:cs="宋体"/>
                <w:color w:val="000000"/>
                <w:kern w:val="0"/>
                <w:sz w:val="24"/>
                <w:highlight w:val="none"/>
                <w:lang w:val="en-US" w:eastAsia="zh-CN" w:bidi="ar"/>
              </w:rPr>
              <w:t>(提供有效证明材料)</w:t>
            </w:r>
          </w:p>
          <w:p w14:paraId="49D30FE6">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4、设备支持可插拔风扇模块：≥2个；</w:t>
            </w:r>
            <w:r>
              <w:rPr>
                <w:rFonts w:hint="eastAsia" w:ascii="宋体" w:hAnsi="宋体" w:eastAsia="宋体" w:cs="宋体"/>
                <w:color w:val="000000"/>
                <w:kern w:val="0"/>
                <w:sz w:val="24"/>
                <w:highlight w:val="none"/>
                <w:lang w:val="en-US" w:eastAsia="zh-CN" w:bidi="ar"/>
              </w:rPr>
              <w:t>(提供有效证明材料)</w:t>
            </w:r>
          </w:p>
          <w:p w14:paraId="79E6C5E1">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5、设备支持堆叠功能；最大可支持9台 ，</w:t>
            </w:r>
            <w:r>
              <w:rPr>
                <w:rFonts w:hint="eastAsia" w:ascii="宋体" w:hAnsi="宋体" w:eastAsia="宋体" w:cs="宋体"/>
                <w:color w:val="000000"/>
                <w:kern w:val="0"/>
                <w:sz w:val="24"/>
                <w:highlight w:val="none"/>
                <w:lang w:val="en-US" w:eastAsia="zh-CN" w:bidi="ar"/>
              </w:rPr>
              <w:t>(提供有效证明材料)</w:t>
            </w:r>
          </w:p>
          <w:p w14:paraId="1E3BA1FB">
            <w:pPr>
              <w:jc w:val="left"/>
              <w:textAlignment w:val="top"/>
              <w:rPr>
                <w:rFonts w:hint="default"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bidi="ar"/>
              </w:rPr>
              <w:t>6、设备芯片为国产芯片；需提供</w:t>
            </w:r>
            <w:r>
              <w:rPr>
                <w:rFonts w:hint="eastAsia" w:ascii="宋体" w:hAnsi="宋体" w:eastAsia="宋体" w:cs="宋体"/>
                <w:color w:val="000000"/>
                <w:kern w:val="0"/>
                <w:sz w:val="24"/>
                <w:highlight w:val="none"/>
                <w:lang w:val="en-US" w:eastAsia="zh-CN" w:bidi="ar"/>
              </w:rPr>
              <w:t>有效证明材料。</w:t>
            </w:r>
          </w:p>
          <w:p w14:paraId="61487074">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7、支持STP（IEEE 802.1d），RSTP（IEEE 802.1w）和MSTP（IEEE 802.1s），支持ERPS以太环保护协议（G.8032）。</w:t>
            </w:r>
          </w:p>
          <w:p w14:paraId="2B2D405C">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8、支持 PIM DM、PIM SM、PIM SSM、IPv6 PIM； 支持MLDv1/v2，支持MLD Snooping；支持 IGMP v1/v2/v3、IGMP v1/v2/v3 Snooping。</w:t>
            </w:r>
          </w:p>
          <w:p w14:paraId="48CD5DDF">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9、支持 WRED、尾丢弃等拥塞避免机制 ；支持流量整形；支持网络切片。</w:t>
            </w:r>
          </w:p>
          <w:p w14:paraId="524E3C47">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10、支持Macsec ，设备间启用Macsec，对数据进行加密；</w:t>
            </w:r>
            <w:r>
              <w:rPr>
                <w:rFonts w:hint="eastAsia" w:ascii="宋体" w:hAnsi="宋体" w:eastAsia="宋体" w:cs="宋体"/>
                <w:color w:val="000000"/>
                <w:kern w:val="0"/>
                <w:sz w:val="24"/>
                <w:highlight w:val="none"/>
                <w:lang w:val="en-US" w:eastAsia="zh-CN" w:bidi="ar"/>
              </w:rPr>
              <w:t>(提供有效证明材料)</w:t>
            </w:r>
          </w:p>
          <w:p w14:paraId="09F53A6E">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11、支持M-LAG。</w:t>
            </w:r>
          </w:p>
          <w:p w14:paraId="6BB1B9E8">
            <w:pPr>
              <w:jc w:val="left"/>
              <w:textAlignment w:val="top"/>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12、支持 802.3az 能效以太网 EEE，节能环保。</w:t>
            </w:r>
          </w:p>
          <w:p w14:paraId="769A0421">
            <w:pPr>
              <w:jc w:val="left"/>
              <w:textAlignment w:val="top"/>
              <w:rPr>
                <w:rFonts w:ascii="宋体" w:hAnsi="宋体" w:eastAsia="宋体" w:cs="宋体"/>
                <w:color w:val="000000"/>
                <w:sz w:val="24"/>
                <w:highlight w:val="none"/>
              </w:rPr>
            </w:pPr>
            <w:r>
              <w:rPr>
                <w:rFonts w:hint="eastAsia" w:ascii="宋体" w:hAnsi="宋体" w:eastAsia="宋体" w:cs="宋体"/>
                <w:color w:val="000000"/>
                <w:kern w:val="0"/>
                <w:sz w:val="24"/>
                <w:highlight w:val="none"/>
                <w:lang w:bidi="ar"/>
              </w:rPr>
              <w:t>13、支持支持Console、Telnet、SSH等终端服务，支持SNMP v1/v2/v3 ,RMON， Web等方式进行管理和维护，支持流遥感（Telemetry）技术</w:t>
            </w:r>
            <w:r>
              <w:rPr>
                <w:rFonts w:hint="eastAsia" w:ascii="宋体" w:hAnsi="宋体" w:eastAsia="宋体" w:cs="宋体"/>
                <w:color w:val="000000"/>
                <w:kern w:val="0"/>
                <w:sz w:val="24"/>
                <w:highlight w:val="none"/>
                <w:lang w:eastAsia="zh-CN" w:bidi="ar"/>
              </w:rPr>
              <w:t>。</w:t>
            </w:r>
            <w:r>
              <w:rPr>
                <w:rFonts w:hint="eastAsia" w:ascii="宋体" w:hAnsi="宋体" w:eastAsia="宋体" w:cs="宋体"/>
                <w:color w:val="000000"/>
                <w:kern w:val="0"/>
                <w:sz w:val="24"/>
                <w:highlight w:val="none"/>
                <w:lang w:val="en-US" w:eastAsia="zh-CN" w:bidi="ar"/>
              </w:rPr>
              <w:t>(提供有效证明材料)</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30C2">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F0D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1C5B06A9">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37E7">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16F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精密空调</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5376E669">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1.总冷量≥12.5KW，显冷量≥12KW，风量：≥3500m3/h，加湿量：≥3kg/h，加热量：≥3kW，显热比≥0.95，能效比 ≥3.3。</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2.单系统设计，采用电子膨胀阀，压缩机类型：变频压缩机。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3.机组采用前上送风，整机尺寸≥660×555×1740mm。</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4.控制器采用≥4.3寸彩色液晶触摸屏显示器，能显示温湿度，具有图形显示机组内各组件的运行状态的功能，易操作的人性化界面，全中文背光显示。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5.机组标配电子可调速且节能的EC风机，送风量(m3/h)≥3500，机组送风余压20～300 Pa现场可调节。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6.温度范围和精度 17-32±1℃，湿度范围和精度40-70±5%RH，温、湿度波动超限应能发出报警信号。</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7.机组选用 “/”型大面积蒸发器，并须采用内螺纹紫铜管、亲水开窗铝箔结构，增强换热效率。</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8.精密空调报警记录储存量不少于500条。</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9.控制程序需支持“回风温度控制”与“送风温度控制”两种选择控制逻辑，以实现节能。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10.机房专用空调系统应采用环保制冷剂R410a。</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11.加湿形式采用更加节能的湿膜加湿，可正面维护更换湿膜。</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DAD5">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A13C">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1DF8816D">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877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r>
              <w:rPr>
                <w:rFonts w:ascii="宋体" w:hAnsi="宋体" w:eastAsia="宋体" w:cs="宋体"/>
                <w:color w:val="000000"/>
                <w:kern w:val="0"/>
                <w:sz w:val="24"/>
                <w:lang w:bidi="ar"/>
              </w:rPr>
              <w:t>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DDD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空调附件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1F87420A">
            <w:pPr>
              <w:jc w:val="left"/>
              <w:textAlignment w:val="top"/>
              <w:rPr>
                <w:rFonts w:ascii="宋体" w:hAnsi="宋体" w:eastAsia="宋体" w:cs="宋体"/>
                <w:color w:val="000000"/>
                <w:sz w:val="24"/>
              </w:rPr>
            </w:pPr>
            <w:r>
              <w:rPr>
                <w:rFonts w:hint="eastAsia" w:ascii="宋体" w:hAnsi="宋体" w:eastAsia="宋体" w:cs="宋体"/>
                <w:sz w:val="24"/>
              </w:rPr>
              <w:t>1、包含空调铜管（带保温护套）、冷凝排水管、室内外机连接线缆、空调室外机安装支架等全套配套辅材及安装。</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9A5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3D9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39F1D562">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870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r>
              <w:rPr>
                <w:rFonts w:ascii="宋体" w:hAnsi="宋体" w:eastAsia="宋体" w:cs="宋体"/>
                <w:color w:val="000000"/>
                <w:kern w:val="0"/>
                <w:sz w:val="24"/>
                <w:lang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B25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柜式七氟丙烷气体灭火装置</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AFCDE59">
            <w:pPr>
              <w:jc w:val="left"/>
              <w:textAlignment w:val="top"/>
              <w:rPr>
                <w:rFonts w:ascii="宋体" w:hAnsi="宋体" w:eastAsia="宋体" w:cs="宋体"/>
                <w:color w:val="000000"/>
                <w:sz w:val="24"/>
              </w:rPr>
            </w:pPr>
            <w:r>
              <w:rPr>
                <w:rFonts w:hint="eastAsia" w:ascii="宋体" w:hAnsi="宋体" w:eastAsia="宋体" w:cs="宋体"/>
                <w:sz w:val="24"/>
              </w:rPr>
              <w:t>1、配置七氟丙烷柜式灭火装置、灭火药剂、感烟火灾探测器、感温火灾探测器、声光警报器、放气指示灯、现场紧急启停按钮、火灾报警控制主机及全套配套信号线。</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3204">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2A0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0E5D57D3">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C8D1">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40CE">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集成</w:t>
            </w:r>
            <w:r>
              <w:rPr>
                <w:rFonts w:ascii="宋体" w:hAnsi="宋体" w:eastAsia="宋体" w:cs="宋体"/>
                <w:color w:val="000000"/>
                <w:kern w:val="0"/>
                <w:sz w:val="24"/>
                <w:lang w:bidi="ar"/>
              </w:rPr>
              <w:t>服务</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FEC9648">
            <w:pPr>
              <w:numPr>
                <w:ilvl w:val="0"/>
                <w:numId w:val="0"/>
              </w:numPr>
              <w:jc w:val="left"/>
              <w:textAlignment w:val="top"/>
              <w:rPr>
                <w:rFonts w:ascii="宋体" w:hAnsi="宋体" w:eastAsia="宋体" w:cs="宋体"/>
                <w:color w:val="000000"/>
                <w:kern w:val="0"/>
                <w:sz w:val="24"/>
                <w:lang w:bidi="ar"/>
              </w:rPr>
            </w:pPr>
            <w:r>
              <w:rPr>
                <w:rFonts w:hint="eastAsia" w:ascii="宋体" w:hAnsi="宋体" w:cs="宋体"/>
                <w:color w:val="000000"/>
                <w:kern w:val="0"/>
                <w:sz w:val="24"/>
                <w:lang w:bidi="ar"/>
              </w:rPr>
              <w:t>完成数据中心硬件进场、安装布线、调试、系统集成、联调、试运行</w:t>
            </w:r>
            <w:r>
              <w:rPr>
                <w:rFonts w:hint="eastAsia" w:ascii="宋体" w:hAnsi="宋体" w:eastAsia="宋体" w:cs="宋体"/>
                <w:color w:val="000000"/>
                <w:kern w:val="0"/>
                <w:sz w:val="24"/>
                <w:lang w:bidi="ar"/>
              </w:rPr>
              <w:t>提供使用人员实操培训等全套服务。</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BF2D">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2049">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w:t>
            </w:r>
          </w:p>
        </w:tc>
      </w:tr>
      <w:tr w14:paraId="293A7909">
        <w:tblPrEx>
          <w:tblCellMar>
            <w:top w:w="0" w:type="dxa"/>
            <w:left w:w="108" w:type="dxa"/>
            <w:bottom w:w="0" w:type="dxa"/>
            <w:right w:w="108" w:type="dxa"/>
          </w:tblCellMar>
        </w:tblPrEx>
        <w:trPr>
          <w:trHeight w:val="0" w:hRule="atLeast"/>
          <w:jc w:val="center"/>
        </w:trPr>
        <w:tc>
          <w:tcPr>
            <w:tcW w:w="93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6C163D">
            <w:pPr>
              <w:jc w:val="center"/>
              <w:textAlignment w:val="center"/>
              <w:rPr>
                <w:rFonts w:ascii="宋体" w:hAnsi="宋体" w:eastAsia="宋体" w:cs="宋体"/>
                <w:b/>
                <w:color w:val="000000"/>
                <w:kern w:val="0"/>
                <w:sz w:val="24"/>
                <w:lang w:bidi="ar"/>
              </w:rPr>
            </w:pPr>
            <w:r>
              <w:rPr>
                <w:rFonts w:hint="eastAsia" w:ascii="宋体" w:hAnsi="宋体" w:eastAsia="宋体" w:cs="宋体"/>
                <w:b/>
                <w:color w:val="000000"/>
                <w:kern w:val="0"/>
                <w:sz w:val="24"/>
                <w:lang w:bidi="ar"/>
              </w:rPr>
              <w:t>录播</w:t>
            </w:r>
            <w:r>
              <w:rPr>
                <w:rFonts w:ascii="宋体" w:hAnsi="宋体" w:eastAsia="宋体" w:cs="宋体"/>
                <w:b/>
                <w:color w:val="000000"/>
                <w:kern w:val="0"/>
                <w:sz w:val="24"/>
                <w:lang w:bidi="ar"/>
              </w:rPr>
              <w:t>教室</w:t>
            </w:r>
          </w:p>
        </w:tc>
      </w:tr>
      <w:tr w14:paraId="686FFC14">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5891">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A648">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4K智慧AI精品录播主机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984611B">
            <w:pPr>
              <w:numPr>
                <w:ilvl w:val="0"/>
                <w:numId w:val="7"/>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整体设计</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1.主机架构：整体采用嵌入式设计、非PC与服务器工作站等架构，以保障系统运行稳定、安全。且为方便设备布线实施，主机需为标准1U机架式设计，支持外接不同尺寸控制屏满足不同环境的操作需要；</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2.高度集成：主机需同时具备录制、直播、导播、自动跟踪、音频编码、视频编码、音频处理、视频处理、存储、点播、互动多功能于一体；</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★3.优质性能：要求主机采用不低于8个CPU核心，1个 GPU核心，1个NPU 核心 ，核心频率最高可达2.8GHz，要求采用国产品牌；需提供有效证明材料。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4.工作噪声：主机在正常工作状态下的生产噪声不高于30dB(A)；</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5.工作功率：要求整机正常工作状态下功耗不超过50W；</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6.视频接口：数字视频接口D-Video（RJ45）≥4，HDMI 输入≥2，HDMI 输出≥2路；</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★7.音频接口：要求主机支持线性音频输入与数字音频输入，要求Line in接口≥2，Line out接口≥2，数字音频接口D-Mic（RJ45）≥6；需提供有效证明材料；</w:t>
            </w:r>
            <w:r>
              <w:rPr>
                <w:rFonts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8.网络接口：RJ45≥1，支持100/1000M网络自适应及IPv4、IPv6双协议栈；</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9.控制接口：支持RS232串行通信协议进行外接控制；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10.外设接口：USB2.0≥2，可用于连接U盘等外设；</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11.系统存储≥2T，保障设备的正常运行与录制视频文件的本地存储；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12.视频一线通：支持摄像机与主机之间仅通过一根双绞线即可同时实现供电、控制和视频信号的同步传输，不接受使用转接器的方式；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13.音频一线通：支持麦克风与主机之间仅通过一根双绞线即可同时实现供电和音频信号的采集，实现音频信号的高品质、抗干扰稳定传输；</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★14.视频录制：兼容标准H.264视频编解码能力，要求支持4K@30fps、1080P@30fps、720P@30fps，以及AAC音频编解码协议标准且内置音频处理功能；需提供有效证明材料；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15.视频传输技术：支持对同品牌高清摄像机实现基于RJ45双绞线的视频裸数据传输技术，支持摄像机到录播主机端的视频采集和传输过程无需编解码、无画质损耗并实现≤100ms的声画同步，保障录制视频效果；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二、功能设计</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1.便捷导播：软件需采用B/S架构设计，支持通过浏览器即可进行管理配置与操作，而无需额外安装客户端或APP；</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.AI全场景跟踪：录播内置跟踪算法且跟踪功能基于AI人工智能技术无需额外增加图像定位主机或摄像机即可实现多机位的全自动跟踪切换；需提供有效证明材料。</w:t>
            </w:r>
          </w:p>
          <w:p w14:paraId="6E6C8F37">
            <w:pPr>
              <w:jc w:val="left"/>
              <w:textAlignment w:val="top"/>
              <w:rPr>
                <w:rFonts w:ascii="宋体" w:hAnsi="宋体" w:eastAsia="宋体" w:cs="宋体"/>
                <w:color w:val="000000"/>
                <w:sz w:val="24"/>
              </w:rPr>
            </w:pPr>
            <w:r>
              <w:rPr>
                <w:rFonts w:ascii="宋体" w:hAnsi="宋体" w:eastAsia="宋体" w:cs="宋体"/>
                <w:color w:val="000000"/>
                <w:kern w:val="0"/>
                <w:sz w:val="24"/>
                <w:lang w:bidi="ar"/>
              </w:rPr>
              <w:t>3</w:t>
            </w:r>
            <w:r>
              <w:rPr>
                <w:rFonts w:hint="eastAsia" w:ascii="宋体" w:hAnsi="宋体" w:eastAsia="宋体" w:cs="宋体"/>
                <w:color w:val="000000"/>
                <w:kern w:val="0"/>
                <w:sz w:val="24"/>
                <w:lang w:bidi="ar"/>
              </w:rPr>
              <w:t>.画面同步：要求录播主机配套同品牌摄像机支持在多机位接入的情况下所有画面高度同步。在多画面布局以及多流录制、多流直播的使用场景下不同画面保持高度同步，满足最佳的使用体验；</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4</w:t>
            </w:r>
            <w:r>
              <w:rPr>
                <w:rFonts w:hint="eastAsia" w:ascii="宋体" w:hAnsi="宋体" w:eastAsia="宋体" w:cs="宋体"/>
                <w:color w:val="000000"/>
                <w:kern w:val="0"/>
                <w:sz w:val="24"/>
                <w:lang w:bidi="ar"/>
              </w:rPr>
              <w:t>.上电模式：需支持通电模式选择，实现主机通电后自动进入相应模式，包含但不限于自动开机、开机且休眠、不开机等模式；</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5</w:t>
            </w:r>
            <w:r>
              <w:rPr>
                <w:rFonts w:hint="eastAsia" w:ascii="宋体" w:hAnsi="宋体" w:eastAsia="宋体" w:cs="宋体"/>
                <w:color w:val="000000"/>
                <w:kern w:val="0"/>
                <w:sz w:val="24"/>
                <w:lang w:bidi="ar"/>
              </w:rPr>
              <w:t>.版本管理：支持查看系统软件版本，提供离线文件升级、网络在线升级和定时自动升级三种升级方式，且支持导出和导入系统配置文件；</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6</w:t>
            </w:r>
            <w:r>
              <w:rPr>
                <w:rFonts w:hint="eastAsia" w:ascii="宋体" w:hAnsi="宋体" w:eastAsia="宋体" w:cs="宋体"/>
                <w:color w:val="000000"/>
                <w:kern w:val="0"/>
                <w:sz w:val="24"/>
                <w:lang w:bidi="ar"/>
              </w:rPr>
              <w:t>.安装信息：支持填写设备的安装信息，包括位置、所在学校、安装地点、联系人等；</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7</w:t>
            </w:r>
            <w:r>
              <w:rPr>
                <w:rFonts w:hint="eastAsia" w:ascii="宋体" w:hAnsi="宋体" w:eastAsia="宋体" w:cs="宋体"/>
                <w:color w:val="000000"/>
                <w:kern w:val="0"/>
                <w:sz w:val="24"/>
                <w:lang w:bidi="ar"/>
              </w:rPr>
              <w:t>.休眠唤醒：需支持定时休眠唤醒功能，提供精确到秒的自定义时间设置，可以单独设置是否定时休眠或者定时唤醒；</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8</w:t>
            </w:r>
            <w:r>
              <w:rPr>
                <w:rFonts w:hint="eastAsia" w:ascii="宋体" w:hAnsi="宋体" w:eastAsia="宋体" w:cs="宋体"/>
                <w:color w:val="000000"/>
                <w:kern w:val="0"/>
                <w:sz w:val="24"/>
                <w:lang w:bidi="ar"/>
              </w:rPr>
              <w:t>.权限管理：需支持对主机后台设置管理员用户与普通用户两种使用权限，普通用户无法进行相关参数与配置修改；</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9</w:t>
            </w:r>
            <w:r>
              <w:rPr>
                <w:rFonts w:hint="eastAsia" w:ascii="宋体" w:hAnsi="宋体" w:eastAsia="宋体" w:cs="宋体"/>
                <w:color w:val="000000"/>
                <w:kern w:val="0"/>
                <w:sz w:val="24"/>
                <w:lang w:bidi="ar"/>
              </w:rPr>
              <w:t>.系统状态：支持在导播界面实时查看主机当前CPU温度、磁盘空间占用情况、视频录制的参数配置和正在录制的视频时长与大小等信息；</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10</w:t>
            </w:r>
            <w:r>
              <w:rPr>
                <w:rFonts w:hint="eastAsia" w:ascii="宋体" w:hAnsi="宋体" w:eastAsia="宋体" w:cs="宋体"/>
                <w:color w:val="000000"/>
                <w:kern w:val="0"/>
                <w:sz w:val="24"/>
                <w:lang w:bidi="ar"/>
              </w:rPr>
              <w:t>.UVC/UAC功能：要求主机具备通过USB口直接输出音视频信号的能力，实现便捷的视频会议软件接入；</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11</w:t>
            </w:r>
            <w:r>
              <w:rPr>
                <w:rFonts w:hint="eastAsia" w:ascii="宋体" w:hAnsi="宋体" w:eastAsia="宋体" w:cs="宋体"/>
                <w:color w:val="000000"/>
                <w:kern w:val="0"/>
                <w:sz w:val="24"/>
                <w:lang w:bidi="ar"/>
              </w:rPr>
              <w:t>.智能音频处理：支持音频采样率的设置，且支持AGC自动增益、ANS噪声抑制、EQ均衡、AEC回声抑制等音频处理功能；</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12</w:t>
            </w:r>
            <w:r>
              <w:rPr>
                <w:rFonts w:hint="eastAsia" w:ascii="宋体" w:hAnsi="宋体" w:eastAsia="宋体" w:cs="宋体"/>
                <w:color w:val="000000"/>
                <w:kern w:val="0"/>
                <w:sz w:val="24"/>
                <w:lang w:bidi="ar"/>
              </w:rPr>
              <w:t>.录制码流：支持主码流和子码流的高低双码流录制，且支持自定义清晰度、帧率、码率和I帧间隔，支持动态比特率或静态比特率两种模式；</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13</w:t>
            </w:r>
            <w:r>
              <w:rPr>
                <w:rFonts w:hint="eastAsia" w:ascii="宋体" w:hAnsi="宋体" w:eastAsia="宋体" w:cs="宋体"/>
                <w:color w:val="000000"/>
                <w:kern w:val="0"/>
                <w:sz w:val="24"/>
                <w:lang w:bidi="ar"/>
              </w:rPr>
              <w:t>.存储管理：需支持录像文件循环覆盖功能，开启循环覆盖功能后，录播硬盘在已存储90%的空间时，再次启动录制将删除录播内现存时间最早的录像文件以应对录制频率比较高的情况；</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14</w:t>
            </w:r>
            <w:r>
              <w:rPr>
                <w:rFonts w:hint="eastAsia" w:ascii="宋体" w:hAnsi="宋体" w:eastAsia="宋体" w:cs="宋体"/>
                <w:color w:val="000000"/>
                <w:kern w:val="0"/>
                <w:sz w:val="24"/>
                <w:lang w:bidi="ar"/>
              </w:rPr>
              <w:t>.标签设置：需支持视频信号源标签设置，对摄像机实时拍摄信号、HDMI高清输入信号均可自定义名称标签，为导播控制与编辑灵活性提供便利；</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15</w:t>
            </w:r>
            <w:r>
              <w:rPr>
                <w:rFonts w:hint="eastAsia" w:ascii="宋体" w:hAnsi="宋体" w:eastAsia="宋体" w:cs="宋体"/>
                <w:color w:val="000000"/>
                <w:kern w:val="0"/>
                <w:sz w:val="24"/>
                <w:lang w:bidi="ar"/>
              </w:rPr>
              <w:t>.多场景音频：需支持录制模式和互动模式的独立音频场景设置，针对无线MIC和多媒体等不同设备类型，进行场景化的音频参数设置；</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16</w:t>
            </w:r>
            <w:r>
              <w:rPr>
                <w:rFonts w:hint="eastAsia" w:ascii="宋体" w:hAnsi="宋体" w:eastAsia="宋体" w:cs="宋体"/>
                <w:color w:val="000000"/>
                <w:kern w:val="0"/>
                <w:sz w:val="24"/>
                <w:lang w:bidi="ar"/>
              </w:rPr>
              <w:t>.跟踪自定义：要求支持根据实际喜好，自定义AI跟踪逻辑下所切换的画面信号，且支持双分屏、画中画等布局；</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17</w:t>
            </w:r>
            <w:r>
              <w:rPr>
                <w:rFonts w:hint="eastAsia" w:ascii="宋体" w:hAnsi="宋体" w:eastAsia="宋体" w:cs="宋体"/>
                <w:color w:val="000000"/>
                <w:kern w:val="0"/>
                <w:sz w:val="24"/>
                <w:lang w:bidi="ar"/>
              </w:rPr>
              <w:t>.互动能力：要求主机内置互动功能，支持在单机且不连接互联网的情况下实现不少于3方的音视频互动，满足专递课堂教学与视频会议活动，同时也需要支持对接互动软件，实现大规模互动会议并发；</w:t>
            </w:r>
            <w:r>
              <w:rPr>
                <w:rFonts w:hint="eastAsia" w:ascii="宋体" w:hAnsi="宋体" w:eastAsia="宋体" w:cs="宋体"/>
                <w:color w:val="000000"/>
                <w:kern w:val="0"/>
                <w:sz w:val="24"/>
                <w:lang w:bidi="ar"/>
              </w:rPr>
              <w:br w:type="textWrapping"/>
            </w:r>
            <w:r>
              <w:rPr>
                <w:rFonts w:ascii="宋体" w:hAnsi="宋体" w:eastAsia="宋体" w:cs="宋体"/>
                <w:color w:val="000000"/>
                <w:kern w:val="0"/>
                <w:sz w:val="24"/>
                <w:lang w:bidi="ar"/>
              </w:rPr>
              <w:t>18</w:t>
            </w:r>
            <w:r>
              <w:rPr>
                <w:rFonts w:hint="eastAsia" w:ascii="宋体" w:hAnsi="宋体" w:eastAsia="宋体" w:cs="宋体"/>
                <w:color w:val="000000"/>
                <w:kern w:val="0"/>
                <w:sz w:val="24"/>
                <w:lang w:bidi="ar"/>
              </w:rPr>
              <w:t>.中英双语：需支持中英双语版本切换，适合不同用户的应用需求。要求通过网络导播界面即可便捷切换，无需进行更改授权、系统升级等复杂操作；</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D4E8">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7506">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12E2FE07">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9FD9">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55CA">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智能摄录与流媒体处理软件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EBD96E3">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1.要求软件在出厂时内嵌于录播主机中，且应具备自主知识产权；</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2.录制模式：支持电影模式和资源模式两种录制模式。电影模式下支持将多路视频信号的复合成一路画面进行录制；资源模式下支持将接入的摄像机画面和电脑画面进行独立录制；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3.分段录制：支持30分钟分段、60分钟分段两种分段录制方式，系统可在不结束录制的条件下根据分段时长自动将视频录制为多个分段文件；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4.录制存储：采用H.264/H.265的视频编码格式和MP4的视频封装格式，支持在断网情况下也可以进行视频录制并存储于录播主机中，也支持在联网情况下通过FTP自动上传视频文件；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5.同步录制：支持外接存储设备（如U盘），实现在视频录制的过程中，自动同步录制多一份并存储至U盘中；</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6.录制关联：支持在录制启动时自动关联开启直播和全自动跟踪模式；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7.视频管理：支持查看已录制的视频文件，并可按录制时间进行排序和按关键字检索查看，也支持对视频文件进行在线播放、下载、删除和FTP上传；</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8.网络导播：支持通过浏览器即可访问并使用导播功能，而无需额外安装客户端或APP；</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9.导播模式：支持全自动、半自动、手动三种导播模式，且支持在录制、直播和互动过程中任意切换导播模式；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10.导播预览：支持对接入的所有画面进行导播预览，包括教师特写、教师全景、学生全景、学生特写、电脑画面等，电脑画面包括两路HDMI画面可切换，并支持点击预览画面即可切换为导播输出画面；</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11.视频布局：支持二分屏、三分屏、画中画等布局，也支持自定义布局方式，且支持对布局内的每个画面窗口进行拖动、叠加、缩放和指定视频源的操作，实现灵活调整；</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12.台标字幕：需支持在导播预览界面添加Logo台标与字幕，可自主上传Logo图标、设置logo位置、编辑字幕内容、选择字幕字体颜色与是否滚动显示，且后台管理设置可预设字幕作为备选，方便灵活调整与切换；</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13.片头片尾：需支持片头片尾设置，可上传JPG格式图片作为录制默认的片头片尾画面，并可自定义片头片尾显示时长，支持片头片尾显示视频信息；</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14.摄像机控制：支持对接入摄像机特写画面进行电子云台控制，包括画面上下左右移动、放大缩小变焦等操作。云台控制功能应具有鼠标快速定位功能，通过鼠标点击快速居中画面区域。也支持设置和调用摄像机预置位，支持不少于8个预置位；</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15.音量控制：支持在导播过程中进行音量控制，可调整相关输入输出的音量大小，且支持一键静音功能；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16.直播码流：需支持主码流和子码流高低双码流，且支持自定义清晰度、帧率和码流，主码流清晰度不小于1080P；</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17.直播推流：支持不少于4路RTMP同步推流直播，并可自定义选择主码流或子码流进行推流直播；</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18.直播模式：需支持RTMP直播、TS直播、集控推流直播等不少于3种不同直播模式，以适应不同场景直播需求；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★19.互动协议：需支持H.323、SIP 、BFCP、WebRTC等视音频互动协议技术，也支持内置互动模块，无需额外MCU类设备即可进行远程互动教学应用；需提供有效证明材料。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20.互动画质：支持1080P@30fps的高清互动画质，且支持设置互动码流，并支持基于SVC技术实现在不同网络状况下的画面质量自适应；</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21.互动模式：支持“1+3”的互动授课模式和多方视频会议模式，授课模式支持主讲端查看所有听讲端画面并可控制听讲端的互动画面显示，会议模式支持二分屏、三分屏、四分屏等布局，也支持选择参会方进行轮巡显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22.双流互动：支持在实时互动过程中，可将教学场景信号与电脑课件信号以互相独立的信号进行传输，并最终在接收端可通过两路独立HDMI接口将接收到的教学场景画面与电脑课件画面同时分别输出到两个显示设备上；</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23.发言权限控制：支持通过网络导播界面，主讲端在互动过程中对其余互动参与者的发言权限进行控制，支持单人禁言/开启以及全场禁言/开启的控制方式；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24.呼叫应答：需支持呼叫应答设置，满足不同互动场景的需要，包括自动应答与勾选手动应答两种方式。</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65F2">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99E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5FD7ABFB">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66DB">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7F4A">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AI智能跟踪处理软件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0B7E6B0F">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1.跟踪逻辑：支持智能识别接入摄像机的使用定位，并联动摄像机选用对应的跟踪逻辑，如教师跟踪、学生跟踪等；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2.检测区域：支持对接入摄像机的AI跟踪检测区域设置，可基于实景拍摄画面框选跟踪区域，框选后只在区域中方能触发跟踪，所见所得方便操作；</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3.跟踪切换：支持根据设定的跟踪策略形成跟踪指令，实现多路接入摄像机的全自动AI跟踪画面切换；且支持自定义跟踪切换逻辑的画面布局，包含但不限于双分屏、画中画与自定义布局等；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4.跟踪策略：支持对接入摄像机自定义设置AI跟踪目标更新周期时间，摄像机依据配置实现相应跟踪策略；</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5.智能构图：支持设置摄像机拍摄画面的智能构图模式，包含但不限于五分像、七分像、全身像等；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6.全场景跟拍：要求支持基于计算机视觉CV技术的AI人工智能跟踪算法，实现教师识别、教师移动跟拍、教师轨迹识别以及学生上台识别、板书行为识别、单人与多人起立识别等教学焦点进行自动捕捉与切换。</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5595">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E12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13BA877E">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83EC">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1E1B">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智能课堂行为分析软件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D7E632C">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一.整体要求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1.兼容对接：要求实现录播主机内置的实时课堂行为分析，同时支持与视频资源管理平台无缝对接，将数据通过平台进行展示或主机内部展示两种模式，两种模式均支持下载分析报告；</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多维分析：支持对课堂数据进行综合多维度的分析，包括“课堂师生行为时序”、“教学行为分析”、“理答分析”、“PPT分析”、“教师讲授分析”、“姿态与情感分析”、“课堂管理分析”、“学生学情分析”等多维度多类型分析数据板块；</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3.实时分析：支持对师生出勤率、教学行为、教师活动轨迹、学生课堂动作表情分析等维度数据进行实时统计分析，并且能在课程录制结束三分钟内将数据整合建模生成分析报告；</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4.教学环节识别：要求支持按照教学环节定义将课程视频切片，并且在视频播放进度条上有明显标签显示对应的教学环节；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5.编辑教学环节：要求支持用户可以对AI分析生成的教学环节结果自主纠偏，可以依据时间轴自主定义教学环节的时长以及更改教学环节的结论，并支持自主创建教学环节名称；</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行为时序播放：支持在课程视频播放进度条显示PPT翻页的具体时间节点，同时将教师行为与学生行为的时序分布依次排列展开，点击时序图上的具体行为节点，视频将自动跳转到对应位置，方便老师快速回顾课堂教学环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二.教师教情分析要求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教师行为分析：支持自动分析并统计老师授课过程中的教学行为，包括但不限于“教师板书”、“教师提问”、“教师追问”、“教师巡视”、“PPT演示”、“操作大屏”、“教师姿态”、“目光注视”、“教师发言”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2.PPT分析：要求支持教师授课PPT分析，分析每页PPT所用时长以及PPT内的图片与图表页数，并可识别PPT内留给学生课堂任务的数量，分析任务时间占比；</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3.教师巡视：要求支持分析教师课堂管理能力，统计教师巡视次数与巡视时长，并支持热点图直观查看教师授课轨迹情况；</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4.目光注视：要求支持分析教师对学生学习的观察情况，统计分析教师注视学生区域的时间占比情况；</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5.S-T分析：要求支持以图表的形式分析课堂过程中的师生行为，观察教师的课堂环节设计与师生互动情况。</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三.学生学情分析要求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学生行为分析：要求支持自动分析并统计学生课堂过程中的学习行为，包括但不限于“多人站立”、“学生举手”、“学生低头”、“多人抬头”、“学生上台”、“学生应答”、“补充发言”、“课堂氛围”、“学生操作电脑”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2.学情观察统计：要求支持对学生区域进行预置位划分，统计学生举手次数以及应答次数，上台人数以及趴桌时长；</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3.个体观察分析：要求支持对学生区域进行预置位划分，同时在未上传人脸信息的前提下也对每个学生进行编号标记，记录并呈现每个学生具体某个时间点的行为；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4.学情区域对比：要求支持针对学生抬头率、学生情绪以及互动情况，选择2个不同的预置位进行听课情况对比，以图表的形式呈现学生的听课情况和次数对比；</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5.学生站立分析：支持以热点图的形式呈现学生站立、学生举手、补充发言的情况与分布，并支持统计站立人数与站立次数，针对学生站立行为支持具体到某个时间以及某位学生；</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6.学生专注分析：要求支持统计在不同场景下学生的抬头率情况，如教师板书时、学生上台时、教师PPT授课时，并呈现不同环节的抬头率比例；</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7.课堂氛围分析：支持学生课堂表情分析，并支持对各类表情进行实时检测，统计课堂过程中不同时间点学生开心或平静的表情峰值；</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8.学生低头分析：要求支持整堂课学生的低头时长统计，并支持展示低头时间点。</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52B8">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D3CA">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5ABB218C">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71A0">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91E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智能语音分析软件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99A3336">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1.教师提问情况分析：支持基于课堂语音识别能力进行教师课堂提问行为分析，从提问次数与高级认知提问比例两个核心维度进行数据统计，实现课堂提问情况的清晰回顾；</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2.教师语速分析：支持通过语音识别能力进行教师课堂授课语速分析，呈现数据需包括整体语速的变化图以及平均语速结论；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3.课堂语音转写：要求基于语音语义识别完成课堂音频的文字转换，实现课堂教学过程语音全纪录，要求平台上可输出整节课的文字字幕。并支持由上课老师课后自主编辑转写文本实现纠偏；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4.课堂高频词分析：支持通过AI语音识别能力以及视觉分析能力，抓取授课过程中出现的高频词汇，并统计出现频次以及出现来源，包括但不限于PPT、板书、教师音频，精准判断课堂教学重点；</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5.课堂语气词分析：支持通过进行课堂语音识别，判断老师教学过程中出现的常规语气词出现频次，如“呐”，“嘛”，等语气词，辅助老师调整教学过程中的不良习惯；</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6.教师普通话分析：要求支持对教师授课音频进行自适应分段，并分析每个段落教师授课过程中的普通话水平、语速、音量以及关键词；</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7.教师音量分析：要求支持分析本堂课教师平均的授课音量，以及根据时间推移呈现音量波动的变化图表；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8.理答类型分析：要求支持对教师课堂理答情况进行分析，支持统计教师提问次数、抽答次数、追问次数，并可以获取每个问题以时间轴的形式记录在什么时间提问；</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9.教师追问分析：要求支持分析教师追问类型与次数，并标记具体在第几次提问时发起追问，对追问内容分析是否对学生有诱发思考的作用并统计次数。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3801">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6E84">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3F0722AA">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894E">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D918">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录播课堂资源管理软件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4343594E">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1.信息管理功能</w:t>
            </w:r>
          </w:p>
          <w:p w14:paraId="15DDA5EF">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（1）录播管理：支持把录播设备接入平台，实现自动转码、无缝直播点播，并具备直播和点播功能。支持对录播进行远程关机、休眠唤醒、启动录制等操作。</w:t>
            </w:r>
          </w:p>
          <w:p w14:paraId="48D5AFBB">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（2）多级平台对接：支持校平台与上级区平台进行对接，校平台资源可像区平台提交数据资源。</w:t>
            </w:r>
          </w:p>
          <w:p w14:paraId="7831D00C">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录制预约：平台支持用户远程进行在线录课预约，可实现单个或批量预约；支持预约信息的申请。支持用户手机扫码预约录制，扫码后手机端填写录播预约信息即可快速完成预约，录制结束后也可扫码在平台回顾或下载已录制的视频。</w:t>
            </w:r>
          </w:p>
          <w:p w14:paraId="5AA55513">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（4）资源颗粒度管理：支持视频资源多维度分类，如按年级、学科等分类管理，支持用户自定义分类类型。并支持根据发布时间、用户推荐度和点击热度的不同维度在平台呈现。</w:t>
            </w:r>
          </w:p>
          <w:p w14:paraId="56C92353">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（5）视频专辑：支持用户可灵活创建各种视频专辑，并自定义专辑类型，可将一同类型的视频进行归类，便于视频的归整和便捷查询。</w:t>
            </w:r>
          </w:p>
          <w:p w14:paraId="4A8AE35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（6）公告发布：平台首页提供公告模块，支持通过平台发布校务公告、活动通知、时势新闻等多种类型公告。公告支持按定义的类型进行归类查询，支持用户自定义公告类型。</w:t>
            </w:r>
          </w:p>
          <w:p w14:paraId="4E1221BF">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（7）自动转码功能：支持视频下载、上传、编辑、管理。可实现所有主流视频文件格式自动转码，包括asf、mpg、rmvb、mov、rm、avi、3gp、wmv、flv、mp4等，可设置下载及观看权限，可设置高标清转码清晰度码流。</w:t>
            </w:r>
          </w:p>
          <w:p w14:paraId="3457A41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（8）虚拟切片：支持视频自动划分知识点和教学环节片段，且不破坏视频原来的完整性。支持快速点击知识点、教学环节跳转到相应节点播放。支持对上传的视频添加和修改“知识点”和“教学环节”。</w:t>
            </w:r>
          </w:p>
          <w:p w14:paraId="2D80F5D2">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（9）教学行为分析：支持弗兰德斯教学行为分析法（S-T），平台根据跟踪数据生成S-T曲线图，帮助用户进行教学技能提升和评估。S-T行为数据支持后期在线编辑修改，便于教师进行错误修正。</w:t>
            </w:r>
          </w:p>
          <w:p w14:paraId="3F8CDCDC">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（10）文件检索：支持关键字搜索功能，用户可直接在资源管理平台的页面搜索框输入关键字，对某个视频标题、知识点进行搜索。</w:t>
            </w:r>
          </w:p>
          <w:p w14:paraId="1229E201">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（11）一键置灰：支持平台肤色一键置灰功能，切合特殊纪念日氛围。</w:t>
            </w:r>
          </w:p>
          <w:p w14:paraId="0A5D2ACB">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（12）指定播放：支持设置指定播放源，用户点击任意视频均强制播放指定视频源，便于学校进行重要视频的统一播放和管理。</w:t>
            </w:r>
          </w:p>
          <w:p w14:paraId="50442C19">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13）流量统计：支持平台对用户访问数、页面访问量进行数量统计，访问流量数据可按日、周、月、年、总浏览数进行分类统计。支持以曲线图形式展现10天内的访问流量变化趋势。支持对视频直播量、点播量统计。</w:t>
            </w:r>
          </w:p>
          <w:p w14:paraId="6833ED11">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14）存储管理：平台支持自定义视频的保存期限，支持永久保存，支持自定义视频保存天数期限，到达期限后自动删除；同时支持平台对录播内的视频保存期限进行管理，支持永久保存和自定义期限并在到达期限后录播自动删除视频文件。</w:t>
            </w:r>
          </w:p>
          <w:p w14:paraId="48A9C5E6">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2.直播点播功能</w:t>
            </w:r>
          </w:p>
          <w:p w14:paraId="22FCCB84">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（1）基于FLV、HLS主流协议直播技术，无需安装插件即可进行跨平台（Windows、Linux、IOS等）视频点播观看。</w:t>
            </w:r>
          </w:p>
          <w:p w14:paraId="55DF620E">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（2）支持流媒体转发服务，平台支持不少于200点以上高清直播功能。</w:t>
            </w:r>
          </w:p>
          <w:p w14:paraId="5C25FDCB">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（3）集群技术：支持直播集群技术，以支持系统的横向拓展，随系统应用规模的拓展逐渐增加转发服务器以支持更大规模直播。</w:t>
            </w:r>
          </w:p>
          <w:p w14:paraId="22F8C984">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（4）多码率支持：点播视频时可根据网络情况在播放器窗口进行高标清切换观看。</w:t>
            </w:r>
          </w:p>
          <w:p w14:paraId="2E99F4C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（5）支持直播权限及密码设置，让直播信息更加安全。</w:t>
            </w:r>
          </w:p>
          <w:p w14:paraId="77E0CD76">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（6）支持上传教案、课件等视频附件，附件可与视频进行绑定。支持word、excel、ppt、PDF、jpeg等格式。用户在点播视频时下载附件。</w:t>
            </w:r>
          </w:p>
          <w:p w14:paraId="74F586A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（7）提供视频转发分享功能，支持二维码分享和一键转发分享至新浪微博、QQ、微信等社交平台中。</w:t>
            </w:r>
          </w:p>
          <w:p w14:paraId="0230EC1E">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3.微课管理功能</w:t>
            </w:r>
          </w:p>
          <w:p w14:paraId="5289868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（1）提供微课管理模块，支持自定义微课时长限制，在规定时长内的视频上传平台后自动归类到微课模块当中，并支持按学段、学科进行自动归类整理。</w:t>
            </w:r>
          </w:p>
          <w:p w14:paraId="4028DA92">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（2）提供专业微课录制软件，支持直接从平台下载微课录制软件并安装于笔记本电脑中。微课视频录制完毕后支持一键上传到平台，或下载到本地电脑保存。</w:t>
            </w:r>
          </w:p>
          <w:p w14:paraId="089BF2B6">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（3）微课录制软件需满足包括教师头像、实物展台、课件PPT在内的三路视频源切换及组合布局录制，支持课件与老师画中画模式。</w:t>
            </w:r>
          </w:p>
          <w:p w14:paraId="0B934186">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（4）支持PPT课件导入、课件批注，在微课录制的同时支持PPT分页预览，并进行切换录制。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D321">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8F83">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w:t>
            </w:r>
          </w:p>
        </w:tc>
      </w:tr>
      <w:tr w14:paraId="5416494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586D">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CC8B">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AI智能4K特写云台摄像机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69815CD5">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1.传感器：要求采用CMOS类型图像传感器，尺寸≥1/2.5英寸；</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★2.像素：有效像素≥800万；需提供有效证明材料；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3.变焦：要求支持自动和手动变焦，综合变焦倍数≥22倍；</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4.云台转动：要求具备机械云台可进行转动跟踪。水平转动速度最大不少于90°/s，垂直转动速度最大不少70°/s；</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5.快门速度：要求支持高速与慢速快门速度，最快不小于1/10000s，最慢不小于1/30s；</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6.视场角大小：支持水平视场角≥72°，垂直视场角≥43°；</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7.视频编码：要求支持H.265、H.264高清视频编码协议；</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8.视频输出：要求具备数字视频输出口（RJ45）≥1，HDMI视频输出口≥1；</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9.通讯接口：要求具备RS232/RS422≥1；</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10.网络接入：RJ45网络接口≥1，并支持100M/1000M自适应以太网接入与RTSP协议网络视频输出；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11.音频接口：Line in输入口≥1；</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12.音频编码：要求支持OPUS、G.711A、ACC等常用音频编码协议；</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13.USB接口：要求具备USB Type-A≥1；</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14.协议支持：要求支持VISCA/ONVIF协议满足多种场景控制要求；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15.背光补偿：要求具备背光补偿功能；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16.数字降噪：支持2D/3D数字降噪，信噪比≥55dB；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17.一线通：要求与搭配的录播主机实现基于RJ45双绞线的一线通连接，完成摄像机供电、控制以及视频信号传输；</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18.高效数据传输：支持对同品牌录播主机实现基于数据链路层的数字视频数据传输技术，能实现≤100ms的声画同步，在拍摄运动画面和复杂画面时不存在镜头呼吸效应带来的周期性画面焦距抖动；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★19.要求内置跟踪算法，摄像机内无额外辅助摄像头也无需增加任何设备即可实现人像自动跟踪，包括水平运动、俯仰运动、变焦、聚焦四维实时跟踪；需提供有效证明材料；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★20.支持自动识别教师逻辑，基于教师在讲台站立、面向/背向等状态判断，快速识别并锁定老师进行跟踪，需提供有效证明材料；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21.交叉识别：需支持对锁定跟拍对象进行人脸特征与肢体双重认证识别，在多人同时进入拍摄画面的情况下，持续锁定跟踪对象，不出现跟丢和误跟的情况；</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22.AI抗干扰：支持在拍摄画面有显示设备或其他动态视频播放的情况下，自动启用AI抗干扰能力，保障画面始终锁定被跟踪对象，且跟踪效果不受影响；</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23.PTZ自适应：需支持PTZ实时跟焦，AI跟踪的状态下能实现摄像机水平旋转、垂直旋转、变焦的实时同步变化，无需等待拍摄对象稳定后再变焦调整画面，移动过程不虚焦，实现拍摄画面的自适应稳定调整；</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24.要求摄像机与录播主机应为同一品牌。</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FA0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DE88">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r>
      <w:tr w14:paraId="5A3AFB7B">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45CF">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8</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1605">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AI智能特写跟踪拍摄软件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A9F9C79">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1.摄像机传输处理软件需采用B/S架构，支持通用浏览器直接访问进行管理；</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2.需支持曝光模式设置功能，包括自动、手动；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3.需支持抗闪烁频率、动态范围、光圈、快门参数设置；</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4.需支持设置自动/手动/一键锁定/室内/室外多场景白平衡设置，红、蓝增益可调以满足不同环境取景需要；</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5.需支持噪声抑制设置功能，支持2D、3D降噪；</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6.需支持摄像机图像质量调节功能，包括亮度、对比度、色调、饱和度；</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7.需支持图像水平、垂直翻转，适应摄像机不同的安装方式要求；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8.需支持摄像机控制功能，包括云台控制、预置位设置与调用、焦距调节等；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9.需支持自动/手动两种聚焦锁定模式；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10.支持设置预置位数量≥255，预置位设置精度≤0.1°；</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11.需支持跟踪人物丢失寻回机制，在智能跟踪的场景下跟拍对象出画后重新回到拍摄画面将再次锁定跟踪；</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12.支持配合录播主机设置五分像、七分像、全身像等多种教师图像跟踪画面模式，根据实际需要设置选用教师跟踪画面的大小；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13.支持配合录播主机划分的自动跟踪区域，当锁定跟踪人物走出自动跟踪区域时即停止跟踪，直到重新回到区域出现在画面中为止；</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14.需支持依据录播主机设置的跟踪目标更新周期时间，被跟拍人员脱离跟踪拍摄区域后开始计时，到达更新周期时间后自动解除目标跟拍锁定，回归默认状态，待下一位人员进入画面中开始重新锁定跟踪。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7AB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169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r>
      <w:tr w14:paraId="3A2631F4">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6BF5">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4E76">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录播控制面板</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47472505">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1.支持一键式系统电源开关控制。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2.一键式录制、停止、锁定电脑信号。</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3.控制接口：RS232。</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4.支持本地录播全自动的开启、关闭控制。该功能同时支持录播模式和互动模式。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5.支持通过面板一键发起与远端设备互动连接。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6.支持远程“一键静音”功能，主讲端可一键关闭远端互动教室发言，进入主讲授课模式。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7.支持通过交互控制面板切换互动画面的信号源，并传输到听课室，包括本地老师信号、学生信号、电脑信号、远端课室画面。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8.支持对各画面的自由布局控制，包括单画面全屏、双分屏、三分屏、四分屏、画中画，并传输到听课室。</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040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0DE8">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04FD5473">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0219">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7E9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电源管理器</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6E26416A">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 xml:space="preserve">1.向录播视频系统、音频系统、显示系统提供统一的、至少八路电源管理；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2.具备内置光电隔离模块，保障负载运行安全；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3.支持时序电源控制功能，每路延迟一秒，可编程控制；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4.支持对录播系统控制功能，实现通过录制面板一键启动录播系统相关设备的电源；</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5.支持1路最大电流不低于10A的电源输出接口；</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6.支持RS-485/RS-422/RS-232 等控制协议。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C4D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9ADD">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6064CBC7">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3763">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0E4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数字音频主机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E1E5078">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1、主机采用4核ARM+DSP架构，CPU主频≥1G，运行嵌入式Linux操作系统；</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2、音频处理器和功率放大器一体式设计，机身高度≤1U, 主机内置电源供电，AC100V-240V宽电压范围工作；</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3、支持不少于8路麦克风输入，支持48V幻象供电，支持不少于4路线路输入，不少于8路平衡输出，支持不少于1路的USB输入输出；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4、场景化功能设计，根据教室不同的需求，8路麦克风可配置成教师麦或生麦，教师麦支持本地扩声和实时录制，学生麦仅支持实时录制，实现多种场景的扩声和录制应用功能；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5、支持吊麦、无线麦克风、桌面麦和课件的扩声，全输入录音，吊麦拾音范围5-8米；</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6、支持抗混响功能，桌面麦、无线麦、课件与吊麦自动切换，支持自定义设置每个输入通道的优先级（1-10级），以及闪避的深度，保证录制声音清晰；</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7、支持全双工自适应回声消除AEC算法，实现教室互动录播需求，自适应128ms和256ms；</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8、内置自适应反馈抑制AFC算法，满足教室远讲扩声需求，啸叫抑制延迟能力：128ms和256ms；</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9、麦克风输入自动增益控制AGC功能，防止大声讲话或齐声朗读时破音；</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10、具备课件和无线麦输入限幅器功能，防止破音；</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11、录制输出口支持AI降噪技术，即可对教室的空调、电风扇等稳态噪声进行抑制，也可对翻书，打铃、桌椅声等瞬态噪声进行抑制；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12、1路网口输入，支持不少于8路监测传感器手拉手网线接入，监测传感器无需外接电源，一根网线实现供电、数据传输，监测内容包含教室环境噪声、扩声声压级、声场不均匀度，数据在平台端实时显示；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13、支持1路凤凰端子声学测量麦克风输入，与测量软件实现可视化环境声场检测软件可检测现场声学各类参数(包括混响时间、背景噪音、频响、语言传输指数 STI)， 支持可视化数据分析和报告；</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14、支持每路输入输出不少于16段EQ调节，16段的中心频率可调，增益和Q值可调，满足各种场景应用；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15、支持路由矩阵功能，可任意配置通道的音源；</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16、每路麦克风支持自动混音功能，可配置麦克风是普通麦还是VIP麦；</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17、支持智能仿真调试功能，自动播放扫频信号，根据采集的数据，模拟仿真声场数据，自动调整设备的增益和EQ参数，一键操作完成复杂调试；</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18、调试软件可实时显示每路输入输出的能量数值，通过能量条的颜色展示能量大小；</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19、前面板带有显示屏功能，显示设备IP地址和音量状态。支持音量按键调节，音量等级可通过前面板的显示屏显示，前面板音量调节后，设备关机重启参数不保存；</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20、调试接口：支持RJ45和RS485两种调试接口；</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21、支持扩展控制面板，可通过按键控制输出静音、调节输出音量大小，且主机掉电参数不保存；</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22、功率放大器的输出功率：≥2*125W，两路输出功放音量单独可调，满足分区扩声音量的需求；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23、在正常大气压下，平均无故障连续运行时长（MTBF）≥200000 小时；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24、频率响应:20Hz～20KHz；</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25、降噪能力≥26dB；信噪比提升≥20dB；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26、反馈抑制增益提升: ≥25dB；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27、增益控制幅度:-12dB </w:t>
            </w:r>
            <w:r>
              <w:rPr>
                <w:rFonts w:hint="eastAsia" w:ascii="宋体" w:hAnsi="宋体" w:eastAsia="宋体" w:cs="宋体"/>
                <w:color w:val="000000"/>
                <w:kern w:val="0"/>
                <w:sz w:val="24"/>
                <w:lang w:bidi="ar"/>
              </w:rPr>
              <w:softHyphen/>
            </w:r>
            <w:r>
              <w:rPr>
                <w:rFonts w:hint="eastAsia" w:ascii="宋体" w:hAnsi="宋体" w:eastAsia="宋体" w:cs="宋体"/>
                <w:color w:val="000000"/>
                <w:kern w:val="0"/>
                <w:sz w:val="24"/>
                <w:lang w:bidi="ar"/>
              </w:rPr>
              <w:softHyphen/>
            </w:r>
            <w:r>
              <w:rPr>
                <w:rFonts w:hint="eastAsia" w:ascii="宋体" w:hAnsi="宋体" w:eastAsia="宋体" w:cs="宋体"/>
                <w:color w:val="000000"/>
                <w:kern w:val="0"/>
                <w:sz w:val="24"/>
                <w:lang w:bidi="ar"/>
              </w:rPr>
              <w:t>- +12dB；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28、总谐波失真：≤0.05%，增益控制差：≤0.1dB；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29、信噪比（A计权）：≥98dBA；</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30、信号处理延时：≤7ms；</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31、音频主机支持可视化管理模式，支持音频设备运维平台部署，运维平台可统计在线、离线、故障设备数量，可进行校区、教学楼、教室的分区管理，可对设备本地扩声输出通道进行麦克风音量加减和静音，不影响课件、无线麦输入音源，以及录制口的正常输出，且可与第三方控制平台对接；</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32、支持网络广播功能，可接收网络音频数据流，内部解码后通过音箱输出；</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33、</w:t>
            </w:r>
            <w:r>
              <w:rPr>
                <w:rFonts w:hint="eastAsia" w:ascii="宋体" w:hAnsi="宋体" w:eastAsia="宋体" w:cs="宋体"/>
                <w:color w:val="000000"/>
                <w:kern w:val="0"/>
                <w:sz w:val="24"/>
                <w:lang w:eastAsia="zh-CN" w:bidi="ar"/>
              </w:rPr>
              <w:t>支持</w:t>
            </w:r>
            <w:r>
              <w:rPr>
                <w:rFonts w:hint="eastAsia" w:ascii="宋体" w:hAnsi="宋体" w:eastAsia="宋体" w:cs="宋体"/>
                <w:color w:val="000000"/>
                <w:kern w:val="0"/>
                <w:sz w:val="24"/>
                <w:lang w:bidi="ar"/>
              </w:rPr>
              <w:t>交付后的现场声学参数测量，包括混响时间、背景噪音、频响、语言传输指数STI、扩声增益、声场不均匀度，</w:t>
            </w:r>
            <w:r>
              <w:rPr>
                <w:rFonts w:hint="eastAsia" w:ascii="宋体" w:hAnsi="宋体" w:eastAsia="宋体" w:cs="宋体"/>
                <w:color w:val="000000"/>
                <w:kern w:val="0"/>
                <w:sz w:val="24"/>
                <w:lang w:eastAsia="zh-CN" w:bidi="ar"/>
              </w:rPr>
              <w:t>支持</w:t>
            </w:r>
            <w:r>
              <w:rPr>
                <w:rFonts w:hint="eastAsia" w:ascii="宋体" w:hAnsi="宋体" w:eastAsia="宋体" w:cs="宋体"/>
                <w:color w:val="000000"/>
                <w:kern w:val="0"/>
                <w:sz w:val="24"/>
                <w:lang w:bidi="ar"/>
              </w:rPr>
              <w:t>可视化数据分析和报告。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40C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05ED">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340E95BC">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3112">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0407">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老师扩声麦克风</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15DB270">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1、频率响应： 100Hz～16KHz；</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2、灵敏度： -38dB±2dB；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3、指向特性： 超心型；</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4、拾音角度： 30°至135°；</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5、输出阻抗： 200Ω±30%；</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6、输出幅度： Max 300mV；</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7、最大承受声压： 110dBSPL（A计权@1KHz，THD≤3%）；</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8、动态范围： 80dB（A）；</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9、信噪比： 64dB（A)（re94dBSPL=1Pa@1KHz)；</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10、幻象供电： 直流48V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11、输出连接器： 外置式3针卡侬公头XLR-3-12C</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备注：为保证使用效果，麦克风、音箱、音频主机为应同一品牌。</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1B16">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FEE4">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w:t>
            </w:r>
          </w:p>
        </w:tc>
      </w:tr>
      <w:tr w14:paraId="4A7FA34D">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1CA5">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A61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学生麦克风</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AB25C13">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1、频率响应： 100Hz～18KHz；</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2、灵敏度： -40dB±3dB；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3、指向特性： 超心型；</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4、拾音角度： 30°至135°；</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5、输出阻抗： 200Ω±30%；</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6、输出幅度： Max 300mV；</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7、最大承受声压： 110dBSPL（A计权@1KHz，THD≤1%）；</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8、动态范围： 76dB（A）；</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9、信噪比： 60dB（A)（re94dBSPL=1Pa@1KHz)；</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10、幻象供电： 直流48V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11、输出连接器： 外置式3针卡侬公头XLR-3-12C</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备注：为保证使用效果，麦克风、音箱、音频主机应为同一品牌。</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5A6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D1A5">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r>
      <w:tr w14:paraId="3933D530">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70A7">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C631">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专业级音箱</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42E8D55A">
            <w:pPr>
              <w:jc w:val="left"/>
              <w:textAlignment w:val="top"/>
              <w:rPr>
                <w:rFonts w:hint="default"/>
                <w:sz w:val="24"/>
                <w:szCs w:val="24"/>
                <w:lang w:bidi="ar"/>
              </w:rPr>
            </w:pPr>
            <w:r>
              <w:rPr>
                <w:rFonts w:hint="default" w:ascii="宋体" w:hAnsi="宋体" w:eastAsia="宋体" w:cs="宋体"/>
                <w:sz w:val="24"/>
                <w:szCs w:val="24"/>
                <w:u w:val="none"/>
                <w:lang w:bidi="ar"/>
              </w:rPr>
              <w:t>1、灵敏度（1W/1m）: 94dB；</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2、频响范围: 60Hz~19KHz；</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3、标称阻抗:8Ω；</w:t>
            </w:r>
          </w:p>
          <w:p w14:paraId="46E70F20">
            <w:pPr>
              <w:jc w:val="left"/>
              <w:textAlignment w:val="top"/>
              <w:rPr>
                <w:rFonts w:ascii="宋体" w:hAnsi="宋体" w:eastAsia="宋体" w:cs="宋体"/>
                <w:color w:val="000000"/>
                <w:sz w:val="24"/>
              </w:rPr>
            </w:pPr>
            <w:r>
              <w:rPr>
                <w:rFonts w:hint="default" w:ascii="宋体" w:hAnsi="宋体" w:eastAsia="宋体" w:cs="宋体"/>
                <w:sz w:val="24"/>
                <w:szCs w:val="24"/>
                <w:u w:val="none"/>
                <w:lang w:bidi="ar"/>
              </w:rPr>
              <w:t>4、额定功率:60W；</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5、低音单元:2×4.5”；</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6、高音单元:1×1”；</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7、最大声压级:114dB ；</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8、音箱净尺寸：168mm*258mm*500mm；</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9、重量： 10.5Kg（1对）；</w:t>
            </w:r>
            <w:r>
              <w:rPr>
                <w:rFonts w:hint="default" w:ascii="宋体" w:hAnsi="宋体" w:eastAsia="宋体" w:cs="宋体"/>
                <w:sz w:val="24"/>
                <w:szCs w:val="24"/>
                <w:u w:val="none"/>
                <w:lang w:bidi="ar"/>
              </w:rPr>
              <w:br w:type="textWrapping"/>
            </w:r>
            <w:r>
              <w:rPr>
                <w:rFonts w:hint="default" w:ascii="宋体" w:hAnsi="宋体" w:eastAsia="宋体" w:cs="宋体"/>
                <w:sz w:val="24"/>
                <w:szCs w:val="24"/>
                <w:u w:val="none"/>
                <w:lang w:bidi="ar"/>
              </w:rPr>
              <w:t>10、斜角设计，声学优化模型，确保声音能覆盖学生区域。</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0A41">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9578">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2C8BA790">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E3B0">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D7C5">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教学交互平板</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09932E6D">
            <w:pPr>
              <w:jc w:val="left"/>
              <w:textAlignment w:val="top"/>
              <w:rPr>
                <w:rFonts w:hint="default"/>
                <w:sz w:val="24"/>
                <w:szCs w:val="24"/>
                <w:lang w:bidi="ar"/>
              </w:rPr>
            </w:pPr>
            <w:r>
              <w:rPr>
                <w:rFonts w:hint="eastAsia" w:ascii="宋体" w:hAnsi="宋体" w:eastAsia="宋体" w:cs="宋体"/>
                <w:color w:val="000000"/>
                <w:kern w:val="0"/>
                <w:sz w:val="20"/>
                <w:szCs w:val="20"/>
                <w:lang w:bidi="ar"/>
              </w:rPr>
              <w:t>1</w:t>
            </w:r>
            <w:r>
              <w:rPr>
                <w:rFonts w:hint="default" w:ascii="宋体" w:hAnsi="宋体" w:eastAsia="宋体" w:cs="宋体"/>
                <w:sz w:val="24"/>
                <w:szCs w:val="24"/>
                <w:u w:val="none"/>
                <w:lang w:bidi="ar"/>
              </w:rPr>
              <w:t>、需为国产化CPU处理器；</w:t>
            </w:r>
          </w:p>
          <w:p w14:paraId="4C67F639">
            <w:pPr>
              <w:jc w:val="left"/>
              <w:textAlignment w:val="top"/>
              <w:rPr>
                <w:rFonts w:hint="default"/>
                <w:sz w:val="24"/>
                <w:szCs w:val="24"/>
                <w:lang w:bidi="ar"/>
              </w:rPr>
            </w:pPr>
            <w:r>
              <w:rPr>
                <w:rFonts w:hint="default" w:ascii="宋体" w:hAnsi="宋体" w:eastAsia="宋体" w:cs="宋体"/>
                <w:sz w:val="24"/>
                <w:szCs w:val="24"/>
                <w:u w:val="none"/>
                <w:lang w:bidi="ar"/>
              </w:rPr>
              <w:t>2、存储容量 RAM≥8GB ；ROM≥256GB；</w:t>
            </w:r>
          </w:p>
          <w:p w14:paraId="1EB95435">
            <w:pPr>
              <w:jc w:val="left"/>
              <w:textAlignment w:val="top"/>
              <w:rPr>
                <w:rFonts w:hint="default"/>
                <w:sz w:val="24"/>
                <w:szCs w:val="24"/>
                <w:lang w:bidi="ar"/>
              </w:rPr>
            </w:pPr>
            <w:r>
              <w:rPr>
                <w:rFonts w:hint="default" w:ascii="宋体" w:hAnsi="宋体" w:eastAsia="宋体" w:cs="宋体"/>
                <w:sz w:val="24"/>
                <w:szCs w:val="24"/>
                <w:u w:val="none"/>
                <w:lang w:bidi="ar"/>
              </w:rPr>
              <w:t>3、操作系统 Android 13及以上或Harmony 4.0及以上；</w:t>
            </w:r>
          </w:p>
          <w:p w14:paraId="0BD8C6DA">
            <w:pPr>
              <w:jc w:val="left"/>
              <w:textAlignment w:val="top"/>
              <w:rPr>
                <w:rFonts w:hint="default"/>
                <w:sz w:val="24"/>
                <w:szCs w:val="24"/>
                <w:lang w:bidi="ar"/>
              </w:rPr>
            </w:pPr>
            <w:r>
              <w:rPr>
                <w:rFonts w:hint="default" w:ascii="宋体" w:hAnsi="宋体" w:eastAsia="宋体" w:cs="宋体"/>
                <w:sz w:val="24"/>
                <w:szCs w:val="24"/>
                <w:u w:val="none"/>
                <w:lang w:bidi="ar"/>
              </w:rPr>
              <w:t>4、屏幕尺寸：11.0英寸≤屏幕≤13.0英寸；屏幕分辨率：分辨率≥2456*1600；屏幕刷新率：≥120Hz；屏幕亮度：最大屏幕亮度值≥600nits；屏幕类型：IPS屏或OLED屏；</w:t>
            </w:r>
          </w:p>
          <w:p w14:paraId="192267EA">
            <w:pPr>
              <w:jc w:val="left"/>
              <w:textAlignment w:val="top"/>
              <w:rPr>
                <w:rFonts w:hint="default"/>
                <w:sz w:val="24"/>
                <w:szCs w:val="24"/>
                <w:lang w:bidi="ar"/>
              </w:rPr>
            </w:pPr>
            <w:r>
              <w:rPr>
                <w:rFonts w:hint="default" w:ascii="宋体" w:hAnsi="宋体" w:eastAsia="宋体" w:cs="宋体"/>
                <w:sz w:val="24"/>
                <w:szCs w:val="24"/>
                <w:u w:val="none"/>
                <w:lang w:bidi="ar"/>
              </w:rPr>
              <w:t>5、电池容量：电池典型值容量≥10000mAh；电源：输入100～240V 50Hz/60Hz，Type-C充电接口，主机支持最大充电功率≥40W；</w:t>
            </w:r>
          </w:p>
          <w:p w14:paraId="141680AF">
            <w:pPr>
              <w:jc w:val="left"/>
              <w:textAlignment w:val="top"/>
              <w:rPr>
                <w:rFonts w:hint="default"/>
                <w:sz w:val="24"/>
                <w:szCs w:val="24"/>
                <w:lang w:bidi="ar"/>
              </w:rPr>
            </w:pPr>
            <w:r>
              <w:rPr>
                <w:rFonts w:hint="default" w:ascii="宋体" w:hAnsi="宋体" w:eastAsia="宋体" w:cs="宋体"/>
                <w:sz w:val="24"/>
                <w:szCs w:val="24"/>
                <w:u w:val="none"/>
                <w:lang w:bidi="ar"/>
              </w:rPr>
              <w:t>6、前置摄像头：≥800万像素；后置摄像头：≥1300万像素；</w:t>
            </w:r>
          </w:p>
          <w:p w14:paraId="3A2840B6">
            <w:pPr>
              <w:jc w:val="left"/>
              <w:textAlignment w:val="top"/>
              <w:rPr>
                <w:rFonts w:hint="default"/>
                <w:sz w:val="24"/>
                <w:szCs w:val="24"/>
                <w:lang w:bidi="ar"/>
              </w:rPr>
            </w:pPr>
            <w:r>
              <w:rPr>
                <w:rFonts w:hint="default" w:ascii="宋体" w:hAnsi="宋体" w:eastAsia="宋体" w:cs="宋体"/>
                <w:sz w:val="24"/>
                <w:szCs w:val="24"/>
                <w:u w:val="none"/>
                <w:lang w:bidi="ar"/>
              </w:rPr>
              <w:t>7、接口：Type-C接口、pogo-pin接口（支持数据传输、连接外部设备）；</w:t>
            </w:r>
          </w:p>
          <w:p w14:paraId="069B6619">
            <w:pPr>
              <w:jc w:val="left"/>
              <w:textAlignment w:val="top"/>
              <w:rPr>
                <w:rFonts w:hint="default"/>
                <w:sz w:val="24"/>
                <w:szCs w:val="24"/>
                <w:lang w:bidi="ar"/>
              </w:rPr>
            </w:pPr>
            <w:r>
              <w:rPr>
                <w:rFonts w:hint="default" w:ascii="宋体" w:hAnsi="宋体" w:eastAsia="宋体" w:cs="宋体"/>
                <w:sz w:val="24"/>
                <w:szCs w:val="24"/>
                <w:u w:val="none"/>
                <w:lang w:bidi="ar"/>
              </w:rPr>
              <w:t>8、WIFI：支持802.11 a/b/g/n/ac/ax无线协议；蓝牙：支持蓝牙5.2并向下兼容；</w:t>
            </w:r>
          </w:p>
          <w:p w14:paraId="517A93E1">
            <w:pPr>
              <w:jc w:val="left"/>
              <w:textAlignment w:val="top"/>
              <w:rPr>
                <w:rFonts w:hint="default"/>
                <w:sz w:val="24"/>
                <w:szCs w:val="24"/>
                <w:lang w:bidi="ar"/>
              </w:rPr>
            </w:pPr>
            <w:r>
              <w:rPr>
                <w:rFonts w:hint="default" w:ascii="宋体" w:hAnsi="宋体" w:eastAsia="宋体" w:cs="宋体"/>
                <w:sz w:val="24"/>
                <w:szCs w:val="24"/>
                <w:u w:val="none"/>
                <w:lang w:bidi="ar"/>
              </w:rPr>
              <w:t>9、存储扩展：支持存储卡扩展，最大支持拓展容量≥512GB；</w:t>
            </w:r>
          </w:p>
          <w:p w14:paraId="18839501">
            <w:pPr>
              <w:jc w:val="left"/>
              <w:textAlignment w:val="top"/>
              <w:rPr>
                <w:rFonts w:hint="default"/>
                <w:sz w:val="24"/>
                <w:szCs w:val="24"/>
                <w:lang w:bidi="ar"/>
              </w:rPr>
            </w:pPr>
            <w:r>
              <w:rPr>
                <w:rFonts w:hint="default" w:ascii="宋体" w:hAnsi="宋体" w:eastAsia="宋体" w:cs="宋体"/>
                <w:sz w:val="24"/>
                <w:szCs w:val="24"/>
                <w:u w:val="none"/>
                <w:lang w:bidi="ar"/>
              </w:rPr>
              <w:t>10后壳材质：塑胶、铝合金、碳纤维、玻璃纤维或其他金属材质；</w:t>
            </w:r>
          </w:p>
          <w:p w14:paraId="4130DC35">
            <w:pPr>
              <w:jc w:val="left"/>
              <w:textAlignment w:val="top"/>
              <w:rPr>
                <w:rFonts w:hint="default"/>
                <w:sz w:val="24"/>
                <w:szCs w:val="24"/>
                <w:lang w:bidi="ar"/>
              </w:rPr>
            </w:pPr>
            <w:r>
              <w:rPr>
                <w:rFonts w:hint="default" w:ascii="宋体" w:hAnsi="宋体" w:eastAsia="宋体" w:cs="宋体"/>
                <w:sz w:val="24"/>
                <w:szCs w:val="24"/>
                <w:u w:val="none"/>
                <w:lang w:bidi="ar"/>
              </w:rPr>
              <w:t>11、麦克风：内置麦克风≥2个；扬声器 内置扬声器≥4个；</w:t>
            </w:r>
          </w:p>
          <w:p w14:paraId="2DDAA454">
            <w:pPr>
              <w:jc w:val="left"/>
              <w:textAlignment w:val="top"/>
              <w:rPr>
                <w:rFonts w:hint="default"/>
                <w:sz w:val="24"/>
                <w:szCs w:val="24"/>
                <w:lang w:bidi="ar"/>
              </w:rPr>
            </w:pPr>
            <w:r>
              <w:rPr>
                <w:rFonts w:hint="default" w:ascii="宋体" w:hAnsi="宋体" w:eastAsia="宋体" w:cs="宋体"/>
                <w:sz w:val="24"/>
                <w:szCs w:val="24"/>
                <w:u w:val="none"/>
                <w:lang w:bidi="ar"/>
              </w:rPr>
              <w:t>12、传感器：重力感应器、环境光传感器、霍尔传感器；</w:t>
            </w:r>
          </w:p>
          <w:p w14:paraId="3B02CDBC">
            <w:pPr>
              <w:jc w:val="left"/>
              <w:textAlignment w:val="top"/>
              <w:rPr>
                <w:rFonts w:hint="default"/>
                <w:sz w:val="24"/>
                <w:szCs w:val="24"/>
                <w:lang w:bidi="ar"/>
              </w:rPr>
            </w:pPr>
            <w:r>
              <w:rPr>
                <w:rFonts w:hint="default" w:ascii="宋体" w:hAnsi="宋体" w:eastAsia="宋体" w:cs="宋体"/>
                <w:sz w:val="24"/>
                <w:szCs w:val="24"/>
                <w:u w:val="none"/>
                <w:lang w:bidi="ar"/>
              </w:rPr>
              <w:t>13重量：≤520g；</w:t>
            </w:r>
          </w:p>
          <w:p w14:paraId="0EDC9680">
            <w:pPr>
              <w:jc w:val="left"/>
              <w:textAlignment w:val="top"/>
              <w:rPr>
                <w:rFonts w:hint="default"/>
                <w:sz w:val="24"/>
                <w:szCs w:val="24"/>
                <w:lang w:bidi="ar"/>
              </w:rPr>
            </w:pPr>
            <w:r>
              <w:rPr>
                <w:rFonts w:hint="default" w:ascii="宋体" w:hAnsi="宋体" w:eastAsia="宋体" w:cs="宋体"/>
                <w:sz w:val="24"/>
                <w:szCs w:val="24"/>
                <w:u w:val="none"/>
                <w:lang w:bidi="ar"/>
              </w:rPr>
              <w:t>14、产品认证：国家强制认证CCC；</w:t>
            </w:r>
          </w:p>
          <w:p w14:paraId="6C329485">
            <w:pPr>
              <w:jc w:val="left"/>
              <w:textAlignment w:val="top"/>
              <w:rPr>
                <w:rFonts w:ascii="宋体" w:hAnsi="宋体" w:eastAsia="宋体" w:cs="宋体"/>
                <w:color w:val="000000"/>
                <w:kern w:val="0"/>
                <w:sz w:val="24"/>
                <w:lang w:bidi="ar"/>
              </w:rPr>
            </w:pPr>
            <w:r>
              <w:rPr>
                <w:rFonts w:hint="default" w:ascii="宋体" w:hAnsi="宋体" w:eastAsia="宋体" w:cs="宋体"/>
                <w:sz w:val="24"/>
                <w:szCs w:val="24"/>
                <w:u w:val="none"/>
                <w:lang w:bidi="ar"/>
              </w:rPr>
              <w:t>15、支持原装触控笔，可实现课堂批注、教学备课、文档审阅等教学应用功能。</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9E7B">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C333">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10</w:t>
            </w:r>
          </w:p>
        </w:tc>
      </w:tr>
      <w:tr w14:paraId="74CDB4EB">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10C2">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45A2">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导播电脑</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03036E01">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1、CPU：不低于Intel酷睿I7、13代处理器；</w:t>
            </w:r>
          </w:p>
          <w:p w14:paraId="01F85F14">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2、主板：不低于B760芯片主板，主板具备DP、HDMI接口；</w:t>
            </w:r>
          </w:p>
          <w:p w14:paraId="70303DAC">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3、内存：≥16GB DDR4，应支持双内存插槽；</w:t>
            </w:r>
          </w:p>
          <w:p w14:paraId="78EF298C">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4、硬盘：≥256G M.2 NVME SSD+1T HDD；</w:t>
            </w:r>
          </w:p>
          <w:p w14:paraId="4D8DBB1B">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5、显卡：集成高性能显卡及以上；</w:t>
            </w:r>
          </w:p>
          <w:p w14:paraId="057F57C8">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6、声卡：集成或独立5.1声道声卡，应至少5个立体声接口；</w:t>
            </w:r>
          </w:p>
          <w:p w14:paraId="48CC1B58">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7、扩展槽：1个PCI-E*16、1个PCI-E*1、3个M.2接口(其中2个支持扩展SSD)；</w:t>
            </w:r>
          </w:p>
          <w:p w14:paraId="2D7FA459">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8、接口：≥11个USB接口，其中至少8个USB 3.2 Gen 1、1个USB 3.2 Gen 2 Type-C接口；</w:t>
            </w:r>
          </w:p>
          <w:p w14:paraId="27586EE6">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9、机箱：标准MATX立式机箱，机箱≥15L，顶置电源开关键，方便使用；</w:t>
            </w:r>
          </w:p>
          <w:p w14:paraId="1182E1D4">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10、键鼠：防水抗菌键盘、抗菌鼠标；</w:t>
            </w:r>
          </w:p>
          <w:p w14:paraId="695F5532">
            <w:pPr>
              <w:jc w:val="left"/>
              <w:textAlignment w:val="top"/>
              <w:rPr>
                <w:rFonts w:hint="eastAsia" w:ascii="宋体" w:hAnsi="宋体" w:eastAsia="宋体" w:cs="宋体"/>
                <w:color w:val="000000"/>
                <w:kern w:val="0"/>
                <w:sz w:val="24"/>
                <w:highlight w:val="none"/>
                <w:lang w:eastAsia="zh-CN" w:bidi="ar"/>
              </w:rPr>
            </w:pPr>
            <w:r>
              <w:rPr>
                <w:rFonts w:hint="eastAsia" w:ascii="宋体" w:hAnsi="宋体" w:eastAsia="宋体" w:cs="宋体"/>
                <w:color w:val="000000"/>
                <w:kern w:val="0"/>
                <w:sz w:val="24"/>
                <w:highlight w:val="none"/>
                <w:lang w:bidi="ar"/>
              </w:rPr>
              <w:t>11、显示器：≥23.8英寸显示器，分辨率1920*1080</w:t>
            </w:r>
            <w:r>
              <w:rPr>
                <w:rFonts w:hint="eastAsia" w:ascii="宋体" w:hAnsi="宋体" w:eastAsia="宋体" w:cs="宋体"/>
                <w:color w:val="000000"/>
                <w:kern w:val="0"/>
                <w:sz w:val="24"/>
                <w:highlight w:val="none"/>
                <w:lang w:eastAsia="zh-CN" w:bidi="ar"/>
              </w:rPr>
              <w:t>；</w:t>
            </w:r>
          </w:p>
          <w:p w14:paraId="310D94F5">
            <w:pPr>
              <w:jc w:val="left"/>
              <w:textAlignment w:val="top"/>
              <w:rPr>
                <w:rFonts w:ascii="宋体" w:hAnsi="宋体" w:eastAsia="宋体" w:cs="宋体"/>
                <w:color w:val="000000"/>
                <w:sz w:val="24"/>
                <w:highlight w:val="none"/>
              </w:rPr>
            </w:pPr>
            <w:r>
              <w:rPr>
                <w:rFonts w:hint="eastAsia" w:ascii="宋体" w:hAnsi="宋体" w:eastAsia="宋体" w:cs="宋体"/>
                <w:color w:val="000000"/>
                <w:kern w:val="0"/>
                <w:sz w:val="24"/>
                <w:highlight w:val="none"/>
                <w:lang w:bidi="ar"/>
              </w:rPr>
              <w:t>12、安全应用：可通过bios将USB端口设置为仅识别键盘鼠标，不识别存储设备，且每个USB端口在BIOS有单独控制开关</w:t>
            </w:r>
            <w:r>
              <w:rPr>
                <w:rFonts w:hint="eastAsia" w:ascii="宋体" w:hAnsi="宋体" w:eastAsia="宋体" w:cs="宋体"/>
                <w:color w:val="000000"/>
                <w:kern w:val="0"/>
                <w:sz w:val="24"/>
                <w:highlight w:val="none"/>
                <w:lang w:eastAsia="zh-CN" w:bidi="ar"/>
              </w:rPr>
              <w:t>。</w:t>
            </w:r>
            <w:r>
              <w:rPr>
                <w:rFonts w:hint="eastAsia" w:ascii="宋体" w:hAnsi="宋体" w:eastAsia="宋体" w:cs="宋体"/>
                <w:color w:val="000000"/>
                <w:kern w:val="0"/>
                <w:sz w:val="24"/>
                <w:highlight w:val="none"/>
                <w:lang w:val="en-US" w:eastAsia="zh-CN" w:bidi="ar"/>
              </w:rPr>
              <w:t>(提供有效证明材料)</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51A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A63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5984661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5ED5">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17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FB95">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数字媒体台式计算机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047C7DE7">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1、CPU：不低于Intel酷睿I7、13代处理器；</w:t>
            </w:r>
          </w:p>
          <w:p w14:paraId="374DF328">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2、主板：不低于B760芯片主板，主板具备DP、HDMI接口；</w:t>
            </w:r>
          </w:p>
          <w:p w14:paraId="485AF464">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3、内存：≥32GB DDR4，应支持双内存插槽；</w:t>
            </w:r>
          </w:p>
          <w:p w14:paraId="48263791">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4、硬盘：≥1T M.2 NVME SSD；</w:t>
            </w:r>
          </w:p>
          <w:p w14:paraId="12A23629">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5、显卡：RTX3050 8G独立显卡及以上；</w:t>
            </w:r>
          </w:p>
          <w:p w14:paraId="069298E5">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6、声卡：集成或独立5.1声道声卡，应至少5个立体声接口；</w:t>
            </w:r>
          </w:p>
          <w:p w14:paraId="7F428758">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7、扩展槽：1个PCI-E*16、1个PCI-E*1、3个M.2接口(其中2个支持扩展SSD)；</w:t>
            </w:r>
          </w:p>
          <w:p w14:paraId="09668D48">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8、接口：≥11个USB接口，其中至少8个USB 3.2 Gen 1、1个USB 3.2 Gen 2 Type-C接口；</w:t>
            </w:r>
          </w:p>
          <w:p w14:paraId="3904375B">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9、机箱：标准MATX立式机箱，机箱≥15L，顶置电源开关键，方便使用；</w:t>
            </w:r>
          </w:p>
          <w:p w14:paraId="0CC708E9">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10、键鼠：防水抗菌键盘、抗菌鼠标；</w:t>
            </w:r>
          </w:p>
          <w:p w14:paraId="58CDF1FF">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11、显示器：≥27英寸 显示器，分辨率1920*1080；</w:t>
            </w:r>
          </w:p>
          <w:p w14:paraId="497D8496">
            <w:pPr>
              <w:jc w:val="left"/>
              <w:textAlignment w:val="top"/>
              <w:rPr>
                <w:rFonts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12、安全应用：可通过bios将USB端口设置为仅识别键盘鼠标，不识别存储设备，且每个USB端口在BIOS有单独控制开关</w:t>
            </w:r>
            <w:r>
              <w:rPr>
                <w:rFonts w:hint="eastAsia" w:ascii="宋体" w:hAnsi="宋体" w:eastAsia="宋体" w:cs="宋体"/>
                <w:color w:val="000000"/>
                <w:kern w:val="0"/>
                <w:sz w:val="24"/>
                <w:highlight w:val="none"/>
                <w:lang w:eastAsia="zh-CN" w:bidi="ar"/>
              </w:rPr>
              <w:t>。</w:t>
            </w:r>
            <w:r>
              <w:rPr>
                <w:rFonts w:hint="eastAsia" w:ascii="宋体" w:hAnsi="宋体" w:eastAsia="宋体" w:cs="宋体"/>
                <w:color w:val="000000"/>
                <w:kern w:val="0"/>
                <w:sz w:val="24"/>
                <w:highlight w:val="none"/>
                <w:lang w:val="en-US" w:eastAsia="zh-CN" w:bidi="ar"/>
              </w:rPr>
              <w:t>(提供有效证明材料)</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CD55">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23F4">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w:t>
            </w:r>
          </w:p>
        </w:tc>
      </w:tr>
      <w:tr w14:paraId="0E5BD032">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2060">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18</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0F27">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千兆交换机</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16C4578A">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1、端口类型：≥16个10/100/1000Base-T RJ45端口；</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2、网络标准：支持IEEE 802.3、IEEE 802.3i、IEEE 802.3u、IEEE 802.3ab、IEEE 802.3z、IEEE 802.3ad、IEEE 802.3x、IEEE 802.1p、IEEE 802.1q等标准；</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3、VLAN功能：支持802.1Q VLAN、MTU VLAN、端口VLAN，用户可根据需求灵活划分VLAN；</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4、支持通过Web网页、PC端软件进行管理，同时支持APP远程控制功能。</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98D6">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CBEC">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0DCD1D69">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6DFA">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19</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BBA4">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智慧讲桌</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816555C">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1、主体需采用国标1.2冷轧钢板+高档射线木纹环保颗粒板精制而成，内附安全锁；</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2、尺寸：长宽高（MM），长度≥1100mm*宽度≥700mm*≥桌面高度900mm/外围高度1050mm；</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3、讲台桌面材质为高档射线木纹环保木板，采用平面设计， (可以放置一体机或显示器)、鼠标、键盘、等任意设备，(可选配触摸屏、显示屏升降器) 满足客户的不同需求；</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4、讲台设计隐藏式抽屉，按压弹出方便顺滑，尺寸为≥510*400*50mm可放置鼠标、键盘、粉笔、激光笔等；</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5、整体造型设计采用三面环抱式设计，后背高档射线木纹环保木板，有效防止物品滑落，整体采用圆弧设计，工艺精湛，高贵大方；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6、下柜设有一层置物板，可放置老师物品， 左侧设有主机柜并预留电脑主机开关门，无需打开箱体的情况下也能正常开关操作电脑主机；门冲有散热孔，方便散热。整个下柜可作为储物柜使用；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 选配集成：USB输入口2个、VGA输入口1个、RJ45输入口1个、麦克风输入口1个、VIDEO输入口1个、电脑音频输入口1个；结构布局合理、紧凑大方、可存放数码展台、计算机、录像机、功放机、音箱、中央控制系统、无线话筒等设备，内设笔记本接口有220电源插座孔、VGA、USB、网线孔、麦克风孔、音视频孔、VIDEO孔。</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7B4D">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8197">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48AE5C2A">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6FAC">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20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510B">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学生桌椅</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3DFF1B47">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 xml:space="preserve">1、桌面：尺寸：≥650mm×450mm×25mm±5mm。采用 ABS耐冲击塑料一级新料一体射出成型。耐冲击强度：须能承受5磅榔头重力锤击不得破裂。不得采用回收料生产。靠胸前处有一內弧造型设计，面板两侧设置防滑落凸条，前端并设有笔槽，长为≥395mm，宽≥15mm。四周及底部完全不得有毛边，得需倒圆角，不刮手。表面得需有细纹咬花，不得有反光现象。组合设计：面板底部有強化承重之设计。镶入2根方型钢管，并与面板底部平齐。尺寸规格为≥15mm×30mm×1.0mm。由螺丝锁付于面板底部。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2、书箱要求：采用PP塑料一级新料一体射出成型。外径尺寸：≥595mm×410mmX148 mm±5mm，内径尺寸：≥453mm×363×130mm。功能：书箱底部有排水槽缝之设计。排水槽缝不得少于28条。每条槽缝长40mm×5mm±1mm。挂钩采用PP塑料一级新料一体射出成型，功能与工艺要求：书箱左右两侧得需有一挂钩设计。在静止状态下可以承载10KG左右的挂物承重。                                            3、桌体钢架：材质及形状：桌体采用橢圆形钢管，。桌脚贴地部钢管尺寸为：30×60×1.3mm；桌脚上部固定立管钢管尺寸为：30×60×1.3mm；升降套管20×50×1.3 mm连接书箱Y支架钢管尺寸为：20×40×1.3mm。表面用环保塑粉涂装：钢管架焊接完成后，采用优质烤塑粉，经高温粉体烤塑，耐刮耐磨，长时间使用也不会产生表面塑粉剥落现象；功能：采用套管式升降，穿透螺栓安装。</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 xml:space="preserve">4、椅子座垫，靠背均采用一级工程塑料PP，通过改性良化后全新塑料一次性注塑成型，耐冲击，耐抗压，耐磨，达到环保要求，靠背设计有完成的曲线弧度，使其免于侧弯。座垫420*380mm，靠背420*350㎜。                            </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5、椅腿和椅脚采用椭圆钢管并使用拉杆套管式升降，椅脚贴地部钢管尺寸为：30×60×1.3mm；立柱外钢管尺寸为30mm×60mm×1.3mm, 内钢管20mmx50mm×1.3mm，椅子后背采用20*40*1.3mm扁圆管椅脚四端配置高强度增强尼龙外套。椅腿与椅脚呈直角焊接，牢固可靠。两椅腿间设有横档，横档采用椭圆钢管，尺寸为20mm×50mm×1.3mm。</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6、表面用环保塑粉涂装：钢管架焊接完成后，采用优质烤塑粉，经高温粉体烤塑，耐刮耐磨，长时间使用也不会产生表面塑粉剥落现象；功能：套管式升降，穿透螺栓固定。</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7、颜色桌架白色/灰白色，桌面豆绿色，蓝色，浅蓝色可选。</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D8EA">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796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56</w:t>
            </w:r>
          </w:p>
        </w:tc>
      </w:tr>
      <w:tr w14:paraId="1321704D">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D2D6">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21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7BD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观摩室音箱</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59D9E107">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1、采用2.0声道全频有源音箱，内置功放及分频器，高密度中纤板黑色箱体，配备烤漆铁网罩，音质饱满通透，安装灵活便捷。</w:t>
            </w:r>
          </w:p>
          <w:p w14:paraId="5A037CBC">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2、配备不少于1组音频信号输入接口、1路录音信号输出接口。</w:t>
            </w:r>
          </w:p>
          <w:p w14:paraId="05B92AD2">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3、预留外置USB无线话筒接收模块接口，支持后期无线话筒授课功能拓展升级。</w:t>
            </w:r>
          </w:p>
          <w:p w14:paraId="3D81388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4、配置1路6.5mm有线话筒输入接口，适配同品牌无源话筒，无需电池供电，使用便捷。</w:t>
            </w:r>
          </w:p>
          <w:p w14:paraId="3266970D">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5、支持话筒音量调节、话筒高低音调节、主音频音量调节功能。</w:t>
            </w:r>
          </w:p>
          <w:p w14:paraId="20DE7C4F">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6、额定输出功率2×30W，满足室内教学扩声使用要求。</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4261">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24AA">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07EC143E">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832C">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22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606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观摩电视</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4864">
            <w:pPr>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1、屏幕尺寸≥55英寸液晶电视，支持不低于4K超高清显示</w:t>
            </w:r>
            <w:r>
              <w:rPr>
                <w:rFonts w:ascii="宋体" w:hAnsi="宋体" w:eastAsia="宋体" w:cs="宋体"/>
                <w:color w:val="000000"/>
                <w:kern w:val="0"/>
                <w:sz w:val="24"/>
                <w:lang w:bidi="ar"/>
              </w:rPr>
              <w:br w:type="textWrapping"/>
            </w:r>
            <w:r>
              <w:rPr>
                <w:rFonts w:ascii="宋体" w:hAnsi="宋体" w:eastAsia="宋体" w:cs="宋体"/>
                <w:color w:val="000000"/>
                <w:kern w:val="0"/>
                <w:sz w:val="24"/>
                <w:lang w:bidi="ar"/>
              </w:rPr>
              <w:t>2</w:t>
            </w:r>
            <w:r>
              <w:rPr>
                <w:rFonts w:hint="eastAsia" w:ascii="宋体" w:hAnsi="宋体" w:eastAsia="宋体" w:cs="宋体"/>
                <w:color w:val="000000"/>
                <w:kern w:val="0"/>
                <w:sz w:val="24"/>
                <w:lang w:bidi="ar"/>
              </w:rPr>
              <w:t>、配备HDMI高清接口，含壁挂架或吊架。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B46E">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AC02">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w:t>
            </w:r>
          </w:p>
        </w:tc>
      </w:tr>
      <w:tr w14:paraId="62A1713B">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CD04">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23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6FD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智慧黑板</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661EAD07">
            <w:pPr>
              <w:numPr>
                <w:ilvl w:val="0"/>
                <w:numId w:val="8"/>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整机硬件功能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1、整机屏幕采用≥86英寸液晶显示器，采用全金属外壳，三拼接平面一体化设计，整体外观尺寸：宽≥4200mm，高≥1200mm，厚≤113mm，整机采用超高清LED液晶显示屏，显示比例16:9，分辨率3840×2160。</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2、屏幕采用≤3mm钢化玻璃保护，表⾯硬度≥9H或莫氏硬度7级，透光率不低于91%，雾度≤8%。</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3、侧置输入接口具备2路HDMI、1路RS232、1路USB接口；侧置输出接口具备1路音频输出、1路触控USB输出；前置输入接口具备3路USB接口（包含1路Type-C、2路USB）。</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4、整机采用≥12核国产化嵌入式芯片，CPU≥8核，整机嵌入式系统版本≥Android 15，主频≥1.6GHz，内存≥4GB，存储空间≥32GB。需提供有效证明材料。</w:t>
            </w:r>
          </w:p>
          <w:p w14:paraId="02D00DEF">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5、整机CPU芯片，WIFI与蓝牙芯片、摄像头图像处理芯片、均采用国产自主芯片。</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6、采用电容触控方式，支持Windows系统中进行50点或以上触控，支持在Android系统中进行50点或以上触控。</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7、整机设备内置2.2声道扬声器，位于设备上边框，顶置朝前发声，12W高音扬声器2个，上朝向30W中低音扬声器2个，最大功率≥80W。需提供有效证明材料。</w:t>
            </w:r>
            <w:r>
              <w:rPr>
                <w:rFonts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8、整机全部扬声器无需打开背板即可单独拆卸。</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9、整机内置非独立外扩展的4阵列麦克风，可用于对教室环境音频进行采集，拾音距离≥12m。</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整机听力模式下具备AI人声语言增强功能，支持三挡强弱调节，通过AI算法提取视频/音频中的语言进行效果增强，在不增加音量的情况下提升语言清晰度，扩声系统语言传输指数（STIPA）≥0.75。需提供有效证明材料。</w:t>
            </w:r>
          </w:p>
          <w:p w14:paraId="55383E25">
            <w:pPr>
              <w:numPr>
                <w:ilvl w:val="0"/>
                <w:numId w:val="9"/>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支持标准、听力、观影和AI空间感知音效模式，AI空间感知音效模式可通过内置麦克风采集教室物理环境声音，自动生成符合当前教室物理环境的频段、音量、音效。</w:t>
            </w:r>
          </w:p>
          <w:p w14:paraId="4FC74AA7">
            <w:pPr>
              <w:numPr>
                <w:ilvl w:val="0"/>
                <w:numId w:val="9"/>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p w14:paraId="03DFC4E7">
            <w:pPr>
              <w:jc w:val="left"/>
              <w:textAlignment w:val="top"/>
              <w:rPr>
                <w:rFonts w:hint="default" w:ascii="宋体" w:hAnsi="宋体" w:eastAsia="宋体" w:cs="宋体"/>
                <w:color w:val="000000"/>
                <w:sz w:val="24"/>
                <w:lang w:val="en-US" w:eastAsia="zh-CN"/>
              </w:rPr>
            </w:pPr>
            <w:r>
              <w:rPr>
                <w:rFonts w:hint="eastAsia" w:ascii="宋体" w:hAnsi="宋体" w:eastAsia="宋体" w:cs="宋体"/>
                <w:color w:val="000000"/>
                <w:kern w:val="0"/>
                <w:sz w:val="24"/>
                <w:lang w:bidi="ar"/>
              </w:rPr>
              <w:t>13、整机视网膜蓝光危害（蓝光加权辐射亮度LB）满足IEC TR 62778:2014蓝光危害RG0级别。</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14、整机支持蓝牙Bluetooth 5.4标准，固件版本号HCI13.0/LMP13.0。Wi-Fi制式支持IEEE 802.11 a/b/g/n/ac/ax；支持版本Wi-Fi6。</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15、超声波配对：整机支持发出频率为18kHz-22kHz超声波信号，智能手机通过麦克风接收后，智能手机与整机无需在同一局域网内，可实现配对，一键投屏，用户无需手动输入投屏码或扫码获取投屏码。</w:t>
            </w:r>
            <w:r>
              <w:rPr>
                <w:rFonts w:hint="eastAsia" w:ascii="宋体" w:hAnsi="宋体" w:eastAsia="宋体" w:cs="宋体"/>
                <w:color w:val="000000"/>
                <w:kern w:val="0"/>
                <w:sz w:val="24"/>
                <w:lang w:val="en-US" w:eastAsia="zh-CN" w:bidi="ar"/>
              </w:rPr>
              <w:t>需提供有效证明材料。</w:t>
            </w:r>
          </w:p>
          <w:p w14:paraId="520C2934">
            <w:pPr>
              <w:numPr>
                <w:ilvl w:val="0"/>
                <w:numId w:val="0"/>
              </w:numPr>
              <w:jc w:val="left"/>
              <w:textAlignment w:val="top"/>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★16、</w:t>
            </w:r>
            <w:r>
              <w:rPr>
                <w:rFonts w:hint="eastAsia" w:ascii="宋体" w:hAnsi="宋体" w:eastAsia="宋体" w:cs="宋体"/>
                <w:color w:val="000000"/>
                <w:kern w:val="0"/>
                <w:sz w:val="24"/>
                <w:lang w:bidi="ar"/>
              </w:rPr>
              <w:t>整机配套教学应用APP可通过wifi直连技术，近场发现附近教学大屏设备，无需扫码、账号密码输入步骤，即可直接连接并登录教学大屏设备，基于统一身份认证机制可实现其他教学软件免登录操作，需提供有效证明材料。</w:t>
            </w:r>
          </w:p>
          <w:p w14:paraId="25FDEFF6">
            <w:pPr>
              <w:numPr>
                <w:ilvl w:val="0"/>
                <w:numId w:val="0"/>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17、</w:t>
            </w:r>
            <w:r>
              <w:rPr>
                <w:rFonts w:hint="eastAsia" w:ascii="宋体" w:hAnsi="宋体" w:eastAsia="宋体" w:cs="宋体"/>
                <w:color w:val="000000"/>
                <w:kern w:val="0"/>
                <w:sz w:val="24"/>
                <w:lang w:bidi="ar"/>
              </w:rPr>
              <w:t>整机PC通道及安卓通道各具备一颗WiFi6无线芯片，PC和安卓通道均可通过大屏发送WiFi6热点以及连接WiFi6的路由器。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18、整机上边框内置非独立摄像头，采用一体化集成设计，⽀持输出4:3、16:9⽐例的图⽚和视频，支持拍摄＞1600 万像素数的照片和视频，支持输出 4k 分辨率的视频。</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19、整机具备班级视力检测功能，学⽣站在距离屏幕前5m处，可通过⼿势识别方式来标识方向进行视力测试，测试完成后可直接⽣成视⼒检测结果，并建⽴学⽣视⼒档案，对学⽣视⼒情况进⾏管理，需提供有效证明材料。</w:t>
            </w:r>
          </w:p>
          <w:p w14:paraId="24338DE8">
            <w:pPr>
              <w:numPr>
                <w:ilvl w:val="0"/>
                <w:numId w:val="10"/>
              </w:numPr>
              <w:kinsoku w:val="0"/>
              <w:autoSpaceDE w:val="0"/>
              <w:autoSpaceDN w:val="0"/>
              <w:adjustRightInd w:val="0"/>
              <w:snapToGrid w:val="0"/>
              <w:spacing w:line="240" w:lineRule="auto"/>
              <w:ind w:firstLine="0" w:firstLineChars="0"/>
              <w:jc w:val="left"/>
              <w:textAlignment w:val="top"/>
              <w:rPr>
                <w:rFonts w:ascii="宋体" w:hAnsi="宋体" w:eastAsia="宋体" w:cs="宋体"/>
                <w:snapToGrid w:val="0"/>
                <w:color w:val="000000"/>
                <w:kern w:val="0"/>
                <w:sz w:val="24"/>
                <w:szCs w:val="21"/>
                <w:lang w:val="en-US" w:eastAsia="en-US" w:bidi="ar"/>
              </w:rPr>
            </w:pPr>
            <w:r>
              <w:rPr>
                <w:rFonts w:hint="eastAsia" w:ascii="宋体" w:hAnsi="宋体" w:eastAsia="宋体" w:cs="宋体"/>
                <w:snapToGrid w:val="0"/>
                <w:color w:val="000000"/>
                <w:kern w:val="0"/>
                <w:sz w:val="24"/>
                <w:szCs w:val="21"/>
                <w:lang w:val="en-US" w:eastAsia="en-US" w:bidi="ar"/>
              </w:rPr>
              <w:t>整机Windows通道支持文件传输应用，支持通过扫码、超声、wifi直连三种方式与手机进行握手连接，实现文件传输功能。需提供有效证明材料，</w:t>
            </w:r>
          </w:p>
          <w:p w14:paraId="2DD475C9">
            <w:pPr>
              <w:numPr>
                <w:ilvl w:val="0"/>
                <w:numId w:val="10"/>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整机设备支持多种身份识别方式，支持通过账号登录、手机扫码登录、人脸识别登录、声纹识别登录、近场发现登录，并支持账号安全登录检测。需提供有效证明材料。</w:t>
            </w:r>
          </w:p>
          <w:p w14:paraId="20CE109F">
            <w:pPr>
              <w:numPr>
                <w:ilvl w:val="0"/>
                <w:numId w:val="10"/>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自习监控：整机侧边栏内置自习工具，通过整机麦克风内置AI音频检测算法监测教室中学生音量大小，当学生音量大于阈值时，屏幕自动弹窗提醒进行自习纪律干预，需提供有效证明材料。</w:t>
            </w:r>
          </w:p>
          <w:p w14:paraId="5E09BB3D">
            <w:pPr>
              <w:numPr>
                <w:ilvl w:val="0"/>
                <w:numId w:val="10"/>
              </w:num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声纹登录：整机内置的阵列麦支持在无任何外部设备的情况下，实时录制用户朗读内容，识别用户声纹并进行统一身份登录操作，登录后自动获取个人云端教学课件列表，打开教学白板软件时可跳过软件自带登录步骤。需提供有效证明材料。</w:t>
            </w:r>
          </w:p>
          <w:p w14:paraId="585AEBB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24、整机内置计算器应用，支持多项式复杂计算，对多项式进行积分、求导、多项式展开和多项式分解，支持对多项式进行绘制图像，展示绘制结果。需提供有效证明材料。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25、OPS电脑模块：采用抽拉内置式模块化电脑，抽拉内置式，PC模块可插入整机，可实现无单独接线的插拔。≥Intel i5十二代 CPU，内存≥16GB DDR4内存配置，硬盘≥512 GB SSD固态硬盘。</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26、模块化电脑采用按压式卡扣，无需工具就可拆卸电脑模块。具备标准PC防盗锁孔，传输速率≥10Gbps。</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二、随机同品牌软件功能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原厂备授课软件功能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1、支持为教师提供云存储空间，教师可在个人云空间上传存储互动课件、云教案和其他教学资源。</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2、为使用方全体教师配备个人账号，形成一体的信息化教学账号体系；根据教师账号信息将教师云空间匹配至对应学校、学科校本资源库。支持通过数字账号、微信二维码、硬件密钥方式登录教师个人账号。</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3、互动课件支持定向分享，分享者可将互 动课件、课件组推送至指定接收方账号 的云空间， 接收方可在云空间接收并打 开分享课件。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4、互动课件支持开放式云分享，分享者可 将互动课件、课件组以公开或加密的 web 链接和二维码形式进行分享， 分享 链接可设置访问有效期。</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5、AI智能备课助手：在备课场景中支持搜索课件库课件资源， 具有不少于 14.9 万份的课件资源， 支持整份课件或按照课件页插入课件中。</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6、采用备授课一体化框架设计，教师可根据教学场景自由切换类PPT界面的备课模式与触控交互教学模式，适用于教室、办公室等不同教学环境，便于教师教学使用。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7、支持PPT的原生解析，教师可将pptx课件转化为互动教学课件，支持单份导入和批量文件夹导入两种导入方式，保留pptx原文件中的文字、图片、表格等对象及动画的可编辑性，并可为课件增加互动教学元素。</w:t>
            </w:r>
            <w:r>
              <w:rPr>
                <w:rFonts w:hint="eastAsia" w:ascii="宋体" w:hAnsi="宋体" w:eastAsia="宋体" w:cs="宋体"/>
                <w:color w:val="000000"/>
                <w:kern w:val="0"/>
                <w:sz w:val="24"/>
                <w:lang w:val="en-US" w:eastAsia="zh-CN" w:bidi="ar"/>
              </w:rPr>
              <w:t>需提供有效证明材料。</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8、支持将互动课件导出为 pptx 、pdf、H5 或 web 链接。导出的课件支持在多终端进行二次编辑。</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9、课件回收站功能：按照删除时间存储已删除课件，支持用户在3天内自主或彻底删除单份/多份/全部已删除课件。</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10、具备云端静默推送下载功能，无需用户手动下载即可实现应用的在线升级，升级具有信息验证机制，确保教学秩序不受干扰。</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11、胶囊式微课功能内置于交互式课件工具中，支持快速录制胶囊式微课，微课可录制保存音频和课件的互动操作。</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12、支持至少30种应用于文本、形状、图片等课件元素的触发动画，可对动画的设置触发条件、动画声效、动画时长、动画延迟和动画方向进行自定义设置。支持对任意课件元素自定义路径动画，可自由绘制动画移动轨迹使课件元素沿轨迹路径进行移动。一个课件元素支持同时设置多组出现、消失、路径动画。</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★13、课堂互动游戏支持云储存，编辑完成的活动可一键存储至教师云空间，便于在不同课件中直接调用，无需反复编辑。需提供有效证明材料。</w:t>
            </w:r>
          </w:p>
          <w:p w14:paraId="6C3E68E5">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14、AI智能生成课堂活动：具有课堂活动智能填写功能，支持选词填空、判断对错和趣味选择三大课堂活动，输入文本后可以一键解析，自动将文本内容结构化填充至题干和正确选项，完成课堂活动的制作。需提供有效证明材料。</w:t>
            </w:r>
          </w:p>
          <w:p w14:paraId="193CBC38">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15、智能手写识别：支持将手绘形状、中英文、公式转换为规范几何图形和文字。</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三、校级校园设备运维管理平台软件功能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1、系统基于SaaS布局，应用界面采用B/S架构设计，支持学校管理员在Windows、Linux、Android、IOS等多种不同的操作系统上通过网页浏览器登录进行所有管理指令操作。</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2、系统支持多类型设备接入，集中运维。包含班班通设备、录播设备、班牌设备、校园屏显设备、学生平板设备。需提供有效证明材料。</w:t>
            </w:r>
          </w:p>
          <w:p w14:paraId="2595C4BD">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3、登录方式多样性：支持账号/密码、手机扫码登录。扫码登录：用户首次登录时绑定微信用户ID与账号的对应关系，之后即可通过微信扫一扫安全登录。</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4、详情管理：支持查看单台设备的当日开机次数、开机时间分布情况、设备已安装软件列表及使用情况、内存/硬盘占用情况、基础参数；并支持远程修改设备关联信息。</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多场景锁屏：支持一键下课锁屏、开机自动锁屏、无网络时验证身份解锁。其中“下课锁屏”功能开启后，老师授课结束后可在班班通设备上点击“下课锁屏”按钮即可锁屏，保证班班通设备的使用秩序；其中“开机自动锁屏”可根据用户实际管理习惯，灵活设置不同分组的设备，开机后自动锁屏，以便于学校不同年级间分段管理；设备锁屏后，支持无网络情况下，使用者通过手机微信扫一扫验证身份后获取唯一临时解锁密码进行解锁使用，以防止设备被学生违规使用，影响设备性能。</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领导视窗：支持同时查看7个教室的实时摄像头画面、设备屏幕画面，其中摄像头画面可直接使用班班通自带摄像头，无需额外购置，方便且实惠。单台设备巡视时，发现有违规违纪行为时，可远程发消息、发语音直接干预，也可记录备注，事后教育。支持记录所有管理员的巡视记录，方便回溯。</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7、软件静默安装：支持用户自主上传官方正版软件，经过人工封装软件后，批量将软件发送至班班通设备安装，整个安装过程完全无感，不影响正常教学。需提供有效证明材料。</w:t>
            </w:r>
          </w:p>
          <w:p w14:paraId="7328DA80">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8、弹窗AI拦截：支持一键开启全校班班通设备的不良弹窗AI拦截过滤能力，设备辅助管理软件实时监测弹出窗口，当有窗口弹出时，会自动使用“不良弹窗AI模型”判断，判断为不良弹窗时，自动拦截该窗口，以保证课堂教学稳定进行。</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冰点穿透：支持远程向已冰冻的设备发送指令、安装软件、传输大文件，设备接收到后会立即执行，并在设备正常关机时触发穿透动作，穿透完成后，设备即可永久性使用已安装软件、已传输文件、执行已接收指令，且穿透过程中无需人为解冻。需提供有效证明材料。</w:t>
            </w:r>
          </w:p>
          <w:p w14:paraId="7A95ADD9">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10、冰点还原：支持远程批量设置设备的冰冻状态；支持实时监测设备冰点存在的风险，并提供对应解决方案。</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11、数据分析：支持实时查看和导出学校设备整体使用数据，并支持精确查看具体设备数据。数据包含设备的使用时长、活跃次数、常用软件使用时长和次数、教学应用使用情况、设备健康度分析、弹窗拦截次数、老师使用班班通设备教学情况。</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12、精确管理：支持根据设备直播状态、录制状态、开关机状态进行分组管理；支持文字检索设备名称，快速定位对应设备进行定向精准管理。并支持查看单设备的直播状态、录制状态、CPU占用情况、磁盘空间情况、内存情况、网络速度。</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FF2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375F">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702FA861">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7F7B">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24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27A7">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视频展台</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21AF36B1">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1、采用≥800万像素摄像头。</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2、A4大小拍摄幅面，1080P动态视频预览达到30帧/秒。</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3、整机采用圆弧式设计，无锐角；托板可承重3kg，同时托板采用磁吸吸附式机构。</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4、展示托板正上方具备LED补光灯补光灯开关采用触摸按键设计，同时可通过视频展台软件直接控制开关。</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5、摄像头支持自动对焦。</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6、支持展台画面实时批注，预设多种笔划粗细及颜色供选择，且支持对展台画面联同批注内容进行同步缩放、移动。</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7、二维码扫码：打开扫一扫功能后，将书本上的二维码放入扫描框内即可自动扫描，并进入系统浏览器获取二维码的链接内容，可获取电子教学资源。</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8、支持故障自动检测，在软件无法出现展台拍摄画面时，自动出现检测链接，检测“无画面”的原因，并给出引导性解决方案。可判断硬件连接、显卡驱动、摄像头占用、软件版本等问题。</w:t>
            </w:r>
            <w:r>
              <w:rPr>
                <w:rFonts w:hint="eastAsia" w:ascii="宋体" w:hAnsi="宋体" w:eastAsia="宋体" w:cs="宋体"/>
                <w:color w:val="000000"/>
                <w:kern w:val="0"/>
                <w:sz w:val="24"/>
                <w:lang w:bidi="ar"/>
              </w:rPr>
              <w:br w:type="textWrapping"/>
            </w:r>
            <w:r>
              <w:rPr>
                <w:rFonts w:hint="eastAsia" w:ascii="宋体" w:hAnsi="宋体" w:eastAsia="宋体" w:cs="宋体"/>
                <w:color w:val="000000"/>
                <w:kern w:val="0"/>
                <w:sz w:val="24"/>
                <w:lang w:bidi="ar"/>
              </w:rPr>
              <w:t>9、为保证兼容性及稳定性，视频展台需与智慧黑板为同一品牌厂家。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40A5">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33E3">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56E448D7">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FEB2">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25</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BF48E62">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课堂智能反馈系统</w:t>
            </w:r>
          </w:p>
        </w:tc>
        <w:tc>
          <w:tcPr>
            <w:tcW w:w="6060" w:type="dxa"/>
            <w:tcBorders>
              <w:top w:val="single" w:color="auto" w:sz="4" w:space="0"/>
              <w:left w:val="single" w:color="auto" w:sz="4" w:space="0"/>
              <w:bottom w:val="single" w:color="auto" w:sz="4" w:space="0"/>
              <w:right w:val="single" w:color="auto" w:sz="4" w:space="0"/>
            </w:tcBorders>
            <w:shd w:val="clear" w:color="auto" w:fill="auto"/>
          </w:tcPr>
          <w:p w14:paraId="720D0F14">
            <w:pPr>
              <w:numPr>
                <w:ilvl w:val="0"/>
                <w:numId w:val="11"/>
              </w:numPr>
              <w:jc w:val="left"/>
              <w:textAlignment w:val="top"/>
              <w:rPr>
                <w:rFonts w:ascii="宋体" w:hAnsi="宋体" w:eastAsia="宋体" w:cs="宋体"/>
                <w:color w:val="000000"/>
                <w:kern w:val="0"/>
                <w:sz w:val="24"/>
                <w:lang w:bidi="ar"/>
              </w:rPr>
            </w:pPr>
            <w:r>
              <w:rPr>
                <w:rFonts w:hint="eastAsia" w:ascii="宋体" w:hAnsi="宋体" w:eastAsia="宋体" w:cs="宋体"/>
                <w:color w:val="000000"/>
                <w:sz w:val="24"/>
              </w:rPr>
              <w:t>系统支持对师生互动行为，进行2D还原重建，并标识对应学生的头像及互动情况。</w:t>
            </w:r>
            <w:r>
              <w:rPr>
                <w:rFonts w:hint="eastAsia" w:ascii="宋体" w:hAnsi="宋体" w:eastAsia="宋体" w:cs="宋体"/>
                <w:color w:val="000000"/>
                <w:sz w:val="24"/>
              </w:rPr>
              <w:br w:type="textWrapping"/>
            </w:r>
            <w:r>
              <w:rPr>
                <w:rFonts w:hint="eastAsia" w:ascii="宋体" w:hAnsi="宋体" w:eastAsia="宋体" w:cs="宋体"/>
                <w:color w:val="000000"/>
                <w:sz w:val="24"/>
              </w:rPr>
              <w:t>2、系统支持对教室环境的3D还原重建，形成桌椅、讲台、一体机的真实环境建模，采集到的师生互动行为自动对应到具体课桌位置；支持正前方、左前方、右前方、左后方、右后方5种视角转换。</w:t>
            </w:r>
            <w:r>
              <w:rPr>
                <w:rFonts w:hint="eastAsia" w:ascii="宋体" w:hAnsi="宋体" w:eastAsia="宋体" w:cs="宋体"/>
                <w:color w:val="000000"/>
                <w:sz w:val="24"/>
              </w:rPr>
              <w:br w:type="textWrapping"/>
            </w:r>
            <w:r>
              <w:rPr>
                <w:rFonts w:hint="eastAsia" w:ascii="宋体" w:hAnsi="宋体" w:eastAsia="宋体" w:cs="宋体"/>
                <w:color w:val="000000"/>
                <w:sz w:val="24"/>
              </w:rPr>
              <w:t>3、在2D/3D课堂孪生界面中，通过颜色深浅表示学生参与互动的活跃程度，基于学生上台次数、举手次数、问答次数计算学生活跃程度，颜色越深则代表越活跃。需</w:t>
            </w:r>
            <w:r>
              <w:rPr>
                <w:rFonts w:hint="eastAsia" w:ascii="宋体" w:hAnsi="宋体" w:eastAsia="宋体" w:cs="宋体"/>
                <w:color w:val="000000"/>
                <w:kern w:val="0"/>
                <w:sz w:val="24"/>
                <w:lang w:bidi="ar"/>
              </w:rPr>
              <w:t>提供有效证明材料。</w:t>
            </w:r>
          </w:p>
          <w:p w14:paraId="1725A3D6">
            <w:pPr>
              <w:numPr>
                <w:ilvl w:val="0"/>
                <w:numId w:val="12"/>
              </w:numPr>
              <w:jc w:val="left"/>
              <w:textAlignment w:val="top"/>
              <w:rPr>
                <w:rFonts w:ascii="宋体" w:hAnsi="宋体" w:eastAsia="宋体" w:cs="宋体"/>
                <w:color w:val="000000"/>
                <w:kern w:val="0"/>
                <w:sz w:val="24"/>
                <w:lang w:bidi="ar"/>
              </w:rPr>
            </w:pPr>
            <w:r>
              <w:rPr>
                <w:rFonts w:hint="eastAsia" w:ascii="宋体" w:hAnsi="宋体" w:eastAsia="宋体" w:cs="宋体"/>
                <w:color w:val="000000"/>
                <w:sz w:val="24"/>
              </w:rPr>
              <w:t>在2D/3D课堂孪生界面中，支持点击课堂活跃热力图中的学生头像，查看该学生的师生互动视频片段，统计该学生在本节课的上台互动、举手次数、问答次数。需</w:t>
            </w:r>
            <w:r>
              <w:rPr>
                <w:rFonts w:hint="eastAsia" w:ascii="宋体" w:hAnsi="宋体" w:eastAsia="宋体" w:cs="宋体"/>
                <w:color w:val="000000"/>
                <w:kern w:val="0"/>
                <w:sz w:val="24"/>
                <w:lang w:bidi="ar"/>
              </w:rPr>
              <w:t>提供有效证明材料。</w:t>
            </w:r>
          </w:p>
          <w:p w14:paraId="1F7AC210">
            <w:pPr>
              <w:numPr>
                <w:ilvl w:val="0"/>
                <w:numId w:val="12"/>
              </w:numPr>
              <w:jc w:val="left"/>
              <w:textAlignment w:val="top"/>
              <w:rPr>
                <w:rFonts w:ascii="宋体" w:hAnsi="宋体" w:eastAsia="宋体" w:cs="宋体"/>
                <w:color w:val="000000"/>
                <w:kern w:val="0"/>
                <w:sz w:val="24"/>
                <w:lang w:bidi="ar"/>
              </w:rPr>
            </w:pPr>
            <w:r>
              <w:rPr>
                <w:rFonts w:hint="eastAsia" w:ascii="宋体" w:hAnsi="宋体" w:eastAsia="宋体" w:cs="宋体"/>
                <w:color w:val="000000"/>
                <w:sz w:val="24"/>
              </w:rPr>
              <w:t>在2D/3D课堂孪生界面中，支持在地面上显示教师的巡堂轨迹，颜色越深代表停留时间越长，需</w:t>
            </w:r>
            <w:r>
              <w:rPr>
                <w:rFonts w:hint="eastAsia" w:ascii="宋体" w:hAnsi="宋体" w:eastAsia="宋体" w:cs="宋体"/>
                <w:color w:val="000000"/>
                <w:kern w:val="0"/>
                <w:sz w:val="24"/>
                <w:lang w:bidi="ar"/>
              </w:rPr>
              <w:t>提供有效证明材料。</w:t>
            </w:r>
          </w:p>
          <w:p w14:paraId="327F422A">
            <w:pPr>
              <w:numPr>
                <w:ilvl w:val="0"/>
                <w:numId w:val="13"/>
              </w:numPr>
              <w:jc w:val="left"/>
              <w:textAlignment w:val="top"/>
              <w:rPr>
                <w:rFonts w:ascii="宋体" w:hAnsi="宋体" w:eastAsia="宋体" w:cs="宋体"/>
                <w:color w:val="000000"/>
                <w:kern w:val="0"/>
                <w:sz w:val="24"/>
                <w:lang w:bidi="ar"/>
              </w:rPr>
            </w:pPr>
            <w:r>
              <w:rPr>
                <w:rFonts w:hint="eastAsia" w:ascii="宋体" w:hAnsi="宋体" w:eastAsia="宋体" w:cs="宋体"/>
                <w:color w:val="000000"/>
                <w:sz w:val="24"/>
              </w:rPr>
              <w:t>系统依据采集到的音视频数据，自动生成课程总览、师生对话、课堂互动三个维度的课堂反馈建议，可查看课程知识点、符合知识性目标的提问、不合适的提问、提问优化建议、所有提问、课堂互动评价、课堂互动建议。</w:t>
            </w:r>
            <w:r>
              <w:rPr>
                <w:rFonts w:hint="eastAsia" w:ascii="宋体" w:hAnsi="宋体" w:eastAsia="宋体" w:cs="宋体"/>
                <w:color w:val="000000"/>
                <w:sz w:val="24"/>
              </w:rPr>
              <w:br w:type="textWrapping"/>
            </w:r>
            <w:r>
              <w:rPr>
                <w:rFonts w:hint="eastAsia" w:ascii="宋体" w:hAnsi="宋体" w:eastAsia="宋体" w:cs="宋体"/>
                <w:color w:val="000000"/>
                <w:sz w:val="24"/>
              </w:rPr>
              <w:t>7、系统根据教学内容，基于教学环节、教学任务、教学行为三个特征，形成用户教学流程分布执行情况，支持以进度样式展示，展示不同课堂行为环节的开展情况。</w:t>
            </w:r>
            <w:r>
              <w:rPr>
                <w:rFonts w:hint="eastAsia" w:ascii="宋体" w:hAnsi="宋体" w:eastAsia="宋体" w:cs="宋体"/>
                <w:color w:val="000000"/>
                <w:sz w:val="24"/>
              </w:rPr>
              <w:br w:type="textWrapping"/>
            </w:r>
            <w:r>
              <w:rPr>
                <w:rFonts w:hint="eastAsia" w:ascii="宋体" w:hAnsi="宋体" w:eastAsia="宋体" w:cs="宋体"/>
                <w:color w:val="000000"/>
                <w:sz w:val="24"/>
              </w:rPr>
              <w:t>8、系统支持统计课程时长、课堂中教师讲授时长、教师讲授字数、教师授课平均语速。</w:t>
            </w:r>
            <w:r>
              <w:rPr>
                <w:rFonts w:hint="eastAsia" w:ascii="宋体" w:hAnsi="宋体" w:eastAsia="宋体" w:cs="宋体"/>
                <w:color w:val="000000"/>
                <w:sz w:val="24"/>
              </w:rPr>
              <w:br w:type="textWrapping"/>
            </w:r>
            <w:r>
              <w:rPr>
                <w:rFonts w:hint="eastAsia" w:ascii="宋体" w:hAnsi="宋体" w:eastAsia="宋体" w:cs="宋体"/>
                <w:color w:val="000000"/>
                <w:sz w:val="24"/>
              </w:rPr>
              <w:t>9、系统自动统计教师授课、师生互动、小组讨论、课堂练习的时间分布情况，支持按照时序图样式、和饼图样式展示，展示不同课堂行为发生的顺序、时长。</w:t>
            </w:r>
            <w:r>
              <w:rPr>
                <w:rFonts w:hint="eastAsia" w:ascii="宋体" w:hAnsi="宋体" w:eastAsia="宋体" w:cs="宋体"/>
                <w:color w:val="000000"/>
                <w:sz w:val="24"/>
              </w:rPr>
              <w:br w:type="textWrapping"/>
            </w:r>
            <w:r>
              <w:rPr>
                <w:rFonts w:hint="eastAsia" w:ascii="宋体" w:hAnsi="宋体" w:eastAsia="宋体" w:cs="宋体"/>
                <w:color w:val="000000"/>
                <w:sz w:val="24"/>
              </w:rPr>
              <w:t>10、系统将课堂中老师和学生的声音转写为文字，按照前后文自动切割为不同的片段；片段支持展开查看详细文字，支持跳转到文字段落对应的视频片段。</w:t>
            </w:r>
            <w:r>
              <w:rPr>
                <w:rFonts w:hint="eastAsia" w:ascii="宋体" w:hAnsi="宋体" w:eastAsia="宋体" w:cs="宋体"/>
                <w:color w:val="000000"/>
                <w:sz w:val="24"/>
              </w:rPr>
              <w:br w:type="textWrapping"/>
            </w:r>
            <w:r>
              <w:rPr>
                <w:rFonts w:hint="eastAsia" w:ascii="宋体" w:hAnsi="宋体" w:eastAsia="宋体" w:cs="宋体"/>
                <w:color w:val="000000"/>
                <w:sz w:val="24"/>
              </w:rPr>
              <w:t xml:space="preserve"> 11、系统支持对语音转写中的师生问答进行自动识别，所有的提问自动高亮显示，支持将识别出的问答实录一键导出为云文档。</w:t>
            </w:r>
            <w:r>
              <w:rPr>
                <w:rFonts w:hint="eastAsia" w:ascii="宋体" w:hAnsi="宋体" w:eastAsia="宋体" w:cs="宋体"/>
                <w:color w:val="000000"/>
                <w:sz w:val="24"/>
              </w:rPr>
              <w:br w:type="textWrapping"/>
            </w:r>
            <w:r>
              <w:rPr>
                <w:rFonts w:hint="eastAsia" w:ascii="宋体" w:hAnsi="宋体" w:eastAsia="宋体" w:cs="宋体"/>
                <w:color w:val="000000"/>
                <w:sz w:val="24"/>
              </w:rPr>
              <w:t>12、系统支持对课堂提问总数、核心提问、学生应答、教师理答数量进行统计，通过圆环图呈现。</w:t>
            </w:r>
            <w:r>
              <w:rPr>
                <w:rFonts w:hint="eastAsia" w:ascii="宋体" w:hAnsi="宋体" w:eastAsia="宋体" w:cs="宋体"/>
                <w:color w:val="000000"/>
                <w:sz w:val="24"/>
              </w:rPr>
              <w:br w:type="textWrapping"/>
            </w:r>
            <w:r>
              <w:rPr>
                <w:rFonts w:hint="eastAsia" w:ascii="宋体" w:hAnsi="宋体" w:eastAsia="宋体" w:cs="宋体"/>
                <w:color w:val="000000"/>
                <w:sz w:val="24"/>
              </w:rPr>
              <w:t xml:space="preserve"> 13、系统支持对识别出的文字进行手动校准，支持修改说话人角色，新增或删除对话内容。</w:t>
            </w:r>
            <w:r>
              <w:rPr>
                <w:rFonts w:hint="eastAsia" w:ascii="宋体" w:hAnsi="宋体" w:eastAsia="宋体" w:cs="宋体"/>
                <w:color w:val="000000"/>
                <w:sz w:val="24"/>
              </w:rPr>
              <w:br w:type="textWrapping"/>
            </w:r>
            <w:r>
              <w:rPr>
                <w:rFonts w:hint="eastAsia" w:ascii="宋体" w:hAnsi="宋体" w:eastAsia="宋体" w:cs="宋体"/>
                <w:color w:val="000000"/>
                <w:sz w:val="24"/>
              </w:rPr>
              <w:t xml:space="preserve"> 14、系统支持自动识别问题分类，按照布鲁姆提问类型，分为记忆型、理解型、应用型、分析型、评价型、创造型。点击各个类型会自动打开到相应的课堂实录视频片段窗口，显示对应文字明细，文字明细会按师生角色区分，并自动进行分段分句。</w:t>
            </w:r>
            <w:r>
              <w:rPr>
                <w:rFonts w:hint="eastAsia" w:ascii="宋体" w:hAnsi="宋体" w:eastAsia="宋体" w:cs="宋体"/>
                <w:color w:val="000000"/>
                <w:sz w:val="24"/>
              </w:rPr>
              <w:br w:type="textWrapping"/>
            </w:r>
            <w:r>
              <w:rPr>
                <w:rFonts w:hint="eastAsia" w:ascii="宋体" w:hAnsi="宋体" w:eastAsia="宋体" w:cs="宋体"/>
                <w:color w:val="000000"/>
                <w:sz w:val="24"/>
              </w:rPr>
              <w:t>15、系统支持自动识别问题分类，可按照4MAT（四何类型）识别，分为是何、为何、如何、若何。点击各个类型会自动打开到相应的课堂实录视频片段窗口，显示对应文字明细，文字明细会按师生角色区分，并自动进行分段分句。</w:t>
            </w:r>
            <w:r>
              <w:rPr>
                <w:rFonts w:hint="eastAsia" w:ascii="宋体" w:hAnsi="宋体" w:eastAsia="宋体" w:cs="宋体"/>
                <w:color w:val="000000"/>
                <w:sz w:val="24"/>
              </w:rPr>
              <w:br w:type="textWrapping"/>
            </w:r>
            <w:r>
              <w:rPr>
                <w:rFonts w:hint="eastAsia" w:ascii="宋体" w:hAnsi="宋体" w:eastAsia="宋体" w:cs="宋体"/>
                <w:color w:val="000000"/>
                <w:sz w:val="24"/>
              </w:rPr>
              <w:t>16、系统支持自动识别教师理答分类，可识别为简单肯定、针对肯定、激励、直接否定、重复问题或学生答案。点击各个类型会自动打开到相应的课堂实录视频片段窗口，显示对应文字明细，文字明细会按师生角色区分，并自动进行分段分句。</w:t>
            </w:r>
            <w:r>
              <w:rPr>
                <w:rFonts w:hint="eastAsia" w:ascii="宋体" w:hAnsi="宋体" w:eastAsia="宋体" w:cs="宋体"/>
                <w:color w:val="000000"/>
                <w:sz w:val="24"/>
              </w:rPr>
              <w:br w:type="textWrapping"/>
            </w:r>
            <w:r>
              <w:rPr>
                <w:rFonts w:hint="eastAsia" w:ascii="宋体" w:hAnsi="宋体" w:eastAsia="宋体" w:cs="宋体"/>
                <w:color w:val="000000"/>
                <w:sz w:val="24"/>
              </w:rPr>
              <w:t>17、系统自动对课堂按照教学内容进行切片划分，支持显示片段的标题和内容小结，支持查看不同片段的视频和课堂对话文字明细，文字明细会按师生角色区分，并自动进行分段分句。</w:t>
            </w:r>
            <w:r>
              <w:rPr>
                <w:rFonts w:hint="eastAsia" w:ascii="宋体" w:hAnsi="宋体" w:eastAsia="宋体" w:cs="宋体"/>
                <w:color w:val="000000"/>
                <w:sz w:val="24"/>
              </w:rPr>
              <w:br w:type="textWrapping"/>
            </w:r>
            <w:r>
              <w:rPr>
                <w:rFonts w:hint="eastAsia" w:ascii="宋体" w:hAnsi="宋体" w:eastAsia="宋体" w:cs="宋体"/>
                <w:color w:val="000000"/>
                <w:sz w:val="24"/>
              </w:rPr>
              <w:t>18、系统支持自动识别问题分类，按常规问答型、追问型、思考再答型、无响应进行分类统计，通过饼图表呈现。</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6B81E0EE">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E492D">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2</w:t>
            </w:r>
          </w:p>
        </w:tc>
      </w:tr>
      <w:tr w14:paraId="065CA26B">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AF38">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26</w:t>
            </w:r>
          </w:p>
        </w:tc>
        <w:tc>
          <w:tcPr>
            <w:tcW w:w="1470" w:type="dxa"/>
            <w:tcBorders>
              <w:top w:val="nil"/>
              <w:left w:val="single" w:color="auto" w:sz="4" w:space="0"/>
              <w:bottom w:val="single" w:color="auto" w:sz="4" w:space="0"/>
              <w:right w:val="single" w:color="auto" w:sz="4" w:space="0"/>
            </w:tcBorders>
            <w:shd w:val="clear" w:color="auto" w:fill="auto"/>
            <w:vAlign w:val="center"/>
          </w:tcPr>
          <w:p w14:paraId="33079683">
            <w:pPr>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sz w:val="24"/>
              </w:rPr>
              <w:t>AI算力模块</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智能分析终端</w:t>
            </w:r>
            <w:r>
              <w:rPr>
                <w:rFonts w:hint="eastAsia" w:ascii="宋体" w:hAnsi="宋体" w:eastAsia="宋体" w:cs="宋体"/>
                <w:color w:val="000000"/>
                <w:sz w:val="24"/>
                <w:lang w:eastAsia="zh-CN"/>
              </w:rPr>
              <w:t>）</w:t>
            </w:r>
          </w:p>
        </w:tc>
        <w:tc>
          <w:tcPr>
            <w:tcW w:w="6060" w:type="dxa"/>
            <w:tcBorders>
              <w:top w:val="nil"/>
              <w:left w:val="single" w:color="auto" w:sz="4" w:space="0"/>
              <w:bottom w:val="single" w:color="auto" w:sz="4" w:space="0"/>
              <w:right w:val="single" w:color="auto" w:sz="4" w:space="0"/>
            </w:tcBorders>
            <w:shd w:val="clear" w:color="auto" w:fill="auto"/>
          </w:tcPr>
          <w:p w14:paraId="6DA199D6">
            <w:pPr>
              <w:jc w:val="left"/>
              <w:textAlignment w:val="top"/>
              <w:rPr>
                <w:rFonts w:ascii="宋体" w:hAnsi="宋体" w:eastAsia="宋体" w:cs="宋体"/>
                <w:color w:val="000000"/>
                <w:sz w:val="24"/>
              </w:rPr>
            </w:pPr>
            <w:r>
              <w:rPr>
                <w:rFonts w:hint="eastAsia" w:ascii="宋体" w:hAnsi="宋体" w:eastAsia="宋体" w:cs="宋体"/>
                <w:color w:val="000000"/>
                <w:sz w:val="24"/>
              </w:rPr>
              <w:t>一、配置要求：</w:t>
            </w:r>
            <w:r>
              <w:rPr>
                <w:rFonts w:hint="eastAsia" w:ascii="宋体" w:hAnsi="宋体" w:eastAsia="宋体" w:cs="宋体"/>
                <w:color w:val="000000"/>
                <w:sz w:val="24"/>
              </w:rPr>
              <w:br w:type="textWrapping"/>
            </w:r>
            <w:r>
              <w:rPr>
                <w:rFonts w:hint="eastAsia" w:ascii="宋体" w:hAnsi="宋体" w:eastAsia="宋体" w:cs="宋体"/>
                <w:color w:val="000000"/>
                <w:sz w:val="24"/>
              </w:rPr>
              <w:t>1、正面采用铝合金外壳设计，外部无任何可见内部功能模块连接线；采用顶部出线方式，出线接口配备线槽屏蔽盖，边缘做圆角包边防护处理。</w:t>
            </w:r>
          </w:p>
          <w:p w14:paraId="60DC6F34">
            <w:pPr>
              <w:jc w:val="left"/>
              <w:textAlignment w:val="top"/>
              <w:rPr>
                <w:rFonts w:ascii="宋体" w:hAnsi="宋体" w:eastAsia="宋体" w:cs="宋体"/>
                <w:color w:val="000000"/>
                <w:sz w:val="24"/>
              </w:rPr>
            </w:pPr>
            <w:r>
              <w:rPr>
                <w:rFonts w:hint="eastAsia" w:ascii="宋体" w:hAnsi="宋体" w:eastAsia="宋体" w:cs="宋体"/>
                <w:color w:val="000000"/>
                <w:sz w:val="24"/>
              </w:rPr>
              <w:t>2、支持壁挂式安装固定；底部配置独立按键，低功耗模式下短按可唤醒算力模块，长按实现系统重启。</w:t>
            </w:r>
          </w:p>
          <w:p w14:paraId="650B82EA">
            <w:pPr>
              <w:jc w:val="left"/>
              <w:textAlignment w:val="top"/>
              <w:rPr>
                <w:rFonts w:ascii="宋体" w:hAnsi="宋体" w:eastAsia="宋体" w:cs="宋体"/>
                <w:color w:val="000000"/>
                <w:sz w:val="24"/>
              </w:rPr>
            </w:pPr>
            <w:r>
              <w:rPr>
                <w:rFonts w:hint="eastAsia" w:ascii="宋体" w:hAnsi="宋体" w:eastAsia="宋体" w:cs="宋体"/>
                <w:color w:val="000000"/>
                <w:sz w:val="24"/>
              </w:rPr>
              <w:t>3、处理器内核不低于8核A53，主频≥2.3GHz。</w:t>
            </w:r>
          </w:p>
          <w:p w14:paraId="1C3B2586">
            <w:pPr>
              <w:jc w:val="left"/>
              <w:textAlignment w:val="top"/>
              <w:rPr>
                <w:rFonts w:ascii="宋体" w:hAnsi="宋体" w:eastAsia="宋体" w:cs="宋体"/>
                <w:color w:val="000000"/>
                <w:sz w:val="24"/>
              </w:rPr>
            </w:pPr>
            <w:r>
              <w:rPr>
                <w:rFonts w:hint="eastAsia" w:ascii="宋体" w:hAnsi="宋体" w:eastAsia="宋体" w:cs="宋体"/>
                <w:color w:val="000000"/>
                <w:sz w:val="24"/>
              </w:rPr>
              <w:t>4、操作系统版本不低于Linux 5.4；采用LPDDR4内存，内存容量≥16GB；采用SSD存储，支持TCG‑OPAL 2.0硬件加密功能，存储容量≥256GB。</w:t>
            </w:r>
          </w:p>
          <w:p w14:paraId="1B6092AF">
            <w:pPr>
              <w:jc w:val="left"/>
              <w:textAlignment w:val="top"/>
              <w:rPr>
                <w:rFonts w:ascii="宋体" w:hAnsi="宋体" w:eastAsia="宋体" w:cs="宋体"/>
                <w:color w:val="000000"/>
                <w:sz w:val="24"/>
              </w:rPr>
            </w:pPr>
            <w:r>
              <w:rPr>
                <w:rFonts w:hint="eastAsia" w:ascii="宋体" w:hAnsi="宋体" w:eastAsia="宋体" w:cs="宋体"/>
                <w:color w:val="000000"/>
                <w:sz w:val="24"/>
              </w:rPr>
              <w:t>5、采用国产AI算力芯片，INT8峰值算力不低于32TOPS；支持H.264、H.265解码格式，解码能力：32×1080P@25fps、8×4K@25fps，支持8K解码；编码能力：12×1080P@25fps、3×4K@25fps，支持8K编码；支持JPEG图片编解码：1080P@600fps，分辨率支持不低于32768*32768。</w:t>
            </w:r>
          </w:p>
          <w:p w14:paraId="532AEC25">
            <w:pPr>
              <w:jc w:val="left"/>
              <w:textAlignment w:val="top"/>
              <w:rPr>
                <w:rFonts w:ascii="宋体" w:hAnsi="宋体" w:eastAsia="宋体" w:cs="宋体"/>
                <w:color w:val="000000"/>
                <w:sz w:val="24"/>
              </w:rPr>
            </w:pPr>
            <w:r>
              <w:rPr>
                <w:rFonts w:hint="eastAsia" w:ascii="宋体" w:hAnsi="宋体" w:eastAsia="宋体" w:cs="宋体"/>
                <w:color w:val="000000"/>
                <w:sz w:val="24"/>
              </w:rPr>
              <w:t>6、存储器具备TCG‑OPAL 2.0硬件加密功能，加密不影响硬盘读写性能，保障业务数据安全；每块存储器密钥通过专属算法生成，与设备一一绑定。</w:t>
            </w:r>
          </w:p>
          <w:p w14:paraId="36D2D5D2">
            <w:pPr>
              <w:jc w:val="left"/>
              <w:textAlignment w:val="top"/>
              <w:rPr>
                <w:rFonts w:ascii="宋体" w:hAnsi="宋体" w:eastAsia="宋体" w:cs="宋体"/>
                <w:color w:val="000000"/>
                <w:sz w:val="24"/>
              </w:rPr>
            </w:pPr>
            <w:r>
              <w:rPr>
                <w:rFonts w:hint="eastAsia" w:ascii="宋体" w:hAnsi="宋体" w:eastAsia="宋体" w:cs="宋体"/>
                <w:color w:val="000000"/>
                <w:sz w:val="24"/>
              </w:rPr>
              <w:t>7、支持AC220V独立供电，整机功耗≤80W。</w:t>
            </w:r>
          </w:p>
          <w:p w14:paraId="5AF50736">
            <w:pPr>
              <w:jc w:val="left"/>
              <w:textAlignment w:val="top"/>
              <w:rPr>
                <w:rFonts w:ascii="宋体" w:hAnsi="宋体" w:eastAsia="宋体" w:cs="宋体"/>
                <w:color w:val="000000"/>
                <w:sz w:val="24"/>
              </w:rPr>
            </w:pPr>
            <w:r>
              <w:rPr>
                <w:rFonts w:hint="eastAsia" w:ascii="宋体" w:hAnsi="宋体" w:eastAsia="宋体" w:cs="宋体"/>
                <w:color w:val="000000"/>
                <w:sz w:val="24"/>
              </w:rPr>
              <w:t>8、可通过Web管理后台实现定时开关机、远程关机，支持查看设备在线运行状态。</w:t>
            </w:r>
          </w:p>
          <w:p w14:paraId="5FA0D806">
            <w:pPr>
              <w:jc w:val="left"/>
              <w:textAlignment w:val="top"/>
              <w:rPr>
                <w:rFonts w:ascii="宋体" w:hAnsi="宋体" w:eastAsia="宋体" w:cs="宋体"/>
                <w:color w:val="000000"/>
                <w:sz w:val="24"/>
              </w:rPr>
            </w:pPr>
            <w:r>
              <w:rPr>
                <w:rFonts w:hint="eastAsia" w:ascii="宋体" w:hAnsi="宋体" w:eastAsia="宋体" w:cs="宋体"/>
                <w:color w:val="000000"/>
                <w:sz w:val="24"/>
              </w:rPr>
              <w:t>二、接口要求：</w:t>
            </w:r>
          </w:p>
          <w:p w14:paraId="1BD7C99C">
            <w:pPr>
              <w:jc w:val="left"/>
              <w:textAlignment w:val="top"/>
              <w:rPr>
                <w:rFonts w:ascii="宋体" w:hAnsi="宋体" w:eastAsia="宋体" w:cs="宋体"/>
                <w:color w:val="000000"/>
                <w:sz w:val="24"/>
              </w:rPr>
            </w:pPr>
            <w:r>
              <w:rPr>
                <w:rFonts w:ascii="宋体" w:hAnsi="宋体" w:eastAsia="宋体" w:cs="宋体"/>
                <w:color w:val="000000"/>
                <w:sz w:val="24"/>
              </w:rPr>
              <w:t>1</w:t>
            </w:r>
            <w:r>
              <w:rPr>
                <w:rFonts w:hint="eastAsia" w:ascii="宋体" w:hAnsi="宋体" w:eastAsia="宋体" w:cs="宋体"/>
                <w:color w:val="000000"/>
                <w:sz w:val="24"/>
              </w:rPr>
              <w:t>、接口为设备原生内置，非外接拓展；配置不少于2路千兆以太网交换接口，一路用于接入校园外网，一路对接多媒体教学设备（一体机/智慧黑板）。</w:t>
            </w:r>
          </w:p>
          <w:p w14:paraId="637B0468">
            <w:pPr>
              <w:jc w:val="left"/>
              <w:textAlignment w:val="top"/>
              <w:rPr>
                <w:rFonts w:ascii="宋体" w:hAnsi="宋体" w:eastAsia="宋体" w:cs="宋体"/>
                <w:color w:val="000000"/>
                <w:sz w:val="24"/>
              </w:rPr>
            </w:pPr>
            <w:r>
              <w:rPr>
                <w:rFonts w:ascii="宋体" w:hAnsi="宋体" w:eastAsia="宋体" w:cs="宋体"/>
                <w:color w:val="000000"/>
                <w:sz w:val="24"/>
              </w:rPr>
              <w:t>2</w:t>
            </w:r>
            <w:r>
              <w:rPr>
                <w:rFonts w:hint="eastAsia" w:ascii="宋体" w:hAnsi="宋体" w:eastAsia="宋体" w:cs="宋体"/>
                <w:color w:val="000000"/>
                <w:sz w:val="24"/>
              </w:rPr>
              <w:t>、配置不少于3路带PoE功能的千兆以太网接口，可级联PoE网络摄像机、阵列麦克风。</w:t>
            </w:r>
          </w:p>
          <w:p w14:paraId="228DE249">
            <w:pPr>
              <w:jc w:val="left"/>
              <w:textAlignment w:val="top"/>
              <w:rPr>
                <w:rFonts w:ascii="宋体" w:hAnsi="宋体" w:eastAsia="宋体" w:cs="宋体"/>
                <w:color w:val="000000"/>
                <w:sz w:val="24"/>
              </w:rPr>
            </w:pPr>
            <w:r>
              <w:rPr>
                <w:rFonts w:ascii="宋体" w:hAnsi="宋体" w:eastAsia="宋体" w:cs="宋体"/>
                <w:color w:val="000000"/>
                <w:sz w:val="24"/>
              </w:rPr>
              <w:t>3</w:t>
            </w:r>
            <w:r>
              <w:rPr>
                <w:rFonts w:hint="eastAsia" w:ascii="宋体" w:hAnsi="宋体" w:eastAsia="宋体" w:cs="宋体"/>
                <w:color w:val="000000"/>
                <w:sz w:val="24"/>
              </w:rPr>
              <w:t>、配置不少于1路MicroSD卡接口，可通过MicroSD卡完成设备系统软件升级。</w:t>
            </w:r>
          </w:p>
          <w:p w14:paraId="17098293">
            <w:pPr>
              <w:jc w:val="left"/>
              <w:textAlignment w:val="top"/>
              <w:rPr>
                <w:rFonts w:ascii="宋体" w:hAnsi="宋体" w:eastAsia="宋体" w:cs="宋体"/>
                <w:color w:val="000000"/>
                <w:sz w:val="24"/>
              </w:rPr>
            </w:pPr>
            <w:r>
              <w:rPr>
                <w:rFonts w:ascii="宋体" w:hAnsi="宋体" w:eastAsia="宋体" w:cs="宋体"/>
                <w:color w:val="000000"/>
                <w:sz w:val="24"/>
              </w:rPr>
              <w:t>4</w:t>
            </w:r>
            <w:r>
              <w:rPr>
                <w:rFonts w:hint="eastAsia" w:ascii="宋体" w:hAnsi="宋体" w:eastAsia="宋体" w:cs="宋体"/>
                <w:color w:val="000000"/>
                <w:sz w:val="24"/>
              </w:rPr>
              <w:t>、配置不少于1路Type‑C接口，具备调试与设备控制功能。</w:t>
            </w:r>
          </w:p>
          <w:p w14:paraId="18467746">
            <w:pPr>
              <w:jc w:val="left"/>
              <w:textAlignment w:val="top"/>
              <w:rPr>
                <w:rFonts w:ascii="宋体" w:hAnsi="宋体" w:eastAsia="宋体" w:cs="宋体"/>
                <w:color w:val="000000"/>
                <w:sz w:val="24"/>
              </w:rPr>
            </w:pPr>
            <w:r>
              <w:rPr>
                <w:rFonts w:hint="eastAsia" w:ascii="宋体" w:hAnsi="宋体" w:eastAsia="宋体" w:cs="宋体"/>
                <w:color w:val="000000"/>
                <w:sz w:val="24"/>
              </w:rPr>
              <w:t>三、网络通信要求：</w:t>
            </w:r>
          </w:p>
          <w:p w14:paraId="7970E5DF">
            <w:pPr>
              <w:jc w:val="left"/>
              <w:textAlignment w:val="top"/>
              <w:rPr>
                <w:rFonts w:ascii="宋体" w:hAnsi="宋体" w:eastAsia="宋体" w:cs="宋体"/>
                <w:color w:val="000000"/>
                <w:sz w:val="24"/>
              </w:rPr>
            </w:pPr>
            <w:r>
              <w:rPr>
                <w:rFonts w:ascii="宋体" w:hAnsi="宋体" w:eastAsia="宋体" w:cs="宋体"/>
                <w:color w:val="000000"/>
                <w:sz w:val="24"/>
              </w:rPr>
              <w:t>1</w:t>
            </w:r>
            <w:r>
              <w:rPr>
                <w:rFonts w:hint="eastAsia" w:ascii="宋体" w:hAnsi="宋体" w:eastAsia="宋体" w:cs="宋体"/>
                <w:color w:val="000000"/>
                <w:sz w:val="24"/>
              </w:rPr>
              <w:t>、内置网卡，支持双网口以太网接入，实现有线网络通信。</w:t>
            </w:r>
          </w:p>
          <w:p w14:paraId="4E276C4B">
            <w:pPr>
              <w:jc w:val="left"/>
              <w:textAlignment w:val="top"/>
              <w:rPr>
                <w:rFonts w:ascii="宋体" w:hAnsi="宋体" w:eastAsia="宋体" w:cs="宋体"/>
                <w:color w:val="000000"/>
                <w:kern w:val="0"/>
                <w:sz w:val="24"/>
                <w:lang w:bidi="ar"/>
              </w:rPr>
            </w:pPr>
            <w:r>
              <w:rPr>
                <w:rFonts w:ascii="宋体" w:hAnsi="宋体" w:eastAsia="宋体" w:cs="宋体"/>
                <w:color w:val="000000"/>
                <w:sz w:val="24"/>
              </w:rPr>
              <w:t>2</w:t>
            </w:r>
            <w:r>
              <w:rPr>
                <w:rFonts w:hint="eastAsia" w:ascii="宋体" w:hAnsi="宋体" w:eastAsia="宋体" w:cs="宋体"/>
                <w:color w:val="000000"/>
                <w:sz w:val="24"/>
              </w:rPr>
              <w:t>、内置独立千兆网络交换机，保障外接多媒体教学设备（一体机/智慧黑板）与AI算力模块单元之间稳定通信。</w:t>
            </w:r>
          </w:p>
        </w:tc>
        <w:tc>
          <w:tcPr>
            <w:tcW w:w="660" w:type="dxa"/>
            <w:tcBorders>
              <w:top w:val="nil"/>
              <w:left w:val="single" w:color="auto" w:sz="4" w:space="0"/>
              <w:bottom w:val="single" w:color="auto" w:sz="4" w:space="0"/>
              <w:right w:val="single" w:color="auto" w:sz="4" w:space="0"/>
            </w:tcBorders>
            <w:shd w:val="clear" w:color="auto" w:fill="auto"/>
            <w:vAlign w:val="center"/>
          </w:tcPr>
          <w:p w14:paraId="49EA3297">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78DC">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2</w:t>
            </w:r>
          </w:p>
        </w:tc>
      </w:tr>
      <w:tr w14:paraId="279FE656">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1C9F">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27</w:t>
            </w:r>
          </w:p>
        </w:tc>
        <w:tc>
          <w:tcPr>
            <w:tcW w:w="1470" w:type="dxa"/>
            <w:tcBorders>
              <w:top w:val="nil"/>
              <w:left w:val="single" w:color="auto" w:sz="4" w:space="0"/>
              <w:bottom w:val="single" w:color="auto" w:sz="4" w:space="0"/>
              <w:right w:val="single" w:color="auto" w:sz="4" w:space="0"/>
            </w:tcBorders>
            <w:shd w:val="clear" w:color="auto" w:fill="auto"/>
            <w:vAlign w:val="center"/>
          </w:tcPr>
          <w:p w14:paraId="7C45BA12">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学生观察摄像机</w:t>
            </w:r>
          </w:p>
        </w:tc>
        <w:tc>
          <w:tcPr>
            <w:tcW w:w="6060" w:type="dxa"/>
            <w:tcBorders>
              <w:top w:val="nil"/>
              <w:left w:val="single" w:color="auto" w:sz="4" w:space="0"/>
              <w:bottom w:val="single" w:color="auto" w:sz="4" w:space="0"/>
              <w:right w:val="single" w:color="auto" w:sz="4" w:space="0"/>
            </w:tcBorders>
            <w:shd w:val="clear" w:color="auto" w:fill="auto"/>
          </w:tcPr>
          <w:p w14:paraId="199DB967">
            <w:pPr>
              <w:jc w:val="left"/>
              <w:textAlignment w:val="top"/>
              <w:rPr>
                <w:rFonts w:ascii="宋体" w:hAnsi="宋体" w:eastAsia="宋体" w:cs="宋体"/>
                <w:color w:val="000000"/>
                <w:sz w:val="24"/>
              </w:rPr>
            </w:pPr>
            <w:r>
              <w:rPr>
                <w:rFonts w:hint="eastAsia" w:ascii="宋体" w:hAnsi="宋体" w:eastAsia="宋体" w:cs="宋体"/>
                <w:color w:val="000000"/>
                <w:sz w:val="24"/>
              </w:rPr>
              <w:t>1、采用一体化设计，内置不少于5路摄像头及8阵列麦克风；支持POE、DC 12V直流两种供电方式。</w:t>
            </w:r>
          </w:p>
          <w:p w14:paraId="5530F581">
            <w:pPr>
              <w:jc w:val="left"/>
              <w:textAlignment w:val="top"/>
              <w:rPr>
                <w:rFonts w:ascii="宋体" w:hAnsi="宋体" w:eastAsia="宋体" w:cs="宋体"/>
                <w:color w:val="000000"/>
                <w:sz w:val="24"/>
              </w:rPr>
            </w:pPr>
            <w:r>
              <w:rPr>
                <w:rFonts w:hint="eastAsia" w:ascii="宋体" w:hAnsi="宋体" w:eastAsia="宋体" w:cs="宋体"/>
                <w:color w:val="000000"/>
                <w:sz w:val="24"/>
              </w:rPr>
              <w:t>2、配置≥2个工作状态LED指示灯，可分别指示音频系统工作状态、视频系统工作状态。</w:t>
            </w:r>
          </w:p>
          <w:p w14:paraId="10EE3C37">
            <w:pPr>
              <w:jc w:val="left"/>
              <w:textAlignment w:val="top"/>
              <w:rPr>
                <w:rFonts w:ascii="宋体" w:hAnsi="宋体" w:eastAsia="宋体" w:cs="宋体"/>
                <w:color w:val="000000"/>
                <w:sz w:val="24"/>
              </w:rPr>
            </w:pPr>
            <w:r>
              <w:rPr>
                <w:rFonts w:hint="eastAsia" w:ascii="宋体" w:hAnsi="宋体" w:eastAsia="宋体" w:cs="宋体"/>
                <w:color w:val="000000"/>
                <w:sz w:val="24"/>
              </w:rPr>
              <w:t>3、内置独立音频CPU处理器，音频采集可拆分输出2路音频信号，一路用于课堂回放录制，一路用于AI语音分析处理；支持音频3A算法，包含自动增益控制（AGC）、自动噪声抑制（ANC），提升麦克风拾音效果。</w:t>
            </w:r>
          </w:p>
          <w:p w14:paraId="2FCA8EFC">
            <w:pPr>
              <w:jc w:val="left"/>
              <w:textAlignment w:val="top"/>
              <w:rPr>
                <w:rFonts w:ascii="宋体" w:hAnsi="宋体" w:eastAsia="宋体" w:cs="宋体"/>
                <w:color w:val="000000"/>
                <w:kern w:val="0"/>
                <w:sz w:val="24"/>
                <w:lang w:bidi="ar"/>
              </w:rPr>
            </w:pPr>
            <w:r>
              <w:rPr>
                <w:rFonts w:hint="eastAsia" w:ascii="宋体" w:hAnsi="宋体" w:eastAsia="宋体" w:cs="宋体"/>
                <w:color w:val="000000"/>
                <w:sz w:val="24"/>
              </w:rPr>
              <w:t>4、摄像头采用一体化集成设计，摄像头数量≥5个；像素配置：1路≥800万像素，4路≥1300万像素；全部摄像头支持3D降噪算法、数字宽动态WDR成像技术，视频支持H.264编码格式输出。</w:t>
            </w:r>
          </w:p>
        </w:tc>
        <w:tc>
          <w:tcPr>
            <w:tcW w:w="660" w:type="dxa"/>
            <w:tcBorders>
              <w:top w:val="nil"/>
              <w:left w:val="single" w:color="auto" w:sz="4" w:space="0"/>
              <w:bottom w:val="single" w:color="auto" w:sz="4" w:space="0"/>
              <w:right w:val="single" w:color="auto" w:sz="4" w:space="0"/>
            </w:tcBorders>
            <w:shd w:val="clear" w:color="auto" w:fill="auto"/>
            <w:vAlign w:val="center"/>
          </w:tcPr>
          <w:p w14:paraId="0F724DBB">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BC09">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2</w:t>
            </w:r>
          </w:p>
        </w:tc>
      </w:tr>
      <w:tr w14:paraId="73A957CB">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067E">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28</w:t>
            </w:r>
          </w:p>
        </w:tc>
        <w:tc>
          <w:tcPr>
            <w:tcW w:w="1470" w:type="dxa"/>
            <w:tcBorders>
              <w:top w:val="nil"/>
              <w:left w:val="single" w:color="auto" w:sz="4" w:space="0"/>
              <w:bottom w:val="single" w:color="auto" w:sz="4" w:space="0"/>
              <w:right w:val="single" w:color="auto" w:sz="4" w:space="0"/>
            </w:tcBorders>
            <w:shd w:val="clear" w:color="auto" w:fill="auto"/>
            <w:vAlign w:val="center"/>
          </w:tcPr>
          <w:p w14:paraId="4D1B3222">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教师观察摄像机</w:t>
            </w:r>
          </w:p>
        </w:tc>
        <w:tc>
          <w:tcPr>
            <w:tcW w:w="6060" w:type="dxa"/>
            <w:tcBorders>
              <w:top w:val="nil"/>
              <w:left w:val="single" w:color="auto" w:sz="4" w:space="0"/>
              <w:bottom w:val="single" w:color="auto" w:sz="4" w:space="0"/>
              <w:right w:val="single" w:color="auto" w:sz="4" w:space="0"/>
            </w:tcBorders>
            <w:shd w:val="clear" w:color="auto" w:fill="auto"/>
          </w:tcPr>
          <w:p w14:paraId="0EE8A2B9">
            <w:pPr>
              <w:jc w:val="left"/>
              <w:textAlignment w:val="top"/>
              <w:rPr>
                <w:rFonts w:ascii="宋体" w:hAnsi="宋体" w:eastAsia="宋体" w:cs="宋体"/>
                <w:color w:val="000000"/>
                <w:sz w:val="24"/>
              </w:rPr>
            </w:pPr>
            <w:r>
              <w:rPr>
                <w:rFonts w:hint="eastAsia" w:ascii="宋体" w:hAnsi="宋体" w:eastAsia="宋体" w:cs="宋体"/>
                <w:color w:val="000000"/>
                <w:sz w:val="24"/>
              </w:rPr>
              <w:t>1、采用一体化设计，内置4K摄像头。</w:t>
            </w:r>
          </w:p>
          <w:p w14:paraId="775EA06A">
            <w:pPr>
              <w:jc w:val="left"/>
              <w:textAlignment w:val="top"/>
              <w:rPr>
                <w:rFonts w:ascii="宋体" w:hAnsi="宋体" w:eastAsia="宋体" w:cs="宋体"/>
                <w:color w:val="000000"/>
                <w:sz w:val="24"/>
              </w:rPr>
            </w:pPr>
            <w:r>
              <w:rPr>
                <w:rFonts w:hint="eastAsia" w:ascii="宋体" w:hAnsi="宋体" w:eastAsia="宋体" w:cs="宋体"/>
                <w:color w:val="000000"/>
                <w:sz w:val="24"/>
              </w:rPr>
              <w:t>2、内置四核视频处理器，搭载Linux 5.1及以上操作系统，系统内存≥512MB，存储空间≥128MB。</w:t>
            </w:r>
          </w:p>
          <w:p w14:paraId="4C011EE2">
            <w:pPr>
              <w:jc w:val="left"/>
              <w:textAlignment w:val="top"/>
              <w:rPr>
                <w:rFonts w:ascii="宋体" w:hAnsi="宋体" w:eastAsia="宋体" w:cs="宋体"/>
                <w:color w:val="000000"/>
                <w:sz w:val="24"/>
              </w:rPr>
            </w:pPr>
            <w:r>
              <w:rPr>
                <w:rFonts w:hint="eastAsia" w:ascii="宋体" w:hAnsi="宋体" w:eastAsia="宋体" w:cs="宋体"/>
                <w:color w:val="000000"/>
                <w:sz w:val="24"/>
              </w:rPr>
              <w:t>3、无需连接外网，支持对课堂教师板书、人体画面进行分层处理；输出视频可实现教师身体遮挡区域的板书透视可见，保障教学板书完整可视化呈现。</w:t>
            </w:r>
          </w:p>
          <w:p w14:paraId="271CCA4A">
            <w:pPr>
              <w:jc w:val="left"/>
              <w:textAlignment w:val="top"/>
              <w:rPr>
                <w:rFonts w:ascii="宋体" w:hAnsi="宋体" w:eastAsia="宋体" w:cs="宋体"/>
                <w:color w:val="000000"/>
                <w:kern w:val="0"/>
                <w:sz w:val="24"/>
                <w:lang w:bidi="ar"/>
              </w:rPr>
            </w:pPr>
            <w:r>
              <w:rPr>
                <w:rFonts w:hint="eastAsia" w:ascii="宋体" w:hAnsi="宋体" w:eastAsia="宋体" w:cs="宋体"/>
                <w:color w:val="000000"/>
                <w:sz w:val="24"/>
              </w:rPr>
              <w:t>4、内置1个红绿双色指示灯，可反馈设备多种工作状态，包含上电正常状态、OTA升级状态、复位状态；设备上电正常为红色常亮，推流工作为绿色常亮，OTA升级过程为绿色闪烁。</w:t>
            </w:r>
          </w:p>
        </w:tc>
        <w:tc>
          <w:tcPr>
            <w:tcW w:w="660" w:type="dxa"/>
            <w:tcBorders>
              <w:top w:val="nil"/>
              <w:left w:val="single" w:color="auto" w:sz="4" w:space="0"/>
              <w:bottom w:val="single" w:color="auto" w:sz="4" w:space="0"/>
              <w:right w:val="single" w:color="auto" w:sz="4" w:space="0"/>
            </w:tcBorders>
            <w:shd w:val="clear" w:color="auto" w:fill="auto"/>
            <w:vAlign w:val="center"/>
          </w:tcPr>
          <w:p w14:paraId="00DEAA38">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4CD5">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2</w:t>
            </w:r>
          </w:p>
        </w:tc>
      </w:tr>
      <w:tr w14:paraId="31E2B50C">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00F7">
            <w:pPr>
              <w:jc w:val="center"/>
              <w:textAlignment w:val="center"/>
              <w:rPr>
                <w:rFonts w:ascii="宋体" w:hAnsi="宋体" w:eastAsia="宋体" w:cs="宋体"/>
                <w:color w:val="000000"/>
                <w:kern w:val="0"/>
                <w:sz w:val="24"/>
                <w:lang w:bidi="ar"/>
              </w:rPr>
            </w:pPr>
            <w:r>
              <w:rPr>
                <w:rFonts w:ascii="宋体" w:hAnsi="宋体" w:eastAsia="宋体" w:cs="宋体"/>
                <w:color w:val="000000"/>
                <w:kern w:val="0"/>
                <w:sz w:val="24"/>
                <w:lang w:bidi="ar"/>
              </w:rPr>
              <w:t>29</w:t>
            </w:r>
          </w:p>
        </w:tc>
        <w:tc>
          <w:tcPr>
            <w:tcW w:w="1470" w:type="dxa"/>
            <w:tcBorders>
              <w:top w:val="nil"/>
              <w:left w:val="single" w:color="auto" w:sz="4" w:space="0"/>
              <w:bottom w:val="single" w:color="auto" w:sz="4" w:space="0"/>
              <w:right w:val="single" w:color="auto" w:sz="4" w:space="0"/>
            </w:tcBorders>
            <w:shd w:val="clear" w:color="auto" w:fill="auto"/>
            <w:vAlign w:val="center"/>
          </w:tcPr>
          <w:p w14:paraId="703E37ED">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数字阵列麦克风</w:t>
            </w:r>
          </w:p>
        </w:tc>
        <w:tc>
          <w:tcPr>
            <w:tcW w:w="6060" w:type="dxa"/>
            <w:tcBorders>
              <w:top w:val="nil"/>
              <w:left w:val="single" w:color="auto" w:sz="4" w:space="0"/>
              <w:bottom w:val="single" w:color="auto" w:sz="4" w:space="0"/>
              <w:right w:val="single" w:color="auto" w:sz="4" w:space="0"/>
            </w:tcBorders>
            <w:shd w:val="clear" w:color="auto" w:fill="auto"/>
          </w:tcPr>
          <w:p w14:paraId="3E6D9080">
            <w:pPr>
              <w:jc w:val="left"/>
              <w:textAlignment w:val="top"/>
              <w:rPr>
                <w:rFonts w:ascii="宋体" w:hAnsi="宋体" w:eastAsia="宋体" w:cs="宋体"/>
                <w:color w:val="000000"/>
                <w:sz w:val="24"/>
              </w:rPr>
            </w:pPr>
            <w:r>
              <w:rPr>
                <w:rFonts w:hint="eastAsia" w:ascii="宋体" w:hAnsi="宋体" w:eastAsia="宋体" w:cs="宋体"/>
                <w:color w:val="000000"/>
                <w:sz w:val="24"/>
              </w:rPr>
              <w:t>1、采用一体化设计，内置不少于8个传感器单元，构成线阵列麦克风。</w:t>
            </w:r>
          </w:p>
          <w:p w14:paraId="1BD2B85E">
            <w:pPr>
              <w:jc w:val="left"/>
              <w:textAlignment w:val="top"/>
              <w:rPr>
                <w:rFonts w:ascii="宋体" w:hAnsi="宋体" w:eastAsia="宋体" w:cs="宋体"/>
                <w:color w:val="000000"/>
                <w:sz w:val="24"/>
              </w:rPr>
            </w:pPr>
            <w:r>
              <w:rPr>
                <w:rFonts w:hint="eastAsia" w:ascii="宋体" w:hAnsi="宋体" w:eastAsia="宋体" w:cs="宋体"/>
                <w:color w:val="000000"/>
                <w:sz w:val="24"/>
              </w:rPr>
              <w:t>2、阵列麦克风支持360°全向拾音，最大清晰拾音距离≥10m。</w:t>
            </w:r>
          </w:p>
          <w:p w14:paraId="30AB1FB0">
            <w:pPr>
              <w:jc w:val="left"/>
              <w:textAlignment w:val="top"/>
              <w:rPr>
                <w:rFonts w:ascii="宋体" w:hAnsi="宋体" w:eastAsia="宋体" w:cs="宋体"/>
                <w:color w:val="000000"/>
                <w:sz w:val="24"/>
              </w:rPr>
            </w:pPr>
            <w:r>
              <w:rPr>
                <w:rFonts w:hint="eastAsia" w:ascii="宋体" w:hAnsi="宋体" w:eastAsia="宋体" w:cs="宋体"/>
                <w:color w:val="000000"/>
                <w:sz w:val="24"/>
              </w:rPr>
              <w:t>3、阵列麦克风配置≥1个状态指示灯，用于展示麦克风工作状态；绿灯代表工作正常，红灯代表级联失败。</w:t>
            </w:r>
          </w:p>
          <w:p w14:paraId="249C3CF3">
            <w:pPr>
              <w:jc w:val="left"/>
              <w:textAlignment w:val="top"/>
              <w:rPr>
                <w:rFonts w:ascii="宋体" w:hAnsi="宋体" w:eastAsia="宋体" w:cs="宋体"/>
                <w:color w:val="000000"/>
                <w:sz w:val="24"/>
              </w:rPr>
            </w:pPr>
            <w:r>
              <w:rPr>
                <w:rFonts w:hint="eastAsia" w:ascii="宋体" w:hAnsi="宋体" w:eastAsia="宋体" w:cs="宋体"/>
                <w:color w:val="000000"/>
                <w:sz w:val="24"/>
              </w:rPr>
              <w:t>4、配置2路RJ45级联接口，POE‑IN支持RJ45音频输入，POE‑OUT实现网络级联与数据输出，同时由POE‑IN实现设备供电；配置1路Type‑C调试接口；配置1个红绿双色指示灯，用于显示设备工作状态。</w:t>
            </w:r>
          </w:p>
          <w:p w14:paraId="01A6598E">
            <w:pPr>
              <w:jc w:val="left"/>
              <w:textAlignment w:val="top"/>
              <w:rPr>
                <w:rFonts w:ascii="宋体" w:hAnsi="宋体" w:eastAsia="宋体" w:cs="宋体"/>
                <w:color w:val="000000"/>
                <w:kern w:val="0"/>
                <w:sz w:val="24"/>
                <w:lang w:bidi="ar"/>
              </w:rPr>
            </w:pPr>
            <w:r>
              <w:rPr>
                <w:rFonts w:hint="eastAsia" w:ascii="宋体" w:hAnsi="宋体" w:eastAsia="宋体" w:cs="宋体"/>
                <w:color w:val="000000"/>
                <w:sz w:val="24"/>
              </w:rPr>
              <w:t>5、支持POE供电，POE‑IN为本设备供电输入，POE‑OUT可对外接POE设备供电。</w:t>
            </w:r>
          </w:p>
        </w:tc>
        <w:tc>
          <w:tcPr>
            <w:tcW w:w="660" w:type="dxa"/>
            <w:tcBorders>
              <w:top w:val="nil"/>
              <w:left w:val="single" w:color="auto" w:sz="4" w:space="0"/>
              <w:bottom w:val="single" w:color="auto" w:sz="4" w:space="0"/>
              <w:right w:val="single" w:color="auto" w:sz="4" w:space="0"/>
            </w:tcBorders>
            <w:shd w:val="clear" w:color="auto" w:fill="auto"/>
            <w:vAlign w:val="center"/>
          </w:tcPr>
          <w:p w14:paraId="52205BA7">
            <w:pPr>
              <w:jc w:val="center"/>
              <w:textAlignment w:val="center"/>
              <w:rPr>
                <w:rFonts w:ascii="宋体" w:hAnsi="宋体" w:eastAsia="宋体" w:cs="宋体"/>
                <w:color w:val="000000"/>
                <w:kern w:val="0"/>
                <w:sz w:val="24"/>
                <w:lang w:bidi="ar"/>
              </w:rPr>
            </w:pPr>
            <w:r>
              <w:rPr>
                <w:rFonts w:hint="eastAsia" w:ascii="宋体" w:hAnsi="宋体" w:eastAsia="宋体" w:cs="宋体"/>
                <w:color w:val="000000"/>
                <w:sz w:val="24"/>
              </w:rPr>
              <w:t>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22C3">
            <w:pPr>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2</w:t>
            </w:r>
          </w:p>
        </w:tc>
      </w:tr>
      <w:tr w14:paraId="509963A8">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0A6A">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30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BDB7">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环境改造</w:t>
            </w:r>
          </w:p>
        </w:tc>
        <w:tc>
          <w:tcPr>
            <w:tcW w:w="6060" w:type="dxa"/>
            <w:tcBorders>
              <w:top w:val="single" w:color="000000" w:sz="4" w:space="0"/>
              <w:left w:val="single" w:color="000000" w:sz="4" w:space="0"/>
              <w:bottom w:val="single" w:color="000000" w:sz="4" w:space="0"/>
              <w:right w:val="single" w:color="000000" w:sz="4" w:space="0"/>
            </w:tcBorders>
            <w:shd w:val="clear" w:color="auto" w:fill="auto"/>
          </w:tcPr>
          <w:p w14:paraId="5E886A7D">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一、教室环境装修改造工程</w:t>
            </w:r>
          </w:p>
          <w:p w14:paraId="331CBCA8">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1、对原有顶面矿棉板、墙面吸音板进行拆除，包含建筑垃圾清运及场外处置。</w:t>
            </w:r>
          </w:p>
          <w:p w14:paraId="2091CC44">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2、墙面整体找平处理，采用木工板横向打底工艺，上下施工间距40cm；墙面铺设E0级奥松板吸音板。</w:t>
            </w:r>
          </w:p>
          <w:p w14:paraId="0F2D5E02">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3、顶面采用轻钢龙骨吊顶骨架，安装600×600抗下陷矿棉板，配套安装600×600集成平板灯。</w:t>
            </w:r>
          </w:p>
          <w:p w14:paraId="594C142F">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4、新建木工板+石膏板双层工艺窗帘盒，配套安装窗帘杆、窗帘布及全套安装调试。</w:t>
            </w:r>
          </w:p>
          <w:p w14:paraId="6C66D08A">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5、室内电路改造，全部采用国标铜线、国标阻燃线管规范敷设施工。</w:t>
            </w:r>
          </w:p>
          <w:p w14:paraId="4E7650F7">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6、安装甲级防盗门2套，门扇内侧配置软包工艺处理。</w:t>
            </w:r>
          </w:p>
          <w:p w14:paraId="742ED243">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7、施工期间对原有木地板进行成品保护，工程竣工后完成全场清洁、保洁工作。</w:t>
            </w:r>
          </w:p>
          <w:p w14:paraId="51664A4C">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二、观摩室环境装修改造工程</w:t>
            </w:r>
          </w:p>
          <w:p w14:paraId="483326D8">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1、拆除原有隔断墙体，墙面基层找平处理，全屋涂刷环保乳胶漆。</w:t>
            </w:r>
          </w:p>
          <w:p w14:paraId="42BB4F09">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2、完成室内地台骨架制作、木地板铺贴、室内联排凳子安装施工。</w:t>
            </w:r>
          </w:p>
          <w:p w14:paraId="0CE6A1DD">
            <w:pPr>
              <w:jc w:val="left"/>
              <w:textAlignment w:val="top"/>
              <w:rPr>
                <w:rFonts w:ascii="宋体" w:hAnsi="宋体" w:eastAsia="宋体" w:cs="宋体"/>
                <w:color w:val="000000"/>
                <w:kern w:val="0"/>
                <w:sz w:val="24"/>
                <w:lang w:bidi="ar"/>
              </w:rPr>
            </w:pPr>
            <w:r>
              <w:rPr>
                <w:rFonts w:hint="eastAsia" w:ascii="宋体" w:hAnsi="宋体" w:eastAsia="宋体" w:cs="宋体"/>
                <w:color w:val="000000"/>
                <w:kern w:val="0"/>
                <w:sz w:val="24"/>
                <w:lang w:bidi="ar"/>
              </w:rPr>
              <w:t>3、新建石膏板窗帘盒，配套安装窗帘及附属配件。</w:t>
            </w:r>
          </w:p>
          <w:p w14:paraId="1C344D5B">
            <w:pPr>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4、安装成品室内木门，完成区域电路改造施工，工程完工后整体保洁清理。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0B60">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352B">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r w14:paraId="095EF0AF">
        <w:tblPrEx>
          <w:tblCellMar>
            <w:top w:w="0" w:type="dxa"/>
            <w:left w:w="108" w:type="dxa"/>
            <w:bottom w:w="0" w:type="dxa"/>
            <w:right w:w="108" w:type="dxa"/>
          </w:tblCellMar>
        </w:tblPrEx>
        <w:trPr>
          <w:trHeight w:val="0" w:hRule="atLeast"/>
          <w:jc w:val="center"/>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B019">
            <w:pPr>
              <w:jc w:val="center"/>
              <w:textAlignment w:val="center"/>
              <w:rPr>
                <w:rFonts w:ascii="宋体" w:hAnsi="宋体" w:eastAsia="宋体" w:cs="宋体"/>
                <w:color w:val="000000"/>
                <w:sz w:val="24"/>
              </w:rPr>
            </w:pPr>
            <w:r>
              <w:rPr>
                <w:rFonts w:ascii="宋体" w:hAnsi="宋体" w:eastAsia="宋体" w:cs="宋体"/>
                <w:color w:val="000000"/>
                <w:kern w:val="0"/>
                <w:sz w:val="24"/>
                <w:lang w:bidi="ar"/>
              </w:rPr>
              <w:t>31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BB7B">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系统集成</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E133">
            <w:pPr>
              <w:jc w:val="left"/>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1、录播教室设备就位安装、管线布设，包含施工所需全部各类辅材；</w:t>
            </w:r>
          </w:p>
          <w:p w14:paraId="1EDCE4B9">
            <w:pPr>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2、完成整体技术调试、系统试运行，提供使用人员实操培训等全套服务。</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A32B">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项</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E969">
            <w:pPr>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w:t>
            </w:r>
          </w:p>
        </w:tc>
      </w:tr>
    </w:tbl>
    <w:p w14:paraId="3A1F2B88">
      <w:pPr>
        <w:pStyle w:val="30"/>
        <w:ind w:left="0" w:leftChars="0" w:firstLine="0" w:firstLineChars="0"/>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5E958082">
      <w:pPr>
        <w:pStyle w:val="11"/>
        <w:numPr>
          <w:ilvl w:val="0"/>
          <w:numId w:val="0"/>
        </w:numPr>
        <w:kinsoku w:val="0"/>
        <w:autoSpaceDE w:val="0"/>
        <w:autoSpaceDN w:val="0"/>
        <w:adjustRightInd w:val="0"/>
        <w:snapToGrid w:val="0"/>
        <w:spacing w:line="360" w:lineRule="auto"/>
        <w:jc w:val="left"/>
        <w:textAlignment w:val="baseline"/>
        <w:rPr>
          <w:rFonts w:hint="default"/>
          <w:lang w:val="en-US" w:eastAsia="zh-CN"/>
        </w:rPr>
      </w:pPr>
    </w:p>
    <w:p w14:paraId="3501C24E">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b/>
          <w:bCs/>
          <w:spacing w:val="-1"/>
          <w:sz w:val="24"/>
          <w:szCs w:val="24"/>
          <w:lang w:val="en-US" w:eastAsia="zh-CN"/>
        </w:rPr>
        <w:t>2.</w:t>
      </w:r>
      <w:r>
        <w:rPr>
          <w:rFonts w:hint="eastAsia" w:asciiTheme="minorEastAsia" w:hAnsiTheme="minorEastAsia" w:eastAsiaTheme="minorEastAsia" w:cstheme="minorEastAsia"/>
          <w:b/>
          <w:bCs/>
          <w:spacing w:val="-1"/>
          <w:sz w:val="24"/>
          <w:szCs w:val="24"/>
        </w:rPr>
        <w:t>核心产品</w:t>
      </w:r>
      <w:r>
        <w:rPr>
          <w:rFonts w:hint="eastAsia" w:asciiTheme="minorEastAsia" w:hAnsiTheme="minorEastAsia" w:eastAsiaTheme="minorEastAsia" w:cstheme="minorEastAsia"/>
          <w:spacing w:val="-1"/>
          <w:sz w:val="24"/>
          <w:szCs w:val="24"/>
          <w:lang w:val="en-US" w:eastAsia="zh-CN"/>
        </w:rPr>
        <w:t>:</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rPr>
        <w:t>关于核心产品本项目/包不适用。</w:t>
      </w:r>
    </w:p>
    <w:p w14:paraId="12F1442E">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rPr>
        <w:t>本项目/包为单一产品采购项目。</w:t>
      </w:r>
    </w:p>
    <w:p w14:paraId="37BCDB7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default" w:asciiTheme="minorEastAsia" w:hAnsiTheme="minorEastAsia" w:eastAsiaTheme="minorEastAsia" w:cstheme="minorEastAsia"/>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spacing w:val="-1"/>
          <w:sz w:val="24"/>
          <w:szCs w:val="24"/>
          <w:highlight w:val="none"/>
        </w:rPr>
        <w:t>本项目/包为非单一产品采购项目，核心产品为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u w:val="single"/>
          <w:lang w:val="en-US" w:eastAsia="zh-CN"/>
        </w:rPr>
        <w:t xml:space="preserve">   </w:t>
      </w:r>
      <w:r>
        <w:rPr>
          <w:rFonts w:hint="eastAsia" w:asciiTheme="minorEastAsia" w:hAnsiTheme="minorEastAsia" w:eastAsiaTheme="minorEastAsia" w:cstheme="minorEastAsia"/>
          <w:b/>
          <w:bCs/>
          <w:spacing w:val="-1"/>
          <w:sz w:val="24"/>
          <w:szCs w:val="24"/>
          <w:highlight w:val="none"/>
          <w:u w:val="single"/>
          <w:lang w:val="en-US" w:eastAsia="zh-CN"/>
        </w:rPr>
        <w:t xml:space="preserve">存储 </w:t>
      </w:r>
      <w:r>
        <w:rPr>
          <w:rFonts w:hint="eastAsia" w:asciiTheme="minorEastAsia" w:hAnsiTheme="minorEastAsia" w:eastAsiaTheme="minorEastAsia" w:cstheme="minorEastAsia"/>
          <w:spacing w:val="-1"/>
          <w:sz w:val="24"/>
          <w:szCs w:val="24"/>
          <w:highlight w:val="none"/>
          <w:u w:val="single"/>
          <w:lang w:val="en-US" w:eastAsia="zh-CN"/>
        </w:rPr>
        <w:t xml:space="preserve">    </w:t>
      </w:r>
    </w:p>
    <w:p w14:paraId="05ABE2B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6CE3051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outlineLvl w:val="2"/>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pPr>
    </w:p>
    <w:p w14:paraId="34E1033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highlight w:val="none"/>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商务要求</w:t>
      </w:r>
    </w:p>
    <w:p w14:paraId="38107F41">
      <w:pPr>
        <w:pStyle w:val="16"/>
        <w:rPr>
          <w:rFonts w:hint="eastAsia"/>
          <w:sz w:val="22"/>
          <w:szCs w:val="22"/>
          <w:highlight w:val="none"/>
        </w:rPr>
      </w:pPr>
      <w:r>
        <w:rPr>
          <w:rFonts w:hint="eastAsia"/>
          <w:sz w:val="22"/>
          <w:szCs w:val="22"/>
          <w:highlight w:val="none"/>
        </w:rPr>
        <w:t>1、交货期：合同签订后</w:t>
      </w:r>
      <w:r>
        <w:rPr>
          <w:rFonts w:hint="eastAsia"/>
          <w:sz w:val="22"/>
          <w:szCs w:val="22"/>
          <w:highlight w:val="none"/>
          <w:lang w:val="en-US" w:eastAsia="zh-CN"/>
        </w:rPr>
        <w:t>20</w:t>
      </w:r>
      <w:r>
        <w:rPr>
          <w:rFonts w:hint="eastAsia"/>
          <w:sz w:val="22"/>
          <w:szCs w:val="22"/>
          <w:highlight w:val="none"/>
        </w:rPr>
        <w:t>日历天内供货并安装调试完毕。</w:t>
      </w:r>
    </w:p>
    <w:p w14:paraId="07DAEC7F">
      <w:pPr>
        <w:pStyle w:val="16"/>
        <w:rPr>
          <w:rFonts w:hint="eastAsia"/>
          <w:sz w:val="22"/>
          <w:szCs w:val="22"/>
          <w:highlight w:val="none"/>
        </w:rPr>
      </w:pPr>
      <w:r>
        <w:rPr>
          <w:rFonts w:hint="eastAsia"/>
          <w:sz w:val="22"/>
          <w:szCs w:val="22"/>
          <w:highlight w:val="none"/>
        </w:rPr>
        <w:t>2、交货地点：采购人指定地点。</w:t>
      </w:r>
    </w:p>
    <w:p w14:paraId="58832ED1">
      <w:pPr>
        <w:pStyle w:val="16"/>
        <w:rPr>
          <w:rFonts w:hint="eastAsia"/>
          <w:sz w:val="22"/>
          <w:szCs w:val="22"/>
          <w:highlight w:val="none"/>
        </w:rPr>
      </w:pPr>
      <w:r>
        <w:rPr>
          <w:rFonts w:hint="eastAsia"/>
          <w:sz w:val="22"/>
          <w:szCs w:val="22"/>
          <w:highlight w:val="none"/>
        </w:rPr>
        <w:t>3、质量要求：合格，符合国家相关质量标准，满足采购人需求。</w:t>
      </w:r>
    </w:p>
    <w:p w14:paraId="4C88A41D">
      <w:pPr>
        <w:pStyle w:val="16"/>
        <w:rPr>
          <w:rFonts w:hint="eastAsia"/>
          <w:sz w:val="22"/>
          <w:szCs w:val="22"/>
          <w:highlight w:val="none"/>
        </w:rPr>
      </w:pPr>
      <w:r>
        <w:rPr>
          <w:rFonts w:hint="eastAsia"/>
          <w:sz w:val="22"/>
          <w:szCs w:val="22"/>
          <w:highlight w:val="none"/>
        </w:rPr>
        <w:t>4、质保期：</w:t>
      </w:r>
      <w:r>
        <w:rPr>
          <w:rFonts w:hint="eastAsia"/>
          <w:sz w:val="22"/>
          <w:szCs w:val="22"/>
          <w:highlight w:val="none"/>
          <w:lang w:eastAsia="zh-CN"/>
        </w:rPr>
        <w:t>两</w:t>
      </w:r>
      <w:r>
        <w:rPr>
          <w:rFonts w:hint="eastAsia"/>
          <w:sz w:val="22"/>
          <w:szCs w:val="22"/>
          <w:highlight w:val="none"/>
        </w:rPr>
        <w:t>年。</w:t>
      </w:r>
    </w:p>
    <w:p w14:paraId="55C75FBE">
      <w:pPr>
        <w:pStyle w:val="16"/>
        <w:rPr>
          <w:rFonts w:hint="eastAsia"/>
          <w:sz w:val="22"/>
          <w:szCs w:val="22"/>
          <w:highlight w:val="none"/>
        </w:rPr>
      </w:pPr>
      <w:r>
        <w:rPr>
          <w:rFonts w:hint="eastAsia"/>
          <w:sz w:val="22"/>
          <w:szCs w:val="22"/>
          <w:highlight w:val="none"/>
        </w:rPr>
        <w:t>5、付款方式：合同签订后</w:t>
      </w:r>
      <w:r>
        <w:rPr>
          <w:rFonts w:hint="eastAsia"/>
          <w:sz w:val="22"/>
          <w:szCs w:val="22"/>
          <w:highlight w:val="none"/>
          <w:lang w:val="en-US" w:eastAsia="zh-CN"/>
        </w:rPr>
        <w:t>20日内</w:t>
      </w:r>
      <w:r>
        <w:rPr>
          <w:rFonts w:hint="eastAsia"/>
          <w:sz w:val="22"/>
          <w:szCs w:val="22"/>
          <w:highlight w:val="none"/>
        </w:rPr>
        <w:t>供货、安装调试完成</w:t>
      </w:r>
      <w:r>
        <w:rPr>
          <w:rFonts w:hint="eastAsia" w:eastAsia="宋体"/>
          <w:sz w:val="22"/>
          <w:szCs w:val="22"/>
          <w:highlight w:val="none"/>
          <w:lang w:eastAsia="zh-CN"/>
        </w:rPr>
        <w:t>。</w:t>
      </w:r>
      <w:r>
        <w:rPr>
          <w:rFonts w:hint="eastAsia"/>
          <w:sz w:val="22"/>
          <w:szCs w:val="22"/>
          <w:highlight w:val="none"/>
        </w:rPr>
        <w:t>验收合格后</w:t>
      </w:r>
      <w:r>
        <w:rPr>
          <w:rFonts w:hint="eastAsia" w:eastAsia="宋体"/>
          <w:sz w:val="22"/>
          <w:szCs w:val="22"/>
          <w:highlight w:val="none"/>
          <w:lang w:val="en-US" w:eastAsia="zh-CN"/>
        </w:rPr>
        <w:t>30</w:t>
      </w:r>
      <w:r>
        <w:rPr>
          <w:rFonts w:hint="eastAsia"/>
          <w:sz w:val="22"/>
          <w:szCs w:val="22"/>
          <w:highlight w:val="none"/>
        </w:rPr>
        <w:t>个工作日支付合同金额。</w:t>
      </w:r>
    </w:p>
    <w:p w14:paraId="2B43EC62">
      <w:pPr>
        <w:pStyle w:val="16"/>
        <w:rPr>
          <w:rFonts w:hint="eastAsia"/>
          <w:sz w:val="22"/>
          <w:szCs w:val="22"/>
          <w:highlight w:val="none"/>
        </w:rPr>
      </w:pPr>
      <w:r>
        <w:rPr>
          <w:rFonts w:hint="eastAsia"/>
          <w:sz w:val="22"/>
          <w:szCs w:val="22"/>
          <w:highlight w:val="none"/>
        </w:rPr>
        <w:t>6、关于强制节能产品的要求。投标人所投产品如属于政府优先节能产品或环境</w:t>
      </w:r>
      <w:r>
        <w:rPr>
          <w:rFonts w:hint="eastAsia"/>
          <w:sz w:val="22"/>
          <w:szCs w:val="22"/>
          <w:highlight w:val="none"/>
          <w:lang w:val="en-US" w:eastAsia="zh-CN"/>
        </w:rPr>
        <w:t>标志</w:t>
      </w:r>
      <w:r>
        <w:rPr>
          <w:rFonts w:hint="eastAsia"/>
          <w:sz w:val="22"/>
          <w:szCs w:val="22"/>
          <w:highlight w:val="none"/>
        </w:rPr>
        <w:t>产品或无线局域网产品，应提供处于有效期之内的认证证书等相关证明，在评标时予以优先采购。</w:t>
      </w:r>
    </w:p>
    <w:p w14:paraId="5B634F0D">
      <w:pPr>
        <w:pStyle w:val="16"/>
        <w:rPr>
          <w:rFonts w:hint="eastAsia"/>
          <w:sz w:val="22"/>
          <w:szCs w:val="22"/>
          <w:highlight w:val="none"/>
        </w:rPr>
      </w:pPr>
      <w:r>
        <w:rPr>
          <w:rFonts w:hint="eastAsia"/>
          <w:sz w:val="22"/>
          <w:szCs w:val="22"/>
          <w:highlight w:val="none"/>
        </w:rPr>
        <w:t>7、验收标准及方式：</w:t>
      </w:r>
    </w:p>
    <w:p w14:paraId="5D6BC187">
      <w:pPr>
        <w:pStyle w:val="16"/>
        <w:rPr>
          <w:rFonts w:hint="default" w:eastAsia="宋体"/>
          <w:sz w:val="22"/>
          <w:szCs w:val="22"/>
          <w:highlight w:val="none"/>
          <w:lang w:val="en-US" w:eastAsia="zh-CN"/>
        </w:rPr>
      </w:pPr>
      <w:r>
        <w:rPr>
          <w:rFonts w:hint="eastAsia"/>
          <w:sz w:val="22"/>
          <w:szCs w:val="22"/>
          <w:highlight w:val="none"/>
        </w:rPr>
        <w:t>7.1 货物送达采购人指定位置后由采购人明确的专人负责对货物品种、数量、规格等进行点验、接收；交货地点</w:t>
      </w:r>
      <w:r>
        <w:rPr>
          <w:rFonts w:hint="eastAsia" w:eastAsia="宋体"/>
          <w:sz w:val="22"/>
          <w:szCs w:val="22"/>
          <w:highlight w:val="none"/>
          <w:lang w:eastAsia="zh-CN"/>
        </w:rPr>
        <w:t>：</w:t>
      </w:r>
      <w:r>
        <w:rPr>
          <w:rFonts w:hint="eastAsia" w:eastAsia="宋体"/>
          <w:sz w:val="22"/>
          <w:szCs w:val="22"/>
          <w:highlight w:val="none"/>
          <w:lang w:val="en-US" w:eastAsia="zh-CN"/>
        </w:rPr>
        <w:t>南阳市第二十二中学校</w:t>
      </w:r>
    </w:p>
    <w:p w14:paraId="7143671D">
      <w:pPr>
        <w:pStyle w:val="16"/>
        <w:rPr>
          <w:rFonts w:hint="eastAsia"/>
          <w:sz w:val="22"/>
          <w:szCs w:val="22"/>
          <w:highlight w:val="none"/>
        </w:rPr>
      </w:pPr>
      <w:r>
        <w:rPr>
          <w:rFonts w:hint="eastAsia"/>
          <w:sz w:val="22"/>
          <w:szCs w:val="22"/>
          <w:highlight w:val="none"/>
        </w:rPr>
        <w:t>7.2 采购人委托第三方验收机构严格按照配备计划、产品标准、投标文件对货物进行验收，出具检验报告；相关费用由中标人承担；</w:t>
      </w:r>
    </w:p>
    <w:p w14:paraId="07F871CA">
      <w:pPr>
        <w:pStyle w:val="16"/>
        <w:rPr>
          <w:rFonts w:hint="eastAsia"/>
          <w:sz w:val="22"/>
          <w:szCs w:val="22"/>
          <w:highlight w:val="none"/>
        </w:rPr>
      </w:pPr>
      <w:r>
        <w:rPr>
          <w:rFonts w:hint="eastAsia"/>
          <w:sz w:val="22"/>
          <w:szCs w:val="22"/>
          <w:highlight w:val="none"/>
        </w:rPr>
        <w:t>7.3 经全部检验合格后供应商方可持验收报告及其它相关手续办理结款手续。</w:t>
      </w:r>
    </w:p>
    <w:p w14:paraId="13711C12">
      <w:pPr>
        <w:pStyle w:val="16"/>
        <w:rPr>
          <w:rFonts w:hint="eastAsia"/>
          <w:sz w:val="22"/>
          <w:szCs w:val="22"/>
          <w:highlight w:val="none"/>
        </w:rPr>
      </w:pPr>
      <w:r>
        <w:rPr>
          <w:rFonts w:hint="eastAsia"/>
          <w:sz w:val="22"/>
          <w:szCs w:val="22"/>
          <w:highlight w:val="none"/>
        </w:rPr>
        <w:t>8、□有样品，样品提供要求、方式、摆放时间及地点☑无样品。</w:t>
      </w:r>
    </w:p>
    <w:p w14:paraId="79BA4C3B">
      <w:pPr>
        <w:pStyle w:val="16"/>
        <w:rPr>
          <w:rFonts w:hint="eastAsia"/>
          <w:sz w:val="22"/>
          <w:szCs w:val="22"/>
          <w:highlight w:val="none"/>
        </w:rPr>
      </w:pPr>
      <w:r>
        <w:rPr>
          <w:rFonts w:hint="eastAsia"/>
          <w:sz w:val="22"/>
          <w:szCs w:val="22"/>
          <w:highlight w:val="none"/>
        </w:rPr>
        <w:t>9、□有演示，演示要求、内容、方式及地点。鼓励使用不见面演示。</w:t>
      </w:r>
    </w:p>
    <w:p w14:paraId="6412B9AB">
      <w:pPr>
        <w:pStyle w:val="16"/>
        <w:rPr>
          <w:rFonts w:hint="eastAsia"/>
          <w:sz w:val="22"/>
          <w:szCs w:val="22"/>
          <w:highlight w:val="none"/>
        </w:rPr>
      </w:pPr>
      <w:r>
        <w:rPr>
          <w:rFonts w:hint="eastAsia"/>
          <w:sz w:val="22"/>
          <w:szCs w:val="22"/>
          <w:highlight w:val="none"/>
        </w:rPr>
        <w:t>☑无演示。</w:t>
      </w:r>
    </w:p>
    <w:p w14:paraId="018647E0">
      <w:pPr>
        <w:pStyle w:val="16"/>
        <w:rPr>
          <w:rFonts w:hint="eastAsia"/>
          <w:sz w:val="22"/>
          <w:szCs w:val="22"/>
          <w:highlight w:val="none"/>
        </w:rPr>
      </w:pPr>
      <w:r>
        <w:rPr>
          <w:rFonts w:hint="eastAsia"/>
          <w:sz w:val="22"/>
          <w:szCs w:val="22"/>
          <w:highlight w:val="none"/>
        </w:rPr>
        <w:t>10、其他要求：无</w:t>
      </w:r>
    </w:p>
    <w:p w14:paraId="3DBECD60">
      <w:pP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r>
        <w:rPr>
          <w:rFonts w:hint="default"/>
          <w:lang w:val="en-US" w:eastAsia="zh-CN"/>
        </w:rPr>
        <w:br w:type="page"/>
      </w:r>
    </w:p>
    <w:p w14:paraId="47D2A3CA">
      <w:pPr>
        <w:pStyle w:val="7"/>
        <w:keepNext w:val="0"/>
        <w:keepLines w:val="0"/>
        <w:pageBreakBefore w:val="0"/>
        <w:numPr>
          <w:ilvl w:val="0"/>
          <w:numId w:val="0"/>
        </w:numPr>
        <w:kinsoku/>
        <w:wordWrap w:val="0"/>
        <w:overflowPunct/>
        <w:topLinePunct w:val="0"/>
        <w:bidi w:val="0"/>
        <w:spacing w:before="352" w:line="690" w:lineRule="exact"/>
        <w:ind w:firstLine="2148" w:firstLineChars="600"/>
        <w:jc w:val="both"/>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spacing w:val="-1"/>
          <w:position w:val="24"/>
          <w:sz w:val="36"/>
          <w:szCs w:val="36"/>
          <w14:textOutline w14:w="2306" w14:cap="flat" w14:cmpd="sng">
            <w14:solidFill>
              <w14:srgbClr w14:val="000000"/>
            </w14:solidFill>
            <w14:prstDash w14:val="solid"/>
            <w14:miter w14:val="0"/>
          </w14:textOutline>
        </w:rPr>
        <w:t>投标人须知</w:t>
      </w:r>
    </w:p>
    <w:p w14:paraId="6581CED6">
      <w:pPr>
        <w:pStyle w:val="7"/>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投标人须知表</w:t>
      </w:r>
    </w:p>
    <w:tbl>
      <w:tblPr>
        <w:tblStyle w:val="22"/>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26FCD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noWrap w:val="0"/>
            <w:vAlign w:val="center"/>
          </w:tcPr>
          <w:p w14:paraId="5B7B31A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188" w:type="dxa"/>
            <w:tcBorders>
              <w:top w:val="single" w:color="auto" w:sz="12" w:space="0"/>
              <w:left w:val="single" w:color="auto" w:sz="6" w:space="0"/>
              <w:bottom w:val="single" w:color="auto" w:sz="6" w:space="0"/>
              <w:right w:val="single" w:color="auto" w:sz="12" w:space="0"/>
            </w:tcBorders>
            <w:noWrap w:val="0"/>
            <w:vAlign w:val="center"/>
          </w:tcPr>
          <w:p w14:paraId="667CB8C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7AC07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21D26B0">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2271AC8">
            <w:pPr>
              <w:pStyle w:val="36"/>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6042FE13">
            <w:pPr>
              <w:pStyle w:val="36"/>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货物</w:t>
            </w:r>
            <w:r>
              <w:rPr>
                <w:rFonts w:hint="eastAsia" w:asciiTheme="minorEastAsia" w:hAnsiTheme="minorEastAsia" w:eastAsiaTheme="minorEastAsia" w:cstheme="minorEastAsia"/>
                <w:spacing w:val="19"/>
                <w:sz w:val="24"/>
                <w:szCs w:val="24"/>
                <w:lang w:eastAsia="zh-CN"/>
              </w:rPr>
              <w:t>【供应商对</w:t>
            </w:r>
            <w:r>
              <w:rPr>
                <w:rFonts w:hint="eastAsia" w:asciiTheme="minorEastAsia" w:hAnsiTheme="minorEastAsia" w:eastAsiaTheme="minorEastAsia" w:cstheme="minorEastAsia"/>
                <w:spacing w:val="19"/>
                <w:sz w:val="24"/>
                <w:szCs w:val="24"/>
                <w:lang w:val="en-US" w:eastAsia="zh-CN"/>
              </w:rPr>
              <w:t>其</w:t>
            </w:r>
            <w:r>
              <w:rPr>
                <w:rFonts w:hint="eastAsia" w:asciiTheme="minorEastAsia" w:hAnsiTheme="minorEastAsia" w:eastAsiaTheme="minorEastAsia" w:cstheme="minorEastAsia"/>
                <w:spacing w:val="19"/>
                <w:sz w:val="24"/>
                <w:szCs w:val="24"/>
                <w:lang w:eastAsia="zh-CN"/>
              </w:rPr>
              <w:t>提供的产品</w:t>
            </w:r>
            <w:r>
              <w:rPr>
                <w:rFonts w:hint="eastAsia" w:asciiTheme="minorEastAsia" w:hAnsiTheme="minorEastAsia" w:eastAsiaTheme="minorEastAsia" w:cstheme="minorEastAsia"/>
                <w:spacing w:val="19"/>
                <w:sz w:val="24"/>
                <w:szCs w:val="24"/>
                <w:lang w:val="en-US" w:eastAsia="zh-CN"/>
              </w:rPr>
              <w:t>应</w:t>
            </w:r>
            <w:r>
              <w:rPr>
                <w:rFonts w:hint="eastAsia" w:asciiTheme="minorEastAsia" w:hAnsiTheme="minorEastAsia" w:eastAsiaTheme="minorEastAsia" w:cstheme="minorEastAsia"/>
                <w:spacing w:val="19"/>
                <w:sz w:val="24"/>
                <w:szCs w:val="24"/>
                <w:lang w:eastAsia="zh-CN"/>
              </w:rPr>
              <w:t>出具《关于符合本国产品标准的声明函》（</w:t>
            </w:r>
            <w:r>
              <w:rPr>
                <w:rFonts w:hint="eastAsia" w:asciiTheme="minorEastAsia" w:hAnsiTheme="minorEastAsia" w:eastAsiaTheme="minorEastAsia" w:cstheme="minorEastAsia"/>
                <w:spacing w:val="19"/>
                <w:sz w:val="24"/>
                <w:szCs w:val="24"/>
                <w:lang w:val="en-US" w:eastAsia="zh-CN"/>
              </w:rPr>
              <w:t>后附</w:t>
            </w:r>
            <w:r>
              <w:rPr>
                <w:rFonts w:hint="eastAsia" w:asciiTheme="minorEastAsia" w:hAnsiTheme="minorEastAsia" w:eastAsiaTheme="minorEastAsia" w:cstheme="minorEastAsia"/>
                <w:spacing w:val="19"/>
                <w:sz w:val="24"/>
                <w:szCs w:val="24"/>
                <w:lang w:eastAsia="zh-CN"/>
              </w:rPr>
              <w:t>）或财政部会同有关部门规定的有关证明文件。】</w:t>
            </w:r>
          </w:p>
        </w:tc>
      </w:tr>
      <w:tr w14:paraId="1431A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9873D1D">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755521">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7EE0F447">
            <w:pPr>
              <w:pStyle w:val="36"/>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474073EA">
            <w:pPr>
              <w:pStyle w:val="36"/>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4E835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3D7F464E">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rPr>
            </w:pPr>
          </w:p>
          <w:p w14:paraId="5F6C001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20D38C46">
            <w:pPr>
              <w:pStyle w:val="36"/>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p w14:paraId="5AA1B8C5">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组织，考察时间：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33D14754">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rPr>
              <w:t>考察地点：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1A969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BD483ED">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开标前答疑会</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1C7D2767">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p w14:paraId="6AAFCAFF">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□召开，召开时间：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月</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分</w:t>
            </w:r>
          </w:p>
          <w:p w14:paraId="3DCACB6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6"/>
                <w:sz w:val="24"/>
                <w:szCs w:val="24"/>
              </w:rPr>
              <w:t>召开地点：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0FE116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5742B5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521655B">
            <w:pPr>
              <w:pStyle w:val="36"/>
              <w:keepNext w:val="0"/>
              <w:keepLines w:val="0"/>
              <w:pageBreakBefore w:val="0"/>
              <w:widowControl/>
              <w:numPr>
                <w:ilvl w:val="0"/>
                <w:numId w:val="14"/>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工业 </w:t>
            </w:r>
          </w:p>
          <w:p w14:paraId="1497820C">
            <w:pPr>
              <w:pStyle w:val="36"/>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14:paraId="1D5E6B66">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本项目小微企业价格折扣比例</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auto"/>
                <w:spacing w:val="29"/>
                <w:kern w:val="0"/>
                <w:sz w:val="24"/>
                <w:szCs w:val="24"/>
                <w:highlight w:val="none"/>
                <w:u w:val="single"/>
                <w:lang w:val="en-US" w:eastAsia="zh-CN" w:bidi="ar-SA"/>
              </w:rPr>
              <w:t>15</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w:t>
            </w:r>
          </w:p>
          <w:p w14:paraId="0543E52C">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0406D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49F07BA7">
            <w:pPr>
              <w:pStyle w:val="36"/>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0605B745">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23111D">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投标报价的特殊规定：</w:t>
            </w:r>
          </w:p>
          <w:p w14:paraId="09D414B9">
            <w:pPr>
              <w:pStyle w:val="36"/>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14:paraId="6ED535AC">
            <w:pPr>
              <w:pStyle w:val="36"/>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p>
          <w:p w14:paraId="290EC6CA">
            <w:pPr>
              <w:pStyle w:val="36"/>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44F37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5EDBC6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F5ACDB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156.915181</w:t>
            </w:r>
            <w:r>
              <w:rPr>
                <w:rFonts w:hint="eastAsia" w:asciiTheme="minorEastAsia" w:hAnsiTheme="minorEastAsia" w:eastAsiaTheme="minorEastAsia" w:cstheme="minorEastAsia"/>
                <w:b w:val="0"/>
                <w:bCs w:val="0"/>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29"/>
                <w:kern w:val="0"/>
                <w:sz w:val="24"/>
                <w:szCs w:val="24"/>
                <w:highlight w:val="none"/>
                <w:lang w:val="en-US" w:eastAsia="zh-CN" w:bidi="ar-SA"/>
              </w:rPr>
              <w:t>万元</w:t>
            </w:r>
          </w:p>
        </w:tc>
      </w:tr>
      <w:tr w14:paraId="4713A4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7255C6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36BB3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日历日</w:t>
            </w:r>
          </w:p>
        </w:tc>
      </w:tr>
      <w:tr w14:paraId="0F184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42774E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投标文件</w:t>
            </w:r>
            <w:r>
              <w:rPr>
                <w:rFonts w:hint="eastAsia" w:asciiTheme="minorEastAsia" w:hAnsiTheme="minorEastAsia" w:eastAsiaTheme="minorEastAsia" w:cstheme="minorEastAsia"/>
                <w:color w:val="auto"/>
                <w:sz w:val="24"/>
                <w:szCs w:val="24"/>
                <w:lang w:eastAsia="zh-CN"/>
              </w:rPr>
              <w:t>数量</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53CFE0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电子投标文件：1份</w:t>
            </w:r>
          </w:p>
        </w:tc>
      </w:tr>
      <w:tr w14:paraId="5172F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15601F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751E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10</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21</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14:paraId="50096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976990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开标时间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EB31B6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10</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21</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color w:val="auto"/>
                <w:spacing w:val="-15"/>
                <w:sz w:val="24"/>
                <w:szCs w:val="24"/>
                <w:highlight w:val="none"/>
              </w:rPr>
              <w:t>（北京时间）</w:t>
            </w:r>
          </w:p>
        </w:tc>
      </w:tr>
      <w:tr w14:paraId="2559A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64175C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核心产品</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D3AC4">
            <w:pPr>
              <w:keepNext w:val="0"/>
              <w:keepLines w:val="0"/>
              <w:pageBreakBefore w:val="0"/>
              <w:kinsoku/>
              <w:wordWrap w:val="0"/>
              <w:overflowPunct/>
              <w:topLinePunct w:val="0"/>
              <w:bidi w:val="0"/>
              <w:spacing w:line="240" w:lineRule="atLeast"/>
              <w:ind w:firstLine="480" w:firstLineChars="200"/>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shd w:val="clear"/>
                <w:lang w:val="en-US" w:eastAsia="zh-CN"/>
              </w:rPr>
              <w:t>（存储）</w:t>
            </w:r>
            <w:r>
              <w:rPr>
                <w:rFonts w:hint="eastAsia" w:asciiTheme="minorEastAsia" w:hAnsiTheme="minorEastAsia" w:eastAsiaTheme="minorEastAsia" w:cstheme="minorEastAsia"/>
                <w:color w:val="auto"/>
                <w:sz w:val="24"/>
                <w:szCs w:val="24"/>
                <w:highlight w:val="none"/>
                <w:shd w:val="clear"/>
              </w:rPr>
              <w:t>核心产品</w:t>
            </w:r>
          </w:p>
        </w:tc>
      </w:tr>
      <w:tr w14:paraId="0587B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1B620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838F29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综合评分法</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val="en-US" w:eastAsia="zh-CN"/>
              </w:rPr>
              <w:t>最低评标价法</w:t>
            </w:r>
          </w:p>
        </w:tc>
      </w:tr>
      <w:tr w14:paraId="54966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64BAC6A">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是否采用“暗标”评审</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D6DD048">
            <w:pPr>
              <w:pStyle w:val="36"/>
              <w:keepNext w:val="0"/>
              <w:keepLines w:val="0"/>
              <w:pageBreakBefore w:val="0"/>
              <w:kinsoku/>
              <w:wordWrap w:val="0"/>
              <w:overflowPunct/>
              <w:topLinePunct w:val="0"/>
              <w:bidi w:val="0"/>
              <w:spacing w:line="223" w:lineRule="auto"/>
              <w:ind w:left="126"/>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29"/>
                <w:sz w:val="24"/>
                <w:szCs w:val="24"/>
                <w:lang w:val="en-US" w:eastAsia="zh-CN"/>
              </w:rPr>
              <w:t xml:space="preserve">否 </w:t>
            </w: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lang w:val="en-US" w:eastAsia="zh-CN"/>
              </w:rPr>
              <w:t>是，具体要求详见投标人须知</w:t>
            </w:r>
          </w:p>
        </w:tc>
      </w:tr>
      <w:tr w14:paraId="488A5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CEA247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51324D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bidi="ar-SA"/>
              </w:rPr>
              <w:t>采购人是否委托评标委员会直接确定中标人：□是☑否</w:t>
            </w:r>
          </w:p>
        </w:tc>
      </w:tr>
      <w:tr w14:paraId="273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7069B6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代理费</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0F55398">
            <w:pPr>
              <w:pStyle w:val="36"/>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pacing w:val="-13"/>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1E49D279">
      <w:pPr>
        <w:pStyle w:val="7"/>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pPr>
    </w:p>
    <w:p w14:paraId="4EF2B227">
      <w:pPr>
        <w:pStyle w:val="7"/>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t>投标人须知</w:t>
      </w:r>
    </w:p>
    <w:p w14:paraId="1B9E3196">
      <w:pPr>
        <w:pStyle w:val="7"/>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说明</w:t>
      </w:r>
    </w:p>
    <w:p w14:paraId="2469A70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采购人、采购代理机构、投标人、联合体</w:t>
      </w:r>
    </w:p>
    <w:p w14:paraId="6F54C5B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p w14:paraId="1DA6DAE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投标人（也称供应商、申请人）：指向采购人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1CD71C37">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3AB002F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资金来源、项目属性、科研仪器设备采购、核心产品</w:t>
      </w:r>
    </w:p>
    <w:p w14:paraId="0D60033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资金来源为财政性</w:t>
      </w:r>
      <w:r>
        <w:rPr>
          <w:rFonts w:hint="eastAsia" w:asciiTheme="minorEastAsia" w:hAnsiTheme="minorEastAsia" w:eastAsiaTheme="minorEastAsia" w:cstheme="minorEastAsia"/>
          <w:color w:val="auto"/>
          <w:spacing w:val="7"/>
          <w:sz w:val="24"/>
          <w:szCs w:val="24"/>
          <w:highlight w:val="none"/>
        </w:rPr>
        <w:t>资金</w:t>
      </w:r>
      <w:r>
        <w:rPr>
          <w:rFonts w:hint="eastAsia" w:asciiTheme="minorEastAsia" w:hAnsiTheme="minorEastAsia" w:eastAsiaTheme="minorEastAsia" w:cstheme="minorEastAsia"/>
          <w:color w:val="auto"/>
          <w:spacing w:val="7"/>
          <w:sz w:val="24"/>
          <w:szCs w:val="24"/>
          <w:highlight w:val="none"/>
          <w:u w:val="single"/>
          <w:lang w:val="en-US" w:eastAsia="zh-CN"/>
        </w:rPr>
        <w:t xml:space="preserve"> 156.915181 </w:t>
      </w:r>
      <w:r>
        <w:rPr>
          <w:rFonts w:hint="eastAsia" w:asciiTheme="minorEastAsia" w:hAnsiTheme="minorEastAsia" w:eastAsiaTheme="minorEastAsia" w:cstheme="minorEastAsia"/>
          <w:color w:val="auto"/>
          <w:spacing w:val="7"/>
          <w:sz w:val="24"/>
          <w:szCs w:val="24"/>
          <w:highlight w:val="none"/>
          <w:u w:val="none"/>
          <w:lang w:val="en-US" w:eastAsia="zh-CN"/>
        </w:rPr>
        <w:t>万元</w:t>
      </w:r>
    </w:p>
    <w:p w14:paraId="3575E69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2.2</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项目属性见《</w:t>
      </w:r>
      <w:r>
        <w:rPr>
          <w:rFonts w:hint="eastAsia" w:asciiTheme="minorEastAsia" w:hAnsiTheme="minorEastAsia" w:eastAsiaTheme="minorEastAsia" w:cstheme="minorEastAsia"/>
          <w:spacing w:val="7"/>
          <w:sz w:val="24"/>
          <w:szCs w:val="24"/>
          <w:lang w:eastAsia="zh-CN"/>
        </w:rPr>
        <w:t>投标人须知表</w:t>
      </w:r>
      <w:r>
        <w:rPr>
          <w:rFonts w:hint="eastAsia" w:asciiTheme="minorEastAsia" w:hAnsiTheme="minorEastAsia" w:eastAsiaTheme="minorEastAsia" w:cstheme="minorEastAsia"/>
          <w:spacing w:val="7"/>
          <w:sz w:val="24"/>
          <w:szCs w:val="24"/>
        </w:rPr>
        <w:t>》。</w:t>
      </w:r>
    </w:p>
    <w:p w14:paraId="59D0AC7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rPr>
        <w:t>2.3</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是否属于科研仪器设备采购见《</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pacing w:val="-3"/>
          <w:sz w:val="24"/>
          <w:szCs w:val="24"/>
          <w:lang w:val="en-US" w:eastAsia="zh-CN"/>
        </w:rPr>
        <w:t xml:space="preserve"> </w:t>
      </w:r>
    </w:p>
    <w:p w14:paraId="2AE4620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7"/>
          <w:sz w:val="24"/>
          <w:szCs w:val="24"/>
        </w:rPr>
        <w:t>2.4</w:t>
      </w:r>
      <w:r>
        <w:rPr>
          <w:rFonts w:hint="eastAsia" w:asciiTheme="minorEastAsia" w:hAnsiTheme="minorEastAsia" w:eastAsiaTheme="minorEastAsia" w:cstheme="minorEastAsia"/>
          <w:spacing w:val="-4"/>
          <w:position w:val="17"/>
          <w:sz w:val="24"/>
          <w:szCs w:val="24"/>
          <w:lang w:val="en-US" w:eastAsia="zh-CN"/>
        </w:rPr>
        <w:t xml:space="preserve"> </w:t>
      </w:r>
      <w:r>
        <w:rPr>
          <w:rFonts w:hint="eastAsia" w:asciiTheme="minorEastAsia" w:hAnsiTheme="minorEastAsia" w:eastAsiaTheme="minorEastAsia" w:cstheme="minorEastAsia"/>
          <w:spacing w:val="-4"/>
          <w:position w:val="17"/>
          <w:sz w:val="24"/>
          <w:szCs w:val="24"/>
        </w:rPr>
        <w:t>核心产品见《</w:t>
      </w:r>
      <w:r>
        <w:rPr>
          <w:rFonts w:hint="eastAsia" w:asciiTheme="minorEastAsia" w:hAnsiTheme="minorEastAsia" w:eastAsiaTheme="minorEastAsia" w:cstheme="minorEastAsia"/>
          <w:spacing w:val="-4"/>
          <w:position w:val="17"/>
          <w:sz w:val="24"/>
          <w:szCs w:val="24"/>
          <w:lang w:eastAsia="zh-CN"/>
        </w:rPr>
        <w:t>投标人须知表</w:t>
      </w:r>
      <w:r>
        <w:rPr>
          <w:rFonts w:hint="eastAsia" w:asciiTheme="minorEastAsia" w:hAnsiTheme="minorEastAsia" w:eastAsiaTheme="minorEastAsia" w:cstheme="minorEastAsia"/>
          <w:spacing w:val="-4"/>
          <w:position w:val="17"/>
          <w:sz w:val="24"/>
          <w:szCs w:val="24"/>
        </w:rPr>
        <w:t>》。</w:t>
      </w:r>
    </w:p>
    <w:p w14:paraId="437C4CE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14:paraId="10BA963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若《</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织现场考察、召开开标前答疑会，则投</w:t>
      </w:r>
      <w:r>
        <w:rPr>
          <w:rFonts w:hint="eastAsia" w:asciiTheme="minorEastAsia" w:hAnsiTheme="minorEastAsia" w:eastAsiaTheme="minorEastAsia" w:cstheme="minorEastAsia"/>
          <w:spacing w:val="-3"/>
          <w:sz w:val="24"/>
          <w:szCs w:val="24"/>
        </w:rPr>
        <w:t>标人应按要求在规定的时间和地点参加。</w:t>
      </w:r>
    </w:p>
    <w:p w14:paraId="5CA0008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由于未参加现场考察或开标前答疑会而导致对项目实际情况不了解，影响投标文件编制、投标报价准确性、综合因素响应不全面等问题的，由投标人自行承担不利评审后果。</w:t>
      </w:r>
    </w:p>
    <w:p w14:paraId="5466B36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14:paraId="1BA63EA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089EE40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753FCBE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物、工程、服务参与投标，则具体要求见第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512736D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rPr>
        <w:t>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5"/>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601B90A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75FCCF98">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3F2FE34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45EC0B1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7B1C245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5EE57CDE">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71640B1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266A08C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65A15CA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4DEEB01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1DA703AE">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23A6E2D5">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61FF5575">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3117605A">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24C6DAC5">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5DBB54C0">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4AAB2980">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737E60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eastAsia="zh-CN"/>
        </w:rPr>
        <w:t>公开招标公告</w:t>
      </w:r>
      <w:r>
        <w:rPr>
          <w:rFonts w:hint="eastAsia" w:asciiTheme="minorEastAsia" w:hAnsiTheme="minorEastAsia" w:eastAsiaTheme="minorEastAsia" w:cstheme="minorEastAsia"/>
          <w:spacing w:val="-8"/>
          <w:sz w:val="24"/>
          <w:szCs w:val="24"/>
        </w:rPr>
        <w:t>》。</w:t>
      </w:r>
    </w:p>
    <w:p w14:paraId="69CAA69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eastAsia="zh-CN"/>
        </w:rPr>
        <w:t>投标人须知表</w:t>
      </w:r>
      <w:r>
        <w:rPr>
          <w:rFonts w:hint="eastAsia" w:asciiTheme="minorEastAsia" w:hAnsiTheme="minorEastAsia" w:eastAsiaTheme="minorEastAsia" w:cstheme="minorEastAsia"/>
          <w:spacing w:val="-8"/>
          <w:sz w:val="24"/>
          <w:szCs w:val="24"/>
        </w:rPr>
        <w:t>》。</w:t>
      </w:r>
    </w:p>
    <w:p w14:paraId="00FC05C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w:t>
      </w:r>
    </w:p>
    <w:p w14:paraId="33C38C8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w:t>
      </w:r>
      <w:r>
        <w:rPr>
          <w:rFonts w:hint="eastAsia" w:asciiTheme="minorEastAsia" w:hAnsiTheme="minorEastAsia" w:eastAsiaTheme="minorEastAsia" w:cstheme="minorEastAsia"/>
          <w:spacing w:val="-8"/>
          <w:sz w:val="24"/>
          <w:szCs w:val="24"/>
          <w:lang w:val="en-US" w:eastAsia="zh-CN"/>
        </w:rPr>
        <w:t>采购节能产品、环境标志产品</w:t>
      </w:r>
    </w:p>
    <w:p w14:paraId="0BE8E21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en-US"/>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lang w:val="en-US" w:eastAsia="en-US"/>
        </w:rPr>
        <w:t>.3.1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val="en-US" w:eastAsia="en-US"/>
        </w:rPr>
        <w:t>政府采购节能产品、环境标志产品实施品目清单管理。财政部、</w:t>
      </w:r>
      <w:r>
        <w:rPr>
          <w:rFonts w:hint="default" w:asciiTheme="minorEastAsia" w:hAnsiTheme="minorEastAsia" w:eastAsiaTheme="minorEastAsia" w:cstheme="minorEastAsia"/>
          <w:spacing w:val="-8"/>
          <w:sz w:val="24"/>
          <w:szCs w:val="24"/>
          <w:lang w:val="en-US" w:eastAsia="en-US"/>
        </w:rPr>
        <w:fldChar w:fldCharType="begin"/>
      </w:r>
      <w:r>
        <w:rPr>
          <w:rFonts w:hint="default" w:asciiTheme="minorEastAsia" w:hAnsiTheme="minorEastAsia" w:eastAsiaTheme="minorEastAsia" w:cstheme="minorEastAsia"/>
          <w:spacing w:val="-8"/>
          <w:sz w:val="24"/>
          <w:szCs w:val="24"/>
          <w:lang w:val="en-US" w:eastAsia="en-US"/>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spacing w:val="-8"/>
          <w:sz w:val="24"/>
          <w:szCs w:val="24"/>
          <w:lang w:val="en-US" w:eastAsia="en-US"/>
        </w:rPr>
        <w:fldChar w:fldCharType="separate"/>
      </w:r>
      <w:r>
        <w:rPr>
          <w:rFonts w:hint="default" w:asciiTheme="minorEastAsia" w:hAnsiTheme="minorEastAsia" w:eastAsiaTheme="minorEastAsia" w:cstheme="minorEastAsia"/>
          <w:spacing w:val="-8"/>
          <w:sz w:val="24"/>
          <w:szCs w:val="24"/>
          <w:lang w:val="en-US" w:eastAsia="en-US"/>
        </w:rPr>
        <w:t>中华人民共和国国家发展和改革委员会</w:t>
      </w:r>
      <w:r>
        <w:rPr>
          <w:rFonts w:hint="default" w:asciiTheme="minorEastAsia" w:hAnsiTheme="minorEastAsia" w:eastAsiaTheme="minorEastAsia" w:cstheme="minorEastAsia"/>
          <w:spacing w:val="-8"/>
          <w:sz w:val="24"/>
          <w:szCs w:val="24"/>
          <w:lang w:val="en-US" w:eastAsia="en-US"/>
        </w:rPr>
        <w:fldChar w:fldCharType="end"/>
      </w:r>
      <w:r>
        <w:rPr>
          <w:rFonts w:hint="eastAsia" w:asciiTheme="minorEastAsia" w:hAnsiTheme="minorEastAsia" w:eastAsiaTheme="minorEastAsia" w:cstheme="minorEastAsia"/>
          <w:spacing w:val="-8"/>
          <w:sz w:val="24"/>
          <w:szCs w:val="24"/>
          <w:lang w:val="en-US" w:eastAsia="en-US"/>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0CE932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b w:val="0"/>
          <w:snapToGrid w:val="0"/>
          <w:color w:val="000000"/>
          <w:spacing w:val="-8"/>
          <w:kern w:val="0"/>
          <w:sz w:val="24"/>
          <w:szCs w:val="24"/>
          <w:lang w:val="en-US" w:eastAsia="zh-CN" w:bidi="ar-SA"/>
        </w:rPr>
        <w:t>4</w:t>
      </w:r>
      <w:r>
        <w:rPr>
          <w:rFonts w:hint="eastAsia" w:asciiTheme="minorEastAsia" w:hAnsiTheme="minorEastAsia" w:eastAsiaTheme="minorEastAsia" w:cstheme="minorEastAsia"/>
          <w:b w:val="0"/>
          <w:snapToGrid w:val="0"/>
          <w:color w:val="000000"/>
          <w:spacing w:val="-8"/>
          <w:kern w:val="0"/>
          <w:sz w:val="24"/>
          <w:szCs w:val="24"/>
          <w:lang w:val="en-US" w:eastAsia="en-US" w:bidi="ar-SA"/>
        </w:rPr>
        <w:t>.3.2</w:t>
      </w:r>
      <w:r>
        <w:rPr>
          <w:rFonts w:hint="eastAsia" w:asciiTheme="minorEastAsia" w:hAnsiTheme="minorEastAsia" w:eastAsiaTheme="minorEastAsia" w:cstheme="minorEastAsia"/>
          <w:b w:val="0"/>
          <w:snapToGrid w:val="0"/>
          <w:color w:val="000000"/>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000000"/>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7991C97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否则投标无效；</w:t>
      </w:r>
    </w:p>
    <w:p w14:paraId="2A2F812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评标程序、评标方法和评标标准》（如涉及）。</w:t>
      </w:r>
    </w:p>
    <w:p w14:paraId="009BFA5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正版软件</w:t>
      </w:r>
    </w:p>
    <w:p w14:paraId="64F8843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000000"/>
          <w:spacing w:val="-8"/>
          <w:kern w:val="0"/>
          <w:sz w:val="24"/>
          <w:szCs w:val="24"/>
          <w:lang w:val="en-US" w:eastAsia="zh-CN" w:bidi="ar-SA"/>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14:paraId="6AD73F5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.4.2</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各级政府部门在购置计算机办公设备时，必须采购预装正版操作系统</w:t>
      </w:r>
    </w:p>
    <w:p w14:paraId="7654BF8A">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14:paraId="5C79155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网络安全专用产品</w:t>
      </w:r>
    </w:p>
    <w:p w14:paraId="1C35E41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.5.1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14:paraId="1563B28E">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6 </w:t>
      </w:r>
      <w:r>
        <w:rPr>
          <w:rFonts w:hint="eastAsia" w:asciiTheme="minorEastAsia" w:hAnsiTheme="minorEastAsia" w:eastAsiaTheme="minorEastAsia" w:cstheme="minorEastAsia"/>
          <w:spacing w:val="2"/>
          <w:sz w:val="24"/>
          <w:szCs w:val="24"/>
        </w:rPr>
        <w:t>采购需求标准</w:t>
      </w:r>
    </w:p>
    <w:p w14:paraId="5ECE61A1">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705AE55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73733EA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0360D94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lang w:val="en-US" w:eastAsia="zh-CN"/>
        </w:rPr>
        <w:t>5.投标</w:t>
      </w:r>
      <w:r>
        <w:rPr>
          <w:rFonts w:hint="eastAsia" w:asciiTheme="minorEastAsia" w:hAnsiTheme="minorEastAsia" w:eastAsiaTheme="minorEastAsia" w:cstheme="minorEastAsia"/>
          <w:b/>
          <w:bCs/>
          <w:spacing w:val="-2"/>
          <w:sz w:val="24"/>
          <w:szCs w:val="24"/>
        </w:rPr>
        <w:t>费用</w:t>
      </w:r>
    </w:p>
    <w:p w14:paraId="709B60E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投标人</w:t>
      </w:r>
      <w:r>
        <w:rPr>
          <w:rFonts w:hint="eastAsia" w:asciiTheme="minorEastAsia" w:hAnsiTheme="minorEastAsia" w:eastAsiaTheme="minorEastAsia" w:cstheme="minorEastAsia"/>
          <w:spacing w:val="-4"/>
          <w:sz w:val="24"/>
          <w:szCs w:val="24"/>
        </w:rPr>
        <w:t>应自行承担所有与准备和</w:t>
      </w:r>
      <w:r>
        <w:rPr>
          <w:rFonts w:hint="eastAsia" w:asciiTheme="minorEastAsia" w:hAnsiTheme="minorEastAsia" w:eastAsiaTheme="minorEastAsia" w:cstheme="minorEastAsia"/>
          <w:spacing w:val="-4"/>
          <w:sz w:val="24"/>
          <w:szCs w:val="24"/>
          <w:lang w:val="en-US" w:eastAsia="zh-CN"/>
        </w:rPr>
        <w:t>招标</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招标</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4F1A09B9">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22EC8E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44BDD8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029F58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highlight w:val="yellow"/>
          <w:lang w:val="en-US" w:eastAsia="zh-CN" w:bidi="ar-SA"/>
        </w:rPr>
      </w:pP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6.3 “货物”指投标人按招标文件规定，须向采购人提供的与本次招标相关的</w:t>
      </w:r>
      <w:r>
        <w:rPr>
          <w:rFonts w:hint="eastAsia"/>
          <w:color w:val="0D0D0D" w:themeColor="text1" w:themeTint="F2"/>
          <w:spacing w:val="0"/>
          <w:w w:val="100"/>
          <w:position w:val="0"/>
          <w:sz w:val="24"/>
          <w:szCs w:val="24"/>
          <w:highlight w:val="none"/>
          <w:u w:val="single"/>
          <w:lang w:val="en-US" w:eastAsia="zh-CN"/>
          <w14:textFill>
            <w14:solidFill>
              <w14:schemeClr w14:val="tx1">
                <w14:lumMod w14:val="95000"/>
                <w14:lumOff w14:val="5000"/>
              </w14:schemeClr>
            </w14:solidFill>
          </w14:textFill>
        </w:rPr>
        <w:t>南阳市第二十二中学校2026年薄弱环节改造与能力提升项目</w:t>
      </w:r>
    </w:p>
    <w:p w14:paraId="6D2A04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6.4 “服务”指招标文件规定投标人应承担的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安装及售后 </w:t>
      </w:r>
      <w:r>
        <w:rPr>
          <w:rFonts w:hint="eastAsia" w:asciiTheme="minorEastAsia" w:hAnsiTheme="minorEastAsia" w:eastAsiaTheme="minorEastAsia" w:cstheme="minorEastAsia"/>
          <w:snapToGrid w:val="0"/>
          <w:color w:val="000000"/>
          <w:spacing w:val="-4"/>
          <w:kern w:val="0"/>
          <w:sz w:val="24"/>
          <w:szCs w:val="24"/>
          <w:lang w:val="en-US" w:eastAsia="zh-CN" w:bidi="ar-SA"/>
        </w:rPr>
        <w:t>服务。</w:t>
      </w:r>
    </w:p>
    <w:p w14:paraId="341C128A">
      <w:pPr>
        <w:pStyle w:val="34"/>
        <w:keepNext w:val="0"/>
        <w:keepLines w:val="0"/>
        <w:pageBreakBefore w:val="0"/>
        <w:kinsoku/>
        <w:wordWrap w:val="0"/>
        <w:overflowPunct/>
        <w:topLinePunct w:val="0"/>
        <w:bidi w:val="0"/>
        <w:jc w:val="both"/>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545B6E82">
      <w:pPr>
        <w:pStyle w:val="7"/>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211F67BF">
      <w:pPr>
        <w:pStyle w:val="7"/>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4C72D6F2">
      <w:pPr>
        <w:pStyle w:val="7"/>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5"/>
          <w:sz w:val="28"/>
          <w:szCs w:val="28"/>
          <w:lang w:eastAsia="zh-CN"/>
        </w:rPr>
        <w:t>、</w:t>
      </w: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招标文件</w:t>
      </w:r>
    </w:p>
    <w:p w14:paraId="10344178">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000000"/>
          <w:spacing w:val="-2"/>
          <w:kern w:val="0"/>
          <w:sz w:val="24"/>
          <w:szCs w:val="24"/>
          <w:lang w:val="en-US" w:eastAsia="zh-CN" w:bidi="ar-SA"/>
        </w:rPr>
      </w:pPr>
      <w:r>
        <w:rPr>
          <w:rFonts w:hint="eastAsia" w:asciiTheme="minorEastAsia" w:hAnsiTheme="minorEastAsia" w:eastAsiaTheme="minorEastAsia" w:cstheme="minorEastAsia"/>
          <w:b/>
          <w:bCs/>
          <w:snapToGrid w:val="0"/>
          <w:color w:val="000000"/>
          <w:spacing w:val="-2"/>
          <w:kern w:val="0"/>
          <w:sz w:val="24"/>
          <w:szCs w:val="24"/>
          <w:lang w:val="en-US" w:eastAsia="zh-CN" w:bidi="ar-SA"/>
        </w:rPr>
        <w:t>7.招标文件构成</w:t>
      </w:r>
    </w:p>
    <w:p w14:paraId="6E376D0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7.1 招标文件包括以下部分：</w:t>
      </w:r>
    </w:p>
    <w:p w14:paraId="275C775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第一章 公开招标公告</w:t>
      </w:r>
    </w:p>
    <w:p w14:paraId="6CC2C0D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第二章 采购需求</w:t>
      </w:r>
    </w:p>
    <w:p w14:paraId="7FFC970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第三章 投标人须知</w:t>
      </w:r>
    </w:p>
    <w:p w14:paraId="46B7310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第四章 开、评标程序、评标方法和评标标准</w:t>
      </w:r>
    </w:p>
    <w:p w14:paraId="52FAB73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第五章 政府采购合同（草案）</w:t>
      </w:r>
    </w:p>
    <w:p w14:paraId="3089EAB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第六章 投标文件格式</w:t>
      </w:r>
    </w:p>
    <w:p w14:paraId="696F09B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1424CF4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8.对招标文件的澄清或修改</w:t>
      </w:r>
    </w:p>
    <w:p w14:paraId="11884E4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8.1 采购人或采购代理机构对已发出的招标文件进行必要澄清或者修改的，将在原公告发布媒体上发布更正公告，不得改变采购标的和资格条件。</w:t>
      </w:r>
    </w:p>
    <w:p w14:paraId="35A303B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13177D18">
      <w:pPr>
        <w:keepNext w:val="0"/>
        <w:keepLines w:val="0"/>
        <w:pageBreakBefore w:val="0"/>
        <w:widowControl/>
        <w:overflowPunct/>
        <w:topLinePunct w:val="0"/>
        <w:autoSpaceDE w:val="0"/>
        <w:autoSpaceDN w:val="0"/>
        <w:bidi w:val="0"/>
        <w:adjustRightInd w:val="0"/>
        <w:snapToGrid w:val="0"/>
        <w:spacing w:line="400" w:lineRule="exact"/>
        <w:ind w:firstLine="450" w:firstLineChars="200"/>
        <w:textAlignment w:val="baseline"/>
        <w:rPr>
          <w:rFonts w:hint="eastAsia"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napToGrid w:val="0"/>
          <w:color w:val="000000"/>
          <w:spacing w:val="-8"/>
          <w:kern w:val="0"/>
          <w:sz w:val="24"/>
          <w:szCs w:val="24"/>
          <w:lang w:val="en-US" w:eastAsia="zh-CN" w:bidi="ar-SA"/>
        </w:rPr>
        <w:t>全国公共资源交易平台(河南省·南阳市)</w:t>
      </w:r>
      <w:r>
        <w:rPr>
          <w:rFonts w:hint="eastAsia" w:asciiTheme="minorEastAsia" w:hAnsiTheme="minorEastAsia" w:eastAsiaTheme="minorEastAsia" w:cstheme="minorEastAsia"/>
          <w:b/>
          <w:bCs/>
          <w:spacing w:val="-8"/>
          <w:sz w:val="24"/>
          <w:szCs w:val="24"/>
          <w:lang w:val="en-US" w:eastAsia="zh-CN"/>
        </w:rPr>
        <w:t>”发布，请潜在投标供应商随时查询有关公告信息。若因潜在投标供应商没有及时查看到公告信息而造成的投标失误，责任自负。</w:t>
      </w:r>
    </w:p>
    <w:p w14:paraId="7F58EA02">
      <w:pPr>
        <w:pStyle w:val="7"/>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7EB0F878">
      <w:pP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br w:type="page"/>
      </w:r>
    </w:p>
    <w:p w14:paraId="32B0C3C0">
      <w:pPr>
        <w:pStyle w:val="16"/>
        <w:rPr>
          <w:rFonts w:hint="eastAsia"/>
        </w:rPr>
      </w:pPr>
    </w:p>
    <w:p w14:paraId="059C127E">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8"/>
          <w:szCs w:val="28"/>
          <w:lang w:eastAsia="zh-CN"/>
        </w:rPr>
        <w:t>、</w:t>
      </w: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投标文件的编制</w:t>
      </w:r>
    </w:p>
    <w:p w14:paraId="1DAEFF18">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投标范围、投标文件中计量单位的使用及投标语言</w:t>
      </w:r>
    </w:p>
    <w:p w14:paraId="4F73B5D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章《采购需求》所列的全部内容进行投标，不得将一个采购包中的内容拆分投标，否则其对该采购包的投标将被认定为无效投标。</w:t>
      </w:r>
    </w:p>
    <w:p w14:paraId="4426D5D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除招标文件有特殊要求外，本项目投标所使用的计量单位，应采用中华人民共和国法定计量单位。</w:t>
      </w:r>
    </w:p>
    <w:p w14:paraId="3EC58FD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E23A260">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投标文件构成</w:t>
      </w:r>
    </w:p>
    <w:p w14:paraId="293CD3D0">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10.1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投标人应当按照招标文件的要求编制投标文件。投标文件应由《</w:t>
      </w:r>
      <w:r>
        <w:rPr>
          <w:rFonts w:hint="eastAsia" w:asciiTheme="minorEastAsia" w:hAnsiTheme="minorEastAsia" w:eastAsiaTheme="minorEastAsia" w:cstheme="minorEastAsia"/>
          <w:sz w:val="24"/>
          <w:szCs w:val="24"/>
          <w:lang w:eastAsia="zh-CN"/>
        </w:rPr>
        <w:t>开标一览表及资格证明文件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技术文件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《商务</w:t>
      </w:r>
      <w:r>
        <w:rPr>
          <w:rFonts w:hint="eastAsia" w:asciiTheme="minorEastAsia" w:hAnsiTheme="minorEastAsia" w:eastAsiaTheme="minorEastAsia" w:cstheme="minorEastAsia"/>
          <w:sz w:val="24"/>
          <w:szCs w:val="24"/>
          <w:lang w:val="en-US" w:eastAsia="zh-CN"/>
        </w:rPr>
        <w:t>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部分构成。投标文件的部分格式要求，见第</w:t>
      </w: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章《投标文件格式》。</w:t>
      </w:r>
      <w:r>
        <w:rPr>
          <w:rFonts w:hint="eastAsia" w:asciiTheme="minorEastAsia" w:hAnsiTheme="minorEastAsia" w:eastAsiaTheme="minorEastAsia" w:cstheme="minorEastAsia"/>
          <w:sz w:val="24"/>
          <w:szCs w:val="24"/>
          <w:lang w:eastAsia="zh-CN"/>
        </w:rPr>
        <w:t>如有漏项或</w:t>
      </w:r>
      <w:r>
        <w:rPr>
          <w:rFonts w:hint="eastAsia" w:asciiTheme="minorEastAsia" w:hAnsiTheme="minorEastAsia" w:eastAsiaTheme="minorEastAsia" w:cstheme="minorEastAsia"/>
          <w:sz w:val="24"/>
          <w:szCs w:val="24"/>
          <w:lang w:val="en-US" w:eastAsia="zh-CN"/>
        </w:rPr>
        <w:t>评标委员会</w:t>
      </w:r>
      <w:r>
        <w:rPr>
          <w:rFonts w:hint="eastAsia" w:asciiTheme="minorEastAsia" w:hAnsiTheme="minorEastAsia" w:eastAsiaTheme="minorEastAsia" w:cstheme="minorEastAsia"/>
          <w:sz w:val="24"/>
          <w:szCs w:val="24"/>
          <w:lang w:eastAsia="zh-CN"/>
        </w:rPr>
        <w:t>认为其投标文件有明显缺陷的，造成的后果由投标人自己承担。</w:t>
      </w:r>
    </w:p>
    <w:p w14:paraId="6E5C812E">
      <w:pPr>
        <w:pStyle w:val="44"/>
        <w:snapToGrid w:val="0"/>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供格式的内容，可由投标人自行编写。</w:t>
      </w:r>
    </w:p>
    <w:p w14:paraId="2764FE79">
      <w:pPr>
        <w:pStyle w:val="44"/>
        <w:snapToGrid w:val="0"/>
        <w:spacing w:line="360" w:lineRule="auto"/>
        <w:ind w:firstLine="480" w:firstLineChars="200"/>
        <w:textAlignment w:val="auto"/>
        <w:rPr>
          <w:rFonts w:hint="eastAsia" w:hAnsi="宋体" w:cs="宋体"/>
          <w:sz w:val="24"/>
          <w:szCs w:val="24"/>
        </w:rPr>
      </w:pPr>
      <w:r>
        <w:rPr>
          <w:rFonts w:hint="eastAsia" w:asciiTheme="minorEastAsia" w:hAnsiTheme="minorEastAsia" w:eastAsiaTheme="minorEastAsia" w:cstheme="minorEastAsia"/>
          <w:sz w:val="24"/>
          <w:szCs w:val="24"/>
          <w:lang w:val="en-US" w:eastAsia="zh-CN"/>
        </w:rPr>
        <w:t>10.3</w:t>
      </w:r>
      <w:r>
        <w:rPr>
          <w:rFonts w:hint="eastAsia" w:hAnsi="宋体" w:cs="宋体"/>
          <w:sz w:val="24"/>
          <w:szCs w:val="24"/>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73A968B8">
      <w:pPr>
        <w:pStyle w:val="44"/>
        <w:snapToGrid w:val="0"/>
        <w:spacing w:line="360" w:lineRule="auto"/>
        <w:ind w:firstLine="480"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10.4</w:t>
      </w:r>
      <w:r>
        <w:rPr>
          <w:rFonts w:hint="eastAsia" w:hAnsi="宋体" w:cs="宋体"/>
          <w:b/>
          <w:bCs/>
          <w:sz w:val="24"/>
          <w:szCs w:val="24"/>
          <w:lang w:val="en-US" w:eastAsia="zh-CN"/>
        </w:rPr>
        <w:t xml:space="preserve"> </w:t>
      </w:r>
      <w:r>
        <w:rPr>
          <w:rFonts w:hint="eastAsia" w:ascii="宋体" w:hAnsi="宋体" w:cs="宋体"/>
          <w:b/>
          <w:bCs/>
          <w:sz w:val="24"/>
          <w:szCs w:val="24"/>
          <w:lang w:val="en-US" w:eastAsia="zh-CN"/>
        </w:rPr>
        <w:t>技术标文件制作要求：</w:t>
      </w:r>
    </w:p>
    <w:p w14:paraId="4AA17877">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10.4.1</w:t>
      </w:r>
      <w:r>
        <w:rPr>
          <w:rFonts w:hint="eastAsia" w:hAnsi="宋体" w:cs="宋体"/>
          <w:b/>
          <w:bCs/>
          <w:sz w:val="24"/>
          <w:szCs w:val="24"/>
        </w:rPr>
        <w:t>版面要求：A4纸张大小，纵向排版，不设置封面。</w:t>
      </w:r>
    </w:p>
    <w:p w14:paraId="378FDBFB">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2颜色要求：所有文字、图表均为黑色。</w:t>
      </w:r>
    </w:p>
    <w:p w14:paraId="2AA2AA54">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3字体要求：标题及正文部分所用文字均采用“宋体”四号“常规”字；图、表内的字体及字号不作要求；所有字体均不得出现加粗、加色、倾斜、下划线等标记。</w:t>
      </w:r>
    </w:p>
    <w:p w14:paraId="2FB51109">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10.4.4</w:t>
      </w:r>
      <w:r>
        <w:rPr>
          <w:rFonts w:hint="eastAsia" w:hAnsi="宋体" w:cs="宋体"/>
          <w:b/>
          <w:bCs/>
          <w:sz w:val="24"/>
          <w:szCs w:val="24"/>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03C142D9">
      <w:pPr>
        <w:pStyle w:val="44"/>
        <w:snapToGrid w:val="0"/>
        <w:spacing w:line="360" w:lineRule="auto"/>
        <w:ind w:firstLine="482" w:firstLineChars="200"/>
        <w:textAlignment w:val="auto"/>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hAnsi="宋体" w:eastAsia="宋体" w:cs="宋体"/>
          <w:b/>
          <w:bCs/>
          <w:sz w:val="24"/>
          <w:szCs w:val="24"/>
          <w:lang w:val="en-US" w:eastAsia="zh-CN"/>
        </w:rPr>
        <w:t>10.4.</w:t>
      </w:r>
      <w:r>
        <w:rPr>
          <w:rFonts w:hint="eastAsia" w:hAnsi="宋体" w:cs="宋体"/>
          <w:b/>
          <w:bCs/>
          <w:sz w:val="24"/>
          <w:szCs w:val="24"/>
        </w:rPr>
        <w:t>5除满足上述各项要求外，技术“暗标”中不得出现任何行间插字或删除痕迹，构成投标文件的“技术暗标”的正文中不得出现投标人的名称和其它可识别投标人身份的字符、徽标、人员名称以及其他特殊标记等。</w:t>
      </w:r>
    </w:p>
    <w:p w14:paraId="44FDB1C4">
      <w:pPr>
        <w:pStyle w:val="44"/>
        <w:snapToGrid w:val="0"/>
        <w:spacing w:line="360" w:lineRule="auto"/>
        <w:ind w:firstLine="490" w:firstLineChars="200"/>
        <w:textAlignment w:val="auto"/>
        <w:rPr>
          <w:rFonts w:hint="default" w:hAnsi="宋体" w:cs="宋体"/>
          <w:b/>
          <w:bCs/>
          <w:sz w:val="24"/>
          <w:szCs w:val="24"/>
          <w:lang w:val="en-US"/>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10.4.6编写软件及版本要求:MicrosoftWord2007或以上。</w:t>
      </w:r>
    </w:p>
    <w:p w14:paraId="0BDB3DA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文件应使用CA数字证书生成并在截止时间前上传其加密版本，</w:t>
      </w:r>
      <w:r>
        <w:rPr>
          <w:rFonts w:hint="eastAsia" w:asciiTheme="minorEastAsia" w:hAnsiTheme="minorEastAsia" w:eastAsiaTheme="minorEastAsia" w:cstheme="minorEastAsia"/>
          <w:sz w:val="24"/>
          <w:szCs w:val="24"/>
          <w:lang w:val="en-US" w:eastAsia="zh-CN"/>
        </w:rPr>
        <w:t>根据招标文件中规定的下载平台要求，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投标</w:t>
      </w:r>
      <w:r>
        <w:rPr>
          <w:rFonts w:hint="eastAsia" w:asciiTheme="minorEastAsia" w:hAnsiTheme="minorEastAsia" w:eastAsiaTheme="minorEastAsia" w:cstheme="minorEastAsia"/>
          <w:b/>
          <w:bCs/>
          <w:sz w:val="24"/>
          <w:szCs w:val="24"/>
          <w:lang w:eastAsia="zh-CN"/>
        </w:rPr>
        <w:t>文件，将被平台系统拒绝。</w:t>
      </w:r>
    </w:p>
    <w:p w14:paraId="5CCC053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10.6 </w:t>
      </w:r>
      <w:r>
        <w:rPr>
          <w:rFonts w:hint="eastAsia" w:asciiTheme="minorEastAsia" w:hAnsiTheme="minorEastAsia" w:eastAsiaTheme="minorEastAsia" w:cstheme="minorEastAsia"/>
          <w:sz w:val="24"/>
          <w:szCs w:val="24"/>
        </w:rPr>
        <w:t>第四章《</w:t>
      </w:r>
      <w:r>
        <w:rPr>
          <w:rFonts w:hint="eastAsia" w:asciiTheme="minorEastAsia" w:hAnsiTheme="minorEastAsia" w:eastAsiaTheme="minorEastAsia" w:cstheme="minorEastAsia"/>
          <w:sz w:val="24"/>
          <w:szCs w:val="24"/>
          <w:lang w:val="en-US" w:eastAsia="zh-CN"/>
        </w:rPr>
        <w:t>开</w:t>
      </w:r>
      <w:r>
        <w:rPr>
          <w:rFonts w:hint="eastAsia" w:asciiTheme="minorEastAsia" w:hAnsiTheme="minorEastAsia" w:eastAsiaTheme="minorEastAsia" w:cstheme="minorEastAsia"/>
          <w:sz w:val="24"/>
          <w:szCs w:val="24"/>
        </w:rPr>
        <w:t>评标程序、评标方法和评标标准》中涉及的证明文件。</w:t>
      </w:r>
    </w:p>
    <w:p w14:paraId="16F1A80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7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供货物和服务已对第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供证明文件的，投标人应当按具体要求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33DCCEF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8 </w:t>
      </w:r>
      <w:r>
        <w:rPr>
          <w:rFonts w:hint="eastAsia" w:asciiTheme="minorEastAsia" w:hAnsiTheme="minorEastAsia" w:eastAsiaTheme="minorEastAsia" w:cstheme="minorEastAsia"/>
          <w:sz w:val="24"/>
          <w:szCs w:val="24"/>
          <w:lang w:eastAsia="zh-CN"/>
        </w:rPr>
        <w:t>投标人编制投标文件时，涉及营业执照、资质、业绩、财务、社保、纳税及各类证书、报告等内容，必须是原件的扫描件。</w:t>
      </w:r>
    </w:p>
    <w:p w14:paraId="3E9BC17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10.9 </w:t>
      </w:r>
      <w:r>
        <w:rPr>
          <w:rFonts w:hint="eastAsia" w:asciiTheme="minorEastAsia" w:hAnsiTheme="minorEastAsia" w:eastAsiaTheme="minorEastAsia" w:cstheme="minorEastAsia"/>
          <w:sz w:val="24"/>
          <w:szCs w:val="24"/>
          <w:lang w:eastAsia="zh-CN"/>
        </w:rPr>
        <w:t>投标人认为应附的其他材料。</w:t>
      </w:r>
    </w:p>
    <w:p w14:paraId="2BB2096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投标报价</w:t>
      </w:r>
    </w:p>
    <w:p w14:paraId="569091A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所有投标均以人民币报价。</w:t>
      </w:r>
    </w:p>
    <w:p w14:paraId="79F29F5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sz w:val="24"/>
          <w:szCs w:val="24"/>
          <w:lang w:val="en-US" w:eastAsia="zh-CN"/>
        </w:rPr>
        <w:t>招标文件</w:t>
      </w:r>
      <w:r>
        <w:rPr>
          <w:rFonts w:hint="eastAsia" w:asciiTheme="minorEastAsia" w:hAnsiTheme="minorEastAsia" w:eastAsiaTheme="minorEastAsia" w:cstheme="minorEastAsia"/>
          <w:sz w:val="24"/>
          <w:szCs w:val="24"/>
        </w:rPr>
        <w:t>中有特殊规定的，从其规定。</w:t>
      </w:r>
    </w:p>
    <w:p w14:paraId="31FC9FF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5C185DD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按照招标文件要求完成本项目的全部相关费用。</w:t>
      </w:r>
    </w:p>
    <w:p w14:paraId="4B8CB56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360AF6A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供任何有选择性或可调整的报价（招标文件另有规定的除外），否则其投标无效。</w:t>
      </w:r>
    </w:p>
    <w:p w14:paraId="697160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11.5 </w:t>
      </w:r>
      <w:r>
        <w:rPr>
          <w:rFonts w:hint="eastAsia" w:asciiTheme="minorEastAsia" w:hAnsiTheme="minorEastAsia" w:eastAsiaTheme="minorEastAsia" w:cstheme="minorEastAsia"/>
          <w:sz w:val="24"/>
          <w:szCs w:val="24"/>
          <w:lang w:eastAsia="zh-CN"/>
        </w:rPr>
        <w:t>本次招标设有预算，投标人报价超过预算的，评标委员会将不予评议。</w:t>
      </w:r>
    </w:p>
    <w:p w14:paraId="48B070B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w:t>
      </w:r>
    </w:p>
    <w:p w14:paraId="3D8FF5C2">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11.6 异常低价审查</w:t>
      </w:r>
    </w:p>
    <w:p w14:paraId="4AD6FC0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1823B5F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11.6.1 政府采购评审中出现下列情形之一的，评审委员会应当启动异常低价投标（响应）审查程序：</w:t>
      </w:r>
    </w:p>
    <w:p w14:paraId="1988F93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（1）投标（响应）报价低于全部通过符合性审查供应商投标（响应）报价平均值50%的，即投标（响应）报价﹤全部通过符合性审查供应商投标（响应）报价平均值×50%；</w:t>
      </w:r>
    </w:p>
    <w:p w14:paraId="3D450B0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（2）投标（响应）报价低于通过符合性审查的次低报价供应商投标（响应）报价50%的，即投标（响应）报价﹤通过符合性审查的次低报价供应商投标（响应）报价×50%；</w:t>
      </w:r>
    </w:p>
    <w:p w14:paraId="0FDE1AB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（3）投标（响应）报价低于采购项目最高限价60%的，即投标（响应）报价﹤采购项目最高限价×60%；</w:t>
      </w:r>
    </w:p>
    <w:p w14:paraId="305113C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（4）评审委员会基于专业判断，认为供应商报价过低，有可能影响产品质量或者不能诚信履约的其他情形。</w:t>
      </w:r>
    </w:p>
    <w:p w14:paraId="5C8C64D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相关法律法规对供应商报价有规定的，从其规定。</w:t>
      </w:r>
    </w:p>
    <w:p w14:paraId="77CA828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11.6.2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B6BF0D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74A597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D4A0E9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3868C97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投标有效期</w:t>
      </w:r>
    </w:p>
    <w:p w14:paraId="3CAC08F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投标文件应在本招标文件《</w:t>
      </w:r>
      <w:r>
        <w:rPr>
          <w:rFonts w:hint="eastAsia" w:asciiTheme="minorEastAsia" w:hAnsiTheme="minorEastAsia" w:eastAsiaTheme="minorEastAsia" w:cstheme="minorEastAsia"/>
          <w:sz w:val="24"/>
          <w:szCs w:val="24"/>
          <w:lang w:eastAsia="zh-CN"/>
        </w:rPr>
        <w:t>投标人须知表</w:t>
      </w:r>
      <w:r>
        <w:rPr>
          <w:rFonts w:hint="eastAsia" w:asciiTheme="minorEastAsia" w:hAnsiTheme="minorEastAsia" w:eastAsiaTheme="minorEastAsia" w:cstheme="minorEastAsia"/>
          <w:sz w:val="24"/>
          <w:szCs w:val="24"/>
        </w:rPr>
        <w:t>》中规定的投标有效期内保持有效，投标有效期少于招标文件规定期限的，其投标无效。</w:t>
      </w:r>
      <w:r>
        <w:rPr>
          <w:rFonts w:hint="eastAsia" w:asciiTheme="minorEastAsia" w:hAnsiTheme="minorEastAsia" w:eastAsiaTheme="minorEastAsia" w:cstheme="minorEastAsia"/>
          <w:sz w:val="24"/>
          <w:szCs w:val="24"/>
          <w:lang w:eastAsia="zh-CN"/>
        </w:rPr>
        <w:t>中标人的投标有效期延长至项目验收合格之日。</w:t>
      </w:r>
    </w:p>
    <w:p w14:paraId="4F69B9F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12.</w:t>
      </w: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特别情况下，</w:t>
      </w:r>
      <w:r>
        <w:rPr>
          <w:rFonts w:hint="eastAsia" w:asciiTheme="minorEastAsia" w:hAnsiTheme="minorEastAsia" w:eastAsiaTheme="minorEastAsia" w:cstheme="minorEastAsia"/>
          <w:sz w:val="24"/>
          <w:szCs w:val="24"/>
          <w:lang w:val="en-US" w:eastAsia="zh-CN"/>
        </w:rPr>
        <w:t>采购代理机构</w:t>
      </w:r>
      <w:r>
        <w:rPr>
          <w:rFonts w:hint="eastAsia" w:asciiTheme="minorEastAsia" w:hAnsiTheme="minorEastAsia" w:eastAsiaTheme="minorEastAsia" w:cstheme="minorEastAsia"/>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1BBD0EE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w:t>
      </w:r>
      <w:r>
        <w:rPr>
          <w:rFonts w:hint="eastAsia" w:asciiTheme="minorEastAsia" w:hAnsiTheme="minorEastAsia" w:eastAsiaTheme="minorEastAsia" w:cstheme="minorEastAsia"/>
          <w:b/>
          <w:bCs/>
          <w:sz w:val="24"/>
          <w:szCs w:val="24"/>
        </w:rPr>
        <w:t>投标文件的签署、盖章</w:t>
      </w:r>
    </w:p>
    <w:p w14:paraId="6B4AC9E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文件必须在规定签章处</w:t>
      </w:r>
      <w:r>
        <w:rPr>
          <w:rFonts w:hint="eastAsia" w:asciiTheme="minorEastAsia" w:hAnsiTheme="minorEastAsia" w:eastAsiaTheme="minorEastAsia" w:cstheme="minorEastAsia"/>
          <w:sz w:val="24"/>
          <w:szCs w:val="24"/>
          <w:lang w:val="en-US" w:eastAsia="zh-CN"/>
        </w:rPr>
        <w:t>电子签章或</w:t>
      </w:r>
      <w:r>
        <w:rPr>
          <w:rFonts w:hint="eastAsia" w:asciiTheme="minorEastAsia" w:hAnsiTheme="minorEastAsia" w:eastAsiaTheme="minorEastAsia" w:cstheme="minorEastAsia"/>
          <w:sz w:val="24"/>
          <w:szCs w:val="24"/>
          <w:lang w:eastAsia="zh-CN"/>
        </w:rPr>
        <w:t>手写签字后扫描上传进投标文件。</w:t>
      </w:r>
    </w:p>
    <w:p w14:paraId="11E25C0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招标文件要求盖章的内容，一般通过</w:t>
      </w:r>
      <w:r>
        <w:rPr>
          <w:rFonts w:hint="eastAsia" w:asciiTheme="minorEastAsia" w:hAnsiTheme="minorEastAsia" w:eastAsiaTheme="minorEastAsia" w:cstheme="minorEastAsia"/>
          <w:sz w:val="24"/>
          <w:szCs w:val="24"/>
          <w:lang w:val="en-US" w:eastAsia="zh-CN"/>
        </w:rPr>
        <w:t>CA</w:t>
      </w:r>
      <w:r>
        <w:rPr>
          <w:rFonts w:hint="eastAsia" w:asciiTheme="minorEastAsia" w:hAnsiTheme="minorEastAsia" w:eastAsiaTheme="minorEastAsia" w:cstheme="minorEastAsia"/>
          <w:sz w:val="24"/>
          <w:szCs w:val="24"/>
        </w:rPr>
        <w:t>加盖电子签章。</w:t>
      </w:r>
    </w:p>
    <w:p w14:paraId="552C20F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647CEF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交</w:t>
      </w:r>
    </w:p>
    <w:p w14:paraId="0B1D07D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4.</w:t>
      </w:r>
      <w:r>
        <w:rPr>
          <w:rFonts w:hint="eastAsia" w:asciiTheme="minorEastAsia" w:hAnsiTheme="minorEastAsia" w:eastAsiaTheme="minorEastAsia" w:cstheme="minorEastAsia"/>
          <w:b/>
          <w:bCs/>
          <w:spacing w:val="1"/>
          <w:sz w:val="24"/>
          <w:szCs w:val="24"/>
        </w:rPr>
        <w:t>投标文件的</w:t>
      </w:r>
      <w:r>
        <w:rPr>
          <w:rFonts w:hint="eastAsia" w:asciiTheme="minorEastAsia" w:hAnsiTheme="minorEastAsia" w:eastAsiaTheme="minorEastAsia" w:cstheme="minorEastAsia"/>
          <w:b/>
          <w:bCs/>
          <w:spacing w:val="1"/>
          <w:sz w:val="24"/>
          <w:szCs w:val="24"/>
          <w:lang w:val="en-US" w:eastAsia="zh-CN"/>
        </w:rPr>
        <w:t>提</w:t>
      </w:r>
      <w:r>
        <w:rPr>
          <w:rFonts w:hint="eastAsia" w:asciiTheme="minorEastAsia" w:hAnsiTheme="minorEastAsia" w:eastAsiaTheme="minorEastAsia" w:cstheme="minorEastAsia"/>
          <w:b/>
          <w:bCs/>
          <w:spacing w:val="1"/>
          <w:sz w:val="24"/>
          <w:szCs w:val="24"/>
        </w:rPr>
        <w:t>交</w:t>
      </w:r>
    </w:p>
    <w:p w14:paraId="6F1CCB6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6DAEFC6E">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采购人及采购代理机构拒绝接受通过电子交易平台以外任何形式提交的投标文件。</w:t>
      </w:r>
    </w:p>
    <w:p w14:paraId="28BDBE1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15.投标截止时间</w:t>
      </w:r>
    </w:p>
    <w:p w14:paraId="580A455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spacing w:val="-9"/>
          <w:sz w:val="24"/>
          <w:szCs w:val="24"/>
        </w:rPr>
        <w:t>子交易平台。</w:t>
      </w:r>
    </w:p>
    <w:p w14:paraId="4823ACC7">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6.</w:t>
      </w:r>
      <w:r>
        <w:rPr>
          <w:rFonts w:hint="eastAsia" w:asciiTheme="minorEastAsia" w:hAnsiTheme="minorEastAsia" w:eastAsiaTheme="minorEastAsia" w:cstheme="minorEastAsia"/>
          <w:b/>
          <w:bCs/>
          <w:spacing w:val="-1"/>
          <w:sz w:val="24"/>
          <w:szCs w:val="24"/>
        </w:rPr>
        <w:t>投标文件的修改与撤回</w:t>
      </w:r>
    </w:p>
    <w:p w14:paraId="75FE917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067D0C6E">
      <w:pPr>
        <w:pStyle w:val="7"/>
        <w:keepNext w:val="0"/>
        <w:keepLines w:val="0"/>
        <w:pageBreakBefore w:val="0"/>
        <w:kinsoku/>
        <w:wordWrap w:val="0"/>
        <w:overflowPunct/>
        <w:topLinePunct w:val="0"/>
        <w:bidi w:val="0"/>
        <w:spacing w:before="353" w:line="219" w:lineRule="auto"/>
        <w:jc w:val="both"/>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AFAE11D">
      <w:pPr>
        <w:pStyle w:val="15"/>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F17FDC6">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172DE05">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940A8D2">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82E5FB8">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ADBDDCE">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5245C88">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9CFCD43">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6062231">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288DDE9">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CCE0161">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300F5E6">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81185BF">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7435E11">
      <w:pPr>
        <w:ind w:firstLine="720" w:firstLineChars="200"/>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评标程序、评标方法和评标标准</w:t>
      </w:r>
    </w:p>
    <w:p w14:paraId="52F9984C">
      <w:pPr>
        <w:pStyle w:val="7"/>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pPr>
    </w:p>
    <w:p w14:paraId="63B49F22">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一、开标</w:t>
      </w:r>
    </w:p>
    <w:p w14:paraId="3DA1573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1.采购人或采购代理机构按招标公告中规定的时间开标，本项目使用不见面开标，投标人无需到开标现场。</w:t>
      </w:r>
    </w:p>
    <w:p w14:paraId="5E36B07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2.开标：</w:t>
      </w:r>
    </w:p>
    <w:p w14:paraId="6536503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612CC1C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1678ADD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2.3 宣布开标结束。</w:t>
      </w:r>
    </w:p>
    <w:p w14:paraId="6100CCD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p>
    <w:p w14:paraId="342F9725">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二、资格审查</w:t>
      </w:r>
    </w:p>
    <w:p w14:paraId="27E68627">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1.开标结束后，采购人或采购代理机构将根据资格审查要求中的规定，对投标人进行资格审查，并形成资格审查结果。</w:t>
      </w:r>
    </w:p>
    <w:p w14:paraId="7B4C150D">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2.投标人《资格证明文件》有任何一项不符合《资格审查要求》的，资格审查不合格，其投标无效。</w:t>
      </w:r>
    </w:p>
    <w:p w14:paraId="548FFD79">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3.资格审查合格的投标人不足3家的，不进行评标。</w:t>
      </w:r>
    </w:p>
    <w:p w14:paraId="409AC1E2">
      <w:pPr>
        <w:pStyle w:val="34"/>
        <w:rPr>
          <w:rFonts w:hint="eastAsia"/>
          <w:lang w:val="en-US" w:eastAsia="zh-CN"/>
        </w:rPr>
      </w:pPr>
    </w:p>
    <w:p w14:paraId="4343421D">
      <w:pPr>
        <w:pStyle w:val="7"/>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35B35798">
      <w:pPr>
        <w:pStyle w:val="7"/>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9E8B94">
      <w:pPr>
        <w:pStyle w:val="7"/>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2846D00D">
      <w:pPr>
        <w:pStyle w:val="7"/>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EDE43E">
      <w:pPr>
        <w:pStyle w:val="7"/>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DF88C8D">
      <w:pPr>
        <w:pStyle w:val="7"/>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40332567">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资格审查要求</w:t>
      </w:r>
    </w:p>
    <w:p w14:paraId="6EB67FCC">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rPr>
      </w:pPr>
    </w:p>
    <w:tbl>
      <w:tblPr>
        <w:tblStyle w:val="35"/>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8"/>
        <w:gridCol w:w="1092"/>
        <w:gridCol w:w="3465"/>
        <w:gridCol w:w="3253"/>
      </w:tblGrid>
      <w:tr w14:paraId="2CF1D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3BCAC92">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0" w:type="auto"/>
            <w:vAlign w:val="top"/>
          </w:tcPr>
          <w:p w14:paraId="4B73293A">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0" w:type="auto"/>
            <w:vAlign w:val="top"/>
          </w:tcPr>
          <w:p w14:paraId="19D85599">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0" w:type="auto"/>
            <w:vAlign w:val="top"/>
          </w:tcPr>
          <w:p w14:paraId="232A58D3">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76D34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center"/>
          </w:tcPr>
          <w:p w14:paraId="7A9E43FA">
            <w:pPr>
              <w:pStyle w:val="36"/>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1A112AEA">
            <w:pPr>
              <w:pStyle w:val="36"/>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0" w:type="auto"/>
            <w:vAlign w:val="center"/>
          </w:tcPr>
          <w:p w14:paraId="5272D138">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投标人具备的</w:t>
            </w:r>
            <w:r>
              <w:rPr>
                <w:rFonts w:hint="eastAsia" w:asciiTheme="minorEastAsia" w:hAnsiTheme="minorEastAsia" w:eastAsiaTheme="minorEastAsia" w:cstheme="minorEastAsia"/>
                <w:spacing w:val="-2"/>
                <w:sz w:val="24"/>
                <w:szCs w:val="24"/>
              </w:rPr>
              <w:t>资格要求</w:t>
            </w:r>
          </w:p>
        </w:tc>
        <w:tc>
          <w:tcPr>
            <w:tcW w:w="0" w:type="auto"/>
            <w:vAlign w:val="top"/>
          </w:tcPr>
          <w:p w14:paraId="3DD2B71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5E31358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3EF17F3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7529243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20B48F53">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4742C11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6.根据《关于在政府采购活动中查询及使用信用记录有关问题的通知》(财库</w:t>
            </w:r>
            <w:r>
              <w:rPr>
                <w:rFonts w:hint="eastAsia" w:asciiTheme="minorEastAsia" w:hAnsiTheme="minorEastAsia" w:eastAsiaTheme="minorEastAsia" w:cstheme="minorEastAsia"/>
                <w:spacing w:val="-12"/>
                <w:sz w:val="24"/>
                <w:szCs w:val="24"/>
              </w:rPr>
              <w:t>〔20</w:t>
            </w:r>
            <w:r>
              <w:rPr>
                <w:rFonts w:hint="eastAsia" w:asciiTheme="minorEastAsia" w:hAnsiTheme="minorEastAsia" w:eastAsiaTheme="minorEastAsia" w:cstheme="minorEastAsia"/>
                <w:spacing w:val="-12"/>
                <w:sz w:val="24"/>
                <w:szCs w:val="24"/>
                <w:lang w:val="en-US" w:eastAsia="zh-CN"/>
              </w:rPr>
              <w:t>16</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2"/>
                <w:sz w:val="24"/>
                <w:szCs w:val="24"/>
                <w:lang w:val="en-US"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r>
              <w:rPr>
                <w:rFonts w:hint="eastAsia" w:asciiTheme="minorEastAsia" w:hAnsiTheme="minorEastAsia" w:eastAsiaTheme="minorEastAsia" w:cstheme="minorEastAsia"/>
                <w:b/>
                <w:bCs/>
                <w:spacing w:val="-2"/>
                <w:sz w:val="24"/>
                <w:szCs w:val="24"/>
                <w:highlight w:val="none"/>
                <w:lang w:val="en-US" w:eastAsia="zh-CN"/>
              </w:rPr>
              <w:t>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24AE52D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7.遵守国家有关法律、法规、规章。</w:t>
            </w:r>
          </w:p>
        </w:tc>
        <w:tc>
          <w:tcPr>
            <w:tcW w:w="0" w:type="auto"/>
            <w:vAlign w:val="top"/>
          </w:tcPr>
          <w:p w14:paraId="2997AACF">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投标人为企业（包括合伙企业、个体工商户）的，应提供有效的营业执照；</w:t>
            </w:r>
          </w:p>
          <w:p w14:paraId="1D7C0A0B">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投标人为事业单位的，应提供有效的事业单位法人证书；</w:t>
            </w:r>
          </w:p>
          <w:p w14:paraId="0728C0B3">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投标人是非企业机构的，应提供有效的执业许可证、登记证书等证明文件；</w:t>
            </w:r>
          </w:p>
          <w:p w14:paraId="784A1F18">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投标人是自然人的，应提供有效的自然人身份证明。</w:t>
            </w:r>
          </w:p>
          <w:p w14:paraId="4064C53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8A86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01F77288">
            <w:pPr>
              <w:pStyle w:val="36"/>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0" w:type="auto"/>
            <w:vAlign w:val="top"/>
          </w:tcPr>
          <w:p w14:paraId="31744602">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0" w:type="auto"/>
            <w:vAlign w:val="top"/>
          </w:tcPr>
          <w:p w14:paraId="5DA8B189">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1B28451E">
            <w:pPr>
              <w:pStyle w:val="36"/>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11BE4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CD47BAD">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91198F5">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5B13231">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5BED6417">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799730BB">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D443A80">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26F28E0">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12B4940C">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F31A2C4">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0625EDCC">
            <w:pPr>
              <w:pStyle w:val="36"/>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0" w:type="auto"/>
            <w:vAlign w:val="top"/>
          </w:tcPr>
          <w:p w14:paraId="0BF2420E">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772458">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20CCCFD">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4300041">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09C5B06">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91CFB0">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AFA864C">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65A70946">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9F6AA07">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2D59C149">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0" w:type="auto"/>
            <w:vAlign w:val="top"/>
          </w:tcPr>
          <w:p w14:paraId="003C79AF">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40DE803A">
            <w:pPr>
              <w:pStyle w:val="36"/>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1、投标人单独投标的，应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58569974">
            <w:pPr>
              <w:pStyle w:val="36"/>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2、如招标文件要求以联合体形式参加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spacing w:val="-4"/>
                <w:sz w:val="24"/>
                <w:szCs w:val="24"/>
              </w:rPr>
              <w:t>关于预留份额的要求。</w:t>
            </w:r>
          </w:p>
        </w:tc>
        <w:tc>
          <w:tcPr>
            <w:tcW w:w="0" w:type="auto"/>
            <w:vAlign w:val="top"/>
          </w:tcPr>
          <w:p w14:paraId="40A6137E">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EDD7373">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C337B13">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3034B80A">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A72CA55">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FCA1FFF">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AAE514D">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8E9A44C">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27D0033">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811B787">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14:paraId="33DD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30F72CA9">
            <w:pPr>
              <w:pStyle w:val="36"/>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0" w:type="auto"/>
            <w:vAlign w:val="top"/>
          </w:tcPr>
          <w:p w14:paraId="1B9B862C">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求</w:t>
            </w:r>
          </w:p>
        </w:tc>
        <w:tc>
          <w:tcPr>
            <w:tcW w:w="0" w:type="auto"/>
            <w:vAlign w:val="top"/>
          </w:tcPr>
          <w:p w14:paraId="6651E405">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6F5EF71B">
            <w:pPr>
              <w:pStyle w:val="36"/>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031BCC5A">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52382346">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p>
    <w:p w14:paraId="2AE8895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三、评标委员会</w:t>
      </w:r>
    </w:p>
    <w:p w14:paraId="652987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48AC3FA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0BF31045">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18FBF410">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4.评标委员会应当在评审报告上签字，对自己评审意见承担法律责任。</w:t>
      </w:r>
    </w:p>
    <w:p w14:paraId="129FAD6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30A8BD44">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47B6F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35451B6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（1）评标委员会组成不符合本办法规定的;</w:t>
      </w:r>
    </w:p>
    <w:p w14:paraId="458999F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（2）政府采购货物和服务招标投标管理办法（87号令）第六十二条第一至五项情形的;</w:t>
      </w:r>
    </w:p>
    <w:p w14:paraId="44CD2F3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（3）评标委员会及其成员独立评标受到非法干预的;</w:t>
      </w:r>
    </w:p>
    <w:p w14:paraId="17F632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（4）有政府采购法实施条例第七十五条规定的违法行为的。</w:t>
      </w:r>
    </w:p>
    <w:p w14:paraId="6971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有违法违规行为的原评标委员会成员不得参加重新组建的评标委员会。</w:t>
      </w:r>
    </w:p>
    <w:p w14:paraId="65D8F08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8.评审活动结束，按照《河南省政府采购评审专家劳务报酬支付标准》的通知(豫财购〔2017〕9号)的规定，发放劳务报酬。</w:t>
      </w:r>
    </w:p>
    <w:p w14:paraId="304C14D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spacing w:val="3"/>
          <w:sz w:val="24"/>
          <w:szCs w:val="24"/>
          <w:lang w:val="en-US" w:eastAsia="zh-CN"/>
        </w:rPr>
      </w:pPr>
    </w:p>
    <w:p w14:paraId="478C216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四、投标文件的审查</w:t>
      </w:r>
    </w:p>
    <w:p w14:paraId="59394F7C">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投标文件的符合性审查</w:t>
      </w:r>
    </w:p>
    <w:p w14:paraId="0A4A57B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评标委员会对资格审查合格的投标人的投标文件进行符合性审查，以</w:t>
      </w:r>
    </w:p>
    <w:p w14:paraId="292866D2">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确定其</w:t>
      </w:r>
      <w:r>
        <w:rPr>
          <w:rFonts w:hint="eastAsia" w:asciiTheme="minorEastAsia" w:hAnsiTheme="minorEastAsia" w:eastAsiaTheme="minorEastAsia" w:cstheme="minorEastAsia"/>
          <w:spacing w:val="-3"/>
          <w:sz w:val="24"/>
          <w:szCs w:val="24"/>
        </w:rPr>
        <w:t>是否满足招标文件的实质性要求。</w:t>
      </w:r>
    </w:p>
    <w:p w14:paraId="01B8601C">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2A63DDEB">
      <w:pPr>
        <w:pStyle w:val="7"/>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2786853">
      <w:pPr>
        <w:pStyle w:val="7"/>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符合性审查要求</w:t>
      </w:r>
    </w:p>
    <w:p w14:paraId="0A5B99EE">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rPr>
      </w:pPr>
    </w:p>
    <w:tbl>
      <w:tblPr>
        <w:tblStyle w:val="35"/>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1DDFC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39C968B0">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6C9B8556">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5791" w:type="dxa"/>
            <w:vAlign w:val="top"/>
          </w:tcPr>
          <w:p w14:paraId="02CAC3B2">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r>
      <w:tr w14:paraId="3DF7E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238E1815">
            <w:pPr>
              <w:pStyle w:val="36"/>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12" w:type="dxa"/>
            <w:vAlign w:val="top"/>
          </w:tcPr>
          <w:p w14:paraId="260B8214">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5791" w:type="dxa"/>
            <w:vAlign w:val="top"/>
          </w:tcPr>
          <w:p w14:paraId="5212613A">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按招标文件要求</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供授权委托书</w:t>
            </w:r>
            <w:r>
              <w:rPr>
                <w:rFonts w:hint="eastAsia" w:asciiTheme="minorEastAsia" w:hAnsiTheme="minorEastAsia" w:eastAsiaTheme="minorEastAsia" w:cstheme="minorEastAsia"/>
                <w:spacing w:val="-3"/>
                <w:sz w:val="24"/>
                <w:szCs w:val="24"/>
                <w:lang w:eastAsia="zh-CN"/>
              </w:rPr>
              <w:t>。</w:t>
            </w:r>
          </w:p>
        </w:tc>
      </w:tr>
      <w:tr w14:paraId="5F8BB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0BAE7E55">
            <w:pPr>
              <w:pStyle w:val="36"/>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w:t>
            </w:r>
          </w:p>
        </w:tc>
        <w:tc>
          <w:tcPr>
            <w:tcW w:w="1812" w:type="dxa"/>
            <w:vAlign w:val="center"/>
          </w:tcPr>
          <w:p w14:paraId="0EB5C30C">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5791" w:type="dxa"/>
            <w:vAlign w:val="center"/>
          </w:tcPr>
          <w:p w14:paraId="4032DD35">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14:paraId="44A1E6BB">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投标人对所投招标文件中所列的所有内容进行投标。</w:t>
            </w:r>
          </w:p>
        </w:tc>
      </w:tr>
      <w:tr w14:paraId="7C1A1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3E50B9D5">
            <w:pPr>
              <w:pStyle w:val="36"/>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12" w:type="dxa"/>
            <w:vAlign w:val="top"/>
          </w:tcPr>
          <w:p w14:paraId="61B10110">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5791" w:type="dxa"/>
            <w:vAlign w:val="top"/>
          </w:tcPr>
          <w:p w14:paraId="5A19490C">
            <w:pPr>
              <w:pStyle w:val="36"/>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投标报价未超过招标文件中规定的项目/采购包预算金额或者</w:t>
            </w:r>
            <w:r>
              <w:rPr>
                <w:rFonts w:hint="eastAsia" w:asciiTheme="minorEastAsia" w:hAnsiTheme="minorEastAsia" w:eastAsiaTheme="minorEastAsia" w:cstheme="minorEastAsia"/>
                <w:spacing w:val="-5"/>
                <w:sz w:val="24"/>
                <w:szCs w:val="24"/>
              </w:rPr>
              <w:t>项目/采购包最高限价</w:t>
            </w:r>
            <w:r>
              <w:rPr>
                <w:rFonts w:hint="eastAsia" w:asciiTheme="minorEastAsia" w:hAnsiTheme="minorEastAsia" w:eastAsiaTheme="minorEastAsia" w:cstheme="minorEastAsia"/>
                <w:spacing w:val="-5"/>
                <w:sz w:val="24"/>
                <w:szCs w:val="24"/>
                <w:lang w:eastAsia="zh-CN"/>
              </w:rPr>
              <w:t>。</w:t>
            </w:r>
          </w:p>
        </w:tc>
      </w:tr>
      <w:tr w14:paraId="20FD7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62C990A">
            <w:pPr>
              <w:pStyle w:val="36"/>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w:t>
            </w:r>
          </w:p>
        </w:tc>
        <w:tc>
          <w:tcPr>
            <w:tcW w:w="1812" w:type="dxa"/>
            <w:vAlign w:val="top"/>
          </w:tcPr>
          <w:p w14:paraId="0D744143">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5791" w:type="dxa"/>
            <w:vAlign w:val="top"/>
          </w:tcPr>
          <w:p w14:paraId="7A2632E9">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9"/>
                <w:sz w:val="24"/>
                <w:szCs w:val="24"/>
                <w:lang w:eastAsia="zh-CN"/>
              </w:rPr>
              <w:t>。</w:t>
            </w:r>
          </w:p>
        </w:tc>
      </w:tr>
      <w:tr w14:paraId="0DCCD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54C68072">
            <w:pPr>
              <w:pStyle w:val="36"/>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12" w:type="dxa"/>
            <w:vAlign w:val="top"/>
          </w:tcPr>
          <w:p w14:paraId="31085E6C">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5791" w:type="dxa"/>
            <w:vAlign w:val="top"/>
          </w:tcPr>
          <w:p w14:paraId="21DDE4A1">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r>
              <w:rPr>
                <w:rFonts w:hint="eastAsia" w:asciiTheme="minorEastAsia" w:hAnsiTheme="minorEastAsia" w:eastAsiaTheme="minorEastAsia" w:cstheme="minorEastAsia"/>
                <w:spacing w:val="-15"/>
                <w:sz w:val="24"/>
                <w:szCs w:val="24"/>
                <w:lang w:eastAsia="zh-CN"/>
              </w:rPr>
              <w:t>。</w:t>
            </w:r>
          </w:p>
        </w:tc>
      </w:tr>
      <w:tr w14:paraId="5B828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30793F58">
            <w:pPr>
              <w:pStyle w:val="36"/>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6</w:t>
            </w:r>
          </w:p>
        </w:tc>
        <w:tc>
          <w:tcPr>
            <w:tcW w:w="1812" w:type="dxa"/>
            <w:vAlign w:val="top"/>
          </w:tcPr>
          <w:p w14:paraId="77BA914C">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5791" w:type="dxa"/>
            <w:vAlign w:val="top"/>
          </w:tcPr>
          <w:p w14:paraId="65D966B3">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w:t>
            </w:r>
            <w:r>
              <w:rPr>
                <w:rFonts w:hint="eastAsia" w:asciiTheme="minorEastAsia" w:hAnsiTheme="minorEastAsia" w:eastAsiaTheme="minorEastAsia" w:cstheme="minorEastAsia"/>
                <w:spacing w:val="-1"/>
                <w:sz w:val="24"/>
                <w:szCs w:val="24"/>
                <w:lang w:val="en-US" w:eastAsia="zh-CN"/>
              </w:rPr>
              <w:t>提</w:t>
            </w:r>
            <w:r>
              <w:rPr>
                <w:rFonts w:hint="eastAsia" w:asciiTheme="minorEastAsia" w:hAnsiTheme="minorEastAsia" w:eastAsiaTheme="minorEastAsia" w:cstheme="minorEastAsia"/>
                <w:spacing w:val="-1"/>
                <w:sz w:val="24"/>
                <w:szCs w:val="24"/>
              </w:rPr>
              <w:t>供且签署、盖</w:t>
            </w:r>
            <w:r>
              <w:rPr>
                <w:rFonts w:hint="eastAsia" w:asciiTheme="minorEastAsia" w:hAnsiTheme="minorEastAsia" w:eastAsiaTheme="minorEastAsia" w:cstheme="minorEastAsia"/>
                <w:spacing w:val="-17"/>
                <w:sz w:val="24"/>
                <w:szCs w:val="24"/>
              </w:rPr>
              <w:t>章的</w:t>
            </w:r>
            <w:r>
              <w:rPr>
                <w:rFonts w:hint="eastAsia" w:asciiTheme="minorEastAsia" w:hAnsiTheme="minorEastAsia" w:eastAsiaTheme="minorEastAsia" w:cstheme="minorEastAsia"/>
                <w:spacing w:val="-17"/>
                <w:sz w:val="24"/>
                <w:szCs w:val="24"/>
                <w:lang w:eastAsia="zh-CN"/>
              </w:rPr>
              <w:t>。</w:t>
            </w:r>
          </w:p>
        </w:tc>
      </w:tr>
      <w:tr w14:paraId="5A451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2A543EF3">
            <w:pPr>
              <w:pStyle w:val="36"/>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7</w:t>
            </w:r>
          </w:p>
        </w:tc>
        <w:tc>
          <w:tcPr>
            <w:tcW w:w="1812" w:type="dxa"/>
            <w:vAlign w:val="top"/>
          </w:tcPr>
          <w:p w14:paraId="73BCB35B">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5791" w:type="dxa"/>
            <w:vAlign w:val="top"/>
          </w:tcPr>
          <w:p w14:paraId="3EA1F469">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14:paraId="1A4A5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193BF9E2">
            <w:pPr>
              <w:pStyle w:val="36"/>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rPr>
            </w:pPr>
          </w:p>
          <w:p w14:paraId="6D0DF018">
            <w:pPr>
              <w:pStyle w:val="36"/>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8</w:t>
            </w:r>
          </w:p>
        </w:tc>
        <w:tc>
          <w:tcPr>
            <w:tcW w:w="1812" w:type="dxa"/>
            <w:vAlign w:val="top"/>
          </w:tcPr>
          <w:p w14:paraId="1137E1EA">
            <w:pPr>
              <w:pStyle w:val="36"/>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rPr>
            </w:pPr>
          </w:p>
          <w:p w14:paraId="171F6E54">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5791" w:type="dxa"/>
            <w:vAlign w:val="top"/>
          </w:tcPr>
          <w:p w14:paraId="66E2FFFC">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r>
              <w:rPr>
                <w:rFonts w:hint="eastAsia" w:asciiTheme="minorEastAsia" w:hAnsiTheme="minorEastAsia" w:eastAsiaTheme="minorEastAsia" w:cstheme="minorEastAsia"/>
                <w:spacing w:val="-3"/>
                <w:sz w:val="24"/>
                <w:szCs w:val="24"/>
                <w:lang w:eastAsia="zh-CN"/>
              </w:rPr>
              <w:t>。</w:t>
            </w:r>
          </w:p>
        </w:tc>
      </w:tr>
      <w:tr w14:paraId="5C6C4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top"/>
          </w:tcPr>
          <w:p w14:paraId="093BEE7A">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9</w:t>
            </w:r>
          </w:p>
        </w:tc>
        <w:tc>
          <w:tcPr>
            <w:tcW w:w="1812" w:type="dxa"/>
            <w:vAlign w:val="top"/>
          </w:tcPr>
          <w:p w14:paraId="0791FE92">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交货时间</w:t>
            </w:r>
          </w:p>
          <w:p w14:paraId="6EDFB74B">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服务期限</w:t>
            </w:r>
          </w:p>
        </w:tc>
        <w:tc>
          <w:tcPr>
            <w:tcW w:w="5791" w:type="dxa"/>
            <w:vAlign w:val="center"/>
          </w:tcPr>
          <w:p w14:paraId="06A26726">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5012B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C165795">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10</w:t>
            </w:r>
          </w:p>
        </w:tc>
        <w:tc>
          <w:tcPr>
            <w:tcW w:w="1812" w:type="dxa"/>
            <w:vAlign w:val="center"/>
          </w:tcPr>
          <w:p w14:paraId="3FD67925">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2"/>
                <w:sz w:val="24"/>
                <w:szCs w:val="24"/>
                <w:lang w:val="en-US" w:eastAsia="zh-CN"/>
              </w:rPr>
              <w:t>质保期</w:t>
            </w:r>
          </w:p>
          <w:p w14:paraId="62603EDF">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rPr>
              <w:t>□</w:t>
            </w:r>
            <w:r>
              <w:rPr>
                <w:rFonts w:hint="eastAsia" w:asciiTheme="minorEastAsia" w:hAnsiTheme="minorEastAsia" w:eastAsiaTheme="minorEastAsia" w:cstheme="minorEastAsia"/>
                <w:spacing w:val="-1"/>
                <w:sz w:val="24"/>
                <w:szCs w:val="24"/>
                <w:lang w:val="en-US" w:eastAsia="zh-CN"/>
              </w:rPr>
              <w:t>服务质量</w:t>
            </w:r>
          </w:p>
        </w:tc>
        <w:tc>
          <w:tcPr>
            <w:tcW w:w="5791" w:type="dxa"/>
            <w:vAlign w:val="center"/>
          </w:tcPr>
          <w:p w14:paraId="615E7E73">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1DAAA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25665586">
            <w:pPr>
              <w:pStyle w:val="36"/>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rPr>
            </w:pPr>
          </w:p>
          <w:p w14:paraId="0A5E0E6A">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11</w:t>
            </w:r>
          </w:p>
        </w:tc>
        <w:tc>
          <w:tcPr>
            <w:tcW w:w="1812" w:type="dxa"/>
            <w:vAlign w:val="top"/>
          </w:tcPr>
          <w:p w14:paraId="523560F8">
            <w:pPr>
              <w:pStyle w:val="36"/>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5C231E3E">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5791" w:type="dxa"/>
            <w:vAlign w:val="top"/>
          </w:tcPr>
          <w:p w14:paraId="05FECE68">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r>
              <w:rPr>
                <w:rFonts w:hint="eastAsia" w:asciiTheme="minorEastAsia" w:hAnsiTheme="minorEastAsia" w:eastAsiaTheme="minorEastAsia" w:cstheme="minorEastAsia"/>
                <w:spacing w:val="-12"/>
                <w:sz w:val="24"/>
                <w:szCs w:val="24"/>
                <w:lang w:eastAsia="zh-CN"/>
              </w:rPr>
              <w:t>。</w:t>
            </w:r>
          </w:p>
        </w:tc>
      </w:tr>
      <w:tr w14:paraId="3373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1264F078">
            <w:pPr>
              <w:pStyle w:val="36"/>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34C33747">
            <w:pPr>
              <w:pStyle w:val="36"/>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0BE934D5">
            <w:pPr>
              <w:pStyle w:val="36"/>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4D081CA3">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12</w:t>
            </w:r>
          </w:p>
        </w:tc>
        <w:tc>
          <w:tcPr>
            <w:tcW w:w="1812" w:type="dxa"/>
            <w:vAlign w:val="top"/>
          </w:tcPr>
          <w:p w14:paraId="1FE719E1">
            <w:pPr>
              <w:pStyle w:val="36"/>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0DC5CCC9">
            <w:pPr>
              <w:pStyle w:val="36"/>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5782FDCF">
            <w:pPr>
              <w:pStyle w:val="36"/>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rPr>
            </w:pPr>
          </w:p>
          <w:p w14:paraId="4C286722">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5791" w:type="dxa"/>
            <w:vMerge w:val="restart"/>
            <w:vAlign w:val="top"/>
          </w:tcPr>
          <w:p w14:paraId="657BA3FF">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000000"/>
                <w:spacing w:val="-1"/>
                <w:kern w:val="0"/>
                <w:sz w:val="24"/>
                <w:szCs w:val="24"/>
                <w:lang w:val="en-US" w:eastAsia="zh-CN" w:bidi="ar-SA"/>
              </w:rPr>
              <w:t>不存在</w:t>
            </w:r>
            <w:r>
              <w:rPr>
                <w:rFonts w:hint="eastAsia" w:asciiTheme="minorEastAsia" w:hAnsiTheme="minorEastAsia" w:eastAsiaTheme="minorEastAsia" w:cstheme="minorEastAsia"/>
                <w:snapToGrid w:val="0"/>
                <w:color w:val="000000"/>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spacing w:val="-1"/>
                <w:sz w:val="24"/>
                <w:szCs w:val="24"/>
              </w:rPr>
              <w:t>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14:paraId="69181B9D">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一</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二</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000000"/>
                <w:spacing w:val="-1"/>
                <w:kern w:val="0"/>
                <w:sz w:val="24"/>
                <w:szCs w:val="24"/>
                <w:lang w:val="en-US" w:eastAsia="zh-CN" w:bidi="ar-SA"/>
              </w:rPr>
              <w:t>三</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000000"/>
                <w:spacing w:val="-1"/>
                <w:kern w:val="0"/>
                <w:sz w:val="24"/>
                <w:szCs w:val="24"/>
                <w:lang w:val="en-US" w:eastAsia="zh-CN" w:bidi="ar-SA"/>
              </w:rPr>
              <w:t>四</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000000"/>
                <w:spacing w:val="-1"/>
                <w:kern w:val="0"/>
                <w:sz w:val="24"/>
                <w:szCs w:val="24"/>
                <w:lang w:val="en-US" w:eastAsia="zh-CN" w:bidi="ar-SA"/>
              </w:rPr>
              <w:t>联系人</w:t>
            </w:r>
            <w:r>
              <w:rPr>
                <w:rFonts w:hint="eastAsia" w:asciiTheme="minorEastAsia" w:hAnsiTheme="minorEastAsia" w:eastAsiaTheme="minorEastAsia" w:cstheme="minorEastAsia"/>
                <w:snapToGrid w:val="0"/>
                <w:color w:val="000000"/>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五</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000000"/>
                <w:spacing w:val="-1"/>
                <w:kern w:val="0"/>
                <w:sz w:val="24"/>
                <w:szCs w:val="24"/>
                <w:lang w:val="en-US" w:eastAsia="zh-CN" w:bidi="ar-SA"/>
              </w:rPr>
              <w:t>存在</w:t>
            </w:r>
            <w:r>
              <w:rPr>
                <w:rFonts w:hint="eastAsia" w:asciiTheme="minorEastAsia" w:hAnsiTheme="minorEastAsia" w:eastAsiaTheme="minorEastAsia" w:cstheme="minorEastAsia"/>
                <w:snapToGrid w:val="0"/>
                <w:color w:val="000000"/>
                <w:spacing w:val="-1"/>
                <w:kern w:val="0"/>
                <w:sz w:val="24"/>
                <w:szCs w:val="24"/>
                <w:lang w:val="en-US" w:eastAsia="en-US" w:bidi="ar-SA"/>
              </w:rPr>
              <w:t>两处以上</w:t>
            </w:r>
            <w:r>
              <w:rPr>
                <w:rFonts w:hint="eastAsia" w:asciiTheme="minorEastAsia" w:hAnsiTheme="minorEastAsia" w:eastAsiaTheme="minorEastAsia" w:cstheme="minorEastAsia"/>
                <w:snapToGrid w:val="0"/>
                <w:color w:val="000000"/>
                <w:spacing w:val="-1"/>
                <w:kern w:val="0"/>
                <w:sz w:val="24"/>
                <w:szCs w:val="24"/>
                <w:lang w:val="en-US" w:eastAsia="zh-CN" w:bidi="ar-SA"/>
              </w:rPr>
              <w:t>细节错误</w:t>
            </w:r>
            <w:r>
              <w:rPr>
                <w:rFonts w:hint="eastAsia" w:asciiTheme="minorEastAsia" w:hAnsiTheme="minorEastAsia" w:eastAsiaTheme="minorEastAsia" w:cstheme="minorEastAsia"/>
                <w:snapToGrid w:val="0"/>
                <w:color w:val="000000"/>
                <w:spacing w:val="-1"/>
                <w:kern w:val="0"/>
                <w:sz w:val="24"/>
                <w:szCs w:val="24"/>
                <w:lang w:val="en-US" w:eastAsia="en-US" w:bidi="ar-SA"/>
              </w:rPr>
              <w:t>一致；（</w:t>
            </w:r>
            <w:r>
              <w:rPr>
                <w:rFonts w:hint="eastAsia" w:asciiTheme="minorEastAsia" w:hAnsiTheme="minorEastAsia" w:eastAsiaTheme="minorEastAsia" w:cstheme="minorEastAsia"/>
                <w:snapToGrid w:val="0"/>
                <w:color w:val="000000"/>
                <w:spacing w:val="-1"/>
                <w:kern w:val="0"/>
                <w:sz w:val="24"/>
                <w:szCs w:val="24"/>
                <w:lang w:val="en-US" w:eastAsia="zh-CN" w:bidi="ar-SA"/>
              </w:rPr>
              <w:t>六</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000000"/>
                <w:spacing w:val="-1"/>
                <w:kern w:val="0"/>
                <w:sz w:val="24"/>
                <w:szCs w:val="24"/>
                <w:lang w:val="en-US" w:eastAsia="zh-CN" w:bidi="ar-SA"/>
              </w:rPr>
              <w:t>等由</w:t>
            </w:r>
            <w:r>
              <w:rPr>
                <w:rFonts w:hint="eastAsia" w:asciiTheme="minorEastAsia" w:hAnsiTheme="minorEastAsia" w:eastAsiaTheme="minorEastAsia" w:cstheme="minorEastAsia"/>
                <w:snapToGrid w:val="0"/>
                <w:color w:val="000000"/>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领取报酬</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七</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000000"/>
                <w:spacing w:val="-1"/>
                <w:kern w:val="0"/>
                <w:sz w:val="24"/>
                <w:szCs w:val="24"/>
                <w:lang w:val="en-US" w:eastAsia="zh-CN" w:bidi="ar-SA"/>
              </w:rPr>
              <w:t>（响应）</w:t>
            </w:r>
            <w:r>
              <w:rPr>
                <w:rFonts w:hint="eastAsia" w:asciiTheme="minorEastAsia" w:hAnsiTheme="minorEastAsia" w:eastAsiaTheme="minorEastAsia" w:cstheme="minorEastAsia"/>
                <w:snapToGrid w:val="0"/>
                <w:color w:val="000000"/>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000000"/>
                <w:spacing w:val="-1"/>
                <w:kern w:val="0"/>
                <w:sz w:val="24"/>
                <w:szCs w:val="24"/>
                <w:lang w:val="en-US" w:eastAsia="zh-CN" w:bidi="ar-SA"/>
              </w:rPr>
              <w:t>之手</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八</w:t>
            </w:r>
            <w:r>
              <w:rPr>
                <w:rFonts w:hint="eastAsia" w:asciiTheme="minorEastAsia" w:hAnsiTheme="minorEastAsia" w:eastAsiaTheme="minorEastAsia" w:cstheme="minorEastAsia"/>
                <w:snapToGrid w:val="0"/>
                <w:color w:val="000000"/>
                <w:spacing w:val="-1"/>
                <w:kern w:val="0"/>
                <w:sz w:val="24"/>
                <w:szCs w:val="24"/>
                <w:lang w:val="en-US" w:eastAsia="en-US" w:bidi="ar-SA"/>
              </w:rPr>
              <w:t>）其他涉嫌串通的情形。</w:t>
            </w:r>
          </w:p>
        </w:tc>
      </w:tr>
      <w:tr w14:paraId="4E4C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2C3A0D50">
            <w:pPr>
              <w:pStyle w:val="36"/>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pacing w:val="5"/>
                <w:sz w:val="24"/>
                <w:szCs w:val="24"/>
                <w:lang w:val="en-US" w:eastAsia="zh-CN"/>
              </w:rPr>
            </w:pPr>
          </w:p>
        </w:tc>
        <w:tc>
          <w:tcPr>
            <w:tcW w:w="1812" w:type="dxa"/>
            <w:vAlign w:val="top"/>
          </w:tcPr>
          <w:p w14:paraId="2876665E">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pacing w:val="-6"/>
                <w:sz w:val="24"/>
                <w:szCs w:val="24"/>
              </w:rPr>
            </w:pPr>
          </w:p>
        </w:tc>
        <w:tc>
          <w:tcPr>
            <w:tcW w:w="5791" w:type="dxa"/>
            <w:vMerge w:val="continue"/>
            <w:vAlign w:val="top"/>
          </w:tcPr>
          <w:p w14:paraId="6DE1E76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spacing w:val="-1"/>
                <w:sz w:val="24"/>
                <w:szCs w:val="24"/>
              </w:rPr>
            </w:pPr>
          </w:p>
        </w:tc>
      </w:tr>
      <w:tr w14:paraId="1C6FA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1F36340F">
            <w:pPr>
              <w:pStyle w:val="36"/>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3</w:t>
            </w:r>
          </w:p>
        </w:tc>
        <w:tc>
          <w:tcPr>
            <w:tcW w:w="1812" w:type="dxa"/>
            <w:vAlign w:val="top"/>
          </w:tcPr>
          <w:p w14:paraId="6CB22D37">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5791" w:type="dxa"/>
            <w:vAlign w:val="top"/>
          </w:tcPr>
          <w:p w14:paraId="7A005DED">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r>
              <w:rPr>
                <w:rFonts w:hint="eastAsia" w:asciiTheme="minorEastAsia" w:hAnsiTheme="minorEastAsia" w:eastAsiaTheme="minorEastAsia" w:cstheme="minorEastAsia"/>
                <w:spacing w:val="-4"/>
                <w:sz w:val="24"/>
                <w:szCs w:val="24"/>
                <w:lang w:eastAsia="zh-CN"/>
              </w:rPr>
              <w:t>。</w:t>
            </w:r>
          </w:p>
        </w:tc>
      </w:tr>
      <w:tr w14:paraId="273DF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78202F77">
            <w:pPr>
              <w:pStyle w:val="36"/>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4</w:t>
            </w:r>
          </w:p>
        </w:tc>
        <w:tc>
          <w:tcPr>
            <w:tcW w:w="1812" w:type="dxa"/>
            <w:vAlign w:val="top"/>
          </w:tcPr>
          <w:p w14:paraId="58737BAF">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5791" w:type="dxa"/>
            <w:vAlign w:val="top"/>
          </w:tcPr>
          <w:p w14:paraId="10F5766C">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14:paraId="2532BA37">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2.技术审查</w:t>
      </w:r>
    </w:p>
    <w:p w14:paraId="2A9A9493">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审查投标设备的技术指标、技术性能及产品技术说明等：</w:t>
      </w:r>
    </w:p>
    <w:p w14:paraId="422A7091">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2.1投标人提供的产品必须为符合国家质量标准的全新产品，国家对投标产品有强制性要求的，投标人应出具相应的质量证明文件。</w:t>
      </w:r>
    </w:p>
    <w:p w14:paraId="3BDE7DC7">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 xml:space="preserve">2.2投标人应提供主要产品的技术参数、技术性能说明；同时提供其官方网站下载的产品技术说明。中标人应向采购人提供全方位及时而有效的技术支持和服务。     </w:t>
      </w:r>
    </w:p>
    <w:p w14:paraId="023D946C">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2.3  审查投标人提供的技术配置方案、社会化网点接入方案、软硬件运行环境建设方案、系统运行安全建设方案、部署迁移方案等是否符合招标要求。</w:t>
      </w:r>
    </w:p>
    <w:p w14:paraId="45B1842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3.评标委员会将通过审查确定每一投标人是否对招标文件做出了实质性响应</w:t>
      </w:r>
    </w:p>
    <w:p w14:paraId="332E18A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028EB1A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4.投标文件的澄清</w:t>
      </w:r>
    </w:p>
    <w:p w14:paraId="73BD552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7E6664B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067B31D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4.3 投标人的澄清、说明或补正文件是投标文件的组成部分，并取代投标文件中被澄清、说明或补正的部分。</w:t>
      </w:r>
    </w:p>
    <w:p w14:paraId="6D981C0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评标方法和评标标准</w:t>
      </w:r>
    </w:p>
    <w:p w14:paraId="4A242950">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本项目采用的评标方法为：</w:t>
      </w:r>
    </w:p>
    <w:p w14:paraId="73B0E3CD">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E0D668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08C79578">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最低评标价法，指投标文件满足招标文件全部实质性要求，且投标报价最低的投标人为中标候选人的评标方法。</w:t>
      </w:r>
    </w:p>
    <w:p w14:paraId="018785B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6BD4AA5">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1E7A1039">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1A00508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4F5E7510">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确定中标候选人名单</w:t>
      </w:r>
    </w:p>
    <w:p w14:paraId="3FC3A4F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D29B3B1">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随机抽取</w:t>
      </w:r>
    </w:p>
    <w:p w14:paraId="6E51C5A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yellow"/>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其他方式，</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具体要求：</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优先选择报价低的   。</w:t>
      </w:r>
    </w:p>
    <w:p w14:paraId="2E4AC9F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6E5B0561">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78241C42">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 xml:space="preserve">4.4 </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713EB302">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评标委员会将根据各投标人的评标排序，依次推荐本项目（各采购包）的中标候选人，起草并签署评标报告。</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本项目（采购包）评标委</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员会共推荐</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3  </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名中标</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候选人。</w:t>
      </w:r>
    </w:p>
    <w:p w14:paraId="765EFEB1">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报告违法行为</w:t>
      </w:r>
    </w:p>
    <w:p w14:paraId="073DCC8E">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供虚假材料或者串通等违法行为时，有向采购人、采购代理机构或者有关部门报告的职责。</w:t>
      </w:r>
    </w:p>
    <w:p w14:paraId="3CB38E5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6.确定中标人</w:t>
      </w:r>
    </w:p>
    <w:p w14:paraId="3433117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□根据采购人授权，评委会根据排名顺序直接确定排名第一的中标候选人为中标人。</w:t>
      </w:r>
    </w:p>
    <w:p w14:paraId="6D40D3D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☑采购人应当在收到评标报告之日起5个工作日内，在评标报告确定的中标候选人名单中按顺序确定中标人。</w:t>
      </w:r>
    </w:p>
    <w:p w14:paraId="4F9E1553">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7.投标人存在下列情况之一的，投标无效：</w:t>
      </w:r>
    </w:p>
    <w:p w14:paraId="7E5B8EC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（1）投标文件未按招标文件要求签署、盖章的；</w:t>
      </w:r>
    </w:p>
    <w:p w14:paraId="0F7A791B">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（2）不具备招标文件中规定的资格要求的；</w:t>
      </w:r>
    </w:p>
    <w:p w14:paraId="142B5807">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（3）报价超过招标文件中规定的预算金额或者最高限价的；</w:t>
      </w:r>
    </w:p>
    <w:p w14:paraId="374447F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（4）投标文件含有采购人不能接受的附加条件的；</w:t>
      </w:r>
    </w:p>
    <w:p w14:paraId="2C7557B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（5）不符合应提交投标文件资料数量要求的；</w:t>
      </w:r>
    </w:p>
    <w:p w14:paraId="37EEDFA9">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（6）开标解密时未在规定时间（30分钟）内进行解密成功的视为撤销其投标文件（因电子开标系统原因除外）；</w:t>
      </w:r>
    </w:p>
    <w:p w14:paraId="4E7A60CE">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（7）电子投标文件未使用CA</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认证并加密的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AFDA4B3">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（8）未在投标截止时间前完成上传的；</w:t>
      </w:r>
    </w:p>
    <w:p w14:paraId="50EA25D5">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（9）法律、法规和招标文件规定的其他无效情形。</w:t>
      </w:r>
    </w:p>
    <w:p w14:paraId="231F4673">
      <w:pPr>
        <w:pStyle w:val="15"/>
        <w:ind w:firstLine="490" w:firstLineChars="200"/>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未按</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暗标</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要求编写技术或方案部分的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E5E6825">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8.在招标采购中，出现下列情形之一的，应予废标：</w:t>
      </w:r>
    </w:p>
    <w:p w14:paraId="172811A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（1）符合专业条件的供应商或者对招标文件作实质性响应的供应商不足三家的；</w:t>
      </w:r>
    </w:p>
    <w:p w14:paraId="18C6D5A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（2）出现影响采购公正的违法、违规行为的；</w:t>
      </w:r>
    </w:p>
    <w:p w14:paraId="6BE08962">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（3）投标人的报价均超过了预算金额，采购人不能支付的；</w:t>
      </w:r>
    </w:p>
    <w:p w14:paraId="1209281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（4）因重大变故，采购任务取消的。</w:t>
      </w:r>
    </w:p>
    <w:p w14:paraId="7528AD8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废标后，应当在指定媒体发布公告，将废标理由通知所有投标人。</w:t>
      </w:r>
    </w:p>
    <w:p w14:paraId="20E78B9F">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2E122BD3">
      <w:pP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br w:type="page"/>
      </w:r>
    </w:p>
    <w:p w14:paraId="412EE24D">
      <w:pPr>
        <w:pStyle w:val="7"/>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spacing w:val="-2"/>
          <w:sz w:val="36"/>
          <w:szCs w:val="36"/>
          <w:highlight w:val="none"/>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标准</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399"/>
        <w:gridCol w:w="1568"/>
        <w:gridCol w:w="4608"/>
      </w:tblGrid>
      <w:tr w14:paraId="51E3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01" w:type="dxa"/>
            <w:noWrap w:val="0"/>
            <w:vAlign w:val="center"/>
          </w:tcPr>
          <w:p w14:paraId="60BC2165">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序号</w:t>
            </w:r>
          </w:p>
        </w:tc>
        <w:tc>
          <w:tcPr>
            <w:tcW w:w="1638" w:type="dxa"/>
            <w:noWrap w:val="0"/>
            <w:vAlign w:val="center"/>
          </w:tcPr>
          <w:p w14:paraId="2E49F7A0">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评分因素</w:t>
            </w:r>
          </w:p>
        </w:tc>
        <w:tc>
          <w:tcPr>
            <w:tcW w:w="1885" w:type="dxa"/>
            <w:noWrap w:val="0"/>
            <w:vAlign w:val="center"/>
          </w:tcPr>
          <w:p w14:paraId="3184B185">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分值</w:t>
            </w:r>
          </w:p>
        </w:tc>
        <w:tc>
          <w:tcPr>
            <w:tcW w:w="5674" w:type="dxa"/>
            <w:noWrap w:val="0"/>
            <w:vAlign w:val="center"/>
          </w:tcPr>
          <w:p w14:paraId="0C412DCB">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评分标准说明</w:t>
            </w:r>
          </w:p>
        </w:tc>
      </w:tr>
      <w:tr w14:paraId="4E77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101" w:type="dxa"/>
            <w:noWrap w:val="0"/>
            <w:vAlign w:val="center"/>
          </w:tcPr>
          <w:p w14:paraId="4FAA7F8E">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1</w:t>
            </w:r>
          </w:p>
        </w:tc>
        <w:tc>
          <w:tcPr>
            <w:tcW w:w="1638" w:type="dxa"/>
            <w:noWrap w:val="0"/>
            <w:vAlign w:val="center"/>
          </w:tcPr>
          <w:p w14:paraId="48E5EE6E">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价格部分</w:t>
            </w:r>
          </w:p>
          <w:p w14:paraId="64B715AE">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30分</w:t>
            </w:r>
          </w:p>
        </w:tc>
        <w:tc>
          <w:tcPr>
            <w:tcW w:w="1885" w:type="dxa"/>
            <w:noWrap w:val="0"/>
            <w:vAlign w:val="center"/>
          </w:tcPr>
          <w:p w14:paraId="53A5E5A7">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投标报价</w:t>
            </w:r>
          </w:p>
          <w:p w14:paraId="644AC187">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30分</w:t>
            </w:r>
          </w:p>
        </w:tc>
        <w:tc>
          <w:tcPr>
            <w:tcW w:w="5674" w:type="dxa"/>
            <w:noWrap w:val="0"/>
            <w:vAlign w:val="top"/>
          </w:tcPr>
          <w:p w14:paraId="6D7298F8">
            <w:pPr>
              <w:widowControl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满足招标文件要求且投标价格最低的投标报价为评标基准价，其价格分为满分。其他投标人的价格分统一按照下列公式计算：投标报价得分＝（评标基准价/投标报价）×30。</w:t>
            </w:r>
          </w:p>
          <w:p w14:paraId="3FCE5913">
            <w:pPr>
              <w:widowControl w:val="0"/>
              <w:rPr>
                <w:rFonts w:hint="eastAsia" w:ascii="宋体" w:hAnsi="宋体" w:eastAsia="宋体" w:cs="宋体"/>
                <w:highlight w:val="none"/>
                <w:vertAlign w:val="baseline"/>
                <w:lang w:val="en-US" w:eastAsia="zh-CN"/>
              </w:rPr>
            </w:pPr>
            <w:r>
              <w:rPr>
                <w:rFonts w:hint="eastAsia" w:ascii="宋体" w:hAnsi="宋体" w:eastAsia="宋体" w:cs="宋体"/>
                <w:b w:val="0"/>
                <w:bCs w:val="0"/>
                <w:highlight w:val="none"/>
                <w:lang w:val="en-US"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w:t>
            </w:r>
            <w:r>
              <w:rPr>
                <w:rFonts w:hint="eastAsia" w:ascii="宋体" w:hAnsi="宋体" w:eastAsia="宋体" w:cs="宋体"/>
                <w:b w:val="0"/>
                <w:bCs w:val="0"/>
                <w:color w:val="auto"/>
                <w:highlight w:val="none"/>
                <w:lang w:val="en-US" w:eastAsia="zh-CN"/>
              </w:rPr>
              <w:t>15%后参与评审，参与优惠企业的报价=投标报价*（1-15%）。对于兼具小微、监狱企业、残疾人福利单位多重资</w:t>
            </w:r>
            <w:r>
              <w:rPr>
                <w:rFonts w:hint="eastAsia" w:ascii="宋体" w:hAnsi="宋体" w:eastAsia="宋体" w:cs="宋体"/>
                <w:b w:val="0"/>
                <w:bCs w:val="0"/>
                <w:highlight w:val="none"/>
                <w:lang w:val="en-US" w:eastAsia="zh-CN"/>
              </w:rPr>
              <w:t>质，仅单次折价，不叠加扣除；专门面向中小企业采购项目不执行本优惠。</w:t>
            </w:r>
          </w:p>
        </w:tc>
      </w:tr>
      <w:tr w14:paraId="68FE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4" w:hRule="atLeast"/>
        </w:trPr>
        <w:tc>
          <w:tcPr>
            <w:tcW w:w="1101" w:type="dxa"/>
            <w:vMerge w:val="restart"/>
            <w:noWrap w:val="0"/>
            <w:vAlign w:val="center"/>
          </w:tcPr>
          <w:p w14:paraId="4BEBC3EC">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w:t>
            </w:r>
          </w:p>
        </w:tc>
        <w:tc>
          <w:tcPr>
            <w:tcW w:w="1638" w:type="dxa"/>
            <w:vMerge w:val="restart"/>
            <w:noWrap w:val="0"/>
            <w:vAlign w:val="center"/>
          </w:tcPr>
          <w:p w14:paraId="1B9D3A67">
            <w:pPr>
              <w:widowControl w:val="0"/>
              <w:jc w:val="center"/>
              <w:rPr>
                <w:rFonts w:hint="eastAsia" w:asciiTheme="minorEastAsia" w:hAnsiTheme="minorEastAsia" w:eastAsiaTheme="minorEastAsia" w:cstheme="minorEastAsia"/>
                <w:b/>
                <w:bCs/>
                <w:sz w:val="24"/>
                <w:szCs w:val="24"/>
                <w:highlight w:val="none"/>
                <w:lang w:val="zh-CN" w:eastAsia="zh-CN"/>
              </w:rPr>
            </w:pPr>
            <w:r>
              <w:rPr>
                <w:rFonts w:hint="eastAsia" w:asciiTheme="minorEastAsia" w:hAnsiTheme="minorEastAsia" w:eastAsiaTheme="minorEastAsia" w:cstheme="minorEastAsia"/>
                <w:b/>
                <w:bCs/>
                <w:sz w:val="24"/>
                <w:szCs w:val="24"/>
                <w:highlight w:val="none"/>
                <w:lang w:val="zh-CN" w:eastAsia="zh-CN"/>
              </w:rPr>
              <w:t>（</w:t>
            </w:r>
            <w:r>
              <w:rPr>
                <w:rFonts w:hint="eastAsia" w:asciiTheme="minorEastAsia" w:hAnsiTheme="minorEastAsia" w:eastAsiaTheme="minorEastAsia" w:cstheme="minorEastAsia"/>
                <w:b/>
                <w:bCs/>
                <w:sz w:val="24"/>
                <w:szCs w:val="24"/>
                <w:highlight w:val="none"/>
                <w:lang w:val="en-US" w:eastAsia="zh-CN"/>
              </w:rPr>
              <w:t>暗标</w:t>
            </w:r>
            <w:r>
              <w:rPr>
                <w:rFonts w:hint="eastAsia" w:asciiTheme="minorEastAsia" w:hAnsiTheme="minorEastAsia" w:eastAsiaTheme="minorEastAsia" w:cstheme="minorEastAsia"/>
                <w:b/>
                <w:bCs/>
                <w:sz w:val="24"/>
                <w:szCs w:val="24"/>
                <w:highlight w:val="none"/>
                <w:lang w:val="zh-CN" w:eastAsia="zh-CN"/>
              </w:rPr>
              <w:t>）</w:t>
            </w:r>
          </w:p>
          <w:p w14:paraId="384E70B6">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技术部分</w:t>
            </w:r>
          </w:p>
          <w:p w14:paraId="32DAE47C">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24分</w:t>
            </w:r>
          </w:p>
        </w:tc>
        <w:tc>
          <w:tcPr>
            <w:tcW w:w="1885" w:type="dxa"/>
            <w:noWrap w:val="0"/>
            <w:vAlign w:val="center"/>
          </w:tcPr>
          <w:p w14:paraId="558EEED1">
            <w:pPr>
              <w:pStyle w:val="36"/>
              <w:keepNext w:val="0"/>
              <w:keepLines w:val="0"/>
              <w:pageBreakBefore w:val="0"/>
              <w:widowControl w:val="0"/>
              <w:kinsoku/>
              <w:wordWrap w:val="0"/>
              <w:overflowPunct/>
              <w:topLinePunct w:val="0"/>
              <w:bidi w:val="0"/>
              <w:jc w:val="center"/>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kern w:val="2"/>
                <w:sz w:val="21"/>
                <w:szCs w:val="24"/>
                <w:highlight w:val="none"/>
                <w:vertAlign w:val="baseline"/>
                <w:lang w:val="en-US" w:eastAsia="zh-CN" w:bidi="ar-SA"/>
              </w:rPr>
              <w:t>供货方案</w:t>
            </w:r>
          </w:p>
          <w:p w14:paraId="3DC1FE63">
            <w:pPr>
              <w:pStyle w:val="36"/>
              <w:keepNext w:val="0"/>
              <w:keepLines w:val="0"/>
              <w:pageBreakBefore w:val="0"/>
              <w:widowControl w:val="0"/>
              <w:kinsoku/>
              <w:wordWrap w:val="0"/>
              <w:overflowPunct/>
              <w:topLinePunct w:val="0"/>
              <w:bidi w:val="0"/>
              <w:jc w:val="center"/>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kern w:val="2"/>
                <w:sz w:val="21"/>
                <w:szCs w:val="24"/>
                <w:highlight w:val="none"/>
                <w:vertAlign w:val="baseline"/>
                <w:lang w:val="en-US" w:eastAsia="zh-CN" w:bidi="ar-SA"/>
              </w:rPr>
              <w:t>（10分）</w:t>
            </w:r>
          </w:p>
        </w:tc>
        <w:tc>
          <w:tcPr>
            <w:tcW w:w="5674" w:type="dxa"/>
            <w:noWrap w:val="0"/>
            <w:vAlign w:val="top"/>
          </w:tcPr>
          <w:p w14:paraId="06559FD2">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方案包含但不限于实施计划、进度控制、项目团队岗位构成等。 </w:t>
            </w:r>
          </w:p>
          <w:p w14:paraId="67E55EC4">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第一档：实施阶段划分清晰，关键流程明确；时间节点精确，任务分解至具体责任人；团队岗位角色齐全，项目组织架构完整，项目组成员岗位职责明确，具备项目管理能力；质量管控体系完整，质量保证方案详尽。内容全面、逻辑严谨、措施具体，具备创新性和可落地性，显著优于招标要求得10分。 </w:t>
            </w:r>
          </w:p>
          <w:p w14:paraId="50BB17FE">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第二档：阶段完整但时间规划较粗，任务分工模糊；团队岗位结构完整，但部分岗位资质未明确，数据管理能力未明确；有质量管控计划但无第三方验证。基本满足招标要求，但部分环节存在不足（如细节缺失、方法常规）得7分。 </w:t>
            </w:r>
          </w:p>
          <w:p w14:paraId="0FC77E6F">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第三档：仅列出阶段名称，无时间、岗位或任务分配；无具体进度控制措施；无具体质量保障措施。关键内容缺失或明显不合理，无法保障项目顺利实施得4分。 </w:t>
            </w:r>
          </w:p>
          <w:p w14:paraId="4A5F3859">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第四档：有供货方案，但内容与本项目实际不符（或部分内容缺项），得1分；</w:t>
            </w:r>
          </w:p>
          <w:p w14:paraId="1D5B83BA">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第五档：没有不得分。</w:t>
            </w:r>
          </w:p>
        </w:tc>
      </w:tr>
      <w:tr w14:paraId="03B8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1101" w:type="dxa"/>
            <w:vMerge w:val="continue"/>
            <w:noWrap w:val="0"/>
            <w:vAlign w:val="top"/>
          </w:tcPr>
          <w:p w14:paraId="25BA8C7A">
            <w:pPr>
              <w:widowControl w:val="0"/>
              <w:rPr>
                <w:rFonts w:hint="eastAsia" w:ascii="宋体" w:hAnsi="宋体" w:eastAsia="宋体" w:cs="宋体"/>
                <w:highlight w:val="none"/>
                <w:vertAlign w:val="baseline"/>
                <w:lang w:val="en-US" w:eastAsia="zh-CN"/>
              </w:rPr>
            </w:pPr>
          </w:p>
        </w:tc>
        <w:tc>
          <w:tcPr>
            <w:tcW w:w="1638" w:type="dxa"/>
            <w:vMerge w:val="continue"/>
            <w:noWrap w:val="0"/>
            <w:vAlign w:val="top"/>
          </w:tcPr>
          <w:p w14:paraId="636B655F">
            <w:pPr>
              <w:widowControl w:val="0"/>
              <w:rPr>
                <w:rFonts w:hint="eastAsia" w:ascii="宋体" w:hAnsi="宋体" w:eastAsia="宋体" w:cs="宋体"/>
                <w:highlight w:val="none"/>
                <w:vertAlign w:val="baseline"/>
                <w:lang w:val="en-US" w:eastAsia="zh-CN"/>
              </w:rPr>
            </w:pPr>
          </w:p>
        </w:tc>
        <w:tc>
          <w:tcPr>
            <w:tcW w:w="1885" w:type="dxa"/>
            <w:noWrap w:val="0"/>
            <w:vAlign w:val="center"/>
          </w:tcPr>
          <w:p w14:paraId="1256D2DE">
            <w:pPr>
              <w:widowControl w:val="0"/>
              <w:jc w:val="center"/>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kern w:val="2"/>
                <w:sz w:val="21"/>
                <w:szCs w:val="24"/>
                <w:highlight w:val="none"/>
                <w:vertAlign w:val="baseline"/>
                <w:lang w:val="en-US" w:eastAsia="zh-CN" w:bidi="ar-SA"/>
              </w:rPr>
              <w:t>项目实施方案</w:t>
            </w:r>
          </w:p>
          <w:p w14:paraId="4426DC71">
            <w:pPr>
              <w:widowControl w:val="0"/>
              <w:jc w:val="center"/>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kern w:val="2"/>
                <w:sz w:val="21"/>
                <w:szCs w:val="24"/>
                <w:highlight w:val="none"/>
                <w:vertAlign w:val="baseline"/>
                <w:lang w:val="en-US" w:eastAsia="zh-CN" w:bidi="ar-SA"/>
              </w:rPr>
              <w:t>(8分)</w:t>
            </w:r>
          </w:p>
        </w:tc>
        <w:tc>
          <w:tcPr>
            <w:tcW w:w="5674" w:type="dxa"/>
            <w:noWrap w:val="0"/>
            <w:vAlign w:val="top"/>
          </w:tcPr>
          <w:p w14:paraId="57E80737">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项目实施方案，包括生产方案、安全文明施工方案、包装方案、运输方案、应急方案等方面制定全面的项目实施方案。</w:t>
            </w:r>
          </w:p>
          <w:p w14:paraId="601BAB7A">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第一档：能够结合实际情况，制定详细的生产方案，设置不同的安全文明施工方案，有详细的包装方案、运输方案、应急方案，内容全面、逻辑严谨、措施具体，得8分。 </w:t>
            </w:r>
          </w:p>
          <w:p w14:paraId="4E1802CE">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第二档：能够基本结合实际情况，无实质性描述，仅有简单组织分工，能提出较为全面的方案、措施，有一定针对性得6分。 </w:t>
            </w:r>
          </w:p>
          <w:p w14:paraId="1556A00C">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第三档：能够结合部分实际情况，但是未明确项目实施方案的全部内容要求，使用模糊表述，未体现各项实施方案或流程，得4分； </w:t>
            </w:r>
          </w:p>
          <w:p w14:paraId="04FBDF92">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第四档：有项目实施方案，但内容与本项目实际不符（或部分内容缺项），得2分；</w:t>
            </w:r>
          </w:p>
          <w:p w14:paraId="0B45DEB3">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第五档：没有不得分。</w:t>
            </w:r>
          </w:p>
        </w:tc>
      </w:tr>
      <w:tr w14:paraId="6104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1101" w:type="dxa"/>
            <w:vMerge w:val="continue"/>
            <w:noWrap w:val="0"/>
            <w:vAlign w:val="top"/>
          </w:tcPr>
          <w:p w14:paraId="18B31075">
            <w:pPr>
              <w:widowControl w:val="0"/>
              <w:rPr>
                <w:rFonts w:hint="eastAsia" w:ascii="宋体" w:hAnsi="宋体" w:eastAsia="宋体" w:cs="宋体"/>
                <w:highlight w:val="none"/>
                <w:vertAlign w:val="baseline"/>
                <w:lang w:val="en-US" w:eastAsia="zh-CN"/>
              </w:rPr>
            </w:pPr>
          </w:p>
        </w:tc>
        <w:tc>
          <w:tcPr>
            <w:tcW w:w="1638" w:type="dxa"/>
            <w:vMerge w:val="continue"/>
            <w:noWrap w:val="0"/>
            <w:vAlign w:val="top"/>
          </w:tcPr>
          <w:p w14:paraId="3D0507BE">
            <w:pPr>
              <w:widowControl w:val="0"/>
              <w:rPr>
                <w:rFonts w:hint="eastAsia" w:ascii="宋体" w:hAnsi="宋体" w:eastAsia="宋体" w:cs="宋体"/>
                <w:highlight w:val="none"/>
                <w:vertAlign w:val="baseline"/>
                <w:lang w:val="en-US" w:eastAsia="zh-CN"/>
              </w:rPr>
            </w:pPr>
          </w:p>
        </w:tc>
        <w:tc>
          <w:tcPr>
            <w:tcW w:w="1885" w:type="dxa"/>
            <w:noWrap w:val="0"/>
            <w:vAlign w:val="center"/>
          </w:tcPr>
          <w:p w14:paraId="25678BA6">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产品的整体水平及质量保证措施</w:t>
            </w:r>
          </w:p>
          <w:p w14:paraId="68BA6E35">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（6分）</w:t>
            </w:r>
          </w:p>
        </w:tc>
        <w:tc>
          <w:tcPr>
            <w:tcW w:w="5674" w:type="dxa"/>
            <w:noWrap w:val="0"/>
            <w:vAlign w:val="top"/>
          </w:tcPr>
          <w:p w14:paraId="480C006E">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 xml:space="preserve">针对本项目的产品质量提出先进、可行、具体的产品质量保证措施，包括但不限于以下内容：建立质量管理体系、全寿命周期控制、质量问题防控体系、闭环改进机制、客户价值管理等方面制定质量保证方案。 </w:t>
            </w:r>
          </w:p>
          <w:p w14:paraId="1D32A333">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 xml:space="preserve">第一档：质量保证措施内容完整详细，质量管理体系完备，全寿命周期控制突出生产、供应交付等过程，质量问题防控机制健全，质量管理突出闭环控制等充分保证产品质量的，得6分； </w:t>
            </w:r>
          </w:p>
          <w:p w14:paraId="3BA49FB8">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 xml:space="preserve">第二档：有质量保证措施，但没有完全涵盖本项前述要求的全部内容，且不能完全保证本项目的产品质量的，得4分； </w:t>
            </w:r>
          </w:p>
          <w:p w14:paraId="4E1E77C7">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 xml:space="preserve">第三档：质量保证措施内容不完整，对本项前述要求的内容错漏较多且缺乏针对性的，得2分； </w:t>
            </w:r>
          </w:p>
          <w:p w14:paraId="64D5D90B">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第四档：有质量保证措施，但内容与本项目实际不符（或部分内容缺项），得1分；</w:t>
            </w:r>
          </w:p>
          <w:p w14:paraId="6C3D2674">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第五档：没有不得分。</w:t>
            </w:r>
          </w:p>
        </w:tc>
      </w:tr>
      <w:tr w14:paraId="29D7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2" w:hRule="atLeast"/>
        </w:trPr>
        <w:tc>
          <w:tcPr>
            <w:tcW w:w="1101" w:type="dxa"/>
            <w:vMerge w:val="restart"/>
            <w:noWrap w:val="0"/>
            <w:vAlign w:val="center"/>
          </w:tcPr>
          <w:p w14:paraId="622EF07E">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w:t>
            </w:r>
          </w:p>
        </w:tc>
        <w:tc>
          <w:tcPr>
            <w:tcW w:w="1638" w:type="dxa"/>
            <w:vMerge w:val="restart"/>
            <w:noWrap w:val="0"/>
            <w:vAlign w:val="center"/>
          </w:tcPr>
          <w:p w14:paraId="11E467C4">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综合部分</w:t>
            </w:r>
          </w:p>
          <w:p w14:paraId="2C3130A8">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46分</w:t>
            </w:r>
          </w:p>
        </w:tc>
        <w:tc>
          <w:tcPr>
            <w:tcW w:w="1885" w:type="dxa"/>
            <w:noWrap w:val="0"/>
            <w:vAlign w:val="center"/>
          </w:tcPr>
          <w:p w14:paraId="18060589">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投标货物技术参数</w:t>
            </w:r>
          </w:p>
          <w:p w14:paraId="477714F0">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30分</w:t>
            </w:r>
          </w:p>
        </w:tc>
        <w:tc>
          <w:tcPr>
            <w:tcW w:w="5674" w:type="dxa"/>
            <w:noWrap w:val="0"/>
            <w:vAlign w:val="top"/>
          </w:tcPr>
          <w:p w14:paraId="02356D54">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投标人所投设备全部技术参数完全满足或优于招标文件规定指标，本项得基准满分 30分。标注★的核心参数每出现一项不满足，扣 1 分，本项分值扣至 0 分为止；普通无★参数每一项不满足扣 0.5 分，分值同样扣完即止。</w:t>
            </w:r>
          </w:p>
          <w:p w14:paraId="739B3C77">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1、无★一般技术参数产生负偏离仅扣除相应分数，不作为投标作废标处理依据。</w:t>
            </w:r>
          </w:p>
          <w:p w14:paraId="34660F44">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2、投标人须在技术偏差表清晰标注各项参数为正偏差、无偏差、负偏差；正偏差等同于满足采购要求不予扣分，负偏差按对应标准扣分，标注模糊、界定不清的参数统一按负偏离计取扣分。</w:t>
            </w:r>
          </w:p>
          <w:p w14:paraId="4BD176A0">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3、招标文件明确要求附带证明材料的参数项，投标人未提交资料、提交资料与参数指标不符、资料无效的，该项直接认定为负偏离，依规扣除对应分值。所有扣分累计核算，总分最低计 0 分，不产生负分。</w:t>
            </w:r>
          </w:p>
        </w:tc>
      </w:tr>
      <w:tr w14:paraId="2D0A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1101" w:type="dxa"/>
            <w:vMerge w:val="continue"/>
            <w:noWrap w:val="0"/>
            <w:vAlign w:val="top"/>
          </w:tcPr>
          <w:p w14:paraId="5147BC68">
            <w:pPr>
              <w:widowControl w:val="0"/>
              <w:rPr>
                <w:rFonts w:hint="eastAsia" w:ascii="宋体" w:hAnsi="宋体" w:eastAsia="宋体" w:cs="宋体"/>
                <w:highlight w:val="none"/>
                <w:vertAlign w:val="baseline"/>
                <w:lang w:val="en-US" w:eastAsia="zh-CN"/>
              </w:rPr>
            </w:pPr>
          </w:p>
        </w:tc>
        <w:tc>
          <w:tcPr>
            <w:tcW w:w="1638" w:type="dxa"/>
            <w:vMerge w:val="continue"/>
            <w:noWrap w:val="0"/>
            <w:vAlign w:val="top"/>
          </w:tcPr>
          <w:p w14:paraId="7E8C4AE1">
            <w:pPr>
              <w:widowControl w:val="0"/>
              <w:rPr>
                <w:rFonts w:hint="eastAsia" w:ascii="宋体" w:hAnsi="宋体" w:eastAsia="宋体" w:cs="宋体"/>
                <w:highlight w:val="none"/>
                <w:vertAlign w:val="baseline"/>
                <w:lang w:val="en-US" w:eastAsia="zh-CN"/>
              </w:rPr>
            </w:pPr>
          </w:p>
        </w:tc>
        <w:tc>
          <w:tcPr>
            <w:tcW w:w="1885" w:type="dxa"/>
            <w:noWrap w:val="0"/>
            <w:vAlign w:val="center"/>
          </w:tcPr>
          <w:p w14:paraId="57C63767">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企业业绩</w:t>
            </w:r>
          </w:p>
          <w:p w14:paraId="6C71118A">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（3分）</w:t>
            </w:r>
          </w:p>
        </w:tc>
        <w:tc>
          <w:tcPr>
            <w:tcW w:w="5674" w:type="dxa"/>
            <w:noWrap w:val="0"/>
            <w:vAlign w:val="top"/>
          </w:tcPr>
          <w:p w14:paraId="2055E800">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2023 年 6 月 1 日（含当日）起签订的同类设备供货项目业绩合同，每提交 1 份有效业绩材料得 1 分，最高得分3分。备注：每份业绩须同时提供中标（成交）通知书、项目正式合同、项目验收报告、对应合同发票四项资料扫描件，业绩有效时间以合同签订日期为准。缺少任意一项资料、资料关键信息遮挡模糊、主体名称不一致、合同签订时间不在要求区间内、项目不属于设备供货类业绩的，该份业绩不予计分；全部资料齐全方可认定为有效业绩。</w:t>
            </w:r>
          </w:p>
        </w:tc>
      </w:tr>
      <w:tr w14:paraId="5A49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1" w:hRule="atLeast"/>
        </w:trPr>
        <w:tc>
          <w:tcPr>
            <w:tcW w:w="1101" w:type="dxa"/>
            <w:vMerge w:val="continue"/>
            <w:noWrap w:val="0"/>
            <w:vAlign w:val="top"/>
          </w:tcPr>
          <w:p w14:paraId="2CE5854A">
            <w:pPr>
              <w:widowControl w:val="0"/>
              <w:rPr>
                <w:rFonts w:hint="eastAsia" w:ascii="宋体" w:hAnsi="宋体" w:eastAsia="宋体" w:cs="宋体"/>
                <w:highlight w:val="none"/>
                <w:vertAlign w:val="baseline"/>
                <w:lang w:val="en-US" w:eastAsia="zh-CN"/>
              </w:rPr>
            </w:pPr>
          </w:p>
        </w:tc>
        <w:tc>
          <w:tcPr>
            <w:tcW w:w="1638" w:type="dxa"/>
            <w:vMerge w:val="continue"/>
            <w:noWrap w:val="0"/>
            <w:vAlign w:val="top"/>
          </w:tcPr>
          <w:p w14:paraId="1CE8372A">
            <w:pPr>
              <w:widowControl w:val="0"/>
              <w:rPr>
                <w:rFonts w:hint="eastAsia" w:ascii="宋体" w:hAnsi="宋体" w:eastAsia="宋体" w:cs="宋体"/>
                <w:highlight w:val="none"/>
                <w:vertAlign w:val="baseline"/>
                <w:lang w:val="en-US" w:eastAsia="zh-CN"/>
              </w:rPr>
            </w:pPr>
          </w:p>
        </w:tc>
        <w:tc>
          <w:tcPr>
            <w:tcW w:w="1885" w:type="dxa"/>
            <w:noWrap w:val="0"/>
            <w:vAlign w:val="center"/>
          </w:tcPr>
          <w:p w14:paraId="3CD3A943">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售后服务方案（6分）</w:t>
            </w:r>
          </w:p>
        </w:tc>
        <w:tc>
          <w:tcPr>
            <w:tcW w:w="5674" w:type="dxa"/>
            <w:noWrap w:val="0"/>
            <w:vAlign w:val="top"/>
          </w:tcPr>
          <w:p w14:paraId="512B3871">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售后服务内容包括服务体系、服务标准、服务内容，常见故障提供解决方案，应急处理方案、响应时间及故障排除时间，质保期内、质保期外服务标准，售后服务响应时间、主要设备原厂售后服务承诺函等。</w:t>
            </w:r>
          </w:p>
          <w:p w14:paraId="3826E4F3">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第一档：售后服务方案、措施及承诺特别全面、可行，可实施性强，完全满足且优于招标文件中售后服务要求的，得6分。</w:t>
            </w:r>
          </w:p>
          <w:p w14:paraId="3403D6B4">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第二档：服务方案、措施及承诺内容全面，且基本合理可行，能满足招标文件中售后服务要求的得4分；</w:t>
            </w:r>
          </w:p>
          <w:p w14:paraId="326B4AAB">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第三档：提供服务方案，但缺乏实践实施性方案或内容不能完全满足采购人实际需求的，得2分；</w:t>
            </w:r>
          </w:p>
          <w:p w14:paraId="4AC63559">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第四档：未提供售后服务方案的，不得分。</w:t>
            </w:r>
          </w:p>
        </w:tc>
      </w:tr>
      <w:tr w14:paraId="706C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4" w:hRule="atLeast"/>
        </w:trPr>
        <w:tc>
          <w:tcPr>
            <w:tcW w:w="1101" w:type="dxa"/>
            <w:vMerge w:val="continue"/>
            <w:noWrap w:val="0"/>
            <w:vAlign w:val="top"/>
          </w:tcPr>
          <w:p w14:paraId="60AAAE27">
            <w:pPr>
              <w:widowControl w:val="0"/>
              <w:rPr>
                <w:rFonts w:hint="eastAsia" w:ascii="宋体" w:hAnsi="宋体" w:eastAsia="宋体" w:cs="宋体"/>
                <w:highlight w:val="none"/>
                <w:vertAlign w:val="baseline"/>
                <w:lang w:val="en-US" w:eastAsia="zh-CN"/>
              </w:rPr>
            </w:pPr>
          </w:p>
        </w:tc>
        <w:tc>
          <w:tcPr>
            <w:tcW w:w="1638" w:type="dxa"/>
            <w:vMerge w:val="continue"/>
            <w:noWrap w:val="0"/>
            <w:vAlign w:val="top"/>
          </w:tcPr>
          <w:p w14:paraId="7E174A09">
            <w:pPr>
              <w:widowControl w:val="0"/>
              <w:rPr>
                <w:rFonts w:hint="eastAsia" w:ascii="宋体" w:hAnsi="宋体" w:eastAsia="宋体" w:cs="宋体"/>
                <w:highlight w:val="none"/>
                <w:vertAlign w:val="baseline"/>
                <w:lang w:val="en-US" w:eastAsia="zh-CN"/>
              </w:rPr>
            </w:pPr>
          </w:p>
        </w:tc>
        <w:tc>
          <w:tcPr>
            <w:tcW w:w="1885" w:type="dxa"/>
            <w:noWrap w:val="0"/>
            <w:vAlign w:val="center"/>
          </w:tcPr>
          <w:p w14:paraId="1035A9CD">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培训计划</w:t>
            </w:r>
          </w:p>
          <w:p w14:paraId="4807BAEC">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（5分）</w:t>
            </w:r>
          </w:p>
        </w:tc>
        <w:tc>
          <w:tcPr>
            <w:tcW w:w="5674" w:type="dxa"/>
            <w:noWrap w:val="0"/>
            <w:vAlign w:val="top"/>
          </w:tcPr>
          <w:p w14:paraId="79B3C5FF">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根据投标人提供的培训方案，方案内容包含但不限于培训目标、培训计划、培训方式、培训内容、培训时间、培训团队配置、对设备操作及维修人员进行操作及维修管理等内容进行打分：</w:t>
            </w:r>
          </w:p>
          <w:p w14:paraId="70333F79">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一档：培训计划方案内容非常完整，培训课目设置与设备使用结合紧密、针对性强，培训方式多样充分体现线上线下多手段、培训方法紧贴使用对象体现分层次教培特点，培训骨干技术实力较强，体现多专业配备，充分满足项目需要的，得5分；</w:t>
            </w:r>
          </w:p>
          <w:p w14:paraId="7C35171C">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第二档：培训计划方案内容较为完整，培训课目设置符合设备使用要求，培训组织及方法安排基本可行，能满足项目需要，但在培训形式、分层次教培等方面还够科学灵活的，得3分；</w:t>
            </w:r>
          </w:p>
          <w:p w14:paraId="615E2C9F">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第三档：培训计划方案内容有缺失，培训课目设置有所欠缺或培训安排不够周密的，不能达到良好的培训效果的，得2分；</w:t>
            </w:r>
          </w:p>
          <w:p w14:paraId="54697BF1">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第四档：虽有培训方案，但实操性很差，不能达到培训效果的，得1分；</w:t>
            </w:r>
          </w:p>
          <w:p w14:paraId="75DF5052">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第五档：没有或完全不满足不得分。</w:t>
            </w:r>
          </w:p>
        </w:tc>
      </w:tr>
      <w:tr w14:paraId="192C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101" w:type="dxa"/>
            <w:vMerge w:val="continue"/>
            <w:noWrap w:val="0"/>
            <w:vAlign w:val="top"/>
          </w:tcPr>
          <w:p w14:paraId="44E10286">
            <w:pPr>
              <w:widowControl w:val="0"/>
              <w:rPr>
                <w:rFonts w:hint="eastAsia" w:ascii="宋体" w:hAnsi="宋体" w:eastAsia="宋体" w:cs="宋体"/>
                <w:highlight w:val="none"/>
                <w:vertAlign w:val="baseline"/>
                <w:lang w:val="en-US" w:eastAsia="zh-CN"/>
              </w:rPr>
            </w:pPr>
          </w:p>
        </w:tc>
        <w:tc>
          <w:tcPr>
            <w:tcW w:w="1638" w:type="dxa"/>
            <w:vMerge w:val="continue"/>
            <w:noWrap w:val="0"/>
            <w:vAlign w:val="top"/>
          </w:tcPr>
          <w:p w14:paraId="51C14AF7">
            <w:pPr>
              <w:widowControl w:val="0"/>
              <w:rPr>
                <w:rFonts w:hint="eastAsia" w:ascii="宋体" w:hAnsi="宋体" w:eastAsia="宋体" w:cs="宋体"/>
                <w:highlight w:val="none"/>
                <w:vertAlign w:val="baseline"/>
                <w:lang w:val="en-US" w:eastAsia="zh-CN"/>
              </w:rPr>
            </w:pPr>
          </w:p>
        </w:tc>
        <w:tc>
          <w:tcPr>
            <w:tcW w:w="1885" w:type="dxa"/>
            <w:noWrap w:val="0"/>
            <w:vAlign w:val="center"/>
          </w:tcPr>
          <w:p w14:paraId="594FA072">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信用评价</w:t>
            </w:r>
          </w:p>
          <w:p w14:paraId="24B62F65">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（2分）</w:t>
            </w:r>
          </w:p>
        </w:tc>
        <w:tc>
          <w:tcPr>
            <w:tcW w:w="5674" w:type="dxa"/>
            <w:noWrap w:val="0"/>
            <w:vAlign w:val="top"/>
          </w:tcPr>
          <w:p w14:paraId="12222EB7">
            <w:pPr>
              <w:widowControl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在参加南阳市本级的政府采购活动时，享受政策支持，在采用综合评分法的项目中，诚信评价为满分的得2分，90-99分（不含90分）之间得1分，90分以下的不得分；在采用最低评标价法的项目中，诚信评价为满分的给予报价2%的价格扣除，90-99分（不含90 分）之间的给予报价1%的价格扣除，90分以下的不得享受价格扣除。投标人可在公告发布之日到投标截止期间，登录“南阳市政府采购信用管理系统”在线打印《南阳市政府采购供应商信用记录表》，作为投标文件的组成部分提交，评审时作为享受政策支持的依据。</w:t>
            </w:r>
          </w:p>
        </w:tc>
      </w:tr>
    </w:tbl>
    <w:p w14:paraId="534927A9">
      <w:pPr>
        <w:pStyle w:val="16"/>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5A398DA1">
      <w:pP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70D8498D">
      <w:pPr>
        <w:pStyle w:val="7"/>
        <w:rPr>
          <w:rFonts w:hint="eastAsia"/>
        </w:rPr>
      </w:pPr>
    </w:p>
    <w:p w14:paraId="7C466E5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六.中标通知及签订合同</w:t>
      </w:r>
    </w:p>
    <w:p w14:paraId="1BC0F6D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1.中标通知</w:t>
      </w:r>
    </w:p>
    <w:p w14:paraId="1F83B14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1.1 中标人被正式确定后，将在“河南省政府采购网”和“全国公共资源交易平台（河南省</w:t>
      </w:r>
      <w:r>
        <w:rPr>
          <w:rFonts w:hint="eastAsia" w:ascii="微软雅黑" w:hAnsi="微软雅黑" w:eastAsia="微软雅黑" w:cs="微软雅黑"/>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南阳市）”上公告中标结果，同时向中标人发出《中标通知书》。</w:t>
      </w:r>
    </w:p>
    <w:p w14:paraId="31E0095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1.2 《中标通知书》将作为签订合同的依据之一。</w:t>
      </w:r>
    </w:p>
    <w:p w14:paraId="62896F5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1.3 《中标通知书》发放办法：政府采购项目通过“南阳市公共资源交易中心公共服务平台”向中标人发出电子《中标通知书》后，中标供应商可登录南阳市公共资源交易平台会员系统，自行打印加盖电子签章的《中标通知书》。</w:t>
      </w:r>
    </w:p>
    <w:p w14:paraId="623121C8">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2.签订合同</w:t>
      </w:r>
    </w:p>
    <w:p w14:paraId="6AB22016">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2.1中标供应商打印《中标通知书》后及时与采购人签订政府采购合同。合同签订后，采购人应通过“河南省电子化政府采购系统”(www.hngp.gov.cn)合同管理栏目上传合同原件扫描件完成备案。</w:t>
      </w:r>
    </w:p>
    <w:p w14:paraId="6FC76543">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2.2招标文件、投标文件、答疑及澄清文件，均为签订合同的依据。</w:t>
      </w:r>
    </w:p>
    <w:p w14:paraId="29F7C5B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14:paraId="2411404F">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七.质疑与答复</w:t>
      </w:r>
    </w:p>
    <w:p w14:paraId="5A0CEB5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633186D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71D8192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45A8489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在线接收，请质疑人上传质疑函原件扫描件到南阳市公共资源交易系统并电话通知到项目负责人。</w:t>
      </w:r>
    </w:p>
    <w:p w14:paraId="4E90789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106C073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3BA6D98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1E98B91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八、相关注意事项</w:t>
      </w:r>
    </w:p>
    <w:p w14:paraId="7A94F00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3DAAFF6D">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0E9542E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3.3开标、评标期间，投标人不得向评委询问评标情况，不得进行旨在影响评标结果的活动。</w:t>
      </w:r>
    </w:p>
    <w:p w14:paraId="7714652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4A64908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5.投标人应本着公平竞争的原则参与投标，不得用任何方式对其它投标人恶意攻击。</w:t>
      </w:r>
    </w:p>
    <w:p w14:paraId="1CF9796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6.投标人如有违反上述要求或违反国家法律、法规的行为，无论评标结果如何，其投标资格将被取消。</w:t>
      </w:r>
    </w:p>
    <w:p w14:paraId="02271BA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0AB44BF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2EB2458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3D5DFE7">
      <w:pPr>
        <w:ind w:firstLine="1301" w:firstLineChars="400"/>
        <w:rPr>
          <w:rFonts w:hint="eastAsia" w:asciiTheme="minorEastAsia" w:hAnsiTheme="minorEastAsia" w:eastAsiaTheme="minorEastAsia" w:cstheme="minorEastAsia"/>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06A92B4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14:paraId="5D8D443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779A513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238771E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6017CBF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6EA8AE0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spacing w:val="-13"/>
          <w:sz w:val="24"/>
          <w:szCs w:val="24"/>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36312AE9">
      <w:pPr>
        <w:pStyle w:val="34"/>
        <w:keepNext w:val="0"/>
        <w:keepLines w:val="0"/>
        <w:pageBreakBefore w:val="0"/>
        <w:kinsoku/>
        <w:wordWrap w:val="0"/>
        <w:overflowPunct/>
        <w:topLinePunct w:val="0"/>
        <w:bidi w:val="0"/>
        <w:jc w:val="both"/>
        <w:rPr>
          <w:rFonts w:hint="eastAsia"/>
          <w:lang w:val="en-US" w:eastAsia="zh-CN"/>
        </w:rPr>
        <w:sectPr>
          <w:headerReference r:id="rId5" w:type="default"/>
          <w:footerReference r:id="rId6" w:type="default"/>
          <w:pgSz w:w="11907" w:h="16840"/>
          <w:pgMar w:top="1440" w:right="1800" w:bottom="1440" w:left="1800" w:header="878" w:footer="886" w:gutter="0"/>
          <w:pgNumType w:fmt="decimal" w:start="1"/>
          <w:cols w:space="720" w:num="1"/>
        </w:sectPr>
      </w:pPr>
    </w:p>
    <w:p w14:paraId="47B131CC">
      <w:pPr>
        <w:pStyle w:val="7"/>
        <w:keepNext w:val="0"/>
        <w:keepLines w:val="0"/>
        <w:pageBreakBefore w:val="0"/>
        <w:kinsoku/>
        <w:wordWrap w:val="0"/>
        <w:overflowPunct/>
        <w:topLinePunct w:val="0"/>
        <w:bidi w:val="0"/>
        <w:spacing w:before="353" w:line="219" w:lineRule="auto"/>
        <w:jc w:val="center"/>
        <w:rPr>
          <w:rFonts w:hint="eastAsia" w:asciiTheme="minorEastAsia" w:hAnsiTheme="minorEastAsia" w:eastAsiaTheme="minorEastAsia" w:cstheme="minorEastAsia"/>
          <w:spacing w:val="-1"/>
          <w:sz w:val="36"/>
          <w:szCs w:val="36"/>
          <w:highlight w:val="none"/>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五</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highlight w:val="none"/>
          <w:lang w:eastAsia="zh-CN"/>
          <w14:textOutline w14:w="2306" w14:cap="flat" w14:cmpd="sng">
            <w14:solidFill>
              <w14:srgbClr w14:val="000000"/>
            </w14:solidFill>
            <w14:prstDash w14:val="solid"/>
            <w14:miter w14:val="0"/>
          </w14:textOutline>
        </w:rPr>
        <w:t>政府采购合同（草案）</w:t>
      </w:r>
    </w:p>
    <w:p w14:paraId="2D5E96C6">
      <w:pPr>
        <w:pStyle w:val="34"/>
        <w:jc w:val="both"/>
        <w:rPr>
          <w:rFonts w:hint="eastAsia"/>
          <w:highlight w:val="yellow"/>
        </w:rPr>
      </w:pPr>
    </w:p>
    <w:p w14:paraId="5E250E54">
      <w:pPr>
        <w:pStyle w:val="7"/>
        <w:jc w:val="center"/>
        <w:rPr>
          <w:b/>
          <w:bCs/>
          <w:spacing w:val="-20"/>
          <w:kern w:val="44"/>
          <w:sz w:val="48"/>
          <w:szCs w:val="48"/>
        </w:rPr>
      </w:pPr>
      <w:r>
        <w:rPr>
          <w:rFonts w:hint="eastAsia"/>
          <w:b/>
          <w:bCs/>
          <w:spacing w:val="-20"/>
          <w:kern w:val="44"/>
          <w:sz w:val="48"/>
          <w:szCs w:val="48"/>
        </w:rPr>
        <w:t>政府采购货物买卖合同</w:t>
      </w:r>
    </w:p>
    <w:p w14:paraId="05B0BA95">
      <w:pPr>
        <w:rPr>
          <w:rFonts w:ascii="宋体" w:hAnsi="宋体" w:cs="宋体"/>
          <w:b/>
          <w:bCs/>
          <w:spacing w:val="-20"/>
          <w:kern w:val="44"/>
          <w:sz w:val="40"/>
          <w:szCs w:val="40"/>
        </w:rPr>
      </w:pPr>
    </w:p>
    <w:p w14:paraId="3C3B2AF9">
      <w:pPr>
        <w:rPr>
          <w:rFonts w:hint="eastAsia" w:ascii="宋体" w:hAnsi="宋体" w:cs="宋体"/>
          <w:b/>
          <w:bCs/>
          <w:spacing w:val="-20"/>
          <w:kern w:val="44"/>
          <w:sz w:val="40"/>
          <w:szCs w:val="40"/>
        </w:rPr>
      </w:pPr>
    </w:p>
    <w:p w14:paraId="4DB0B3AB">
      <w:pPr>
        <w:pStyle w:val="30"/>
        <w:rPr>
          <w:rFonts w:hint="eastAsia"/>
        </w:rPr>
      </w:pPr>
    </w:p>
    <w:p w14:paraId="75D18D2C">
      <w:pPr>
        <w:pStyle w:val="30"/>
        <w:rPr>
          <w:rFonts w:hint="eastAsia"/>
        </w:rPr>
      </w:pPr>
    </w:p>
    <w:p w14:paraId="4B18F8B2">
      <w:pPr>
        <w:pStyle w:val="30"/>
        <w:rPr>
          <w:rFonts w:hint="eastAsia"/>
        </w:rPr>
      </w:pPr>
    </w:p>
    <w:p w14:paraId="03611991">
      <w:pPr>
        <w:pStyle w:val="30"/>
        <w:rPr>
          <w:rFonts w:hint="eastAsia"/>
        </w:rPr>
      </w:pPr>
    </w:p>
    <w:p w14:paraId="0DA937F9">
      <w:pPr>
        <w:pStyle w:val="30"/>
        <w:rPr>
          <w:rFonts w:hint="eastAsia"/>
        </w:rPr>
      </w:pPr>
    </w:p>
    <w:p w14:paraId="0C7D1083">
      <w:pPr>
        <w:pStyle w:val="30"/>
        <w:rPr>
          <w:rFonts w:hint="eastAsia"/>
        </w:rPr>
      </w:pPr>
    </w:p>
    <w:p w14:paraId="301B1848">
      <w:pPr>
        <w:pStyle w:val="30"/>
        <w:rPr>
          <w:rFonts w:hint="eastAsia"/>
        </w:rPr>
      </w:pPr>
    </w:p>
    <w:p w14:paraId="1F1C73DD">
      <w:pPr>
        <w:pStyle w:val="30"/>
      </w:pPr>
    </w:p>
    <w:p w14:paraId="008187ED">
      <w:pPr>
        <w:rPr>
          <w:rFonts w:ascii="宋体" w:hAnsi="宋体" w:cs="宋体"/>
          <w:b/>
          <w:bCs/>
          <w:spacing w:val="-20"/>
          <w:kern w:val="44"/>
          <w:sz w:val="40"/>
          <w:szCs w:val="40"/>
        </w:rPr>
      </w:pPr>
    </w:p>
    <w:p w14:paraId="2EEA9C23">
      <w:pPr>
        <w:rPr>
          <w:rFonts w:ascii="宋体" w:hAnsi="宋体" w:cs="宋体"/>
          <w:b/>
          <w:bCs/>
          <w:spacing w:val="-20"/>
          <w:kern w:val="44"/>
          <w:sz w:val="40"/>
          <w:szCs w:val="40"/>
        </w:rPr>
      </w:pPr>
    </w:p>
    <w:p w14:paraId="1BD7A1F7">
      <w:pPr>
        <w:rPr>
          <w:rFonts w:ascii="宋体" w:hAnsi="宋体" w:cs="宋体"/>
          <w:b/>
          <w:bCs/>
          <w:spacing w:val="-20"/>
          <w:kern w:val="44"/>
          <w:sz w:val="40"/>
          <w:szCs w:val="40"/>
        </w:rPr>
      </w:pPr>
    </w:p>
    <w:p w14:paraId="29D50EF9">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02D2D905">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45662DBB">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140CC888">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1376DDA6">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13F4AAC8"/>
    <w:p w14:paraId="5854AC77">
      <w:pPr>
        <w:rPr>
          <w:rFonts w:eastAsia="黑体"/>
          <w:sz w:val="44"/>
          <w:szCs w:val="44"/>
        </w:rPr>
      </w:pPr>
      <w:r>
        <w:rPr>
          <w:rFonts w:eastAsia="黑体"/>
          <w:sz w:val="44"/>
          <w:szCs w:val="44"/>
        </w:rPr>
        <w:br w:type="page"/>
      </w:r>
    </w:p>
    <w:p w14:paraId="519E3594">
      <w:pPr>
        <w:jc w:val="center"/>
        <w:rPr>
          <w:rFonts w:eastAsia="黑体"/>
          <w:sz w:val="44"/>
          <w:szCs w:val="44"/>
        </w:rPr>
      </w:pPr>
      <w:r>
        <w:rPr>
          <w:rFonts w:hint="eastAsia" w:eastAsia="黑体"/>
          <w:sz w:val="44"/>
          <w:szCs w:val="44"/>
        </w:rPr>
        <w:t>使 用 说 明</w:t>
      </w:r>
    </w:p>
    <w:p w14:paraId="62AAB2C4">
      <w:pPr>
        <w:ind w:firstLine="640" w:firstLineChars="200"/>
        <w:rPr>
          <w:rFonts w:ascii="仿宋_GB2312" w:hAnsi="仿宋_GB2312" w:eastAsia="仿宋_GB2312" w:cs="仿宋_GB2312"/>
          <w:sz w:val="32"/>
          <w:szCs w:val="32"/>
        </w:rPr>
      </w:pPr>
    </w:p>
    <w:p w14:paraId="3ADC822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05A80527">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42769BB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7A98B15D">
      <w:pPr>
        <w:ind w:firstLine="880" w:firstLineChars="200"/>
        <w:rPr>
          <w:rFonts w:eastAsia="黑体"/>
          <w:sz w:val="44"/>
          <w:szCs w:val="44"/>
        </w:rPr>
        <w:sectPr>
          <w:headerReference r:id="rId7" w:type="default"/>
          <w:footerReference r:id="rId8" w:type="default"/>
          <w:pgSz w:w="11906" w:h="16838"/>
          <w:pgMar w:top="1440" w:right="1800" w:bottom="1440" w:left="1800" w:header="851" w:footer="992" w:gutter="0"/>
          <w:cols w:space="425" w:num="1"/>
          <w:docGrid w:type="lines" w:linePitch="312" w:charSpace="0"/>
        </w:sectPr>
      </w:pPr>
    </w:p>
    <w:p w14:paraId="676ECE96">
      <w:pPr>
        <w:pStyle w:val="3"/>
        <w:adjustRightInd w:val="0"/>
        <w:snapToGrid w:val="0"/>
        <w:spacing w:line="400" w:lineRule="exact"/>
        <w:rPr>
          <w:rFonts w:ascii="黑体" w:hAnsi="黑体" w:eastAsia="黑体"/>
          <w:sz w:val="28"/>
          <w:szCs w:val="28"/>
        </w:rPr>
      </w:pPr>
      <w:bookmarkStart w:id="0" w:name="_Toc22209"/>
    </w:p>
    <w:p w14:paraId="08FC6469">
      <w:pPr>
        <w:pStyle w:val="3"/>
        <w:adjustRightInd w:val="0"/>
        <w:snapToGrid w:val="0"/>
        <w:spacing w:line="400" w:lineRule="exact"/>
        <w:rPr>
          <w:rFonts w:hint="eastAsia" w:ascii="宋体" w:hAnsi="宋体" w:eastAsia="宋体" w:cs="宋体"/>
          <w:b w:val="0"/>
          <w:bCs w:val="0"/>
          <w:sz w:val="28"/>
          <w:szCs w:val="28"/>
        </w:rPr>
      </w:pPr>
      <w:r>
        <w:rPr>
          <w:rFonts w:hint="eastAsia" w:ascii="宋体" w:hAnsi="宋体" w:eastAsia="宋体" w:cs="宋体"/>
          <w:b w:val="0"/>
          <w:bCs w:val="0"/>
          <w:sz w:val="28"/>
          <w:szCs w:val="28"/>
        </w:rPr>
        <w:t>第一节 政府采购合同协议书</w:t>
      </w:r>
      <w:bookmarkEnd w:id="0"/>
    </w:p>
    <w:p w14:paraId="575BFB75">
      <w:pPr>
        <w:pStyle w:val="3"/>
        <w:adjustRightInd w:val="0"/>
        <w:snapToGrid w:val="0"/>
        <w:spacing w:line="400" w:lineRule="exact"/>
        <w:rPr>
          <w:rFonts w:hint="eastAsia" w:ascii="宋体" w:hAnsi="宋体" w:eastAsia="宋体" w:cs="宋体"/>
          <w:b w:val="0"/>
          <w:bCs w:val="0"/>
          <w:sz w:val="28"/>
          <w:szCs w:val="28"/>
        </w:rPr>
      </w:pPr>
    </w:p>
    <w:p w14:paraId="1703304E">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甲方（全称）：</w:t>
      </w:r>
      <w:r>
        <w:rPr>
          <w:rFonts w:hint="eastAsia" w:ascii="宋体" w:hAnsi="宋体" w:eastAsia="宋体" w:cs="宋体"/>
          <w:szCs w:val="21"/>
          <w:u w:val="single"/>
        </w:rPr>
        <w:t xml:space="preserve">                        </w:t>
      </w:r>
    </w:p>
    <w:p w14:paraId="26FB9911">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乙方1（全称）：</w:t>
      </w:r>
      <w:r>
        <w:rPr>
          <w:rFonts w:hint="eastAsia" w:ascii="宋体" w:hAnsi="宋体" w:eastAsia="宋体" w:cs="宋体"/>
          <w:szCs w:val="21"/>
          <w:u w:val="single"/>
        </w:rPr>
        <w:t xml:space="preserve">                       </w:t>
      </w:r>
      <w:r>
        <w:rPr>
          <w:rFonts w:hint="eastAsia" w:ascii="宋体" w:hAnsi="宋体" w:eastAsia="宋体" w:cs="宋体"/>
          <w:szCs w:val="21"/>
        </w:rPr>
        <w:t>（供应商）</w:t>
      </w:r>
    </w:p>
    <w:p w14:paraId="702E6716">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乙方2（全称）：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6BA9A8C2">
      <w:pPr>
        <w:adjustRightInd w:val="0"/>
        <w:snapToGrid w:val="0"/>
        <w:spacing w:line="400" w:lineRule="exact"/>
        <w:rPr>
          <w:rFonts w:hint="eastAsia" w:ascii="宋体" w:hAnsi="宋体" w:eastAsia="宋体" w:cs="宋体"/>
          <w:szCs w:val="21"/>
        </w:rPr>
      </w:pPr>
      <w:r>
        <w:rPr>
          <w:rFonts w:hint="eastAsia" w:ascii="宋体" w:hAnsi="宋体" w:eastAsia="宋体" w:cs="宋体"/>
        </w:rPr>
        <w:t>乙方</w:t>
      </w:r>
      <w:r>
        <w:rPr>
          <w:rFonts w:hint="eastAsia" w:ascii="宋体" w:hAnsi="宋体" w:eastAsia="宋体" w:cs="宋体"/>
          <w:szCs w:val="21"/>
        </w:rPr>
        <w:t>3</w:t>
      </w:r>
      <w:r>
        <w:rPr>
          <w:rFonts w:hint="eastAsia" w:ascii="宋体" w:hAnsi="宋体" w:eastAsia="宋体" w:cs="宋体"/>
        </w:rPr>
        <w:t>（全称）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00EC5C52">
      <w:pPr>
        <w:spacing w:line="400" w:lineRule="exact"/>
        <w:rPr>
          <w:rFonts w:hint="eastAsia" w:ascii="宋体" w:hAnsi="宋体" w:eastAsia="宋体" w:cs="宋体"/>
        </w:rPr>
      </w:pPr>
    </w:p>
    <w:p w14:paraId="63571AFA">
      <w:pPr>
        <w:pStyle w:val="8"/>
        <w:adjustRightInd w:val="0"/>
        <w:snapToGrid w:val="0"/>
        <w:spacing w:line="400" w:lineRule="exact"/>
        <w:ind w:firstLineChars="200"/>
        <w:rPr>
          <w:rFonts w:hint="eastAsia" w:ascii="宋体" w:hAnsi="宋体" w:eastAsia="宋体" w:cs="宋体"/>
          <w:szCs w:val="21"/>
        </w:rPr>
      </w:pPr>
      <w:r>
        <w:rPr>
          <w:rFonts w:hint="eastAsia" w:ascii="宋体" w:hAnsi="宋体" w:eastAsia="宋体" w:cs="宋体"/>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CE0377C">
      <w:pPr>
        <w:numPr>
          <w:ilvl w:val="0"/>
          <w:numId w:val="15"/>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项目信息</w:t>
      </w:r>
    </w:p>
    <w:p w14:paraId="786C0818">
      <w:pPr>
        <w:pStyle w:val="8"/>
        <w:numPr>
          <w:ilvl w:val="0"/>
          <w:numId w:val="16"/>
        </w:numPr>
        <w:adjustRightInd w:val="0"/>
        <w:snapToGrid w:val="0"/>
        <w:spacing w:line="400" w:lineRule="exact"/>
        <w:ind w:firstLineChars="200"/>
        <w:rPr>
          <w:rFonts w:hint="eastAsia" w:ascii="宋体" w:hAnsi="宋体" w:eastAsia="宋体" w:cs="宋体"/>
          <w:szCs w:val="21"/>
          <w:u w:val="single"/>
        </w:rPr>
      </w:pPr>
      <w:r>
        <w:rPr>
          <w:rFonts w:hint="eastAsia" w:ascii="宋体" w:hAnsi="宋体" w:eastAsia="宋体" w:cs="宋体"/>
          <w:szCs w:val="21"/>
        </w:rPr>
        <w:t>采购项目名称：</w:t>
      </w:r>
      <w:r>
        <w:rPr>
          <w:rFonts w:hint="eastAsia" w:ascii="宋体" w:hAnsi="宋体" w:eastAsia="宋体" w:cs="宋体"/>
          <w:szCs w:val="21"/>
          <w:u w:val="single"/>
        </w:rPr>
        <w:t xml:space="preserve">                                          </w:t>
      </w:r>
    </w:p>
    <w:p w14:paraId="323B15DC">
      <w:pPr>
        <w:pStyle w:val="8"/>
        <w:numPr>
          <w:ilvl w:val="255"/>
          <w:numId w:val="0"/>
        </w:numPr>
        <w:tabs>
          <w:tab w:val="left" w:pos="999"/>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采购项目编号：</w:t>
      </w:r>
      <w:r>
        <w:rPr>
          <w:rFonts w:hint="eastAsia" w:ascii="宋体" w:hAnsi="宋体" w:eastAsia="宋体" w:cs="宋体"/>
          <w:szCs w:val="21"/>
          <w:u w:val="single"/>
        </w:rPr>
        <w:t xml:space="preserve">                                          </w:t>
      </w:r>
    </w:p>
    <w:p w14:paraId="64185C8F">
      <w:pPr>
        <w:pStyle w:val="8"/>
        <w:adjustRightInd w:val="0"/>
        <w:snapToGrid w:val="0"/>
        <w:spacing w:line="400" w:lineRule="exact"/>
        <w:ind w:firstLineChars="200"/>
        <w:rPr>
          <w:rFonts w:hint="eastAsia"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B41BF53">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（3）项目内容：</w:t>
      </w:r>
    </w:p>
    <w:p w14:paraId="55511EB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采购标的及数量（台/套/个/架/组等）：</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E0A04CC">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p>
    <w:p w14:paraId="23432BAC">
      <w:pPr>
        <w:adjustRightInd w:val="0"/>
        <w:snapToGrid w:val="0"/>
        <w:spacing w:line="400" w:lineRule="exact"/>
        <w:ind w:firstLine="945" w:firstLineChars="450"/>
        <w:rPr>
          <w:rFonts w:hint="eastAsia" w:ascii="宋体" w:hAnsi="宋体" w:eastAsia="宋体" w:cs="宋体"/>
          <w:szCs w:val="21"/>
          <w:u w:val="single"/>
        </w:rPr>
      </w:pPr>
      <w:r>
        <w:rPr>
          <w:rFonts w:hint="eastAsia" w:ascii="宋体" w:hAnsi="宋体" w:eastAsia="宋体" w:cs="宋体"/>
          <w:szCs w:val="21"/>
        </w:rPr>
        <w:t>采购标的的技术要求、商务要求具体见附件。</w:t>
      </w:r>
    </w:p>
    <w:p w14:paraId="1B88A3A5">
      <w:pPr>
        <w:numPr>
          <w:ilvl w:val="255"/>
          <w:numId w:val="0"/>
        </w:numPr>
        <w:adjustRightInd w:val="0"/>
        <w:snapToGrid w:val="0"/>
        <w:spacing w:line="400" w:lineRule="exact"/>
        <w:ind w:firstLine="945" w:firstLineChars="450"/>
        <w:rPr>
          <w:rFonts w:hint="eastAsia" w:ascii="宋体" w:hAnsi="宋体" w:eastAsia="宋体" w:cs="宋体"/>
          <w:szCs w:val="21"/>
        </w:rPr>
      </w:pPr>
      <w:r>
        <w:rPr>
          <w:rFonts w:hint="eastAsia" w:ascii="宋体" w:hAnsi="宋体" w:eastAsia="宋体" w:cs="宋体"/>
          <w:szCs w:val="21"/>
        </w:rPr>
        <w:t>①涉及信息类产品，请填写该产品关键部件的品牌、型号：</w:t>
      </w:r>
    </w:p>
    <w:p w14:paraId="0EC21171">
      <w:pPr>
        <w:numPr>
          <w:ilvl w:val="255"/>
          <w:numId w:val="0"/>
        </w:numPr>
        <w:adjustRightInd w:val="0"/>
        <w:snapToGrid w:val="0"/>
        <w:spacing w:line="400" w:lineRule="exact"/>
        <w:ind w:firstLine="420" w:firstLineChars="200"/>
        <w:rPr>
          <w:rFonts w:hint="eastAsia" w:ascii="宋体" w:hAnsi="宋体" w:eastAsia="宋体" w:cs="宋体"/>
          <w:kern w:val="0"/>
          <w:szCs w:val="21"/>
          <w:u w:val="single"/>
        </w:rPr>
      </w:pPr>
      <w:r>
        <w:rPr>
          <w:rFonts w:hint="eastAsia" w:ascii="宋体" w:hAnsi="宋体" w:eastAsia="宋体" w:cs="宋体"/>
          <w:szCs w:val="21"/>
        </w:rPr>
        <w:t xml:space="preserve">     标的名称：</w:t>
      </w:r>
      <w:r>
        <w:rPr>
          <w:rFonts w:hint="eastAsia" w:ascii="宋体" w:hAnsi="宋体" w:eastAsia="宋体" w:cs="宋体"/>
          <w:kern w:val="0"/>
          <w:szCs w:val="21"/>
          <w:u w:val="single"/>
        </w:rPr>
        <w:t xml:space="preserve">                         </w:t>
      </w:r>
    </w:p>
    <w:p w14:paraId="41C8F818">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关键部件：</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r>
        <w:rPr>
          <w:rFonts w:hint="eastAsia" w:ascii="宋体" w:hAnsi="宋体" w:eastAsia="宋体" w:cs="宋体"/>
          <w:szCs w:val="21"/>
        </w:rPr>
        <w:t>品牌：</w:t>
      </w:r>
      <w:r>
        <w:rPr>
          <w:rFonts w:hint="eastAsia" w:ascii="宋体" w:hAnsi="宋体" w:eastAsia="宋体" w:cs="宋体"/>
          <w:szCs w:val="21"/>
          <w:u w:val="single"/>
        </w:rPr>
        <w:t xml:space="preserve">        </w:t>
      </w:r>
      <w:r>
        <w:rPr>
          <w:rFonts w:hint="eastAsia" w:ascii="宋体" w:hAnsi="宋体" w:eastAsia="宋体" w:cs="宋体"/>
          <w:szCs w:val="21"/>
        </w:rPr>
        <w:t xml:space="preserve"> 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71C88942">
      <w:pPr>
        <w:pStyle w:val="30"/>
        <w:ind w:firstLine="42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kern w:val="2"/>
          <w:sz w:val="21"/>
        </w:rPr>
        <w:t>关键部件</w:t>
      </w:r>
      <w:r>
        <w:rPr>
          <w:rFonts w:hint="eastAsia" w:ascii="宋体" w:hAnsi="宋体" w:eastAsia="宋体" w:cs="宋体"/>
          <w:sz w:val="21"/>
        </w:rPr>
        <w:t>：</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0439C856">
      <w:pPr>
        <w:pStyle w:val="30"/>
        <w:ind w:firstLine="420"/>
        <w:rPr>
          <w:rFonts w:hint="eastAsia"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p>
    <w:p w14:paraId="0A8BD4E2">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（注：关键部件是指财政部会同有关部门发布的政府采购需求标准规定的需要通过国家有关部门指定的测评机构开展的安全可靠测评的软硬件，如CPU芯片、操作系统、数据库等。）</w:t>
      </w:r>
    </w:p>
    <w:p w14:paraId="194A9E4B">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②涉及车辆采购，请填写是否属于新能源汽车：</w:t>
      </w:r>
    </w:p>
    <w:p w14:paraId="50CB204E">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是，《政府采购品目分类目录》底级品目名称：</w:t>
      </w:r>
      <w:r>
        <w:rPr>
          <w:rFonts w:hint="eastAsia" w:ascii="宋体" w:hAnsi="宋体" w:eastAsia="宋体" w:cs="宋体"/>
          <w:sz w:val="21"/>
          <w:u w:val="single"/>
        </w:rPr>
        <w:t xml:space="preserve">     </w:t>
      </w:r>
      <w:r>
        <w:rPr>
          <w:rFonts w:hint="eastAsia" w:ascii="宋体" w:hAnsi="宋体" w:eastAsia="宋体" w:cs="宋体"/>
          <w:sz w:val="21"/>
        </w:rPr>
        <w:t xml:space="preserve"> 数量：</w:t>
      </w:r>
      <w:r>
        <w:rPr>
          <w:rFonts w:hint="eastAsia" w:ascii="宋体" w:hAnsi="宋体" w:eastAsia="宋体" w:cs="宋体"/>
          <w:sz w:val="21"/>
          <w:u w:val="single"/>
        </w:rPr>
        <w:t xml:space="preserve">    </w:t>
      </w:r>
      <w:r>
        <w:rPr>
          <w:rFonts w:hint="eastAsia" w:ascii="宋体" w:hAnsi="宋体" w:eastAsia="宋体" w:cs="宋体"/>
          <w:sz w:val="21"/>
        </w:rPr>
        <w:t xml:space="preserve"> 金额：</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5FA9F799">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否</w:t>
      </w:r>
    </w:p>
    <w:p w14:paraId="6CE7D208">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（4）政府采购组织形式：</w:t>
      </w:r>
      <w:r>
        <w:rPr>
          <w:rFonts w:hint="eastAsia" w:ascii="宋体" w:hAnsi="宋体" w:eastAsia="宋体" w:cs="宋体"/>
          <w:sz w:val="21"/>
        </w:rPr>
        <w:sym w:font="Wingdings" w:char="00A8"/>
      </w:r>
      <w:r>
        <w:rPr>
          <w:rFonts w:hint="eastAsia" w:ascii="宋体" w:hAnsi="宋体" w:eastAsia="宋体" w:cs="宋体"/>
          <w:sz w:val="21"/>
        </w:rPr>
        <w:t xml:space="preserve">政府集中采购  </w:t>
      </w:r>
      <w:r>
        <w:rPr>
          <w:rFonts w:hint="eastAsia" w:ascii="宋体" w:hAnsi="宋体" w:eastAsia="宋体" w:cs="宋体"/>
          <w:sz w:val="21"/>
        </w:rPr>
        <w:sym w:font="Wingdings" w:char="00A8"/>
      </w:r>
      <w:r>
        <w:rPr>
          <w:rFonts w:hint="eastAsia" w:ascii="宋体" w:hAnsi="宋体" w:eastAsia="宋体" w:cs="宋体"/>
          <w:sz w:val="21"/>
        </w:rPr>
        <w:t xml:space="preserve">部门集中采购  </w:t>
      </w:r>
      <w:r>
        <w:rPr>
          <w:rFonts w:hint="eastAsia" w:ascii="宋体" w:hAnsi="宋体" w:eastAsia="宋体" w:cs="宋体"/>
          <w:sz w:val="21"/>
        </w:rPr>
        <w:sym w:font="Wingdings" w:char="00FE"/>
      </w:r>
      <w:r>
        <w:rPr>
          <w:rFonts w:hint="eastAsia" w:ascii="宋体" w:hAnsi="宋体" w:eastAsia="宋体" w:cs="宋体"/>
          <w:sz w:val="21"/>
        </w:rPr>
        <w:t>分散采购</w:t>
      </w:r>
    </w:p>
    <w:p w14:paraId="7E53EB6F">
      <w:pPr>
        <w:pStyle w:val="30"/>
        <w:numPr>
          <w:ilvl w:val="255"/>
          <w:numId w:val="0"/>
        </w:numPr>
        <w:snapToGrid w:val="0"/>
        <w:ind w:firstLine="420"/>
        <w:rPr>
          <w:rFonts w:hint="eastAsia" w:ascii="宋体" w:hAnsi="宋体" w:eastAsia="宋体" w:cs="宋体"/>
          <w:sz w:val="21"/>
        </w:rPr>
      </w:pPr>
      <w:r>
        <w:rPr>
          <w:rFonts w:hint="eastAsia" w:ascii="宋体" w:hAnsi="宋体" w:eastAsia="宋体" w:cs="宋体"/>
          <w:sz w:val="21"/>
        </w:rPr>
        <w:t>（5）政府采购方式：</w:t>
      </w:r>
      <w:r>
        <w:rPr>
          <w:rFonts w:hint="eastAsia" w:ascii="宋体" w:hAnsi="宋体" w:eastAsia="宋体" w:cs="宋体"/>
          <w:sz w:val="21"/>
        </w:rPr>
        <w:sym w:font="Wingdings" w:char="00FE"/>
      </w:r>
      <w:r>
        <w:rPr>
          <w:rFonts w:hint="eastAsia" w:ascii="宋体" w:hAnsi="宋体" w:eastAsia="宋体" w:cs="宋体"/>
          <w:sz w:val="21"/>
        </w:rPr>
        <w:t xml:space="preserve">公开招标 </w:t>
      </w:r>
      <w:r>
        <w:rPr>
          <w:rFonts w:hint="eastAsia" w:ascii="宋体" w:hAnsi="宋体" w:eastAsia="宋体" w:cs="宋体"/>
          <w:sz w:val="21"/>
        </w:rPr>
        <w:sym w:font="Wingdings" w:char="00A8"/>
      </w:r>
      <w:r>
        <w:rPr>
          <w:rFonts w:hint="eastAsia" w:ascii="宋体" w:hAnsi="宋体" w:eastAsia="宋体" w:cs="宋体"/>
          <w:sz w:val="21"/>
        </w:rPr>
        <w:t xml:space="preserve">邀请招标 </w:t>
      </w:r>
      <w:r>
        <w:rPr>
          <w:rFonts w:hint="eastAsia" w:ascii="宋体" w:hAnsi="宋体" w:eastAsia="宋体" w:cs="宋体"/>
          <w:sz w:val="21"/>
        </w:rPr>
        <w:sym w:font="Wingdings" w:char="00A8"/>
      </w:r>
      <w:r>
        <w:rPr>
          <w:rFonts w:hint="eastAsia" w:ascii="宋体" w:hAnsi="宋体" w:eastAsia="宋体" w:cs="宋体"/>
          <w:sz w:val="21"/>
        </w:rPr>
        <w:t xml:space="preserve">竞争性谈判 </w:t>
      </w:r>
      <w:r>
        <w:rPr>
          <w:rFonts w:hint="eastAsia" w:ascii="宋体" w:hAnsi="宋体" w:eastAsia="宋体" w:cs="宋体"/>
          <w:sz w:val="21"/>
        </w:rPr>
        <w:sym w:font="Wingdings" w:char="00A8"/>
      </w:r>
      <w:r>
        <w:rPr>
          <w:rFonts w:hint="eastAsia" w:ascii="宋体" w:hAnsi="宋体" w:eastAsia="宋体" w:cs="宋体"/>
          <w:sz w:val="21"/>
        </w:rPr>
        <w:t>竞争性磋商</w:t>
      </w:r>
    </w:p>
    <w:p w14:paraId="09938BEB">
      <w:pPr>
        <w:pStyle w:val="30"/>
        <w:numPr>
          <w:ilvl w:val="255"/>
          <w:numId w:val="0"/>
        </w:numPr>
        <w:snapToGrid w:val="0"/>
        <w:ind w:firstLine="420"/>
        <w:rPr>
          <w:rFonts w:hint="eastAsia" w:ascii="宋体" w:hAnsi="宋体" w:eastAsia="宋体" w:cs="宋体"/>
          <w:sz w:val="21"/>
          <w:u w:val="single"/>
        </w:rPr>
      </w:pPr>
      <w:r>
        <w:rPr>
          <w:rFonts w:hint="eastAsia" w:ascii="宋体" w:hAnsi="宋体" w:eastAsia="宋体" w:cs="宋体"/>
        </w:rPr>
        <w:t xml:space="preserve">                  </w:t>
      </w:r>
      <w:r>
        <w:rPr>
          <w:rFonts w:hint="eastAsia" w:ascii="宋体" w:hAnsi="宋体" w:eastAsia="宋体" w:cs="宋体"/>
          <w:sz w:val="21"/>
        </w:rPr>
        <w:sym w:font="Wingdings" w:char="00A8"/>
      </w:r>
      <w:r>
        <w:rPr>
          <w:rFonts w:hint="eastAsia" w:ascii="宋体" w:hAnsi="宋体" w:eastAsia="宋体" w:cs="宋体"/>
          <w:sz w:val="21"/>
        </w:rPr>
        <w:t xml:space="preserve">询价 </w:t>
      </w:r>
      <w:r>
        <w:rPr>
          <w:rFonts w:hint="eastAsia" w:ascii="宋体" w:hAnsi="宋体" w:eastAsia="宋体" w:cs="宋体"/>
          <w:sz w:val="21"/>
        </w:rPr>
        <w:sym w:font="Wingdings" w:char="00A8"/>
      </w:r>
      <w:r>
        <w:rPr>
          <w:rFonts w:hint="eastAsia" w:ascii="宋体" w:hAnsi="宋体" w:eastAsia="宋体" w:cs="宋体"/>
          <w:sz w:val="21"/>
        </w:rPr>
        <w:t xml:space="preserve">单一来源 </w:t>
      </w:r>
      <w:r>
        <w:rPr>
          <w:rFonts w:hint="eastAsia" w:ascii="宋体" w:hAnsi="宋体" w:eastAsia="宋体" w:cs="宋体"/>
          <w:sz w:val="21"/>
        </w:rPr>
        <w:sym w:font="Wingdings" w:char="00A8"/>
      </w:r>
      <w:r>
        <w:rPr>
          <w:rFonts w:hint="eastAsia" w:ascii="宋体" w:hAnsi="宋体" w:eastAsia="宋体" w:cs="宋体"/>
          <w:sz w:val="21"/>
        </w:rPr>
        <w:t xml:space="preserve">框架协议 </w:t>
      </w:r>
      <w:r>
        <w:rPr>
          <w:rFonts w:hint="eastAsia" w:ascii="宋体" w:hAnsi="宋体" w:eastAsia="宋体" w:cs="宋体"/>
          <w:sz w:val="21"/>
        </w:rPr>
        <w:sym w:font="Wingdings" w:char="00A8"/>
      </w:r>
      <w:r>
        <w:rPr>
          <w:rFonts w:hint="eastAsia" w:ascii="宋体" w:hAnsi="宋体" w:eastAsia="宋体" w:cs="宋体"/>
          <w:sz w:val="21"/>
        </w:rPr>
        <w:t>其他：</w:t>
      </w:r>
      <w:r>
        <w:rPr>
          <w:rFonts w:hint="eastAsia" w:ascii="宋体" w:hAnsi="宋体" w:eastAsia="宋体" w:cs="宋体"/>
          <w:sz w:val="21"/>
          <w:u w:val="single"/>
        </w:rPr>
        <w:t xml:space="preserve">          </w:t>
      </w:r>
    </w:p>
    <w:p w14:paraId="53086455">
      <w:pPr>
        <w:pStyle w:val="30"/>
        <w:numPr>
          <w:ilvl w:val="255"/>
          <w:numId w:val="0"/>
        </w:numPr>
        <w:snapToGrid w:val="0"/>
        <w:ind w:firstLine="420"/>
        <w:rPr>
          <w:rFonts w:hint="eastAsia" w:ascii="宋体" w:hAnsi="宋体" w:eastAsia="宋体" w:cs="宋体"/>
          <w:sz w:val="21"/>
        </w:rPr>
      </w:pPr>
      <w:r>
        <w:rPr>
          <w:rFonts w:hint="eastAsia" w:ascii="宋体" w:hAnsi="宋体" w:eastAsia="宋体" w:cs="宋体"/>
          <w:sz w:val="21"/>
        </w:rPr>
        <w:t>（注：在框架协议采购的第二阶段，可选择使用该合同文本）</w:t>
      </w:r>
    </w:p>
    <w:p w14:paraId="7CF90ACE">
      <w:pPr>
        <w:pStyle w:val="30"/>
        <w:numPr>
          <w:ilvl w:val="255"/>
          <w:numId w:val="0"/>
        </w:numPr>
        <w:snapToGrid w:val="0"/>
        <w:ind w:firstLine="220" w:firstLineChars="100"/>
        <w:rPr>
          <w:rFonts w:hint="eastAsia" w:ascii="宋体" w:hAnsi="宋体" w:eastAsia="宋体" w:cs="宋体"/>
          <w:kern w:val="2"/>
          <w:sz w:val="21"/>
        </w:rPr>
      </w:pPr>
      <w:r>
        <w:rPr>
          <w:rFonts w:hint="eastAsia" w:ascii="宋体" w:hAnsi="宋体" w:eastAsia="宋体" w:cs="宋体"/>
        </w:rPr>
        <w:t xml:space="preserve"> （6）</w:t>
      </w:r>
      <w:r>
        <w:rPr>
          <w:rFonts w:hint="eastAsia" w:ascii="宋体" w:hAnsi="宋体" w:eastAsia="宋体" w:cs="宋体"/>
          <w:kern w:val="2"/>
          <w:sz w:val="21"/>
        </w:rPr>
        <w:t>中标（成交）采购标的制造商是否为中小企业：</w:t>
      </w:r>
      <w:r>
        <w:rPr>
          <w:rFonts w:hint="eastAsia" w:ascii="宋体" w:hAnsi="宋体" w:eastAsia="宋体" w:cs="宋体"/>
          <w:kern w:val="2"/>
          <w:sz w:val="21"/>
        </w:rPr>
        <w:sym w:font="Wingdings" w:char="00A8"/>
      </w:r>
      <w:r>
        <w:rPr>
          <w:rFonts w:hint="eastAsia" w:ascii="宋体" w:hAnsi="宋体" w:eastAsia="宋体" w:cs="宋体"/>
          <w:kern w:val="2"/>
          <w:sz w:val="21"/>
        </w:rPr>
        <w:t xml:space="preserve">是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0A585EB4">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本合同是否为专门面向中小企业的采购合同（中小企业预留合同）：</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171543DC">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rPr>
        <w:t xml:space="preserve">         若本项目不专门面向中小企业采购，是否给予小微企业评审优惠：</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0E2E4F4A">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rPr>
        <w:t xml:space="preserve">         中标（成交）采购标的制造商是否为残疾人福利性单位：</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3CD7E3A7">
      <w:pPr>
        <w:snapToGrid w:val="0"/>
        <w:spacing w:line="400" w:lineRule="exact"/>
        <w:rPr>
          <w:rFonts w:hint="eastAsia" w:ascii="宋体" w:hAnsi="宋体" w:eastAsia="宋体" w:cs="宋体"/>
        </w:rPr>
      </w:pPr>
      <w:r>
        <w:rPr>
          <w:rFonts w:hint="eastAsia" w:ascii="宋体" w:hAnsi="宋体" w:eastAsia="宋体" w:cs="宋体"/>
        </w:rPr>
        <w:t xml:space="preserve">         中标（成交）采购标的制造商是否为监狱企业：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080EDD8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（7）合同是否分包：</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28DF4F55">
      <w:p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分包主要内容：</w:t>
      </w:r>
      <w:r>
        <w:rPr>
          <w:rFonts w:hint="eastAsia" w:ascii="宋体" w:hAnsi="宋体" w:eastAsia="宋体" w:cs="宋体"/>
          <w:szCs w:val="21"/>
          <w:u w:val="single"/>
        </w:rPr>
        <w:t xml:space="preserve">                                            </w:t>
      </w:r>
    </w:p>
    <w:p w14:paraId="4F5AA56D">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分包供应商/制造商名称（如供应商和制造商不同，请分别填写）：</w:t>
      </w:r>
    </w:p>
    <w:p w14:paraId="4C40655F">
      <w:p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u w:val="single"/>
        </w:rPr>
        <w:t xml:space="preserve">                                                          </w:t>
      </w:r>
    </w:p>
    <w:p w14:paraId="764189C7">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分包供应商/制造商类型（如果供应商和制造商不同，只填写制造商类型）：</w:t>
      </w:r>
    </w:p>
    <w:p w14:paraId="6408D020">
      <w:pPr>
        <w:adjustRightInd w:val="0"/>
        <w:snapToGrid w:val="0"/>
        <w:spacing w:line="400" w:lineRule="exact"/>
        <w:ind w:firstLine="840" w:firstLineChars="400"/>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大型企业  </w:t>
      </w:r>
      <w:r>
        <w:rPr>
          <w:rFonts w:hint="eastAsia" w:ascii="宋体" w:hAnsi="宋体" w:eastAsia="宋体" w:cs="宋体"/>
          <w:iCs/>
          <w:szCs w:val="21"/>
        </w:rPr>
        <w:sym w:font="Wingdings" w:char="00A8"/>
      </w:r>
      <w:r>
        <w:rPr>
          <w:rFonts w:hint="eastAsia" w:ascii="宋体" w:hAnsi="宋体" w:eastAsia="宋体" w:cs="宋体"/>
          <w:iCs/>
          <w:szCs w:val="21"/>
        </w:rPr>
        <w:t xml:space="preserve">中型企业  </w:t>
      </w:r>
      <w:r>
        <w:rPr>
          <w:rFonts w:hint="eastAsia" w:ascii="宋体" w:hAnsi="宋体" w:eastAsia="宋体" w:cs="宋体"/>
          <w:iCs/>
          <w:szCs w:val="21"/>
        </w:rPr>
        <w:sym w:font="Wingdings" w:char="00A8"/>
      </w:r>
      <w:r>
        <w:rPr>
          <w:rFonts w:hint="eastAsia" w:ascii="宋体" w:hAnsi="宋体" w:eastAsia="宋体" w:cs="宋体"/>
          <w:iCs/>
          <w:szCs w:val="21"/>
        </w:rPr>
        <w:t xml:space="preserve">小微型企业  </w:t>
      </w:r>
    </w:p>
    <w:p w14:paraId="798AAD85">
      <w:pPr>
        <w:adjustRightInd w:val="0"/>
        <w:snapToGrid w:val="0"/>
        <w:spacing w:line="400" w:lineRule="exact"/>
        <w:ind w:firstLine="840" w:firstLineChars="400"/>
        <w:rPr>
          <w:rFonts w:hint="eastAsia" w:ascii="宋体" w:hAnsi="宋体" w:eastAsia="宋体" w:cs="宋体"/>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残疾人福利性单位 </w:t>
      </w:r>
      <w:r>
        <w:rPr>
          <w:rFonts w:hint="eastAsia" w:ascii="宋体" w:hAnsi="宋体" w:eastAsia="宋体" w:cs="宋体"/>
          <w:iCs/>
          <w:szCs w:val="21"/>
        </w:rPr>
        <w:sym w:font="Wingdings" w:char="00A8"/>
      </w:r>
      <w:r>
        <w:rPr>
          <w:rFonts w:hint="eastAsia" w:ascii="宋体" w:hAnsi="宋体" w:eastAsia="宋体" w:cs="宋体"/>
          <w:iCs/>
          <w:szCs w:val="21"/>
        </w:rPr>
        <w:t xml:space="preserve">监狱企业 </w:t>
      </w:r>
      <w:r>
        <w:rPr>
          <w:rFonts w:hint="eastAsia" w:ascii="宋体" w:hAnsi="宋体" w:eastAsia="宋体" w:cs="宋体"/>
          <w:iCs/>
          <w:szCs w:val="21"/>
        </w:rPr>
        <w:sym w:font="Wingdings" w:char="00A8"/>
      </w:r>
      <w:r>
        <w:rPr>
          <w:rFonts w:hint="eastAsia" w:ascii="宋体" w:hAnsi="宋体" w:eastAsia="宋体" w:cs="宋体"/>
          <w:iCs/>
          <w:szCs w:val="21"/>
        </w:rPr>
        <w:t>其他</w:t>
      </w:r>
    </w:p>
    <w:p w14:paraId="22C4983B">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（8）中标（成交）供应商是否为外商投资企业：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6652E3FB">
      <w:pPr>
        <w:pStyle w:val="30"/>
        <w:tabs>
          <w:tab w:val="left" w:pos="1340"/>
        </w:tabs>
        <w:ind w:firstLine="420"/>
        <w:rPr>
          <w:rFonts w:hint="eastAsia" w:ascii="宋体" w:hAnsi="宋体" w:eastAsia="宋体" w:cs="宋体"/>
          <w:sz w:val="21"/>
          <w:u w:val="single"/>
        </w:rPr>
      </w:pPr>
      <w:r>
        <w:rPr>
          <w:rFonts w:hint="eastAsia" w:ascii="宋体" w:hAnsi="宋体" w:eastAsia="宋体" w:cs="宋体"/>
          <w:sz w:val="21"/>
        </w:rPr>
        <w:t xml:space="preserve">     外商投资企业类型：</w:t>
      </w:r>
      <w:r>
        <w:rPr>
          <w:rFonts w:hint="eastAsia" w:ascii="宋体" w:hAnsi="宋体" w:eastAsia="宋体" w:cs="宋体"/>
          <w:iCs/>
          <w:sz w:val="21"/>
        </w:rPr>
        <w:sym w:font="Wingdings" w:char="00A8"/>
      </w:r>
      <w:r>
        <w:rPr>
          <w:rFonts w:hint="eastAsia" w:ascii="宋体" w:hAnsi="宋体" w:eastAsia="宋体" w:cs="宋体"/>
          <w:sz w:val="21"/>
        </w:rPr>
        <w:t xml:space="preserve">全部由外国投资者投资  </w:t>
      </w:r>
      <w:r>
        <w:rPr>
          <w:rFonts w:hint="eastAsia" w:ascii="宋体" w:hAnsi="宋体" w:eastAsia="宋体" w:cs="宋体"/>
          <w:iCs/>
          <w:sz w:val="21"/>
        </w:rPr>
        <w:sym w:font="Wingdings" w:char="00A8"/>
      </w:r>
      <w:r>
        <w:rPr>
          <w:rFonts w:hint="eastAsia" w:ascii="宋体" w:hAnsi="宋体" w:eastAsia="宋体" w:cs="宋体"/>
          <w:iCs/>
          <w:sz w:val="21"/>
        </w:rPr>
        <w:t>部分由外国投资者投资</w:t>
      </w:r>
    </w:p>
    <w:p w14:paraId="4C08DF82">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（9）是否涉及进口产品：</w:t>
      </w:r>
    </w:p>
    <w:p w14:paraId="050DF9C4">
      <w:pPr>
        <w:numPr>
          <w:ilvl w:val="255"/>
          <w:numId w:val="0"/>
        </w:num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是，《政府采购品目分类目录》底级品目名称：</w:t>
      </w:r>
      <w:r>
        <w:rPr>
          <w:rFonts w:hint="eastAsia" w:ascii="宋体" w:hAnsi="宋体" w:eastAsia="宋体" w:cs="宋体"/>
          <w:szCs w:val="21"/>
          <w:u w:val="single"/>
        </w:rPr>
        <w:t xml:space="preserve">         </w:t>
      </w:r>
      <w:r>
        <w:rPr>
          <w:rFonts w:hint="eastAsia" w:ascii="宋体" w:hAnsi="宋体" w:eastAsia="宋体" w:cs="宋体"/>
          <w:szCs w:val="21"/>
        </w:rPr>
        <w:t xml:space="preserve"> 金额：</w:t>
      </w:r>
      <w:r>
        <w:rPr>
          <w:rFonts w:hint="eastAsia" w:ascii="宋体" w:hAnsi="宋体" w:eastAsia="宋体" w:cs="宋体"/>
          <w:szCs w:val="21"/>
          <w:u w:val="single"/>
        </w:rPr>
        <w:t xml:space="preserve">        </w:t>
      </w:r>
    </w:p>
    <w:p w14:paraId="1CC4293E">
      <w:pPr>
        <w:numPr>
          <w:ilvl w:val="255"/>
          <w:numId w:val="0"/>
        </w:num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国别：</w:t>
      </w:r>
      <w:r>
        <w:rPr>
          <w:rFonts w:hint="eastAsia" w:ascii="宋体" w:hAnsi="宋体" w:eastAsia="宋体" w:cs="宋体"/>
          <w:szCs w:val="21"/>
          <w:u w:val="single"/>
        </w:rPr>
        <w:t xml:space="preserve">        </w:t>
      </w: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5F84760B">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360BAD24">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（10）是否涉及节能产品：</w:t>
      </w:r>
    </w:p>
    <w:p w14:paraId="08158B47">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是，《节能产品政府采购品目清单》的底级品目名称：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0AE462D6">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65196CCE">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4B800AEB">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是否涉及环境标志产品：</w:t>
      </w:r>
    </w:p>
    <w:p w14:paraId="55419466">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是，《环境标志产品政府采购品目清单》的底级品目名称：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552A6638">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32C55FF2">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5411082B">
      <w:pPr>
        <w:pStyle w:val="30"/>
        <w:numPr>
          <w:ilvl w:val="255"/>
          <w:numId w:val="0"/>
        </w:numPr>
        <w:snapToGrid w:val="0"/>
        <w:rPr>
          <w:rFonts w:hint="eastAsia" w:ascii="宋体" w:hAnsi="宋体" w:eastAsia="宋体" w:cs="宋体"/>
          <w:kern w:val="2"/>
          <w:sz w:val="21"/>
        </w:rPr>
      </w:pPr>
      <w:r>
        <w:rPr>
          <w:rFonts w:hint="eastAsia" w:ascii="宋体" w:hAnsi="宋体" w:eastAsia="宋体" w:cs="宋体"/>
          <w:sz w:val="21"/>
        </w:rPr>
        <w:t xml:space="preserve">          </w:t>
      </w:r>
      <w:r>
        <w:rPr>
          <w:rFonts w:hint="eastAsia" w:ascii="宋体" w:hAnsi="宋体" w:eastAsia="宋体" w:cs="宋体"/>
          <w:kern w:val="2"/>
          <w:sz w:val="21"/>
        </w:rPr>
        <w:t xml:space="preserve">是否涉及绿色产品： </w:t>
      </w:r>
    </w:p>
    <w:p w14:paraId="49A123AF">
      <w:pPr>
        <w:pStyle w:val="30"/>
        <w:ind w:firstLine="420" w:firstLineChars="0"/>
        <w:rPr>
          <w:rFonts w:hint="eastAsia" w:ascii="宋体" w:hAnsi="宋体" w:eastAsia="宋体" w:cs="宋体"/>
          <w:u w:val="single"/>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是，绿色产品政府采购相关政策确定的底级品目名称：</w:t>
      </w:r>
      <w:r>
        <w:rPr>
          <w:rFonts w:hint="eastAsia" w:ascii="宋体" w:hAnsi="宋体" w:eastAsia="宋体" w:cs="宋体"/>
          <w:u w:val="single"/>
        </w:rPr>
        <w:t xml:space="preserve">         </w:t>
      </w:r>
    </w:p>
    <w:p w14:paraId="2A4E6C27">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57199BF3">
      <w:pPr>
        <w:pStyle w:val="30"/>
        <w:ind w:firstLine="420" w:firstLineChars="0"/>
        <w:rPr>
          <w:rFonts w:hint="eastAsia" w:ascii="宋体" w:hAnsi="宋体" w:eastAsia="宋体" w:cs="宋体"/>
          <w:sz w:val="21"/>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261DC1A4">
      <w:pPr>
        <w:numPr>
          <w:ilvl w:val="255"/>
          <w:numId w:val="0"/>
        </w:num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（11）涉及商品包装和快递包装的，是否参考《商品包装政府采购需求标准（试行）》、《快递包装政府采购需求标准（试行）》明确产品及相关快递服务的具体包装要求：</w:t>
      </w:r>
    </w:p>
    <w:p w14:paraId="4871BD42">
      <w:pPr>
        <w:numPr>
          <w:ilvl w:val="255"/>
          <w:numId w:val="0"/>
        </w:num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 xml:space="preserve">否      </w:t>
      </w:r>
      <w:r>
        <w:rPr>
          <w:rFonts w:hint="eastAsia" w:ascii="宋体" w:hAnsi="宋体" w:eastAsia="宋体" w:cs="宋体"/>
          <w:szCs w:val="21"/>
        </w:rPr>
        <w:sym w:font="Wingdings" w:char="00A8"/>
      </w:r>
      <w:r>
        <w:rPr>
          <w:rFonts w:hint="eastAsia" w:ascii="宋体" w:hAnsi="宋体" w:eastAsia="宋体" w:cs="宋体"/>
          <w:szCs w:val="21"/>
        </w:rPr>
        <w:t>不涉及</w:t>
      </w:r>
    </w:p>
    <w:p w14:paraId="70BB99F6">
      <w:pPr>
        <w:numPr>
          <w:ilvl w:val="0"/>
          <w:numId w:val="15"/>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合同金额</w:t>
      </w:r>
    </w:p>
    <w:p w14:paraId="7AC11FFD">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40DCC1E0">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79D932CE">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分包金额（如有）小写：</w:t>
      </w:r>
      <w:r>
        <w:rPr>
          <w:rFonts w:hint="eastAsia" w:ascii="宋体" w:hAnsi="宋体" w:eastAsia="宋体" w:cs="宋体"/>
          <w:szCs w:val="21"/>
          <w:u w:val="single"/>
        </w:rPr>
        <w:t xml:space="preserve">                   </w:t>
      </w:r>
    </w:p>
    <w:p w14:paraId="36CE65EE">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542EC714">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（注：固定单价合同应填写单价和最高限价）</w:t>
      </w:r>
    </w:p>
    <w:p w14:paraId="60DB6176">
      <w:pPr>
        <w:numPr>
          <w:ilvl w:val="255"/>
          <w:numId w:val="0"/>
        </w:num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（2）合同定价方式（采用组合定价方式的，可以勾选多项）：</w:t>
      </w:r>
    </w:p>
    <w:p w14:paraId="3DDB459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固定费率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 xml:space="preserve">绩效激励 </w:t>
      </w:r>
      <w:r>
        <w:rPr>
          <w:rFonts w:hint="eastAsia" w:ascii="宋体" w:hAnsi="宋体" w:eastAsia="宋体" w:cs="宋体"/>
          <w:iCs/>
          <w:szCs w:val="21"/>
        </w:rPr>
        <w:sym w:font="Wingdings" w:char="00A8"/>
      </w:r>
      <w:r>
        <w:rPr>
          <w:rFonts w:hint="eastAsia" w:ascii="宋体" w:hAnsi="宋体" w:eastAsia="宋体" w:cs="宋体"/>
          <w:iCs/>
          <w:szCs w:val="21"/>
        </w:rPr>
        <w:t>其他</w:t>
      </w:r>
      <w:r>
        <w:rPr>
          <w:rFonts w:hint="eastAsia" w:ascii="宋体" w:hAnsi="宋体" w:eastAsia="宋体" w:cs="宋体"/>
          <w:szCs w:val="21"/>
          <w:u w:val="single"/>
        </w:rPr>
        <w:t xml:space="preserve">       </w:t>
      </w:r>
    </w:p>
    <w:p w14:paraId="73E6C8B2">
      <w:pPr>
        <w:pStyle w:val="43"/>
        <w:spacing w:line="400" w:lineRule="exact"/>
        <w:rPr>
          <w:rFonts w:hint="eastAsia" w:ascii="宋体" w:hAnsi="宋体" w:eastAsia="宋体" w:cs="宋体"/>
        </w:rPr>
      </w:pPr>
      <w:r>
        <w:rPr>
          <w:rFonts w:hint="eastAsia" w:ascii="宋体" w:hAnsi="宋体" w:eastAsia="宋体" w:cs="宋体"/>
        </w:rPr>
        <w:t>（3）付款方式（按项目实际勾选填写）：</w:t>
      </w:r>
    </w:p>
    <w:p w14:paraId="7016743E">
      <w:pPr>
        <w:adjustRightInd w:val="0"/>
        <w:snapToGrid w:val="0"/>
        <w:spacing w:line="400" w:lineRule="exact"/>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全额付款：</w:t>
      </w:r>
      <w:r>
        <w:rPr>
          <w:rFonts w:hint="eastAsia" w:ascii="宋体" w:hAnsi="宋体" w:eastAsia="宋体" w:cs="宋体"/>
          <w:szCs w:val="21"/>
          <w:u w:val="single"/>
        </w:rPr>
        <w:t xml:space="preserve">     （应明确一次性支付合同款项的条件）                    </w:t>
      </w:r>
    </w:p>
    <w:p w14:paraId="16EAEA25">
      <w:pPr>
        <w:snapToGrid w:val="0"/>
        <w:spacing w:line="400" w:lineRule="exact"/>
        <w:ind w:firstLine="630" w:firstLineChars="300"/>
        <w:rPr>
          <w:rFonts w:hint="eastAsia" w:ascii="宋体" w:hAnsi="宋体" w:eastAsia="宋体" w:cs="宋体"/>
        </w:rPr>
      </w:pPr>
      <w:r>
        <w:rPr>
          <w:rFonts w:hint="eastAsia" w:ascii="宋体" w:hAnsi="宋体" w:eastAsia="宋体" w:cs="宋体"/>
          <w:szCs w:val="21"/>
        </w:rPr>
        <w:sym w:font="Wingdings" w:char="00A8"/>
      </w:r>
      <w:r>
        <w:rPr>
          <w:rFonts w:hint="eastAsia" w:ascii="宋体" w:hAnsi="宋体" w:eastAsia="宋体" w:cs="宋体"/>
          <w:szCs w:val="21"/>
        </w:rPr>
        <w:t>分期付款：</w:t>
      </w:r>
      <w:r>
        <w:rPr>
          <w:rFonts w:hint="eastAsia" w:ascii="宋体" w:hAnsi="宋体" w:eastAsia="宋体" w:cs="宋体"/>
          <w:szCs w:val="21"/>
          <w:u w:val="single"/>
        </w:rPr>
        <w:t xml:space="preserve">  （应明确分期支付合同款项的各期比例和支付条件，各期支付条件应与分期履约验收情况挂钩） </w:t>
      </w:r>
      <w:r>
        <w:rPr>
          <w:rFonts w:hint="eastAsia" w:ascii="宋体" w:hAnsi="宋体" w:eastAsia="宋体" w:cs="宋体"/>
          <w:szCs w:val="21"/>
        </w:rPr>
        <w:t>，其中涉及预付款的：</w:t>
      </w:r>
      <w:r>
        <w:rPr>
          <w:rFonts w:hint="eastAsia" w:ascii="宋体" w:hAnsi="宋体" w:eastAsia="宋体" w:cs="宋体"/>
          <w:szCs w:val="21"/>
          <w:u w:val="single"/>
        </w:rPr>
        <w:t xml:space="preserve"> （应明确预付款的支付比例和支付条件） </w:t>
      </w:r>
    </w:p>
    <w:p w14:paraId="3EFB9AB1">
      <w:pPr>
        <w:adjustRightInd w:val="0"/>
        <w:snapToGrid w:val="0"/>
        <w:spacing w:line="400" w:lineRule="exact"/>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成本补偿：</w:t>
      </w:r>
      <w:r>
        <w:rPr>
          <w:rFonts w:hint="eastAsia" w:ascii="宋体" w:hAnsi="宋体" w:eastAsia="宋体" w:cs="宋体"/>
          <w:szCs w:val="21"/>
          <w:u w:val="single"/>
        </w:rPr>
        <w:t xml:space="preserve">      （应明确按照成本补偿方式的支付方式和支付条件）   </w:t>
      </w:r>
    </w:p>
    <w:p w14:paraId="7EC751A9">
      <w:pPr>
        <w:adjustRightInd w:val="0"/>
        <w:snapToGrid w:val="0"/>
        <w:spacing w:line="400" w:lineRule="exact"/>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绩效激励：</w:t>
      </w:r>
      <w:r>
        <w:rPr>
          <w:rFonts w:hint="eastAsia" w:ascii="宋体" w:hAnsi="宋体" w:eastAsia="宋体" w:cs="宋体"/>
          <w:szCs w:val="21"/>
          <w:u w:val="single"/>
        </w:rPr>
        <w:t xml:space="preserve">      （应明确按照绩效激励方式的支付方式和支付条件）   </w:t>
      </w:r>
    </w:p>
    <w:p w14:paraId="52402FD6">
      <w:pPr>
        <w:numPr>
          <w:ilvl w:val="0"/>
          <w:numId w:val="15"/>
        </w:numPr>
        <w:adjustRightInd w:val="0"/>
        <w:snapToGrid w:val="0"/>
        <w:spacing w:line="400" w:lineRule="exact"/>
        <w:ind w:firstLine="422" w:firstLineChars="200"/>
        <w:rPr>
          <w:rFonts w:hint="eastAsia" w:ascii="宋体" w:hAnsi="宋体" w:eastAsia="宋体" w:cs="宋体"/>
          <w:b/>
          <w:szCs w:val="21"/>
          <w:u w:val="single"/>
        </w:rPr>
      </w:pPr>
      <w:r>
        <w:rPr>
          <w:rFonts w:hint="eastAsia" w:ascii="宋体" w:hAnsi="宋体" w:eastAsia="宋体" w:cs="宋体"/>
          <w:b/>
          <w:szCs w:val="21"/>
        </w:rPr>
        <w:t>合同履行</w:t>
      </w:r>
    </w:p>
    <w:p w14:paraId="625F63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0BC3373">
      <w:pPr>
        <w:adjustRightInd w:val="0"/>
        <w:snapToGrid w:val="0"/>
        <w:spacing w:line="400" w:lineRule="exact"/>
        <w:ind w:firstLine="420" w:firstLineChars="200"/>
        <w:rPr>
          <w:rFonts w:hint="eastAsia" w:ascii="宋体" w:hAnsi="宋体" w:eastAsia="宋体" w:cs="宋体"/>
          <w:szCs w:val="21"/>
          <w:u w:val="single"/>
        </w:rPr>
      </w:pPr>
      <w:r>
        <w:rPr>
          <w:rFonts w:hint="eastAsia" w:ascii="宋体" w:hAnsi="宋体" w:eastAsia="宋体" w:cs="宋体"/>
          <w:szCs w:val="21"/>
        </w:rPr>
        <w:t>（2）履约地点</w:t>
      </w:r>
      <w:r>
        <w:rPr>
          <w:rFonts w:hint="eastAsia" w:ascii="宋体" w:hAnsi="宋体" w:eastAsia="宋体" w:cs="宋体"/>
          <w:bCs/>
          <w:szCs w:val="21"/>
        </w:rPr>
        <w:t>：</w:t>
      </w:r>
      <w:r>
        <w:rPr>
          <w:rFonts w:hint="eastAsia" w:ascii="宋体" w:hAnsi="宋体" w:eastAsia="宋体" w:cs="宋体"/>
          <w:szCs w:val="21"/>
          <w:u w:val="single"/>
        </w:rPr>
        <w:t xml:space="preserve">                             </w:t>
      </w:r>
    </w:p>
    <w:p w14:paraId="4A609629">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bCs/>
          <w:szCs w:val="21"/>
        </w:rPr>
        <w:t>（3）履约担保：</w:t>
      </w:r>
      <w:r>
        <w:rPr>
          <w:rFonts w:hint="eastAsia" w:ascii="宋体" w:hAnsi="宋体" w:eastAsia="宋体" w:cs="宋体"/>
        </w:rPr>
        <w:t>是否收取履约保证金：</w:t>
      </w: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否</w:t>
      </w:r>
    </w:p>
    <w:p w14:paraId="7BC05DFE">
      <w:pPr>
        <w:pStyle w:val="30"/>
        <w:rPr>
          <w:rFonts w:hint="eastAsia" w:ascii="宋体" w:hAnsi="宋体" w:eastAsia="宋体" w:cs="宋体"/>
          <w:sz w:val="21"/>
        </w:rPr>
      </w:pPr>
      <w:r>
        <w:rPr>
          <w:rFonts w:hint="eastAsia" w:ascii="宋体" w:hAnsi="宋体" w:eastAsia="宋体" w:cs="宋体"/>
          <w:bCs/>
        </w:rPr>
        <w:t xml:space="preserve">  </w:t>
      </w:r>
      <w:r>
        <w:rPr>
          <w:rFonts w:hint="eastAsia" w:ascii="宋体" w:hAnsi="宋体" w:eastAsia="宋体" w:cs="宋体"/>
          <w:sz w:val="21"/>
        </w:rPr>
        <w:t xml:space="preserve">  收取履约保证金形式：</w:t>
      </w:r>
      <w:r>
        <w:rPr>
          <w:rFonts w:hint="eastAsia" w:ascii="宋体" w:hAnsi="宋体" w:eastAsia="宋体" w:cs="宋体"/>
          <w:bCs/>
          <w:sz w:val="21"/>
          <w:u w:val="single"/>
        </w:rPr>
        <w:t xml:space="preserve">                            </w:t>
      </w:r>
    </w:p>
    <w:p w14:paraId="1BB1ACDF">
      <w:pPr>
        <w:pStyle w:val="30"/>
        <w:ind w:firstLine="420"/>
        <w:rPr>
          <w:rFonts w:hint="eastAsia"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p>
    <w:p w14:paraId="0370D71C">
      <w:pPr>
        <w:snapToGrid w:val="0"/>
        <w:spacing w:line="400" w:lineRule="exact"/>
        <w:ind w:firstLine="420" w:firstLineChars="200"/>
        <w:rPr>
          <w:rFonts w:hint="eastAsia" w:ascii="宋体" w:hAnsi="宋体" w:eastAsia="宋体" w:cs="宋体"/>
        </w:rPr>
      </w:pPr>
      <w:r>
        <w:rPr>
          <w:rFonts w:hint="eastAsia" w:ascii="宋体" w:hAnsi="宋体" w:eastAsia="宋体" w:cs="宋体"/>
          <w:bCs/>
          <w:szCs w:val="21"/>
        </w:rPr>
        <w:t xml:space="preserve">    履约担保期限：</w:t>
      </w:r>
      <w:r>
        <w:rPr>
          <w:rFonts w:hint="eastAsia" w:ascii="宋体" w:hAnsi="宋体" w:eastAsia="宋体" w:cs="宋体"/>
          <w:bCs/>
          <w:szCs w:val="21"/>
          <w:u w:val="single"/>
        </w:rPr>
        <w:t xml:space="preserve">                                  </w:t>
      </w:r>
    </w:p>
    <w:p w14:paraId="78E16847">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（4）分期履行要求：</w:t>
      </w:r>
      <w:r>
        <w:rPr>
          <w:rFonts w:hint="eastAsia" w:ascii="宋体" w:hAnsi="宋体" w:eastAsia="宋体" w:cs="宋体"/>
          <w:bCs/>
          <w:szCs w:val="21"/>
          <w:u w:val="single"/>
        </w:rPr>
        <w:t xml:space="preserve">                                                        </w:t>
      </w:r>
    </w:p>
    <w:p w14:paraId="7CA22DFA">
      <w:pPr>
        <w:adjustRightInd w:val="0"/>
        <w:snapToGrid w:val="0"/>
        <w:spacing w:line="400" w:lineRule="exact"/>
        <w:ind w:firstLine="420" w:firstLineChars="200"/>
        <w:rPr>
          <w:rFonts w:hint="eastAsia" w:ascii="宋体" w:hAnsi="宋体" w:eastAsia="宋体" w:cs="宋体"/>
          <w:szCs w:val="21"/>
          <w:u w:val="single"/>
        </w:rPr>
      </w:pPr>
      <w:r>
        <w:rPr>
          <w:rFonts w:hint="eastAsia" w:ascii="宋体" w:hAnsi="宋体" w:eastAsia="宋体" w:cs="宋体"/>
          <w:bCs/>
          <w:szCs w:val="21"/>
        </w:rPr>
        <w:t>（5）风险处置措施和替代方案：</w:t>
      </w:r>
      <w:r>
        <w:rPr>
          <w:rFonts w:hint="eastAsia" w:ascii="宋体" w:hAnsi="宋体" w:eastAsia="宋体" w:cs="宋体"/>
          <w:color w:val="0000FF"/>
          <w:szCs w:val="21"/>
          <w:u w:val="single"/>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szCs w:val="21"/>
          <w:u w:val="single"/>
        </w:rPr>
        <w:t xml:space="preserve">                                                </w:t>
      </w:r>
    </w:p>
    <w:p w14:paraId="2475BC32">
      <w:pPr>
        <w:numPr>
          <w:ilvl w:val="0"/>
          <w:numId w:val="15"/>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合同验收</w:t>
      </w:r>
    </w:p>
    <w:p w14:paraId="7CAB65DF">
      <w:pPr>
        <w:numPr>
          <w:ilvl w:val="0"/>
          <w:numId w:val="17"/>
        </w:num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验收组织方式：</w:t>
      </w:r>
      <w:r>
        <w:rPr>
          <w:rFonts w:hint="eastAsia" w:ascii="宋体" w:hAnsi="宋体" w:eastAsia="宋体" w:cs="宋体"/>
          <w:szCs w:val="21"/>
        </w:rPr>
        <w:sym w:font="Wingdings" w:char="00A8"/>
      </w:r>
      <w:r>
        <w:rPr>
          <w:rFonts w:hint="eastAsia" w:ascii="宋体" w:hAnsi="宋体" w:eastAsia="宋体" w:cs="宋体"/>
          <w:bCs/>
          <w:szCs w:val="21"/>
        </w:rPr>
        <w:t xml:space="preserve">自行组织 </w:t>
      </w:r>
      <w:r>
        <w:rPr>
          <w:rFonts w:hint="eastAsia" w:ascii="宋体" w:hAnsi="宋体" w:eastAsia="宋体" w:cs="宋体"/>
          <w:szCs w:val="21"/>
        </w:rPr>
        <w:sym w:font="Wingdings" w:char="00FE"/>
      </w:r>
      <w:r>
        <w:rPr>
          <w:rFonts w:hint="eastAsia" w:ascii="宋体" w:hAnsi="宋体" w:eastAsia="宋体" w:cs="宋体"/>
          <w:bCs/>
          <w:szCs w:val="21"/>
        </w:rPr>
        <w:t>委托第三方组织</w:t>
      </w:r>
    </w:p>
    <w:p w14:paraId="213A2A9A">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验收主体：</w:t>
      </w:r>
      <w:r>
        <w:rPr>
          <w:rFonts w:hint="eastAsia" w:ascii="宋体" w:hAnsi="宋体" w:eastAsia="宋体" w:cs="宋体"/>
          <w:bCs/>
          <w:szCs w:val="21"/>
          <w:u w:val="single"/>
        </w:rPr>
        <w:t xml:space="preserve">                  </w:t>
      </w:r>
    </w:p>
    <w:p w14:paraId="08825625">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是否邀请本项目的其他供应商参加验收：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C93D8E6">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是否邀请专家参加验收：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47C8F055">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是否邀请服务对象参加验收：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45F24B2">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是否邀请第三方检测机构参加验收：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2B1A7E0">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是否进行抽查检测：</w:t>
      </w:r>
      <w:r>
        <w:rPr>
          <w:rFonts w:hint="eastAsia" w:ascii="宋体" w:hAnsi="宋体" w:eastAsia="宋体" w:cs="宋体"/>
          <w:szCs w:val="21"/>
        </w:rPr>
        <w:sym w:font="Wingdings" w:char="00A8"/>
      </w:r>
      <w:r>
        <w:rPr>
          <w:rFonts w:hint="eastAsia" w:ascii="宋体" w:hAnsi="宋体" w:eastAsia="宋体" w:cs="宋体"/>
          <w:bCs/>
          <w:szCs w:val="21"/>
        </w:rPr>
        <w:t>是，抽查比例：</w:t>
      </w:r>
      <w:r>
        <w:rPr>
          <w:rFonts w:hint="eastAsia" w:ascii="宋体" w:hAnsi="宋体" w:eastAsia="宋体" w:cs="宋体"/>
          <w:bCs/>
          <w:szCs w:val="21"/>
          <w:u w:val="single"/>
        </w:rPr>
        <w:t xml:space="preserve">        </w:t>
      </w: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6DF61494">
      <w:pPr>
        <w:adjustRightInd w:val="0"/>
        <w:snapToGrid w:val="0"/>
        <w:spacing w:line="400" w:lineRule="exact"/>
        <w:ind w:firstLine="840" w:firstLineChars="400"/>
        <w:rPr>
          <w:rFonts w:hint="eastAsia" w:ascii="宋体" w:hAnsi="宋体" w:eastAsia="宋体" w:cs="宋体"/>
          <w:bCs/>
          <w:szCs w:val="21"/>
          <w:u w:val="single"/>
        </w:rPr>
      </w:pPr>
      <w:r>
        <w:rPr>
          <w:rFonts w:hint="eastAsia" w:ascii="宋体" w:hAnsi="宋体" w:eastAsia="宋体" w:cs="宋体"/>
          <w:bCs/>
          <w:szCs w:val="21"/>
        </w:rPr>
        <w:t>是否存在破坏性检测：</w:t>
      </w:r>
      <w:r>
        <w:rPr>
          <w:rFonts w:hint="eastAsia" w:ascii="宋体" w:hAnsi="宋体" w:eastAsia="宋体" w:cs="宋体"/>
          <w:szCs w:val="21"/>
        </w:rPr>
        <w:sym w:font="Wingdings" w:char="00A8"/>
      </w:r>
      <w:r>
        <w:rPr>
          <w:rFonts w:hint="eastAsia" w:ascii="宋体" w:hAnsi="宋体" w:eastAsia="宋体" w:cs="宋体"/>
          <w:bCs/>
          <w:szCs w:val="21"/>
        </w:rPr>
        <w:t>是，</w:t>
      </w:r>
      <w:r>
        <w:rPr>
          <w:rFonts w:hint="eastAsia" w:ascii="宋体" w:hAnsi="宋体" w:eastAsia="宋体" w:cs="宋体"/>
          <w:bCs/>
          <w:szCs w:val="21"/>
          <w:u w:val="single"/>
        </w:rPr>
        <w:t>（应明确对被破坏的检测产品的处理方式）</w:t>
      </w:r>
    </w:p>
    <w:p w14:paraId="692AF48E">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0339079A">
      <w:pPr>
        <w:adjustRightInd w:val="0"/>
        <w:snapToGrid w:val="0"/>
        <w:spacing w:line="400" w:lineRule="exact"/>
        <w:ind w:firstLine="840" w:firstLineChars="400"/>
        <w:rPr>
          <w:rFonts w:hint="eastAsia" w:ascii="宋体" w:hAnsi="宋体" w:eastAsia="宋体" w:cs="宋体"/>
          <w:bCs/>
          <w:szCs w:val="21"/>
          <w:u w:val="single"/>
        </w:rPr>
      </w:pPr>
      <w:r>
        <w:rPr>
          <w:rFonts w:hint="eastAsia" w:ascii="宋体" w:hAnsi="宋体" w:eastAsia="宋体" w:cs="宋体"/>
          <w:bCs/>
          <w:szCs w:val="21"/>
        </w:rPr>
        <w:t>验收组织的其他事项：</w:t>
      </w:r>
      <w:r>
        <w:rPr>
          <w:rFonts w:hint="eastAsia" w:ascii="宋体" w:hAnsi="宋体" w:eastAsia="宋体" w:cs="宋体"/>
          <w:bCs/>
          <w:szCs w:val="21"/>
          <w:u w:val="single"/>
        </w:rPr>
        <w:t xml:space="preserve">                </w:t>
      </w:r>
    </w:p>
    <w:p w14:paraId="5A07F6A3">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（2）履约验收时间：</w:t>
      </w:r>
      <w:r>
        <w:rPr>
          <w:rFonts w:hint="eastAsia" w:ascii="宋体" w:hAnsi="宋体" w:eastAsia="宋体" w:cs="宋体"/>
          <w:bCs/>
          <w:szCs w:val="21"/>
          <w:u w:val="single"/>
        </w:rPr>
        <w:t xml:space="preserve">（计划于何时验收/供应商提出验收申请之日起   日内组织验收） </w:t>
      </w:r>
    </w:p>
    <w:p w14:paraId="1B463060">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（3）履约验收方式：</w:t>
      </w:r>
      <w:r>
        <w:rPr>
          <w:rFonts w:hint="eastAsia" w:ascii="宋体" w:hAnsi="宋体" w:eastAsia="宋体" w:cs="宋体"/>
          <w:szCs w:val="21"/>
        </w:rPr>
        <w:sym w:font="Wingdings" w:char="00A8"/>
      </w:r>
      <w:r>
        <w:rPr>
          <w:rFonts w:hint="eastAsia" w:ascii="宋体" w:hAnsi="宋体" w:eastAsia="宋体" w:cs="宋体"/>
          <w:bCs/>
          <w:szCs w:val="21"/>
        </w:rPr>
        <w:t xml:space="preserve">一次性验收         </w:t>
      </w:r>
    </w:p>
    <w:p w14:paraId="0D15AD4D">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分期/分项验收：</w:t>
      </w:r>
      <w:r>
        <w:rPr>
          <w:rFonts w:hint="eastAsia" w:ascii="宋体" w:hAnsi="宋体" w:eastAsia="宋体" w:cs="宋体"/>
          <w:bCs/>
          <w:szCs w:val="21"/>
          <w:u w:val="single"/>
        </w:rPr>
        <w:t xml:space="preserve"> （应明确分期/分项验收的工作安排）  </w:t>
      </w:r>
    </w:p>
    <w:p w14:paraId="13B3A2D9">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（4）履约验收程序：</w:t>
      </w:r>
      <w:r>
        <w:rPr>
          <w:rFonts w:hint="eastAsia" w:ascii="宋体" w:hAnsi="宋体" w:eastAsia="宋体" w:cs="宋体"/>
          <w:bCs/>
          <w:szCs w:val="21"/>
          <w:u w:val="single"/>
        </w:rPr>
        <w:t xml:space="preserve">                                         </w:t>
      </w:r>
    </w:p>
    <w:p w14:paraId="540D8A78">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（5）履约验收的内容：</w:t>
      </w:r>
      <w:r>
        <w:rPr>
          <w:rFonts w:hint="eastAsia" w:ascii="宋体" w:hAnsi="宋体" w:eastAsia="宋体" w:cs="宋体"/>
          <w:bCs/>
          <w:szCs w:val="21"/>
          <w:u w:val="single"/>
        </w:rPr>
        <w:t xml:space="preserve"> （应当包括每一项技术和商务要求的履约情况，特别是落实政府采购扶持中小企业，支持绿色发展和乡村振兴等政策情况）                                      </w:t>
      </w:r>
    </w:p>
    <w:p w14:paraId="1E542E23">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（6）履约验收标准：</w:t>
      </w:r>
      <w:r>
        <w:rPr>
          <w:rFonts w:hint="eastAsia" w:ascii="宋体" w:hAnsi="宋体" w:eastAsia="宋体" w:cs="宋体"/>
          <w:bCs/>
          <w:szCs w:val="21"/>
          <w:u w:val="single"/>
        </w:rPr>
        <w:t xml:space="preserve">                                         </w:t>
      </w:r>
    </w:p>
    <w:p w14:paraId="2F46DAAA">
      <w:pPr>
        <w:pStyle w:val="30"/>
        <w:ind w:firstLine="420"/>
        <w:rPr>
          <w:rFonts w:hint="eastAsia" w:ascii="宋体" w:hAnsi="宋体" w:eastAsia="宋体" w:cs="宋体"/>
          <w:sz w:val="21"/>
        </w:rPr>
      </w:pPr>
      <w:r>
        <w:rPr>
          <w:rFonts w:hint="eastAsia" w:ascii="宋体" w:hAnsi="宋体" w:eastAsia="宋体" w:cs="宋体"/>
          <w:bCs/>
          <w:sz w:val="21"/>
        </w:rPr>
        <w:t>（7）是否以采购活动中供应商提供的样品作为参考：</w:t>
      </w:r>
      <w:r>
        <w:rPr>
          <w:rFonts w:hint="eastAsia" w:ascii="宋体" w:hAnsi="宋体" w:eastAsia="宋体" w:cs="宋体"/>
          <w:sz w:val="21"/>
        </w:rPr>
        <w:sym w:font="Wingdings" w:char="00A8"/>
      </w:r>
      <w:r>
        <w:rPr>
          <w:rFonts w:hint="eastAsia" w:ascii="宋体" w:hAnsi="宋体" w:eastAsia="宋体" w:cs="宋体"/>
          <w:bCs/>
          <w:sz w:val="21"/>
        </w:rPr>
        <w:t xml:space="preserve">是  </w:t>
      </w:r>
      <w:r>
        <w:rPr>
          <w:rFonts w:hint="eastAsia" w:ascii="宋体" w:hAnsi="宋体" w:eastAsia="宋体" w:cs="宋体"/>
          <w:sz w:val="21"/>
        </w:rPr>
        <w:sym w:font="Wingdings" w:char="00A8"/>
      </w:r>
      <w:r>
        <w:rPr>
          <w:rFonts w:hint="eastAsia" w:ascii="宋体" w:hAnsi="宋体" w:eastAsia="宋体" w:cs="宋体"/>
          <w:bCs/>
          <w:sz w:val="21"/>
        </w:rPr>
        <w:t>否</w:t>
      </w:r>
    </w:p>
    <w:p w14:paraId="1207612E">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（8）履约验收其他事项：</w:t>
      </w:r>
      <w:r>
        <w:rPr>
          <w:rFonts w:hint="eastAsia" w:ascii="宋体" w:hAnsi="宋体" w:eastAsia="宋体" w:cs="宋体"/>
          <w:bCs/>
          <w:szCs w:val="21"/>
          <w:u w:val="single"/>
        </w:rPr>
        <w:t xml:space="preserve">      （产权过户登记等）          </w:t>
      </w:r>
    </w:p>
    <w:p w14:paraId="12DC6EEE">
      <w:pPr>
        <w:numPr>
          <w:ilvl w:val="0"/>
          <w:numId w:val="15"/>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组成合同的文件</w:t>
      </w:r>
    </w:p>
    <w:p w14:paraId="736ED384">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1F33EDE2">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（1）政府采购合同协议书及其变更、补充协议</w:t>
      </w:r>
    </w:p>
    <w:p w14:paraId="71CDDEFE">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（2）政府采购合同专用条款</w:t>
      </w:r>
    </w:p>
    <w:p w14:paraId="06404C94">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（3）政府采购合同通用条款</w:t>
      </w:r>
    </w:p>
    <w:p w14:paraId="45A0A903">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（4）中标（成交）通知书</w:t>
      </w:r>
    </w:p>
    <w:p w14:paraId="4D48A5B6">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（5）投标（响应）文件</w:t>
      </w:r>
    </w:p>
    <w:p w14:paraId="35EE93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（6）采购文件</w:t>
      </w:r>
    </w:p>
    <w:p w14:paraId="3C7D5486">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（7）有关技术文件，图纸</w:t>
      </w:r>
    </w:p>
    <w:p w14:paraId="36373BD3">
      <w:pPr>
        <w:pStyle w:val="30"/>
        <w:ind w:firstLine="420"/>
        <w:rPr>
          <w:rFonts w:hint="eastAsia" w:ascii="宋体" w:hAnsi="宋体" w:eastAsia="宋体" w:cs="宋体"/>
          <w:kern w:val="2"/>
          <w:sz w:val="21"/>
        </w:rPr>
      </w:pPr>
      <w:r>
        <w:rPr>
          <w:rFonts w:hint="eastAsia" w:ascii="宋体" w:hAnsi="宋体" w:eastAsia="宋体" w:cs="宋体"/>
          <w:sz w:val="21"/>
        </w:rPr>
        <w:t>（8）</w:t>
      </w:r>
      <w:r>
        <w:rPr>
          <w:rFonts w:hint="eastAsia" w:ascii="宋体" w:hAnsi="宋体" w:eastAsia="宋体" w:cs="宋体"/>
          <w:color w:val="000000" w:themeColor="text1"/>
          <w:kern w:val="2"/>
          <w:sz w:val="21"/>
          <w14:textFill>
            <w14:solidFill>
              <w14:schemeClr w14:val="tx1"/>
            </w14:solidFill>
          </w14:textFill>
        </w:rPr>
        <w:t>国家法律、行政法规和规章制度规定或合同约定的作为合同组成部分的其他文件</w:t>
      </w:r>
    </w:p>
    <w:p w14:paraId="69473C71">
      <w:pPr>
        <w:numPr>
          <w:ilvl w:val="0"/>
          <w:numId w:val="15"/>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合同生效</w:t>
      </w:r>
    </w:p>
    <w:p w14:paraId="2B82BA5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rPr>
        <w:t>生效。</w:t>
      </w:r>
    </w:p>
    <w:p w14:paraId="3A8A5414">
      <w:pPr>
        <w:numPr>
          <w:ilvl w:val="0"/>
          <w:numId w:val="15"/>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合同份数</w:t>
      </w:r>
    </w:p>
    <w:p w14:paraId="69271900">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份，甲方执</w:t>
      </w:r>
      <w:r>
        <w:rPr>
          <w:rFonts w:hint="eastAsia" w:ascii="宋体" w:hAnsi="宋体" w:eastAsia="宋体" w:cs="宋体"/>
          <w:szCs w:val="21"/>
          <w:u w:val="single"/>
        </w:rPr>
        <w:t xml:space="preserve">    </w:t>
      </w:r>
      <w:r>
        <w:rPr>
          <w:rFonts w:hint="eastAsia" w:ascii="宋体" w:hAnsi="宋体" w:eastAsia="宋体" w:cs="宋体"/>
          <w:szCs w:val="21"/>
        </w:rPr>
        <w:t>份，乙方执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22DC0B02">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B669A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79D4321A">
      <w:pPr>
        <w:adjustRightInd w:val="0"/>
        <w:snapToGrid w:val="0"/>
        <w:spacing w:line="400" w:lineRule="exact"/>
        <w:ind w:firstLine="420" w:firstLineChars="200"/>
        <w:rPr>
          <w:rFonts w:hint="eastAsia" w:ascii="宋体" w:hAnsi="宋体" w:eastAsia="宋体" w:cs="宋体"/>
        </w:rPr>
      </w:pPr>
      <w:r>
        <w:rPr>
          <w:rFonts w:hint="eastAsia" w:ascii="宋体" w:hAnsi="宋体" w:eastAsia="宋体" w:cs="宋体"/>
          <w:szCs w:val="21"/>
        </w:rPr>
        <w:t>附件：具体标的及其技术要求和商务要求、联合协议、分包意向协议等。</w:t>
      </w:r>
    </w:p>
    <w:p w14:paraId="3A2BD172">
      <w:pPr>
        <w:pStyle w:val="43"/>
        <w:spacing w:line="400" w:lineRule="exact"/>
        <w:rPr>
          <w:rFonts w:hint="eastAsia" w:ascii="宋体" w:hAnsi="宋体" w:eastAsia="宋体" w:cs="宋体"/>
        </w:rPr>
      </w:pPr>
    </w:p>
    <w:p w14:paraId="16670071">
      <w:pPr>
        <w:pStyle w:val="3"/>
        <w:spacing w:line="400" w:lineRule="exact"/>
        <w:rPr>
          <w:rFonts w:hint="eastAsia" w:ascii="宋体" w:hAnsi="宋体" w:eastAsia="宋体" w:cs="宋体"/>
          <w:b w:val="0"/>
          <w:bCs w:val="0"/>
          <w:sz w:val="21"/>
          <w:szCs w:val="21"/>
        </w:rPr>
      </w:pPr>
      <w:r>
        <w:rPr>
          <w:rFonts w:hint="eastAsia" w:ascii="宋体" w:hAnsi="宋体" w:eastAsia="宋体" w:cs="宋体"/>
        </w:rPr>
        <w:t xml:space="preserve">   </w:t>
      </w:r>
    </w:p>
    <w:p w14:paraId="25291CA6">
      <w:pPr>
        <w:rPr>
          <w:rFonts w:hint="eastAsia" w:ascii="宋体" w:hAnsi="宋体" w:eastAsia="宋体" w:cs="宋体"/>
        </w:rPr>
      </w:pPr>
      <w:r>
        <w:rPr>
          <w:rFonts w:hint="eastAsia" w:ascii="宋体" w:hAnsi="宋体" w:eastAsia="宋体" w:cs="宋体"/>
        </w:rPr>
        <w:br w:type="page"/>
      </w:r>
    </w:p>
    <w:p w14:paraId="53B050B9">
      <w:pPr>
        <w:pStyle w:val="43"/>
        <w:rPr>
          <w:rFonts w:hint="eastAsia" w:ascii="宋体" w:hAnsi="宋体" w:eastAsia="宋体" w:cs="宋体"/>
        </w:rPr>
      </w:pPr>
    </w:p>
    <w:tbl>
      <w:tblPr>
        <w:tblStyle w:val="22"/>
        <w:tblW w:w="4830" w:type="pct"/>
        <w:tblInd w:w="182"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725"/>
        <w:gridCol w:w="2412"/>
        <w:gridCol w:w="1978"/>
        <w:gridCol w:w="2118"/>
      </w:tblGrid>
      <w:tr w14:paraId="564ECB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13" w:type="pct"/>
            <w:gridSpan w:val="2"/>
            <w:tcBorders>
              <w:bottom w:val="single" w:color="auto" w:sz="2" w:space="0"/>
              <w:right w:val="single" w:color="auto" w:sz="2" w:space="0"/>
            </w:tcBorders>
            <w:vAlign w:val="center"/>
          </w:tcPr>
          <w:p w14:paraId="0A9B2F4E">
            <w:pPr>
              <w:adjustRightInd w:val="0"/>
              <w:snapToGrid w:val="0"/>
              <w:spacing w:line="300" w:lineRule="exact"/>
              <w:jc w:val="center"/>
              <w:rPr>
                <w:rFonts w:hint="eastAsia" w:ascii="宋体" w:hAnsi="宋体" w:eastAsia="宋体" w:cs="宋体"/>
              </w:rPr>
            </w:pPr>
            <w:r>
              <w:rPr>
                <w:rFonts w:hint="eastAsia" w:ascii="宋体" w:hAnsi="宋体" w:eastAsia="宋体" w:cs="宋体"/>
                <w:szCs w:val="21"/>
              </w:rPr>
              <w:t>甲方（采购人、受采购人委托签订合同的单位或采购文件约定的合同甲方）</w:t>
            </w:r>
          </w:p>
        </w:tc>
        <w:tc>
          <w:tcPr>
            <w:tcW w:w="2486" w:type="pct"/>
            <w:gridSpan w:val="2"/>
            <w:tcBorders>
              <w:left w:val="single" w:color="auto" w:sz="2" w:space="0"/>
              <w:bottom w:val="single" w:color="auto" w:sz="2" w:space="0"/>
            </w:tcBorders>
            <w:vAlign w:val="center"/>
          </w:tcPr>
          <w:p w14:paraId="51641F44">
            <w:pPr>
              <w:adjustRightInd w:val="0"/>
              <w:snapToGrid w:val="0"/>
              <w:spacing w:line="300" w:lineRule="exact"/>
              <w:jc w:val="center"/>
              <w:rPr>
                <w:rFonts w:hint="eastAsia" w:ascii="宋体" w:hAnsi="宋体" w:eastAsia="宋体" w:cs="宋体"/>
              </w:rPr>
            </w:pPr>
            <w:r>
              <w:rPr>
                <w:rFonts w:hint="eastAsia" w:ascii="宋体" w:hAnsi="宋体" w:eastAsia="宋体" w:cs="宋体"/>
                <w:szCs w:val="21"/>
              </w:rPr>
              <w:t>乙方（供应商）</w:t>
            </w:r>
          </w:p>
        </w:tc>
      </w:tr>
      <w:tr w14:paraId="1ABBD15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048" w:type="pct"/>
            <w:tcBorders>
              <w:top w:val="single" w:color="auto" w:sz="2" w:space="0"/>
              <w:bottom w:val="single" w:color="auto" w:sz="2" w:space="0"/>
              <w:right w:val="single" w:color="auto" w:sz="2" w:space="0"/>
            </w:tcBorders>
            <w:vAlign w:val="center"/>
          </w:tcPr>
          <w:p w14:paraId="4B38F6B8">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单位名称（公章或合同章）</w:t>
            </w:r>
          </w:p>
        </w:tc>
        <w:tc>
          <w:tcPr>
            <w:tcW w:w="1464" w:type="pct"/>
            <w:tcBorders>
              <w:top w:val="single" w:color="auto" w:sz="2" w:space="0"/>
              <w:left w:val="single" w:color="auto" w:sz="2" w:space="0"/>
              <w:bottom w:val="single" w:color="auto" w:sz="2" w:space="0"/>
              <w:right w:val="single" w:color="auto" w:sz="2" w:space="0"/>
            </w:tcBorders>
            <w:vAlign w:val="center"/>
          </w:tcPr>
          <w:p w14:paraId="723F41F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F0D3D0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单位名称（公章或合同章）</w:t>
            </w:r>
          </w:p>
        </w:tc>
        <w:tc>
          <w:tcPr>
            <w:tcW w:w="1285" w:type="pct"/>
            <w:tcBorders>
              <w:top w:val="single" w:color="auto" w:sz="2" w:space="0"/>
              <w:left w:val="single" w:color="auto" w:sz="2" w:space="0"/>
              <w:bottom w:val="single" w:color="auto" w:sz="2" w:space="0"/>
            </w:tcBorders>
            <w:vAlign w:val="center"/>
          </w:tcPr>
          <w:p w14:paraId="117D5640">
            <w:pPr>
              <w:adjustRightInd w:val="0"/>
              <w:snapToGrid w:val="0"/>
              <w:spacing w:line="300" w:lineRule="exact"/>
              <w:jc w:val="center"/>
              <w:rPr>
                <w:rFonts w:hint="eastAsia" w:ascii="宋体" w:hAnsi="宋体" w:eastAsia="宋体" w:cs="宋体"/>
                <w:spacing w:val="20"/>
                <w:szCs w:val="21"/>
              </w:rPr>
            </w:pPr>
          </w:p>
        </w:tc>
      </w:tr>
      <w:tr w14:paraId="5C14B2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048" w:type="pct"/>
            <w:vMerge w:val="restart"/>
            <w:tcBorders>
              <w:top w:val="single" w:color="auto" w:sz="2" w:space="0"/>
              <w:right w:val="single" w:color="auto" w:sz="2" w:space="0"/>
            </w:tcBorders>
            <w:vAlign w:val="center"/>
          </w:tcPr>
          <w:p w14:paraId="6F2CEC5F">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法定代表人</w:t>
            </w:r>
          </w:p>
          <w:p w14:paraId="14C85496">
            <w:pPr>
              <w:adjustRightInd w:val="0"/>
              <w:snapToGrid w:val="0"/>
              <w:spacing w:line="300" w:lineRule="exact"/>
              <w:ind w:firstLine="100" w:firstLineChars="48"/>
              <w:jc w:val="center"/>
              <w:rPr>
                <w:rFonts w:hint="eastAsia" w:ascii="宋体" w:hAnsi="宋体" w:eastAsia="宋体" w:cs="宋体"/>
                <w:szCs w:val="21"/>
              </w:rPr>
            </w:pPr>
            <w:r>
              <w:rPr>
                <w:rFonts w:hint="eastAsia" w:ascii="宋体" w:hAnsi="宋体" w:eastAsia="宋体" w:cs="宋体"/>
                <w:szCs w:val="21"/>
              </w:rPr>
              <w:t>或其委托代理人（签章）</w:t>
            </w:r>
          </w:p>
        </w:tc>
        <w:tc>
          <w:tcPr>
            <w:tcW w:w="1464" w:type="pct"/>
            <w:vMerge w:val="restart"/>
            <w:tcBorders>
              <w:top w:val="single" w:color="auto" w:sz="2" w:space="0"/>
              <w:left w:val="single" w:color="auto" w:sz="2" w:space="0"/>
              <w:right w:val="single" w:color="auto" w:sz="2" w:space="0"/>
            </w:tcBorders>
            <w:vAlign w:val="center"/>
          </w:tcPr>
          <w:p w14:paraId="310DCDC8">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right w:val="single" w:color="auto" w:sz="2" w:space="0"/>
            </w:tcBorders>
            <w:vAlign w:val="center"/>
          </w:tcPr>
          <w:p w14:paraId="2496858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法定代表人</w:t>
            </w:r>
          </w:p>
          <w:p w14:paraId="118C5DC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或其委托代理人（签章）</w:t>
            </w:r>
          </w:p>
        </w:tc>
        <w:tc>
          <w:tcPr>
            <w:tcW w:w="1285" w:type="pct"/>
            <w:tcBorders>
              <w:top w:val="single" w:color="auto" w:sz="2" w:space="0"/>
              <w:left w:val="single" w:color="auto" w:sz="2" w:space="0"/>
              <w:bottom w:val="single" w:color="auto" w:sz="2" w:space="0"/>
            </w:tcBorders>
            <w:vAlign w:val="center"/>
          </w:tcPr>
          <w:p w14:paraId="2D5E87F4">
            <w:pPr>
              <w:adjustRightInd w:val="0"/>
              <w:snapToGrid w:val="0"/>
              <w:spacing w:line="300" w:lineRule="exact"/>
              <w:jc w:val="center"/>
              <w:rPr>
                <w:rFonts w:hint="eastAsia" w:ascii="宋体" w:hAnsi="宋体" w:eastAsia="宋体" w:cs="宋体"/>
                <w:szCs w:val="21"/>
              </w:rPr>
            </w:pPr>
          </w:p>
        </w:tc>
      </w:tr>
      <w:tr w14:paraId="1C4469C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vMerge w:val="continue"/>
            <w:tcBorders>
              <w:bottom w:val="single" w:color="auto" w:sz="2" w:space="0"/>
              <w:right w:val="single" w:color="auto" w:sz="2" w:space="0"/>
            </w:tcBorders>
            <w:vAlign w:val="center"/>
          </w:tcPr>
          <w:p w14:paraId="5CE3E8E1">
            <w:pPr>
              <w:adjustRightInd w:val="0"/>
              <w:snapToGrid w:val="0"/>
              <w:spacing w:line="300" w:lineRule="exact"/>
              <w:jc w:val="center"/>
              <w:rPr>
                <w:rFonts w:hint="eastAsia" w:ascii="宋体" w:hAnsi="宋体" w:eastAsia="宋体" w:cs="宋体"/>
                <w:szCs w:val="21"/>
              </w:rPr>
            </w:pPr>
          </w:p>
        </w:tc>
        <w:tc>
          <w:tcPr>
            <w:tcW w:w="1464" w:type="pct"/>
            <w:vMerge w:val="continue"/>
            <w:tcBorders>
              <w:left w:val="single" w:color="auto" w:sz="2" w:space="0"/>
              <w:bottom w:val="single" w:color="auto" w:sz="2" w:space="0"/>
              <w:right w:val="single" w:color="auto" w:sz="2" w:space="0"/>
            </w:tcBorders>
            <w:vAlign w:val="center"/>
          </w:tcPr>
          <w:p w14:paraId="5724B989">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BA69B13">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拥有者性别</w:t>
            </w:r>
          </w:p>
        </w:tc>
        <w:tc>
          <w:tcPr>
            <w:tcW w:w="1285" w:type="pct"/>
            <w:tcBorders>
              <w:top w:val="single" w:color="auto" w:sz="2" w:space="0"/>
              <w:left w:val="single" w:color="auto" w:sz="2" w:space="0"/>
              <w:bottom w:val="single" w:color="auto" w:sz="2" w:space="0"/>
            </w:tcBorders>
            <w:vAlign w:val="center"/>
          </w:tcPr>
          <w:p w14:paraId="67964E23">
            <w:pPr>
              <w:adjustRightInd w:val="0"/>
              <w:snapToGrid w:val="0"/>
              <w:spacing w:line="300" w:lineRule="exact"/>
              <w:jc w:val="center"/>
              <w:rPr>
                <w:rFonts w:hint="eastAsia" w:ascii="宋体" w:hAnsi="宋体" w:eastAsia="宋体" w:cs="宋体"/>
                <w:spacing w:val="20"/>
                <w:szCs w:val="21"/>
              </w:rPr>
            </w:pPr>
          </w:p>
        </w:tc>
      </w:tr>
      <w:tr w14:paraId="690D6E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2DDF5C37">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住  所</w:t>
            </w:r>
          </w:p>
        </w:tc>
        <w:tc>
          <w:tcPr>
            <w:tcW w:w="1464" w:type="pct"/>
            <w:tcBorders>
              <w:top w:val="single" w:color="auto" w:sz="2" w:space="0"/>
              <w:left w:val="single" w:color="auto" w:sz="2" w:space="0"/>
              <w:bottom w:val="single" w:color="auto" w:sz="2" w:space="0"/>
              <w:right w:val="single" w:color="auto" w:sz="2" w:space="0"/>
            </w:tcBorders>
            <w:vAlign w:val="center"/>
          </w:tcPr>
          <w:p w14:paraId="4AAC09C6">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A03E2A7">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住  所</w:t>
            </w:r>
          </w:p>
        </w:tc>
        <w:tc>
          <w:tcPr>
            <w:tcW w:w="1285" w:type="pct"/>
            <w:tcBorders>
              <w:top w:val="single" w:color="auto" w:sz="2" w:space="0"/>
              <w:left w:val="single" w:color="auto" w:sz="2" w:space="0"/>
              <w:bottom w:val="single" w:color="auto" w:sz="2" w:space="0"/>
            </w:tcBorders>
            <w:vAlign w:val="center"/>
          </w:tcPr>
          <w:p w14:paraId="2EF3BAE8">
            <w:pPr>
              <w:adjustRightInd w:val="0"/>
              <w:snapToGrid w:val="0"/>
              <w:spacing w:line="300" w:lineRule="exact"/>
              <w:jc w:val="center"/>
              <w:rPr>
                <w:rFonts w:hint="eastAsia" w:ascii="宋体" w:hAnsi="宋体" w:eastAsia="宋体" w:cs="宋体"/>
                <w:spacing w:val="20"/>
                <w:szCs w:val="21"/>
              </w:rPr>
            </w:pPr>
          </w:p>
        </w:tc>
      </w:tr>
      <w:tr w14:paraId="55A251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28D2E12">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 系 人</w:t>
            </w:r>
          </w:p>
        </w:tc>
        <w:tc>
          <w:tcPr>
            <w:tcW w:w="1464" w:type="pct"/>
            <w:tcBorders>
              <w:top w:val="single" w:color="auto" w:sz="2" w:space="0"/>
              <w:left w:val="single" w:color="auto" w:sz="2" w:space="0"/>
              <w:bottom w:val="single" w:color="auto" w:sz="2" w:space="0"/>
              <w:right w:val="single" w:color="auto" w:sz="2" w:space="0"/>
            </w:tcBorders>
            <w:vAlign w:val="center"/>
          </w:tcPr>
          <w:p w14:paraId="7A8DD21D">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5F97F23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 系 人</w:t>
            </w:r>
          </w:p>
        </w:tc>
        <w:tc>
          <w:tcPr>
            <w:tcW w:w="1285" w:type="pct"/>
            <w:tcBorders>
              <w:top w:val="single" w:color="auto" w:sz="2" w:space="0"/>
              <w:left w:val="single" w:color="auto" w:sz="2" w:space="0"/>
              <w:bottom w:val="single" w:color="auto" w:sz="2" w:space="0"/>
            </w:tcBorders>
            <w:vAlign w:val="center"/>
          </w:tcPr>
          <w:p w14:paraId="68F24110">
            <w:pPr>
              <w:adjustRightInd w:val="0"/>
              <w:snapToGrid w:val="0"/>
              <w:spacing w:line="300" w:lineRule="exact"/>
              <w:jc w:val="center"/>
              <w:rPr>
                <w:rFonts w:hint="eastAsia" w:ascii="宋体" w:hAnsi="宋体" w:eastAsia="宋体" w:cs="宋体"/>
                <w:spacing w:val="20"/>
                <w:szCs w:val="21"/>
              </w:rPr>
            </w:pPr>
          </w:p>
        </w:tc>
      </w:tr>
      <w:tr w14:paraId="2738BF4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7622B72B">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联系电话</w:t>
            </w:r>
          </w:p>
        </w:tc>
        <w:tc>
          <w:tcPr>
            <w:tcW w:w="1464" w:type="pct"/>
            <w:tcBorders>
              <w:top w:val="single" w:color="auto" w:sz="2" w:space="0"/>
              <w:left w:val="single" w:color="auto" w:sz="2" w:space="0"/>
              <w:bottom w:val="single" w:color="auto" w:sz="2" w:space="0"/>
              <w:right w:val="single" w:color="auto" w:sz="2" w:space="0"/>
            </w:tcBorders>
            <w:vAlign w:val="center"/>
          </w:tcPr>
          <w:p w14:paraId="15DEF02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8464DB6">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联系电话</w:t>
            </w:r>
          </w:p>
        </w:tc>
        <w:tc>
          <w:tcPr>
            <w:tcW w:w="1285" w:type="pct"/>
            <w:tcBorders>
              <w:top w:val="single" w:color="auto" w:sz="2" w:space="0"/>
              <w:left w:val="single" w:color="auto" w:sz="2" w:space="0"/>
              <w:bottom w:val="single" w:color="auto" w:sz="2" w:space="0"/>
            </w:tcBorders>
            <w:vAlign w:val="center"/>
          </w:tcPr>
          <w:p w14:paraId="4F08D716">
            <w:pPr>
              <w:adjustRightInd w:val="0"/>
              <w:snapToGrid w:val="0"/>
              <w:spacing w:line="300" w:lineRule="exact"/>
              <w:jc w:val="center"/>
              <w:rPr>
                <w:rFonts w:hint="eastAsia" w:ascii="宋体" w:hAnsi="宋体" w:eastAsia="宋体" w:cs="宋体"/>
                <w:spacing w:val="20"/>
                <w:szCs w:val="21"/>
              </w:rPr>
            </w:pPr>
          </w:p>
        </w:tc>
      </w:tr>
      <w:tr w14:paraId="7D5064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7220644">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通信地址</w:t>
            </w:r>
          </w:p>
        </w:tc>
        <w:tc>
          <w:tcPr>
            <w:tcW w:w="1464" w:type="pct"/>
            <w:tcBorders>
              <w:top w:val="single" w:color="auto" w:sz="2" w:space="0"/>
              <w:left w:val="single" w:color="auto" w:sz="2" w:space="0"/>
              <w:bottom w:val="single" w:color="auto" w:sz="2" w:space="0"/>
              <w:right w:val="single" w:color="auto" w:sz="2" w:space="0"/>
            </w:tcBorders>
            <w:vAlign w:val="center"/>
          </w:tcPr>
          <w:p w14:paraId="0B6A3EEB">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8B243C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通信地址</w:t>
            </w:r>
          </w:p>
        </w:tc>
        <w:tc>
          <w:tcPr>
            <w:tcW w:w="1285" w:type="pct"/>
            <w:tcBorders>
              <w:top w:val="single" w:color="auto" w:sz="2" w:space="0"/>
              <w:left w:val="single" w:color="auto" w:sz="2" w:space="0"/>
              <w:bottom w:val="single" w:color="auto" w:sz="2" w:space="0"/>
            </w:tcBorders>
            <w:vAlign w:val="center"/>
          </w:tcPr>
          <w:p w14:paraId="73CE5A51">
            <w:pPr>
              <w:adjustRightInd w:val="0"/>
              <w:snapToGrid w:val="0"/>
              <w:spacing w:line="300" w:lineRule="exact"/>
              <w:jc w:val="center"/>
              <w:rPr>
                <w:rFonts w:hint="eastAsia" w:ascii="宋体" w:hAnsi="宋体" w:eastAsia="宋体" w:cs="宋体"/>
                <w:spacing w:val="20"/>
                <w:szCs w:val="21"/>
              </w:rPr>
            </w:pPr>
          </w:p>
        </w:tc>
      </w:tr>
      <w:tr w14:paraId="6B4118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43312D2E">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邮政编码</w:t>
            </w:r>
          </w:p>
        </w:tc>
        <w:tc>
          <w:tcPr>
            <w:tcW w:w="1464" w:type="pct"/>
            <w:tcBorders>
              <w:top w:val="single" w:color="auto" w:sz="2" w:space="0"/>
              <w:left w:val="single" w:color="auto" w:sz="2" w:space="0"/>
              <w:bottom w:val="single" w:color="auto" w:sz="2" w:space="0"/>
              <w:right w:val="single" w:color="auto" w:sz="2" w:space="0"/>
            </w:tcBorders>
            <w:vAlign w:val="center"/>
          </w:tcPr>
          <w:p w14:paraId="3C07133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4B2EE0F0">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邮政编码</w:t>
            </w:r>
          </w:p>
        </w:tc>
        <w:tc>
          <w:tcPr>
            <w:tcW w:w="1285" w:type="pct"/>
            <w:tcBorders>
              <w:top w:val="single" w:color="auto" w:sz="2" w:space="0"/>
              <w:left w:val="single" w:color="auto" w:sz="2" w:space="0"/>
              <w:bottom w:val="single" w:color="auto" w:sz="2" w:space="0"/>
            </w:tcBorders>
            <w:vAlign w:val="center"/>
          </w:tcPr>
          <w:p w14:paraId="60B14E1A">
            <w:pPr>
              <w:adjustRightInd w:val="0"/>
              <w:snapToGrid w:val="0"/>
              <w:spacing w:line="300" w:lineRule="exact"/>
              <w:jc w:val="center"/>
              <w:rPr>
                <w:rFonts w:hint="eastAsia" w:ascii="宋体" w:hAnsi="宋体" w:eastAsia="宋体" w:cs="宋体"/>
                <w:spacing w:val="20"/>
                <w:szCs w:val="21"/>
              </w:rPr>
            </w:pPr>
          </w:p>
        </w:tc>
      </w:tr>
      <w:tr w14:paraId="2A1914E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6B9A8654">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电子邮箱</w:t>
            </w:r>
          </w:p>
        </w:tc>
        <w:tc>
          <w:tcPr>
            <w:tcW w:w="1464" w:type="pct"/>
            <w:tcBorders>
              <w:top w:val="single" w:color="auto" w:sz="2" w:space="0"/>
              <w:left w:val="single" w:color="auto" w:sz="2" w:space="0"/>
              <w:bottom w:val="single" w:color="auto" w:sz="2" w:space="0"/>
              <w:right w:val="single" w:color="auto" w:sz="2" w:space="0"/>
            </w:tcBorders>
            <w:vAlign w:val="center"/>
          </w:tcPr>
          <w:p w14:paraId="5661783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0BBB82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电子邮箱</w:t>
            </w:r>
          </w:p>
        </w:tc>
        <w:tc>
          <w:tcPr>
            <w:tcW w:w="1285" w:type="pct"/>
            <w:tcBorders>
              <w:top w:val="single" w:color="auto" w:sz="2" w:space="0"/>
              <w:left w:val="single" w:color="auto" w:sz="2" w:space="0"/>
              <w:bottom w:val="single" w:color="auto" w:sz="2" w:space="0"/>
            </w:tcBorders>
            <w:vAlign w:val="center"/>
          </w:tcPr>
          <w:p w14:paraId="1B0F4BC1">
            <w:pPr>
              <w:adjustRightInd w:val="0"/>
              <w:snapToGrid w:val="0"/>
              <w:spacing w:line="300" w:lineRule="exact"/>
              <w:jc w:val="center"/>
              <w:rPr>
                <w:rFonts w:hint="eastAsia" w:ascii="宋体" w:hAnsi="宋体" w:eastAsia="宋体" w:cs="宋体"/>
                <w:spacing w:val="20"/>
                <w:szCs w:val="21"/>
              </w:rPr>
            </w:pPr>
          </w:p>
        </w:tc>
      </w:tr>
      <w:tr w14:paraId="2B3354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43CF8100">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统一社会信用代码</w:t>
            </w:r>
          </w:p>
        </w:tc>
        <w:tc>
          <w:tcPr>
            <w:tcW w:w="1464" w:type="pct"/>
            <w:tcBorders>
              <w:top w:val="single" w:color="auto" w:sz="2" w:space="0"/>
              <w:left w:val="single" w:color="auto" w:sz="2" w:space="0"/>
              <w:bottom w:val="single" w:color="auto" w:sz="2" w:space="0"/>
              <w:right w:val="single" w:color="auto" w:sz="2" w:space="0"/>
            </w:tcBorders>
            <w:vAlign w:val="center"/>
          </w:tcPr>
          <w:p w14:paraId="0400AF9C">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2B3B9449">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统一社会信用代码</w:t>
            </w:r>
          </w:p>
        </w:tc>
        <w:tc>
          <w:tcPr>
            <w:tcW w:w="1285" w:type="pct"/>
            <w:tcBorders>
              <w:top w:val="single" w:color="auto" w:sz="2" w:space="0"/>
              <w:left w:val="single" w:color="auto" w:sz="2" w:space="0"/>
              <w:bottom w:val="single" w:color="auto" w:sz="2" w:space="0"/>
            </w:tcBorders>
            <w:vAlign w:val="center"/>
          </w:tcPr>
          <w:p w14:paraId="21947E3F">
            <w:pPr>
              <w:adjustRightInd w:val="0"/>
              <w:snapToGrid w:val="0"/>
              <w:spacing w:line="300" w:lineRule="exact"/>
              <w:jc w:val="center"/>
              <w:rPr>
                <w:rFonts w:hint="eastAsia" w:ascii="宋体" w:hAnsi="宋体" w:eastAsia="宋体" w:cs="宋体"/>
                <w:spacing w:val="20"/>
                <w:szCs w:val="21"/>
              </w:rPr>
            </w:pPr>
          </w:p>
        </w:tc>
      </w:tr>
      <w:tr w14:paraId="561076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D51284A">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61582212">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A0D720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开户名称</w:t>
            </w:r>
          </w:p>
        </w:tc>
        <w:tc>
          <w:tcPr>
            <w:tcW w:w="1285" w:type="pct"/>
            <w:tcBorders>
              <w:top w:val="single" w:color="auto" w:sz="2" w:space="0"/>
              <w:left w:val="single" w:color="auto" w:sz="2" w:space="0"/>
              <w:bottom w:val="single" w:color="auto" w:sz="2" w:space="0"/>
            </w:tcBorders>
            <w:vAlign w:val="center"/>
          </w:tcPr>
          <w:p w14:paraId="2C1FBBF0">
            <w:pPr>
              <w:adjustRightInd w:val="0"/>
              <w:snapToGrid w:val="0"/>
              <w:spacing w:line="300" w:lineRule="exact"/>
              <w:jc w:val="center"/>
              <w:rPr>
                <w:rFonts w:hint="eastAsia" w:ascii="宋体" w:hAnsi="宋体" w:eastAsia="宋体" w:cs="宋体"/>
                <w:spacing w:val="20"/>
                <w:szCs w:val="21"/>
              </w:rPr>
            </w:pPr>
          </w:p>
        </w:tc>
      </w:tr>
      <w:tr w14:paraId="53F7AE6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5898CBFF">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50381E35">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24DDFEB">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开户银行</w:t>
            </w:r>
          </w:p>
        </w:tc>
        <w:tc>
          <w:tcPr>
            <w:tcW w:w="1285" w:type="pct"/>
            <w:tcBorders>
              <w:top w:val="single" w:color="auto" w:sz="2" w:space="0"/>
              <w:left w:val="single" w:color="auto" w:sz="2" w:space="0"/>
              <w:bottom w:val="single" w:color="auto" w:sz="2" w:space="0"/>
            </w:tcBorders>
            <w:vAlign w:val="center"/>
          </w:tcPr>
          <w:p w14:paraId="2A393FCA">
            <w:pPr>
              <w:adjustRightInd w:val="0"/>
              <w:snapToGrid w:val="0"/>
              <w:spacing w:line="300" w:lineRule="exact"/>
              <w:jc w:val="center"/>
              <w:rPr>
                <w:rFonts w:hint="eastAsia" w:ascii="宋体" w:hAnsi="宋体" w:eastAsia="宋体" w:cs="宋体"/>
                <w:spacing w:val="20"/>
                <w:szCs w:val="21"/>
              </w:rPr>
            </w:pPr>
          </w:p>
        </w:tc>
      </w:tr>
      <w:tr w14:paraId="39BA68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155CB7FE">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2DE301E3">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5E2843E">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银行账号</w:t>
            </w:r>
          </w:p>
        </w:tc>
        <w:tc>
          <w:tcPr>
            <w:tcW w:w="1285" w:type="pct"/>
            <w:tcBorders>
              <w:top w:val="single" w:color="auto" w:sz="2" w:space="0"/>
              <w:left w:val="single" w:color="auto" w:sz="2" w:space="0"/>
              <w:bottom w:val="single" w:color="auto" w:sz="2" w:space="0"/>
            </w:tcBorders>
            <w:vAlign w:val="center"/>
          </w:tcPr>
          <w:p w14:paraId="594200FD">
            <w:pPr>
              <w:adjustRightInd w:val="0"/>
              <w:snapToGrid w:val="0"/>
              <w:spacing w:line="300" w:lineRule="exact"/>
              <w:jc w:val="center"/>
              <w:rPr>
                <w:rFonts w:hint="eastAsia" w:ascii="宋体" w:hAnsi="宋体" w:eastAsia="宋体" w:cs="宋体"/>
                <w:spacing w:val="20"/>
                <w:szCs w:val="21"/>
              </w:rPr>
            </w:pPr>
          </w:p>
        </w:tc>
      </w:tr>
      <w:tr w14:paraId="5A9FDB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54B7DC0E">
            <w:pPr>
              <w:pStyle w:val="8"/>
              <w:adjustRightInd w:val="0"/>
              <w:snapToGrid w:val="0"/>
              <w:spacing w:beforeLines="50"/>
              <w:jc w:val="left"/>
              <w:rPr>
                <w:rFonts w:hint="eastAsia" w:ascii="宋体" w:hAnsi="宋体" w:eastAsia="宋体" w:cs="宋体"/>
                <w:spacing w:val="20"/>
                <w:szCs w:val="21"/>
              </w:rPr>
            </w:pPr>
            <w:r>
              <w:rPr>
                <w:rFonts w:hint="eastAsia" w:ascii="宋体" w:hAnsi="宋体" w:eastAsia="宋体" w:cs="宋体"/>
                <w:szCs w:val="21"/>
              </w:rPr>
              <w:t>注：涉及联合体或其他合同主体的信息应按上表格式加列。</w:t>
            </w:r>
          </w:p>
        </w:tc>
      </w:tr>
    </w:tbl>
    <w:p w14:paraId="18EB5CA7">
      <w:pPr>
        <w:pStyle w:val="30"/>
        <w:rPr>
          <w:rFonts w:hint="eastAsia" w:asciiTheme="minorEastAsia" w:hAnsiTheme="minorEastAsia" w:eastAsiaTheme="minorEastAsia" w:cstheme="minorEastAsia"/>
          <w:sz w:val="24"/>
          <w:szCs w:val="24"/>
        </w:rPr>
      </w:pPr>
      <w:r>
        <w:rPr>
          <w:rFonts w:hint="eastAsia" w:ascii="宋体" w:hAnsi="宋体" w:eastAsia="宋体" w:cs="宋体"/>
          <w:sz w:val="21"/>
          <w:szCs w:val="21"/>
          <w:u w:val="single"/>
        </w:rPr>
        <w:br w:type="page"/>
      </w:r>
    </w:p>
    <w:p w14:paraId="18C353ED">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sectPr>
          <w:headerReference r:id="rId9" w:type="default"/>
          <w:footerReference r:id="rId10" w:type="default"/>
          <w:pgSz w:w="11907" w:h="16840"/>
          <w:pgMar w:top="1440" w:right="1800" w:bottom="1440" w:left="1800" w:header="878" w:footer="886" w:gutter="0"/>
          <w:pgNumType w:fmt="decimal"/>
          <w:cols w:space="720" w:num="1"/>
        </w:sectPr>
      </w:pPr>
    </w:p>
    <w:p w14:paraId="11A15119">
      <w:pPr>
        <w:pStyle w:val="7"/>
        <w:keepNext w:val="0"/>
        <w:keepLines w:val="0"/>
        <w:pageBreakBefore w:val="0"/>
        <w:kinsoku/>
        <w:wordWrap w:val="0"/>
        <w:overflowPunct/>
        <w:topLinePunct w:val="0"/>
        <w:bidi w:val="0"/>
        <w:spacing w:before="353" w:line="219" w:lineRule="auto"/>
        <w:ind w:left="2654"/>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投标文件格式</w:t>
      </w:r>
    </w:p>
    <w:p w14:paraId="5EBEDFF5">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sz w:val="21"/>
        </w:rPr>
      </w:pPr>
    </w:p>
    <w:p w14:paraId="61F973A0">
      <w:pPr>
        <w:pStyle w:val="7"/>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投标人编制文件须知</w:t>
      </w:r>
    </w:p>
    <w:p w14:paraId="12DB991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w:t>
      </w:r>
      <w:r>
        <w:rPr>
          <w:rFonts w:hint="eastAsia" w:asciiTheme="minorEastAsia" w:hAnsiTheme="minorEastAsia" w:eastAsiaTheme="minorEastAsia" w:cstheme="minorEastAsia"/>
          <w:spacing w:val="-3"/>
          <w:sz w:val="24"/>
          <w:szCs w:val="24"/>
        </w:rPr>
        <w:t>投标人按照本部分的顺序编制投标文件（资格证明文件）、投标</w:t>
      </w:r>
      <w:r>
        <w:rPr>
          <w:rFonts w:hint="eastAsia" w:asciiTheme="minorEastAsia" w:hAnsiTheme="minorEastAsia" w:eastAsiaTheme="minorEastAsia" w:cstheme="minorEastAsia"/>
          <w:spacing w:val="-4"/>
          <w:sz w:val="24"/>
          <w:szCs w:val="24"/>
        </w:rPr>
        <w:t>文件（商务技术文</w:t>
      </w:r>
      <w:r>
        <w:rPr>
          <w:rFonts w:hint="eastAsia" w:asciiTheme="minorEastAsia" w:hAnsiTheme="minorEastAsia" w:eastAsiaTheme="minorEastAsia" w:cstheme="minorEastAsia"/>
          <w:spacing w:val="-8"/>
          <w:sz w:val="24"/>
          <w:szCs w:val="24"/>
        </w:rPr>
        <w:t>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3BD2733E">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1"/>
          <w:sz w:val="24"/>
          <w:szCs w:val="24"/>
        </w:rPr>
        <w:t>全部声明和问题的回答及所附材料必须是真实的、准确的和完整</w:t>
      </w:r>
      <w:r>
        <w:rPr>
          <w:rFonts w:hint="eastAsia" w:asciiTheme="minorEastAsia" w:hAnsiTheme="minorEastAsia" w:eastAsiaTheme="minorEastAsia" w:cstheme="minorEastAsia"/>
          <w:spacing w:val="-2"/>
          <w:sz w:val="24"/>
          <w:szCs w:val="24"/>
        </w:rPr>
        <w:t>的。</w:t>
      </w:r>
    </w:p>
    <w:p w14:paraId="1383BBA7">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sectPr>
          <w:headerReference r:id="rId11" w:type="default"/>
          <w:footerReference r:id="rId12" w:type="default"/>
          <w:pgSz w:w="11907" w:h="16840"/>
          <w:pgMar w:top="1440" w:right="1800" w:bottom="1440" w:left="1800" w:header="878" w:footer="886" w:gutter="0"/>
          <w:pgNumType w:fmt="decimal"/>
          <w:cols w:space="720" w:num="1"/>
        </w:sectPr>
      </w:pPr>
    </w:p>
    <w:p w14:paraId="1BE7C901">
      <w:pPr>
        <w:pStyle w:val="7"/>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t>一、资格证明文件格式</w:t>
      </w:r>
    </w:p>
    <w:p w14:paraId="08219FC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1.开标一览表格式</w:t>
      </w:r>
    </w:p>
    <w:p w14:paraId="1025372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520F18B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开标一览表</w:t>
      </w:r>
    </w:p>
    <w:tbl>
      <w:tblPr>
        <w:tblStyle w:val="22"/>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2887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3B9A89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1BE8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5883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78E23F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252EDAD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399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8D22CD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600CD29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7738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1C4E90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投标报价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3C1C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大写：（￥：）</w:t>
            </w:r>
          </w:p>
        </w:tc>
      </w:tr>
      <w:tr w14:paraId="5F2C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49BC45DC">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质量要求</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348E9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4E4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E0DC6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交货安装时间</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ED691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3358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D532B4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交货安装地点</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9602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1B0E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F313D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免费质保期</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E4DC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年</w:t>
            </w:r>
          </w:p>
        </w:tc>
      </w:tr>
      <w:tr w14:paraId="56BA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F34CC7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1A340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p w14:paraId="350C531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bl>
    <w:p w14:paraId="45CDE15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注：“开标一览表”报总价。</w:t>
      </w:r>
    </w:p>
    <w:p w14:paraId="59E81F6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投标人（公章）：法定代表人（负责人）或授权代表（签字）：</w:t>
      </w:r>
    </w:p>
    <w:p w14:paraId="229742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5C7F82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sectPr>
          <w:pgSz w:w="11907" w:h="16840"/>
          <w:pgMar w:top="1440" w:right="1800" w:bottom="1440" w:left="1800" w:header="851" w:footer="992" w:gutter="0"/>
          <w:pgNumType w:fmt="decimal"/>
          <w:cols w:space="720" w:num="1"/>
        </w:sectPr>
      </w:pPr>
    </w:p>
    <w:p w14:paraId="33DEC2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lang w:eastAsia="zh-CN"/>
        </w:rPr>
        <w:t>授权书格式</w:t>
      </w:r>
    </w:p>
    <w:p w14:paraId="0170673B">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sz w:val="24"/>
          <w:szCs w:val="24"/>
          <w:lang w:eastAsia="zh-CN"/>
        </w:rPr>
      </w:pPr>
    </w:p>
    <w:p w14:paraId="5FBDD96D">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法定代表人（负责人）授权委托书</w:t>
      </w:r>
    </w:p>
    <w:p w14:paraId="0B15EE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E8D67F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w:t>
      </w:r>
    </w:p>
    <w:p w14:paraId="3F85FFD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地址：法定代表人（负责人）：</w:t>
      </w:r>
    </w:p>
    <w:p w14:paraId="3DAE6E0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授权代表姓名：性别：出生日期：年月日</w:t>
      </w:r>
    </w:p>
    <w:p w14:paraId="391F213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所在单位：职务：</w:t>
      </w:r>
    </w:p>
    <w:p w14:paraId="29C9A2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身份证：现住：</w:t>
      </w:r>
    </w:p>
    <w:p w14:paraId="57060F2E">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兹委托参加项目事宜，并授权其全权办理以下事宜：</w:t>
      </w:r>
    </w:p>
    <w:p w14:paraId="1E22E24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1、参加投标活动；</w:t>
      </w:r>
    </w:p>
    <w:p w14:paraId="122C31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2、签订与中标事宜有关的合同。</w:t>
      </w:r>
    </w:p>
    <w:p w14:paraId="7E3D2A1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授权代表在办理上述事宜过程中以其自己的名义所签署的所有文件我均予以承认。</w:t>
      </w:r>
    </w:p>
    <w:p w14:paraId="6E0BBEA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授权代表无转委权。</w:t>
      </w:r>
    </w:p>
    <w:p w14:paraId="403B3EF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委托期限：至上述事宜处理完毕止。</w:t>
      </w:r>
    </w:p>
    <w:p w14:paraId="22F8BA32">
      <w:pPr>
        <w:pStyle w:val="21"/>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lang w:eastAsia="zh-CN"/>
        </w:rPr>
      </w:pPr>
    </w:p>
    <w:p w14:paraId="171B910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委托单位（公章）：</w:t>
      </w:r>
    </w:p>
    <w:p w14:paraId="2B0E865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法定代表人（负责人）（签字）：</w:t>
      </w:r>
    </w:p>
    <w:p w14:paraId="78A078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授权代表（签字）：</w:t>
      </w:r>
    </w:p>
    <w:p w14:paraId="67EA104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D47E89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7F7FA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附：法定代表人（负责人）的身份证及授权代表的身份证</w:t>
      </w:r>
    </w:p>
    <w:p w14:paraId="3FBFD0C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31281F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B52573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4D8EC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66BBAC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26C6A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786D3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6676FF8">
      <w:pPr>
        <w:keepNext w:val="0"/>
        <w:keepLines w:val="0"/>
        <w:pageBreakBefore w:val="0"/>
        <w:kinsoku/>
        <w:wordWrap w:val="0"/>
        <w:overflowPunct/>
        <w:topLinePunct w:val="0"/>
        <w:bidi w:val="0"/>
        <w:spacing w:line="360" w:lineRule="auto"/>
        <w:jc w:val="both"/>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lang w:eastAsia="zh-CN"/>
        </w:rPr>
        <w:t>资格声明函格式</w:t>
      </w:r>
    </w:p>
    <w:p w14:paraId="304EC81B">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504890CD">
      <w:pPr>
        <w:keepNext w:val="0"/>
        <w:keepLines w:val="0"/>
        <w:pageBreakBefore w:val="0"/>
        <w:kinsoku/>
        <w:wordWrap w:val="0"/>
        <w:overflowPunct/>
        <w:topLinePunct w:val="0"/>
        <w:bidi w:val="0"/>
        <w:spacing w:line="360" w:lineRule="auto"/>
        <w:jc w:val="center"/>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eastAsia="zh-CN"/>
        </w:rPr>
        <w:t>关于资格的声明函</w:t>
      </w:r>
    </w:p>
    <w:p w14:paraId="517F191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249975F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DD1740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关于贵方编号为公开招标，本签字人愿意参加投标，提供“采购内容及要求”中规定的服务，并证明提交的下列文件和说明是准确的真实的。</w:t>
      </w:r>
    </w:p>
    <w:p w14:paraId="07FC989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1、由市场监管局签发的我方工商营业执照副本。</w:t>
      </w:r>
    </w:p>
    <w:p w14:paraId="0A41705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2、法定代表人（负责人）授权书。</w:t>
      </w:r>
    </w:p>
    <w:p w14:paraId="6E0D909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3、法定代表人（负责人）或授权代表身份证（答疑时出示原件）。</w:t>
      </w:r>
    </w:p>
    <w:p w14:paraId="0B6425E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4、公司地址、联系电话、传真等。</w:t>
      </w:r>
    </w:p>
    <w:p w14:paraId="21C2154F">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5、法定代表人（负责人）或授权代表的联系电话。</w:t>
      </w:r>
    </w:p>
    <w:p w14:paraId="4A91E07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6、招标项目要求的其他文件。</w:t>
      </w:r>
    </w:p>
    <w:p w14:paraId="2CEB40C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7、本签字人确认资格文件中的说明是真实的、准确的。</w:t>
      </w:r>
    </w:p>
    <w:p w14:paraId="1702300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3538767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683837A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投标人（公章）：法定代表人（负责人）或授权代表（签字）：</w:t>
      </w:r>
    </w:p>
    <w:p w14:paraId="221366E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20EED32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日期</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8744F1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rPr>
      </w:pPr>
    </w:p>
    <w:p w14:paraId="19C4396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sz w:val="24"/>
          <w:szCs w:val="24"/>
          <w:lang w:val="en-US" w:eastAsia="zh-CN"/>
        </w:rPr>
        <w:sectPr>
          <w:headerReference r:id="rId13" w:type="default"/>
          <w:footerReference r:id="rId14"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spacing w:val="-3"/>
          <w:sz w:val="24"/>
          <w:szCs w:val="24"/>
        </w:rPr>
        <w:t>说明：供应商承诺不实的，依据《</w:t>
      </w:r>
      <w:r>
        <w:rPr>
          <w:rFonts w:hint="eastAsia" w:asciiTheme="minorEastAsia" w:hAnsiTheme="minorEastAsia" w:eastAsiaTheme="minorEastAsia" w:cstheme="minorEastAsia"/>
          <w:b/>
          <w:bCs/>
          <w:spacing w:val="-3"/>
          <w:sz w:val="24"/>
          <w:szCs w:val="24"/>
          <w:lang w:val="en-US" w:eastAsia="zh-CN"/>
        </w:rPr>
        <w:t>中华人民共和国</w:t>
      </w:r>
      <w:r>
        <w:rPr>
          <w:rFonts w:hint="eastAsia" w:asciiTheme="minorEastAsia" w:hAnsiTheme="minorEastAsia" w:eastAsiaTheme="minorEastAsia" w:cstheme="minorEastAsia"/>
          <w:b/>
          <w:bCs/>
          <w:spacing w:val="-3"/>
          <w:sz w:val="24"/>
          <w:szCs w:val="24"/>
        </w:rPr>
        <w:t>政府采购法》第七十七条</w:t>
      </w:r>
      <w:r>
        <w:rPr>
          <w:rFonts w:hint="eastAsia" w:asciiTheme="minorEastAsia" w:hAnsiTheme="minorEastAsia" w:eastAsiaTheme="minorEastAsia" w:cstheme="minorEastAsia"/>
          <w:b/>
          <w:bCs/>
          <w:spacing w:val="8"/>
          <w:sz w:val="24"/>
          <w:szCs w:val="24"/>
        </w:rPr>
        <w:t>供虚假材料谋取中标、</w:t>
      </w:r>
      <w:r>
        <w:rPr>
          <w:rFonts w:hint="eastAsia" w:asciiTheme="minorEastAsia" w:hAnsiTheme="minorEastAsia" w:eastAsiaTheme="minorEastAsia" w:cstheme="minorEastAsia"/>
          <w:b/>
          <w:bCs/>
          <w:spacing w:val="-4"/>
          <w:sz w:val="24"/>
          <w:szCs w:val="24"/>
        </w:rPr>
        <w:t>成交的</w:t>
      </w:r>
      <w:r>
        <w:rPr>
          <w:rFonts w:hint="eastAsia" w:asciiTheme="minorEastAsia" w:hAnsiTheme="minorEastAsia" w:eastAsiaTheme="minorEastAsia" w:cstheme="minorEastAsia"/>
          <w:b/>
          <w:bCs/>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0"/>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spacing w:val="-4"/>
          <w:sz w:val="24"/>
          <w:szCs w:val="24"/>
        </w:rPr>
        <w:t>有关规定予以</w:t>
      </w:r>
      <w:r>
        <w:rPr>
          <w:rFonts w:hint="eastAsia" w:asciiTheme="minorEastAsia" w:hAnsiTheme="minorEastAsia" w:eastAsiaTheme="minorEastAsia" w:cstheme="minorEastAsia"/>
          <w:b/>
          <w:bCs/>
          <w:spacing w:val="-4"/>
          <w:sz w:val="24"/>
          <w:szCs w:val="24"/>
          <w:lang w:val="en-US" w:eastAsia="zh-CN"/>
        </w:rPr>
        <w:t>处理。</w:t>
      </w:r>
    </w:p>
    <w:p w14:paraId="7046AA3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7A0B14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lang w:eastAsia="zh-CN"/>
        </w:rPr>
        <w:t>承诺函格式</w:t>
      </w:r>
    </w:p>
    <w:p w14:paraId="3865658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val="en-US" w:eastAsia="zh-CN"/>
        </w:rPr>
      </w:pPr>
    </w:p>
    <w:p w14:paraId="176515F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投</w:t>
      </w:r>
      <w:r>
        <w:rPr>
          <w:rFonts w:hint="eastAsia" w:asciiTheme="minorEastAsia" w:hAnsiTheme="minorEastAsia" w:eastAsiaTheme="minorEastAsia" w:cstheme="minorEastAsia"/>
          <w:b/>
          <w:bCs/>
          <w:sz w:val="24"/>
          <w:szCs w:val="24"/>
          <w:lang w:eastAsia="zh-CN"/>
        </w:rPr>
        <w:t>标人承诺函</w:t>
      </w:r>
    </w:p>
    <w:p w14:paraId="495D30B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4C09110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1688A8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很荣幸能参与项目编号为项目的投标。</w:t>
      </w:r>
    </w:p>
    <w:p w14:paraId="1E3C855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我代表（投标人名称），在此作如下承诺：</w:t>
      </w:r>
    </w:p>
    <w:p w14:paraId="15A0660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1、完全理解和接受本项目招标文件的一切规定和要求；</w:t>
      </w:r>
    </w:p>
    <w:p w14:paraId="094832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2、我方递交的投标文件中所有的资料均为真实的、准确的，无任何虚假内容。若存在有虚假内容，我方愿意承担法律责任。</w:t>
      </w:r>
    </w:p>
    <w:p w14:paraId="03D85DC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3、若中标，我方将按照招标文件的具体规定与采购人签订供货安装调试</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服务合同，并且严格按合同履行义务，按时交付使用，保证设备</w:t>
      </w:r>
      <w:r>
        <w:rPr>
          <w:rFonts w:hint="eastAsia" w:asciiTheme="minorEastAsia" w:hAnsiTheme="minorEastAsia" w:eastAsiaTheme="minorEastAsia" w:cstheme="minorEastAsia"/>
          <w:sz w:val="24"/>
          <w:szCs w:val="24"/>
          <w:lang w:val="en-US" w:eastAsia="zh-CN"/>
        </w:rPr>
        <w:t>或服务</w:t>
      </w:r>
      <w:r>
        <w:rPr>
          <w:rFonts w:hint="eastAsia" w:asciiTheme="minorEastAsia" w:hAnsiTheme="minorEastAsia" w:eastAsiaTheme="minorEastAsia" w:cstheme="minorEastAsia"/>
          <w:sz w:val="24"/>
          <w:szCs w:val="24"/>
          <w:lang w:eastAsia="zh-CN"/>
        </w:rPr>
        <w:t>质量符合招标文件要求，并提供优质服务。如果在合同执行过程中，发现问题，我方一定尽快对其进行调整，并承担相应的经济责任；</w:t>
      </w:r>
    </w:p>
    <w:p w14:paraId="5EC6253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4、若中标，本承诺将成为合同不可分割的一部分，与合同具有同等的法律效力。</w:t>
      </w:r>
    </w:p>
    <w:p w14:paraId="15DB212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5、我方同意招标文件所附的合同文本作为与采购方签约的合同文本，非经双方一致同意，不得改变原合同文本的条款。</w:t>
      </w:r>
    </w:p>
    <w:p w14:paraId="6CF351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6、我方保证，严格遵守《</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政府采购法实施条例》《政府采购货物和服务招标投标管理办法》及其他相关法律法规的规定，若有违反上述法律法规的行为，愿意接受处罚并承担相应的法律责任。</w:t>
      </w:r>
    </w:p>
    <w:p w14:paraId="0903F49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p>
    <w:p w14:paraId="5E3F522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投标人（公章）：法定代表人（负责人）或授权代表（签字）：</w:t>
      </w:r>
    </w:p>
    <w:p w14:paraId="72FA6842">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48E2047">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61464A50">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04809A01">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3C14C9B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20766F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F30E8B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营业执照副本</w:t>
      </w:r>
      <w:r>
        <w:rPr>
          <w:rFonts w:hint="eastAsia" w:asciiTheme="minorEastAsia" w:hAnsiTheme="minorEastAsia" w:eastAsiaTheme="minorEastAsia" w:cstheme="minorEastAsia"/>
          <w:b/>
          <w:bCs/>
          <w:sz w:val="24"/>
          <w:szCs w:val="24"/>
          <w:lang w:val="en-US" w:eastAsia="zh-CN"/>
        </w:rPr>
        <w:t>或其他资格证明文件</w:t>
      </w:r>
    </w:p>
    <w:p w14:paraId="2EF047B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lang w:eastAsia="zh-CN"/>
        </w:rPr>
        <w:t>具有履行合同所必需的设备和专业技术能力的承诺</w:t>
      </w:r>
    </w:p>
    <w:p w14:paraId="1F69FCC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lang w:eastAsia="zh-CN"/>
        </w:rPr>
        <w:t>依法缴纳税收和社会保障资金的缴费凭证(提供近半年</w:t>
      </w:r>
      <w:r>
        <w:rPr>
          <w:rFonts w:hint="eastAsia" w:asciiTheme="minorEastAsia" w:hAnsiTheme="minorEastAsia" w:eastAsiaTheme="minorEastAsia" w:cstheme="minorEastAsia"/>
          <w:b/>
          <w:bCs/>
          <w:sz w:val="24"/>
          <w:szCs w:val="24"/>
          <w:lang w:val="en-US" w:eastAsia="zh-CN"/>
        </w:rPr>
        <w:t>内</w:t>
      </w:r>
      <w:r>
        <w:rPr>
          <w:rFonts w:hint="eastAsia" w:asciiTheme="minorEastAsia" w:hAnsiTheme="minorEastAsia" w:eastAsiaTheme="minorEastAsia" w:cstheme="minorEastAsia"/>
          <w:b/>
          <w:bCs/>
          <w:sz w:val="24"/>
          <w:szCs w:val="24"/>
          <w:lang w:eastAsia="zh-CN"/>
        </w:rPr>
        <w:t>任意三个月的有效凭证)</w:t>
      </w:r>
    </w:p>
    <w:p w14:paraId="62C55C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lang w:eastAsia="zh-CN"/>
        </w:rPr>
        <w:t>良好的商业信誉和健全的财务会计制度的证明文件</w:t>
      </w:r>
    </w:p>
    <w:p w14:paraId="71D2BD0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说明：</w:t>
      </w: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eastAsia="zh-CN"/>
        </w:rPr>
        <w:t>）投标人提供企业有关财务会计制度。</w:t>
      </w:r>
    </w:p>
    <w:p w14:paraId="2EC9A6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投标人出具参加政府采购活动前三年内，</w:t>
      </w:r>
      <w:r>
        <w:rPr>
          <w:rFonts w:hint="eastAsia" w:asciiTheme="minorEastAsia" w:hAnsiTheme="minorEastAsia" w:eastAsiaTheme="minorEastAsia" w:cstheme="minorEastAsia"/>
          <w:b/>
          <w:bCs/>
          <w:snapToGrid w:val="0"/>
          <w:color w:val="000000"/>
          <w:kern w:val="0"/>
          <w:sz w:val="24"/>
          <w:szCs w:val="24"/>
          <w:lang w:val="en-US" w:eastAsia="zh-CN" w:bidi="ar-SA"/>
        </w:rPr>
        <w:t>在经营活动中没有重大违法记录</w:t>
      </w:r>
      <w:r>
        <w:rPr>
          <w:rFonts w:hint="eastAsia" w:asciiTheme="minorEastAsia" w:hAnsiTheme="minorEastAsia" w:eastAsiaTheme="minorEastAsia" w:cstheme="minorEastAsia"/>
          <w:b/>
          <w:bCs/>
          <w:sz w:val="24"/>
          <w:szCs w:val="24"/>
          <w:lang w:eastAsia="zh-CN"/>
        </w:rPr>
        <w:t>的书面声明（加盖单位公章）</w:t>
      </w:r>
    </w:p>
    <w:p w14:paraId="7A067D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02448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5AF6FD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F7DFDF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A5FEE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76BA5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1024B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30E7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CF96BA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16C0F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790AED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074958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C4D63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99C4F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D1863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63D4A3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35CA5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F320B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1375D7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4C57DA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lang w:eastAsia="zh-CN"/>
        </w:rPr>
        <w:t>投标人诚信承诺书</w:t>
      </w:r>
    </w:p>
    <w:p w14:paraId="2169C3E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p>
    <w:p w14:paraId="4EDCC5C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诚信承诺书</w:t>
      </w:r>
    </w:p>
    <w:p w14:paraId="5D0A39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51036C9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6853C81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2E15B5B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2F2FEB7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C815C0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7E3E8E2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承诺人法定地址：</w:t>
      </w:r>
    </w:p>
    <w:p w14:paraId="06B9505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授权代表（签字或盖章）：</w:t>
      </w:r>
    </w:p>
    <w:p w14:paraId="2473671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w:t>
      </w:r>
    </w:p>
    <w:p w14:paraId="6113E875">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8B6C487">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191E34E6">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07C7DA9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11.其他资格证明</w:t>
      </w:r>
    </w:p>
    <w:p w14:paraId="3CA24BD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854590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lang w:val="zh-CN" w:eastAsia="zh-CN" w:bidi="ar-SA"/>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对于市本级政府采购项目，全部实施供应商资格信用承诺，投标人</w:t>
      </w:r>
      <w:r>
        <w:rPr>
          <w:rFonts w:hint="eastAsia" w:asciiTheme="minorEastAsia" w:hAnsiTheme="minorEastAsia" w:eastAsiaTheme="minorEastAsia" w:cstheme="minorEastAsia"/>
          <w:b/>
          <w:bCs/>
          <w:sz w:val="24"/>
          <w:szCs w:val="24"/>
          <w:lang w:eastAsia="zh-CN"/>
        </w:rPr>
        <w:t>在投标时，按照规定提供“南阳市政府采购供应商信用承诺函”（详见附件）的，无需再提交上述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2A58DDF7">
      <w:pPr>
        <w:pStyle w:val="7"/>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p>
    <w:p w14:paraId="61C1ADD5">
      <w:pPr>
        <w:pStyle w:val="7"/>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bookmarkStart w:id="1" w:name="_GoBack"/>
      <w:bookmarkEnd w:id="1"/>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14:paraId="2FBE498E">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0BCB450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0F060CB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0CA9820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1C75EA2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21B7F13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4F58574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16D0F74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13F9965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2D3E072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013609B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34780EC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2ABB382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5E9B43A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34F3A622">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47FB9A8B">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1A71790E">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756E09E9">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2828DB62">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C6D5B94">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27E2478D">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4D16675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14:paraId="1FBFC67D">
      <w:pPr>
        <w:rPr>
          <w:rFonts w:hint="eastAsia"/>
          <w:lang w:val="zh-CN" w:eastAsia="zh-CN"/>
        </w:rPr>
        <w:sectPr>
          <w:headerReference r:id="rId15" w:type="default"/>
          <w:footerReference r:id="rId16"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napToGrid w:val="0"/>
          <w:color w:val="000000"/>
          <w:kern w:val="0"/>
          <w:sz w:val="24"/>
          <w:szCs w:val="24"/>
          <w:lang w:val="zh-CN" w:eastAsia="zh-CN" w:bidi="ar-SA"/>
        </w:rPr>
        <w:br w:type="page"/>
      </w:r>
    </w:p>
    <w:p w14:paraId="4C1EA9BD">
      <w:pPr>
        <w:keepNext w:val="0"/>
        <w:keepLines w:val="0"/>
        <w:pageBreakBefore w:val="0"/>
        <w:numPr>
          <w:ilvl w:val="0"/>
          <w:numId w:val="3"/>
        </w:numPr>
        <w:kinsoku/>
        <w:wordWrap w:val="0"/>
        <w:overflowPunct/>
        <w:topLinePunct w:val="0"/>
        <w:bidi w:val="0"/>
        <w:spacing w:line="360" w:lineRule="auto"/>
        <w:ind w:left="0" w:leftChars="0" w:firstLine="0" w:firstLineChars="0"/>
        <w:jc w:val="both"/>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val="zh-CN" w:eastAsia="zh-CN"/>
        </w:rPr>
        <w:t>技术文件格式（</w:t>
      </w:r>
      <w:r>
        <w:rPr>
          <w:rFonts w:hint="eastAsia" w:asciiTheme="minorEastAsia" w:hAnsiTheme="minorEastAsia" w:eastAsiaTheme="minorEastAsia" w:cstheme="minorEastAsia"/>
          <w:b/>
          <w:bCs/>
          <w:sz w:val="24"/>
          <w:szCs w:val="24"/>
          <w:lang w:val="en-US" w:eastAsia="zh-CN"/>
        </w:rPr>
        <w:t>暗标</w:t>
      </w:r>
      <w:r>
        <w:rPr>
          <w:rFonts w:hint="eastAsia" w:asciiTheme="minorEastAsia" w:hAnsiTheme="minorEastAsia" w:eastAsiaTheme="minorEastAsia" w:cstheme="minorEastAsia"/>
          <w:b/>
          <w:bCs/>
          <w:sz w:val="24"/>
          <w:szCs w:val="24"/>
          <w:lang w:val="zh-CN" w:eastAsia="zh-CN"/>
        </w:rPr>
        <w:t>）</w:t>
      </w:r>
    </w:p>
    <w:p w14:paraId="2C3E80A5">
      <w:pPr>
        <w:rPr>
          <w:rFonts w:hint="eastAsia"/>
          <w:lang w:val="en-US" w:eastAsia="zh-CN"/>
        </w:rPr>
      </w:pPr>
      <w:r>
        <w:rPr>
          <w:rFonts w:hint="eastAsia" w:asciiTheme="minorEastAsia" w:hAnsiTheme="minorEastAsia" w:eastAsiaTheme="minorEastAsia" w:cstheme="minorEastAsia"/>
          <w:b/>
          <w:bCs/>
          <w:sz w:val="24"/>
          <w:szCs w:val="24"/>
          <w:lang w:val="en-US" w:eastAsia="zh-CN"/>
        </w:rPr>
        <w:t>1.供货方案</w:t>
      </w:r>
    </w:p>
    <w:p w14:paraId="63728C22">
      <w:pPr>
        <w:rPr>
          <w:rFonts w:hint="eastAsia" w:ascii="宋体" w:hAnsi="宋体" w:eastAsia="宋体" w:cs="宋体"/>
          <w:strike w:val="0"/>
          <w:dstrike w:val="0"/>
          <w:sz w:val="21"/>
          <w:szCs w:val="21"/>
          <w:highlight w:val="none"/>
          <w:lang w:val="zh-CN" w:eastAsia="zh-CN"/>
        </w:rPr>
      </w:pPr>
      <w:r>
        <w:rPr>
          <w:rFonts w:hint="eastAsia" w:asciiTheme="minorEastAsia" w:hAnsiTheme="minorEastAsia" w:eastAsiaTheme="minorEastAsia" w:cstheme="minorEastAsia"/>
          <w:b/>
          <w:bCs/>
          <w:sz w:val="24"/>
          <w:szCs w:val="24"/>
          <w:lang w:val="en-US" w:eastAsia="zh-CN"/>
        </w:rPr>
        <w:t>2.项目实施方案</w:t>
      </w:r>
    </w:p>
    <w:p w14:paraId="155F7922">
      <w:pPr>
        <w:rPr>
          <w:rFonts w:hint="eastAsia" w:ascii="宋体" w:hAnsi="宋体" w:eastAsia="宋体" w:cs="宋体"/>
          <w:b/>
          <w:bCs/>
          <w:strike w:val="0"/>
          <w:dstrike w:val="0"/>
          <w:sz w:val="24"/>
          <w:szCs w:val="24"/>
          <w:highlight w:val="none"/>
          <w:lang w:val="en-US" w:eastAsia="zh-CN"/>
        </w:rPr>
      </w:pPr>
      <w:r>
        <w:rPr>
          <w:rFonts w:hint="eastAsia" w:ascii="宋体" w:hAnsi="宋体" w:eastAsia="宋体" w:cs="宋体"/>
          <w:b/>
          <w:bCs/>
          <w:strike w:val="0"/>
          <w:dstrike w:val="0"/>
          <w:sz w:val="28"/>
          <w:szCs w:val="28"/>
          <w:highlight w:val="none"/>
          <w:lang w:val="en-US" w:eastAsia="zh-CN"/>
        </w:rPr>
        <w:t>3</w:t>
      </w:r>
      <w:r>
        <w:rPr>
          <w:rFonts w:hint="eastAsia" w:ascii="宋体" w:hAnsi="宋体" w:eastAsia="宋体" w:cs="宋体"/>
          <w:b/>
          <w:bCs/>
          <w:strike w:val="0"/>
          <w:dstrike w:val="0"/>
          <w:sz w:val="24"/>
          <w:szCs w:val="24"/>
          <w:highlight w:val="none"/>
          <w:lang w:val="en-US" w:eastAsia="zh-CN"/>
        </w:rPr>
        <w:t>.产品的整体水平及质量保证措施</w:t>
      </w:r>
    </w:p>
    <w:p w14:paraId="33A0C56C">
      <w:pPr>
        <w:rPr>
          <w:rFonts w:hint="eastAsia"/>
          <w:b/>
          <w:bCs/>
          <w:sz w:val="24"/>
          <w:szCs w:val="24"/>
          <w:lang w:val="zh-CN"/>
        </w:rPr>
      </w:pPr>
    </w:p>
    <w:p w14:paraId="7D722922">
      <w:pPr>
        <w:pStyle w:val="7"/>
        <w:numPr>
          <w:ilvl w:val="0"/>
          <w:numId w:val="0"/>
        </w:numPr>
        <w:ind w:leftChars="0"/>
        <w:rPr>
          <w:rFonts w:hint="eastAsia"/>
          <w:lang w:val="en-US" w:eastAsia="zh-CN"/>
        </w:rPr>
      </w:pPr>
    </w:p>
    <w:p w14:paraId="19DA200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AAE6B7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D709B0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032C2A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E4C47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C9B0C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60109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46AD39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B63BFD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ADAF45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09686F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7279F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869EB6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BDB808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FC307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616F64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D6467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C61B77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F8BF9E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B1B5E8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7970C9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7C5BA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4887A5">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0540C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092C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69DDB1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34832C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47D3BD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285624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51BB35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E745FE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D7CDC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0C166C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0D0235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DD8A1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D0D66C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3577E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772F2F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F7F3D60">
      <w:pPr>
        <w:pStyle w:val="15"/>
        <w:rPr>
          <w:rFonts w:hint="default"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t>三、商务文件格式</w:t>
      </w:r>
    </w:p>
    <w:p w14:paraId="6F1762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434A8CEC">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bCs/>
          <w:sz w:val="24"/>
          <w:szCs w:val="24"/>
          <w:lang w:eastAsia="zh-CN"/>
        </w:rPr>
        <w:t>投标书</w:t>
      </w:r>
    </w:p>
    <w:p w14:paraId="4085E8C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494ED0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致：采购人或采购代理机构</w:t>
      </w:r>
    </w:p>
    <w:p w14:paraId="441B0ED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根据贵方招标编号为（）的公开招标公告，签字代表（全名、职务）经正式授权并代表投标人（投标人名称、地址）提交电子投标文件一份，并对之负法律责任。</w:t>
      </w:r>
    </w:p>
    <w:p w14:paraId="575043B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技术文件第1至</w:t>
      </w:r>
      <w:r>
        <w:rPr>
          <w:rFonts w:hint="eastAsia" w:asciiTheme="minorEastAsia" w:hAnsiTheme="minorEastAsia" w:eastAsiaTheme="minorEastAsia" w:cstheme="minorEastAsia"/>
          <w:b w:val="0"/>
          <w:bCs w:val="0"/>
          <w:sz w:val="24"/>
          <w:szCs w:val="24"/>
          <w:u w:val="single"/>
          <w:lang w:val="en-US" w:eastAsia="zh-CN"/>
        </w:rPr>
        <w:t xml:space="preserve">   项</w:t>
      </w: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lang w:eastAsia="zh-CN"/>
        </w:rPr>
        <w:t>商务文件第1</w:t>
      </w:r>
      <w:r>
        <w:rPr>
          <w:rFonts w:hint="eastAsia" w:asciiTheme="minorEastAsia" w:hAnsiTheme="minorEastAsia" w:eastAsiaTheme="minorEastAsia" w:cstheme="minorEastAsia"/>
          <w:b w:val="0"/>
          <w:bCs w:val="0"/>
          <w:color w:val="auto"/>
          <w:sz w:val="24"/>
          <w:szCs w:val="24"/>
          <w:lang w:eastAsia="zh-CN"/>
        </w:rPr>
        <w:t>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p>
    <w:p w14:paraId="08525BF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据此函，签字代表宣布同意如下：</w:t>
      </w:r>
    </w:p>
    <w:p w14:paraId="639B826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1、所附服务报价为以开标一览表为准。</w:t>
      </w:r>
    </w:p>
    <w:p w14:paraId="078F7B7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2、如果我们的投标书被接受，我们将履行招标文件中规定的每一项要求，按期、按质、按量履行合同。</w:t>
      </w:r>
    </w:p>
    <w:p w14:paraId="3AC6F23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3、我方愿按《中华人民共和国政府采购法》和《中华人民共和国民法典》履行我方的全部责任。</w:t>
      </w:r>
    </w:p>
    <w:p w14:paraId="2FCF3C3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4、我方已详细审查全部招标文件，包括修改文件以及全部参考资料和有关附件。我们完全理解并同意放弃对这方面有不明白及误解的权力。</w:t>
      </w:r>
    </w:p>
    <w:p w14:paraId="7495428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5、本投标自开标之日起有效期为60天。</w:t>
      </w:r>
    </w:p>
    <w:p w14:paraId="129B9C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地址：</w:t>
      </w:r>
    </w:p>
    <w:p w14:paraId="3923A35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电话（传真）：</w:t>
      </w:r>
    </w:p>
    <w:p w14:paraId="55B3E15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法定代表人（负责人）或授权代表（签字）：</w:t>
      </w:r>
    </w:p>
    <w:p w14:paraId="3CF2C32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投标人名称（公章）：</w:t>
      </w:r>
    </w:p>
    <w:p w14:paraId="6130408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sectPr>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z w:val="24"/>
          <w:szCs w:val="24"/>
          <w:lang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p>
    <w:p w14:paraId="27F94BE3">
      <w:pPr>
        <w:pStyle w:val="15"/>
        <w:numPr>
          <w:ilvl w:val="0"/>
          <w:numId w:val="0"/>
        </w:numPr>
        <w:kinsoku w:val="0"/>
        <w:autoSpaceDE w:val="0"/>
        <w:autoSpaceDN w:val="0"/>
        <w:adjustRightInd w:val="0"/>
        <w:snapToGrid w:val="0"/>
        <w:spacing w:line="240" w:lineRule="auto"/>
        <w:jc w:val="left"/>
        <w:textAlignment w:val="baseline"/>
        <w:rPr>
          <w:rFonts w:hint="default" w:ascii="宋体" w:hAnsi="宋体"/>
          <w:b/>
          <w:sz w:val="24"/>
          <w:szCs w:val="24"/>
          <w:lang w:val="en-US" w:eastAsia="zh-CN"/>
        </w:rPr>
      </w:pPr>
      <w:r>
        <w:rPr>
          <w:rFonts w:hint="eastAsia" w:asciiTheme="minorEastAsia" w:hAnsiTheme="minorEastAsia" w:eastAsiaTheme="minorEastAsia" w:cstheme="minorEastAsia"/>
          <w:b/>
          <w:bCs w:val="0"/>
          <w:sz w:val="24"/>
          <w:szCs w:val="24"/>
          <w:highlight w:val="none"/>
          <w:lang w:val="en-US" w:eastAsia="zh-CN"/>
        </w:rPr>
        <w:t>2.</w:t>
      </w:r>
      <w:r>
        <w:rPr>
          <w:rFonts w:hint="eastAsia" w:asciiTheme="minorEastAsia" w:hAnsiTheme="minorEastAsia" w:eastAsiaTheme="minorEastAsia" w:cstheme="minorEastAsia"/>
          <w:b/>
          <w:bCs w:val="0"/>
          <w:sz w:val="24"/>
          <w:szCs w:val="24"/>
          <w:highlight w:val="none"/>
          <w:lang w:eastAsia="zh-CN"/>
        </w:rPr>
        <w:t>主要设备技术指标、技术性能说明</w:t>
      </w:r>
      <w:r>
        <w:rPr>
          <w:rFonts w:hint="eastAsia" w:asciiTheme="minorEastAsia" w:hAnsiTheme="minorEastAsia" w:eastAsiaTheme="minorEastAsia" w:cstheme="minorEastAsia"/>
          <w:b/>
          <w:bCs w:val="0"/>
          <w:sz w:val="24"/>
          <w:szCs w:val="24"/>
          <w:highlight w:val="none"/>
          <w:lang w:val="en-US" w:eastAsia="zh-CN"/>
        </w:rPr>
        <w:t>及相关证明文件</w:t>
      </w:r>
    </w:p>
    <w:p w14:paraId="1A2D1CF9">
      <w:pPr>
        <w:keepNext w:val="0"/>
        <w:keepLines w:val="0"/>
        <w:pageBreakBefore w:val="0"/>
        <w:kinsoku/>
        <w:wordWrap w:val="0"/>
        <w:overflowPunct/>
        <w:topLinePunct w:val="0"/>
        <w:bidi w:val="0"/>
        <w:jc w:val="both"/>
        <w:rPr>
          <w:rFonts w:hint="eastAsia" w:ascii="宋体" w:hAnsi="宋体"/>
          <w:b/>
          <w:sz w:val="24"/>
          <w:szCs w:val="24"/>
        </w:rPr>
      </w:pPr>
      <w:r>
        <w:rPr>
          <w:rFonts w:hint="eastAsia" w:ascii="宋体" w:hAnsi="宋体"/>
          <w:b/>
          <w:sz w:val="24"/>
          <w:szCs w:val="24"/>
          <w:lang w:val="en-US" w:eastAsia="zh-CN"/>
        </w:rPr>
        <w:t>3.</w:t>
      </w:r>
      <w:r>
        <w:rPr>
          <w:rFonts w:hint="eastAsia" w:ascii="宋体" w:hAnsi="宋体"/>
          <w:b/>
          <w:sz w:val="24"/>
          <w:szCs w:val="24"/>
          <w:lang w:eastAsia="zh-CN"/>
        </w:rPr>
        <w:t>投标分项报价一览表</w:t>
      </w:r>
    </w:p>
    <w:p w14:paraId="35FFECE6">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4"/>
          <w:szCs w:val="24"/>
        </w:rPr>
        <w:t>投标</w:t>
      </w:r>
      <w:r>
        <w:rPr>
          <w:rFonts w:hint="eastAsia" w:asciiTheme="minorEastAsia" w:hAnsiTheme="minorEastAsia" w:eastAsiaTheme="minorEastAsia" w:cstheme="minorEastAsia"/>
          <w:b/>
          <w:sz w:val="24"/>
          <w:szCs w:val="24"/>
          <w:lang w:eastAsia="zh-CN"/>
        </w:rPr>
        <w:t>分项</w:t>
      </w:r>
      <w:r>
        <w:rPr>
          <w:rFonts w:hint="eastAsia" w:asciiTheme="minorEastAsia" w:hAnsiTheme="minorEastAsia" w:eastAsiaTheme="minorEastAsia" w:cstheme="minorEastAsia"/>
          <w:b/>
          <w:sz w:val="24"/>
          <w:szCs w:val="24"/>
        </w:rPr>
        <w:t>报价一览表</w:t>
      </w:r>
    </w:p>
    <w:tbl>
      <w:tblPr>
        <w:tblStyle w:val="22"/>
        <w:tblpPr w:leftFromText="180" w:rightFromText="180" w:vertAnchor="text" w:horzAnchor="page" w:tblpXSpec="center" w:tblpY="348"/>
        <w:tblOverlap w:val="never"/>
        <w:tblW w:w="0" w:type="auto"/>
        <w:jc w:val="center"/>
        <w:tblLayout w:type="fixed"/>
        <w:tblCellMar>
          <w:top w:w="0" w:type="dxa"/>
          <w:left w:w="108" w:type="dxa"/>
          <w:bottom w:w="0" w:type="dxa"/>
          <w:right w:w="108" w:type="dxa"/>
        </w:tblCellMar>
      </w:tblPr>
      <w:tblGrid>
        <w:gridCol w:w="710"/>
        <w:gridCol w:w="1241"/>
        <w:gridCol w:w="1276"/>
        <w:gridCol w:w="850"/>
        <w:gridCol w:w="709"/>
        <w:gridCol w:w="284"/>
        <w:gridCol w:w="566"/>
        <w:gridCol w:w="993"/>
        <w:gridCol w:w="1134"/>
        <w:gridCol w:w="141"/>
        <w:gridCol w:w="1418"/>
        <w:gridCol w:w="284"/>
        <w:gridCol w:w="1559"/>
      </w:tblGrid>
      <w:tr w14:paraId="423CA140">
        <w:tblPrEx>
          <w:tblCellMar>
            <w:top w:w="0" w:type="dxa"/>
            <w:left w:w="108" w:type="dxa"/>
            <w:bottom w:w="0" w:type="dxa"/>
            <w:right w:w="108" w:type="dxa"/>
          </w:tblCellMar>
        </w:tblPrEx>
        <w:trPr>
          <w:gridAfter w:val="1"/>
          <w:wAfter w:w="1559" w:type="dxa"/>
          <w:trHeight w:val="522" w:hRule="exact"/>
          <w:jc w:val="center"/>
        </w:trPr>
        <w:tc>
          <w:tcPr>
            <w:tcW w:w="3227" w:type="dxa"/>
            <w:gridSpan w:val="3"/>
            <w:tcBorders>
              <w:top w:val="nil"/>
              <w:left w:val="nil"/>
              <w:bottom w:val="single" w:color="auto" w:sz="4" w:space="0"/>
              <w:right w:val="nil"/>
            </w:tcBorders>
            <w:noWrap w:val="0"/>
            <w:vAlign w:val="center"/>
          </w:tcPr>
          <w:p w14:paraId="09574A2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c>
          <w:tcPr>
            <w:tcW w:w="850" w:type="dxa"/>
            <w:tcBorders>
              <w:top w:val="nil"/>
              <w:left w:val="nil"/>
              <w:bottom w:val="single" w:color="auto" w:sz="4" w:space="0"/>
              <w:right w:val="nil"/>
            </w:tcBorders>
            <w:noWrap w:val="0"/>
            <w:vAlign w:val="center"/>
          </w:tcPr>
          <w:p w14:paraId="1E21E97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993" w:type="dxa"/>
            <w:gridSpan w:val="2"/>
            <w:tcBorders>
              <w:top w:val="nil"/>
              <w:left w:val="nil"/>
              <w:bottom w:val="single" w:color="auto" w:sz="4" w:space="0"/>
              <w:right w:val="nil"/>
            </w:tcBorders>
            <w:noWrap w:val="0"/>
            <w:vAlign w:val="center"/>
          </w:tcPr>
          <w:p w14:paraId="17BB14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2693" w:type="dxa"/>
            <w:gridSpan w:val="3"/>
            <w:tcBorders>
              <w:top w:val="nil"/>
              <w:left w:val="nil"/>
              <w:bottom w:val="single" w:color="auto" w:sz="4" w:space="0"/>
              <w:right w:val="nil"/>
            </w:tcBorders>
            <w:noWrap w:val="0"/>
            <w:vAlign w:val="center"/>
          </w:tcPr>
          <w:p w14:paraId="42BE354E">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项目编号：</w:t>
            </w:r>
          </w:p>
        </w:tc>
        <w:tc>
          <w:tcPr>
            <w:tcW w:w="1843" w:type="dxa"/>
            <w:gridSpan w:val="3"/>
            <w:tcBorders>
              <w:top w:val="nil"/>
              <w:left w:val="nil"/>
              <w:bottom w:val="single" w:color="auto" w:sz="4" w:space="0"/>
              <w:right w:val="nil"/>
            </w:tcBorders>
            <w:noWrap w:val="0"/>
            <w:vAlign w:val="center"/>
          </w:tcPr>
          <w:p w14:paraId="599F28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r>
      <w:tr w14:paraId="472CC2C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F16D62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3AFBB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7A39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品牌型号</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14:paraId="2F229B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生产厂家</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9BCA6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0DA3FBA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数量</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3CE2F6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投标单价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04092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小计（元）</w:t>
            </w:r>
          </w:p>
        </w:tc>
        <w:tc>
          <w:tcPr>
            <w:tcW w:w="1843" w:type="dxa"/>
            <w:gridSpan w:val="2"/>
            <w:tcBorders>
              <w:top w:val="single" w:color="auto" w:sz="4" w:space="0"/>
              <w:left w:val="single" w:color="auto" w:sz="4" w:space="0"/>
              <w:bottom w:val="single" w:color="auto" w:sz="4" w:space="0"/>
              <w:right w:val="single" w:color="auto" w:sz="4" w:space="0"/>
            </w:tcBorders>
            <w:noWrap w:val="0"/>
            <w:vAlign w:val="center"/>
          </w:tcPr>
          <w:p w14:paraId="5B14230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交货安装时间</w:t>
            </w:r>
          </w:p>
        </w:tc>
      </w:tr>
      <w:tr w14:paraId="1BEF503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0AC0E10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253F3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1D96F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7B2A1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288A6B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6615E3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4A0B36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245E4A2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52E661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1046458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210E36">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76BB366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EA71E6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6E76BD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C27E0D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5838A66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C7C2A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334B51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267AE1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5FC3C4F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C05CEE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53CA3001">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4122C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89A56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20C17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4B9D2D8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D0ABE1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4E54C7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25357C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0A2C94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05DBC06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1D96E1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3979235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48E81E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7E496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A9AE1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7E8798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7DE5C31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65FD35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157F7F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56FA49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2350509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6712AD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D8F5584">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322F0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0A7297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8A0B1C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14C8CFB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64F0933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1F263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23703A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F225B8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712251E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DEE5B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2B8294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6472C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0A2438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32330A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508135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470B7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049890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1D9CF3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19E8DA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2BD5E6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FB2EA2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D7A1F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A34F20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18272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26F4454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1038A12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E381B8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FB804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6FBB534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41A133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bl>
    <w:p w14:paraId="2E62CB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1EBFE82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675899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81C6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5FF75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2EDEF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6D9A9BA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FBB7D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487BE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627FF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9F6B9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70AB4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2434077">
      <w:pPr>
        <w:keepNext w:val="0"/>
        <w:keepLines w:val="0"/>
        <w:pageBreakBefore w:val="0"/>
        <w:kinsoku/>
        <w:wordWrap w:val="0"/>
        <w:overflowPunct/>
        <w:topLinePunct w:val="0"/>
        <w:bidi w:val="0"/>
        <w:spacing w:line="360" w:lineRule="auto"/>
        <w:ind w:firstLine="1440" w:firstLineChars="6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70B4396">
      <w:pPr>
        <w:pStyle w:val="15"/>
        <w:numPr>
          <w:ilvl w:val="0"/>
          <w:numId w:val="0"/>
        </w:numPr>
        <w:kinsoku w:val="0"/>
        <w:autoSpaceDE w:val="0"/>
        <w:autoSpaceDN w:val="0"/>
        <w:adjustRightInd w:val="0"/>
        <w:snapToGrid w:val="0"/>
        <w:spacing w:line="240" w:lineRule="auto"/>
        <w:jc w:val="left"/>
        <w:textAlignment w:val="baseline"/>
        <w:rPr>
          <w:rFonts w:hint="eastAsia"/>
          <w:lang w:val="zh-CN" w:eastAsia="zh-CN"/>
        </w:rPr>
        <w:sectPr>
          <w:pgSz w:w="16840" w:h="11907" w:orient="landscape"/>
          <w:pgMar w:top="1800" w:right="1440" w:bottom="1800" w:left="1440" w:header="878" w:footer="886" w:gutter="0"/>
          <w:pgNumType w:fmt="decimal"/>
          <w:cols w:space="720" w:num="1"/>
        </w:sectPr>
      </w:pPr>
    </w:p>
    <w:p w14:paraId="6D5519C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lang w:eastAsia="zh-CN"/>
        </w:rPr>
        <w:t>商务偏差表格式</w:t>
      </w:r>
    </w:p>
    <w:p w14:paraId="51240807">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sz w:val="24"/>
          <w:szCs w:val="24"/>
          <w:lang w:eastAsia="zh-CN"/>
        </w:rPr>
      </w:pPr>
    </w:p>
    <w:p w14:paraId="7076D398">
      <w:pPr>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商务偏差表</w:t>
      </w:r>
    </w:p>
    <w:p w14:paraId="6E1DF8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3E5A63E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5494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56F96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7DA8564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w:t>
            </w:r>
          </w:p>
          <w:p w14:paraId="7E1E39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5CB77A9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2DDDBB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4F240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785A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73AA205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A53D6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47595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66D099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01376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486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C319C4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87B4C8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7C959F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E7D9EC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C78D7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794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99014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952EA8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D386E1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553D16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3ECB9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766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2B62AB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421D4D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70170E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B4F037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03192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4C4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4CF03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C9A0CB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0CEA4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066BCA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39B11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29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70173F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1D9DE7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9297A5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C0DB76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9B3D7E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24C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68B93F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C5B94D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5568FB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DAABA9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43C26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F01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B6FCCA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E54D10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02E96C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D633E8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B758A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61A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35F9155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D96268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FA13F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172F84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D8244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152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E95F0B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6D353B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CA809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2B110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B6504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9C3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EB159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90059C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E818F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331594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881D79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786158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投标人（公章）：法定代表人（负责人）或授权代表（签字）：</w:t>
      </w:r>
    </w:p>
    <w:p w14:paraId="432605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51BB2CCE">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3B2839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29DF292">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441170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FE993F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3EB9CEE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03BDC98">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3CEE24C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4FE15C3">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45E7C4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技术规格偏离表</w:t>
      </w:r>
    </w:p>
    <w:p w14:paraId="125D573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p w14:paraId="555EBE04">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0752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55C799C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054DA68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9B14E9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5DE6FA5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F4FA4A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A62BE8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说明</w:t>
            </w:r>
          </w:p>
        </w:tc>
      </w:tr>
      <w:tr w14:paraId="13A8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C41143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76B00B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61DB7F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DEE5C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D211F5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0E5768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E26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C3CCFC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FBEBE4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5F09D7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EF444E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68613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92787E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7C9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0F8637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2560F6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3E4E25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F08F2C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A6C4EA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37D665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B1D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C93B62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ED9033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19A68A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007B83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E1258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7122E0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086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DB0A3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FEAA24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3DF387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A388F2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A63F1F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EACAAC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E06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C54401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1D5B9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CA7BB0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ABFDA0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A23F62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8D415B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277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83E341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1E8CA6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0DAB92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238261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8DDCD1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3A5000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670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4D9103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8B36A5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8C1342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213798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C1CF20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EC42C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C0F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F7DF8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1C6C38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7E02BF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A045C0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4BF21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ABC215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D5E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235E7F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013072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D92795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E2741F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456B2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AC6EC8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3C2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C2738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D554F6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645294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CDB893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3C0D2B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E7A8BC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2F46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BD9B81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25CBC3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FB0B8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5893DE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08E561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59A531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987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3AB064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79F86D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8C65A6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F715D5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217443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CA864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E33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FBE92B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CD975B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62DD44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ECD2CA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AC95D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AC597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A6D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8A29B9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489C7A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CE39CC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962863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92F6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8403DB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bl>
    <w:p w14:paraId="66CC1E1C">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04065417">
      <w:pPr>
        <w:rPr>
          <w:rFonts w:hint="eastAsia" w:asciiTheme="minorEastAsia" w:hAnsiTheme="minorEastAsia" w:eastAsiaTheme="minorEastAsia" w:cstheme="minorEastAsia"/>
          <w:b/>
          <w:sz w:val="24"/>
          <w:szCs w:val="24"/>
          <w:lang w:val="en-US" w:eastAsia="zh-CN"/>
        </w:rPr>
      </w:pPr>
      <w:r>
        <w:rPr>
          <w:rFonts w:hint="eastAsia"/>
        </w:rPr>
        <w:br w:type="page"/>
      </w:r>
    </w:p>
    <w:p w14:paraId="07626EEC">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B5C9A6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D60483A">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EEBC45B">
      <w:pPr>
        <w:keepNext w:val="0"/>
        <w:keepLines w:val="0"/>
        <w:pageBreakBefore w:val="0"/>
        <w:kinsoku/>
        <w:wordWrap w:val="0"/>
        <w:overflowPunct/>
        <w:topLinePunct w:val="0"/>
        <w:bidi w:val="0"/>
        <w:spacing w:after="120" w:line="360" w:lineRule="auto"/>
        <w:jc w:val="both"/>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关于符合本国产品标准的声明函（项目包含货物时适用）</w:t>
      </w:r>
    </w:p>
    <w:p w14:paraId="5D360E87">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val="0"/>
          <w:bCs/>
          <w:sz w:val="32"/>
          <w:szCs w:val="32"/>
          <w:lang w:val="en-US" w:eastAsia="zh-CN"/>
        </w:rPr>
      </w:pPr>
      <w:r>
        <w:rPr>
          <w:rFonts w:hint="eastAsia" w:ascii="黑体" w:hAnsi="黑体" w:eastAsia="黑体" w:cs="黑体"/>
          <w:b w:val="0"/>
          <w:bCs/>
          <w:sz w:val="32"/>
          <w:szCs w:val="32"/>
          <w:lang w:val="en-US" w:eastAsia="zh-CN"/>
        </w:rPr>
        <w:t>关于符合本国产品标准的声明函</w:t>
      </w:r>
    </w:p>
    <w:p w14:paraId="7CC07E83">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sz w:val="32"/>
          <w:szCs w:val="32"/>
          <w:lang w:val="en-US" w:eastAsia="zh-CN"/>
        </w:rPr>
      </w:pPr>
    </w:p>
    <w:p w14:paraId="25CDA74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25041B2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u w:val="single"/>
          <w:lang w:val="en-US" w:eastAsia="zh-CN"/>
        </w:rPr>
        <w:t>（产品名称1）</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，生产厂为</w:t>
      </w:r>
      <w:r>
        <w:rPr>
          <w:rFonts w:hint="eastAsia" w:asciiTheme="minorEastAsia" w:hAnsiTheme="minorEastAsia" w:eastAsiaTheme="minorEastAsia" w:cstheme="minorEastAsia"/>
          <w:b w:val="0"/>
          <w:bCs/>
          <w:sz w:val="24"/>
          <w:szCs w:val="24"/>
          <w:u w:val="single"/>
          <w:lang w:val="en-US" w:eastAsia="zh-CN"/>
        </w:rPr>
        <w:t>（厂名）</w:t>
      </w: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，厂址为</w:t>
      </w:r>
      <w:r>
        <w:rPr>
          <w:rFonts w:hint="eastAsia" w:asciiTheme="minorEastAsia" w:hAnsiTheme="minorEastAsia" w:eastAsiaTheme="minorEastAsia" w:cstheme="minorEastAsia"/>
          <w:b w:val="0"/>
          <w:bCs/>
          <w:sz w:val="24"/>
          <w:szCs w:val="24"/>
          <w:u w:val="single"/>
          <w:lang w:val="en-US" w:eastAsia="zh-CN"/>
        </w:rPr>
        <w:t>（生产厂址）</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的中国境内生产的组件成本占比≥</w:t>
      </w:r>
      <w:r>
        <w:rPr>
          <w:rFonts w:hint="eastAsia" w:asciiTheme="minorEastAsia" w:hAnsiTheme="minorEastAsia" w:eastAsiaTheme="minorEastAsia" w:cstheme="minorEastAsia"/>
          <w:b w:val="0"/>
          <w:bCs/>
          <w:sz w:val="24"/>
          <w:szCs w:val="24"/>
          <w:u w:val="single"/>
          <w:lang w:val="en-US" w:eastAsia="zh-CN"/>
        </w:rPr>
        <w:t>（规定比例）</w:t>
      </w: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。（产品名称1）的</w:t>
      </w:r>
      <w:r>
        <w:rPr>
          <w:rFonts w:hint="eastAsia" w:asciiTheme="minorEastAsia" w:hAnsiTheme="minorEastAsia" w:eastAsiaTheme="minorEastAsia" w:cstheme="minorEastAsia"/>
          <w:b w:val="0"/>
          <w:bCs/>
          <w:sz w:val="24"/>
          <w:szCs w:val="24"/>
          <w:u w:val="single"/>
          <w:lang w:val="en-US" w:eastAsia="zh-CN"/>
        </w:rPr>
        <w:t>（关键组件）</w:t>
      </w: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在中国境内生产。</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w:t>
      </w:r>
      <w:r>
        <w:rPr>
          <w:rFonts w:hint="eastAsia" w:asciiTheme="minorEastAsia" w:hAnsiTheme="minorEastAsia" w:eastAsiaTheme="minorEastAsia" w:cstheme="minorEastAsia"/>
          <w:b w:val="0"/>
          <w:bCs/>
          <w:sz w:val="24"/>
          <w:szCs w:val="24"/>
          <w:u w:val="single"/>
          <w:lang w:val="en-US" w:eastAsia="zh-CN"/>
        </w:rPr>
        <w:t>（关键工序）</w:t>
      </w: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在中国境内完成。</w:t>
      </w:r>
    </w:p>
    <w:p w14:paraId="2387080C">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产品名称2），生产厂为（厂名），厂址为（生产厂址）。（产品名称2）的中国境内生产的组件成本占比≥（规定比例）。（产品名称2）的（关键组件）在中国境内生产。（产品名称2）的（关键工序）在中国境内完成。</w:t>
      </w:r>
    </w:p>
    <w:p w14:paraId="3CF5DA2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w:t>
      </w:r>
    </w:p>
    <w:p w14:paraId="36D70C11">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本公司（单位）对上述声明内容的真实性负责。如有虚假，愿承担相应法律责任。</w:t>
      </w:r>
    </w:p>
    <w:p w14:paraId="5A9E3C2D">
      <w:pPr>
        <w:keepNext w:val="0"/>
        <w:keepLines w:val="0"/>
        <w:pageBreakBefore w:val="0"/>
        <w:kinsoku/>
        <w:wordWrap w:val="0"/>
        <w:overflowPunct/>
        <w:topLinePunct w:val="0"/>
        <w:bidi w:val="0"/>
        <w:spacing w:after="120" w:line="360" w:lineRule="auto"/>
        <w:ind w:firstLine="4320" w:firstLineChars="1800"/>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val="0"/>
          <w:bCs/>
          <w:sz w:val="24"/>
          <w:szCs w:val="24"/>
          <w:lang w:val="en-US" w:eastAsia="zh-CN"/>
        </w:rPr>
        <w:t>公司（单位）名称（盖章）：　                                        日期：　     年　  月　  日</w:t>
      </w:r>
      <w:r>
        <w:rPr>
          <w:rFonts w:hint="eastAsia" w:asciiTheme="minorEastAsia" w:hAnsiTheme="minorEastAsia" w:eastAsiaTheme="minorEastAsia" w:cstheme="minorEastAsia"/>
          <w:b/>
          <w:sz w:val="24"/>
          <w:szCs w:val="24"/>
          <w:lang w:val="en-US" w:eastAsia="zh-CN"/>
        </w:rPr>
        <w:t>         </w:t>
      </w:r>
    </w:p>
    <w:p w14:paraId="2A21D91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注：</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产品如有型号，请在“产品名称”栏一并填写。</w:t>
      </w:r>
    </w:p>
    <w:p w14:paraId="54623B0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生产厂名与厂址应与生产厂营业执照载明的相关信息保持一致。</w:t>
      </w:r>
    </w:p>
    <w:p w14:paraId="5BC3F44B">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该产品的中国境内生产的组件成本占比相关要求实施前，“规定比例”栏可不填，下同。</w:t>
      </w:r>
    </w:p>
    <w:p w14:paraId="24FB3A5E">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该产品的关键组件要求实施前，“关键组件”栏可不填，下同。</w:t>
      </w:r>
    </w:p>
    <w:p w14:paraId="2219B36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该产品的关键工序要求实施前，“关键工序”栏可不填，下同。</w:t>
      </w:r>
    </w:p>
    <w:p w14:paraId="7CE66539">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0C448B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4A9CC02">
      <w:pPr>
        <w:keepNext w:val="0"/>
        <w:keepLines w:val="0"/>
        <w:pageBreakBefore w:val="0"/>
        <w:numPr>
          <w:ilvl w:val="0"/>
          <w:numId w:val="0"/>
        </w:numPr>
        <w:kinsoku/>
        <w:wordWrap w:val="0"/>
        <w:overflowPunct/>
        <w:topLinePunct w:val="0"/>
        <w:bidi w:val="0"/>
        <w:spacing w:line="360" w:lineRule="auto"/>
        <w:jc w:val="both"/>
        <w:rPr>
          <w:rFonts w:hint="default" w:ascii="宋体" w:hAnsi="宋体"/>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5.售</w:t>
      </w:r>
      <w:r>
        <w:rPr>
          <w:rFonts w:hint="eastAsia" w:asciiTheme="minorEastAsia" w:hAnsiTheme="minorEastAsia" w:eastAsiaTheme="minorEastAsia" w:cstheme="minorEastAsia"/>
          <w:b/>
          <w:sz w:val="24"/>
          <w:szCs w:val="24"/>
          <w:highlight w:val="none"/>
          <w:lang w:eastAsia="zh-CN"/>
        </w:rPr>
        <w:t>后服务</w:t>
      </w:r>
      <w:r>
        <w:rPr>
          <w:rFonts w:hint="eastAsia" w:asciiTheme="minorEastAsia" w:hAnsiTheme="minorEastAsia" w:eastAsiaTheme="minorEastAsia" w:cstheme="minorEastAsia"/>
          <w:b/>
          <w:sz w:val="24"/>
          <w:szCs w:val="24"/>
          <w:highlight w:val="none"/>
          <w:lang w:val="en-US" w:eastAsia="zh-CN"/>
        </w:rPr>
        <w:t>方案</w:t>
      </w:r>
    </w:p>
    <w:p w14:paraId="58C207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6.</w:t>
      </w:r>
      <w:r>
        <w:rPr>
          <w:rFonts w:hint="eastAsia" w:asciiTheme="minorEastAsia" w:hAnsiTheme="minorEastAsia" w:eastAsiaTheme="minorEastAsia" w:cstheme="minorEastAsia"/>
          <w:b/>
          <w:sz w:val="24"/>
          <w:szCs w:val="24"/>
          <w:highlight w:val="none"/>
          <w:lang w:eastAsia="zh-CN"/>
        </w:rPr>
        <w:t>投标人业绩</w:t>
      </w:r>
    </w:p>
    <w:p w14:paraId="100B5D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highlight w:val="none"/>
          <w:lang w:val="en-US" w:eastAsia="zh-CN"/>
        </w:rPr>
        <w:t>7</w:t>
      </w:r>
      <w:r>
        <w:rPr>
          <w:rFonts w:hint="eastAsia" w:asciiTheme="minorEastAsia" w:hAnsiTheme="minorEastAsia" w:eastAsiaTheme="minorEastAsia" w:cstheme="minorEastAsia"/>
          <w:b/>
          <w:sz w:val="24"/>
          <w:szCs w:val="24"/>
          <w:lang w:val="en-US" w:eastAsia="zh-CN"/>
        </w:rPr>
        <w:t>.</w:t>
      </w:r>
      <w:r>
        <w:rPr>
          <w:rFonts w:hint="eastAsia" w:asciiTheme="minorEastAsia" w:hAnsiTheme="minorEastAsia" w:eastAsiaTheme="minorEastAsia" w:cstheme="minorEastAsia"/>
          <w:b/>
          <w:sz w:val="24"/>
          <w:szCs w:val="24"/>
          <w:lang w:eastAsia="zh-CN"/>
        </w:rPr>
        <w:t>节能产品、环境标志产品明细表</w:t>
      </w:r>
    </w:p>
    <w:p w14:paraId="74D82A8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AB69C8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E5C93D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节能产品明细表</w:t>
      </w:r>
    </w:p>
    <w:p w14:paraId="1375CA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110"/>
        <w:gridCol w:w="1380"/>
        <w:gridCol w:w="780"/>
        <w:gridCol w:w="720"/>
        <w:gridCol w:w="705"/>
      </w:tblGrid>
      <w:tr w14:paraId="23B4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noWrap w:val="0"/>
            <w:vAlign w:val="top"/>
          </w:tcPr>
          <w:p w14:paraId="0F9A247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D3EE25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675A5EE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2DE6076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3B3C8F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节字标</w:t>
            </w:r>
          </w:p>
          <w:p w14:paraId="7B83E1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志认证</w:t>
            </w:r>
          </w:p>
          <w:p w14:paraId="2A4F7DE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证书号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141F06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noWrap w:val="0"/>
            <w:vAlign w:val="top"/>
          </w:tcPr>
          <w:p w14:paraId="398EEB8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23770AB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4EE556A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1D44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3CCD4B0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3B2ECFD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C3F272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39C134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14D481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EF6CC1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C23A12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0651F5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FE4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46751D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1635898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6A8117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3C61C7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08E4C3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A94A09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03C440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86E01B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521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5ED5148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69374B3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A0EC8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797C24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B5B38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162538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2D436A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74BEB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609935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107705A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p w14:paraId="67B3D9D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环境标志产品明细表</w:t>
      </w:r>
    </w:p>
    <w:p w14:paraId="30A960B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125"/>
        <w:gridCol w:w="1380"/>
        <w:gridCol w:w="750"/>
        <w:gridCol w:w="720"/>
        <w:gridCol w:w="705"/>
      </w:tblGrid>
      <w:tr w14:paraId="099B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noWrap w:val="0"/>
            <w:vAlign w:val="top"/>
          </w:tcPr>
          <w:p w14:paraId="3E2D3E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780" w:type="dxa"/>
            <w:tcBorders>
              <w:top w:val="single" w:color="auto" w:sz="4" w:space="0"/>
              <w:left w:val="single" w:color="auto" w:sz="4" w:space="0"/>
              <w:bottom w:val="single" w:color="auto" w:sz="4" w:space="0"/>
              <w:right w:val="single" w:color="auto" w:sz="4" w:space="0"/>
            </w:tcBorders>
            <w:noWrap w:val="0"/>
            <w:vAlign w:val="top"/>
          </w:tcPr>
          <w:p w14:paraId="1BBCBE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95B515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00E8B77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23F69A0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中国环境标志认证证书编号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25268F1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认证证书有效截止日期</w:t>
            </w:r>
          </w:p>
        </w:tc>
        <w:tc>
          <w:tcPr>
            <w:tcW w:w="750" w:type="dxa"/>
            <w:tcBorders>
              <w:top w:val="single" w:color="auto" w:sz="4" w:space="0"/>
              <w:left w:val="single" w:color="auto" w:sz="4" w:space="0"/>
              <w:bottom w:val="single" w:color="auto" w:sz="4" w:space="0"/>
              <w:right w:val="single" w:color="auto" w:sz="4" w:space="0"/>
            </w:tcBorders>
            <w:noWrap w:val="0"/>
            <w:vAlign w:val="top"/>
          </w:tcPr>
          <w:p w14:paraId="45D20F6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58E4757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4E6FBC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2102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314DD6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28D1D6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BFA50E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0EC8E5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FA28E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55D04C2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E29923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268A65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0BBC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7320C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D5C5D9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4A29D7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6F6CBDB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840711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2A009B0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810EB2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6964C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6D6B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7084CEB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755C4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AF31F6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C57D10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F129F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3E8ABF3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B97E7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6C8F42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454A71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7EABF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填报要求：</w:t>
      </w:r>
    </w:p>
    <w:p w14:paraId="20390387">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1.本表的设备名称、品牌型号、金额应与货物分项报价一览表一致。</w:t>
      </w:r>
    </w:p>
    <w:p w14:paraId="2F983EA3">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2.节能产品是指财政部和国家发展和改革委员会公布的《节能产品政府采购品目清单》中的产品。投标人须在投标文件中附该产品节能证书，否则评标委员会有权不予认可。</w:t>
      </w:r>
    </w:p>
    <w:p w14:paraId="4CFC28E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3.环境标志产品是指财政部、生态环境部发布的《环境标志产品政府采购品目清单》中的产品。投标人须在投标文件中附该产品环保证书，否则评委委员会有权不予认可。</w:t>
      </w:r>
    </w:p>
    <w:p w14:paraId="261556D1">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4.请投标人正确填写本表，所填内容将作为评审的依据。其内容或数据应与对应的证明资料相符。</w:t>
      </w:r>
    </w:p>
    <w:p w14:paraId="1750768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Cs/>
          <w:sz w:val="24"/>
          <w:szCs w:val="24"/>
          <w:lang w:eastAsia="zh-CN"/>
        </w:rPr>
        <w:t>5.没有相关产品可不提供本表。</w:t>
      </w:r>
    </w:p>
    <w:p w14:paraId="3311F49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14C82B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1296D3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3B79E6F">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9BFD0">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0F715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63B187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58FC17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0821ED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2E7122E">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496AEF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BF0F9A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7B0152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C45FF8">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070F7498">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6DAC0B9">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631EA4A">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C3BC2F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134B17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71EC206">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AC942D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FC5F7AD">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066DA02">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56DD7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DB84E4E">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DBE8487">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B65163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702B796">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78CEC">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3F12BF">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F3010B4">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AB5D771">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60C8AE5">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B1F1646">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797A5CB">
      <w:pPr>
        <w:pStyle w:val="15"/>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C478A1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14D933A4">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4D9CF449">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eastAsia="Arial" w:cs="Arial"/>
          <w:b/>
          <w:snapToGrid w:val="0"/>
          <w:color w:val="000000"/>
          <w:kern w:val="0"/>
          <w:sz w:val="24"/>
          <w:szCs w:val="24"/>
          <w:lang w:val="en-US" w:eastAsia="zh-CN" w:bidi="ar-SA"/>
        </w:rPr>
        <w:t>9.</w:t>
      </w:r>
      <w:r>
        <w:rPr>
          <w:rFonts w:hint="eastAsia" w:ascii="宋体" w:hAnsi="宋体" w:eastAsia="Arial" w:cs="Arial"/>
          <w:b/>
          <w:snapToGrid w:val="0"/>
          <w:color w:val="000000"/>
          <w:kern w:val="0"/>
          <w:sz w:val="24"/>
          <w:szCs w:val="24"/>
          <w:lang w:val="en-US" w:eastAsia="zh-CN" w:bidi="ar-SA"/>
        </w:rPr>
        <w:t>小企业、监狱企业或残疾人福利性单位声明函</w:t>
      </w:r>
      <w:r>
        <w:rPr>
          <w:rFonts w:hint="eastAsia" w:eastAsia="Arial" w:cs="Arial"/>
          <w:b/>
          <w:snapToGrid w:val="0"/>
          <w:color w:val="000000"/>
          <w:kern w:val="0"/>
          <w:sz w:val="24"/>
          <w:szCs w:val="24"/>
          <w:lang w:val="en-US" w:eastAsia="zh-CN" w:bidi="ar-SA"/>
        </w:rPr>
        <w:t>（对于专门面向中小企业采购的项目必须提供，不专门面向的项目可选择提供）</w:t>
      </w:r>
    </w:p>
    <w:p w14:paraId="20B967E1">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p>
    <w:p w14:paraId="0B1D673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t>中小企业声明函（货物）格式</w:t>
      </w:r>
    </w:p>
    <w:p w14:paraId="7DF5D80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33772E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0"/>
          <w:sz w:val="24"/>
          <w:szCs w:val="24"/>
        </w:rPr>
        <w:t>库﹝2020﹞46号）的规定，本公司（联合体）参加（单位名称）的（项目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pacing w:val="14"/>
          <w:sz w:val="24"/>
          <w:szCs w:val="24"/>
        </w:rPr>
        <w:t>采购活动，</w:t>
      </w:r>
      <w:r>
        <w:rPr>
          <w:rFonts w:hint="eastAsia" w:asciiTheme="minorEastAsia" w:hAnsiTheme="minorEastAsia" w:eastAsiaTheme="minorEastAsia" w:cstheme="minorEastAsia"/>
          <w:spacing w:val="-86"/>
          <w:sz w:val="24"/>
          <w:szCs w:val="24"/>
          <w:lang w:val="en-US" w:eastAsia="zh-CN"/>
        </w:rPr>
        <w:t>提</w:t>
      </w:r>
      <w:r>
        <w:rPr>
          <w:rFonts w:hint="eastAsia" w:asciiTheme="minorEastAsia" w:hAnsiTheme="minorEastAsia" w:eastAsiaTheme="minorEastAsia" w:cstheme="minorEastAsia"/>
          <w:spacing w:val="14"/>
          <w:sz w:val="24"/>
          <w:szCs w:val="24"/>
        </w:rPr>
        <w:t>供的货物全部由符合政策要求的</w:t>
      </w:r>
      <w:r>
        <w:rPr>
          <w:rFonts w:hint="eastAsia" w:asciiTheme="minorEastAsia" w:hAnsiTheme="minorEastAsia" w:eastAsiaTheme="minorEastAsia" w:cstheme="minorEastAsia"/>
          <w:spacing w:val="13"/>
          <w:sz w:val="24"/>
          <w:szCs w:val="24"/>
        </w:rPr>
        <w:t>中小企业制造。相关企业（含联合体</w:t>
      </w:r>
      <w:r>
        <w:rPr>
          <w:rFonts w:hint="eastAsia" w:asciiTheme="minorEastAsia" w:hAnsiTheme="minorEastAsia" w:eastAsiaTheme="minorEastAsia" w:cstheme="minorEastAsia"/>
          <w:spacing w:val="8"/>
          <w:sz w:val="24"/>
          <w:szCs w:val="24"/>
        </w:rPr>
        <w:t>中的中小企业、签订分包意向协议的中小企业）的具体情况如下：</w:t>
      </w:r>
    </w:p>
    <w:p w14:paraId="3135387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1"/>
          <w:sz w:val="24"/>
          <w:szCs w:val="24"/>
          <w:u w:val="single" w:color="auto"/>
        </w:rPr>
        <w:t>）</w:t>
      </w:r>
      <w:r>
        <w:rPr>
          <w:rFonts w:hint="eastAsia" w:asciiTheme="minorEastAsia" w:hAnsiTheme="minorEastAsia" w:eastAsiaTheme="minorEastAsia" w:cstheme="minorEastAsia"/>
          <w:spacing w:val="-41"/>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3"/>
          <w:sz w:val="24"/>
          <w:szCs w:val="24"/>
          <w:u w:val="single" w:color="auto"/>
        </w:rPr>
        <w:t>称</w:t>
      </w:r>
      <w:r>
        <w:rPr>
          <w:rFonts w:hint="eastAsia" w:asciiTheme="minorEastAsia" w:hAnsiTheme="minorEastAsia" w:eastAsiaTheme="minorEastAsia" w:cstheme="minorEastAsia"/>
          <w:spacing w:val="-40"/>
          <w:sz w:val="24"/>
          <w:szCs w:val="24"/>
          <w:u w:val="single" w:color="auto"/>
        </w:rPr>
        <w:t>）</w:t>
      </w:r>
      <w:r>
        <w:rPr>
          <w:rFonts w:hint="eastAsia" w:asciiTheme="minorEastAsia" w:hAnsiTheme="minorEastAsia" w:eastAsiaTheme="minorEastAsia" w:cstheme="minorEastAsia"/>
          <w:spacing w:val="-40"/>
          <w:sz w:val="24"/>
          <w:szCs w:val="24"/>
        </w:rPr>
        <w:t>，</w:t>
      </w:r>
      <w:r>
        <w:rPr>
          <w:rFonts w:hint="eastAsia" w:asciiTheme="minorEastAsia" w:hAnsiTheme="minorEastAsia" w:eastAsiaTheme="minorEastAsia" w:cstheme="minorEastAsia"/>
          <w:spacing w:val="3"/>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3"/>
          <w:sz w:val="24"/>
          <w:szCs w:val="24"/>
        </w:rPr>
        <w:t>人，</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3"/>
          <w:sz w:val="24"/>
          <w:szCs w:val="24"/>
        </w:rPr>
        <w:t>，属于</w:t>
      </w:r>
      <w:r>
        <w:rPr>
          <w:rFonts w:hint="eastAsia" w:asciiTheme="minorEastAsia" w:hAnsiTheme="minorEastAsia" w:eastAsiaTheme="minorEastAsia" w:cstheme="minorEastAsia"/>
          <w:spacing w:val="2"/>
          <w:sz w:val="24"/>
          <w:szCs w:val="24"/>
          <w:u w:val="single" w:color="auto"/>
        </w:rPr>
        <w:t>（中型企业、小型企业、微型企业</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pacing w:val="-51"/>
          <w:sz w:val="24"/>
          <w:szCs w:val="24"/>
        </w:rPr>
        <w:t>；</w:t>
      </w:r>
    </w:p>
    <w:p w14:paraId="5AA4C4B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3"/>
          <w:sz w:val="24"/>
          <w:szCs w:val="24"/>
          <w:u w:val="single" w:color="auto"/>
        </w:rPr>
        <w:t>）</w:t>
      </w:r>
      <w:r>
        <w:rPr>
          <w:rFonts w:hint="eastAsia" w:asciiTheme="minorEastAsia" w:hAnsiTheme="minorEastAsia" w:eastAsiaTheme="minorEastAsia" w:cstheme="minorEastAsia"/>
          <w:spacing w:val="-43"/>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5"/>
          <w:sz w:val="24"/>
          <w:szCs w:val="24"/>
          <w:u w:val="single" w:color="auto"/>
        </w:rPr>
        <w:t>称</w:t>
      </w:r>
      <w:r>
        <w:rPr>
          <w:rFonts w:hint="eastAsia" w:asciiTheme="minorEastAsia" w:hAnsiTheme="minorEastAsia" w:eastAsiaTheme="minorEastAsia" w:cstheme="minorEastAsia"/>
          <w:spacing w:val="-59"/>
          <w:w w:val="94"/>
          <w:sz w:val="24"/>
          <w:szCs w:val="24"/>
          <w:u w:val="single" w:color="auto"/>
        </w:rPr>
        <w:t>）</w:t>
      </w:r>
      <w:r>
        <w:rPr>
          <w:rFonts w:hint="eastAsia" w:asciiTheme="minorEastAsia" w:hAnsiTheme="minorEastAsia" w:eastAsiaTheme="minorEastAsia" w:cstheme="minorEastAsia"/>
          <w:spacing w:val="-59"/>
          <w:w w:val="94"/>
          <w:sz w:val="24"/>
          <w:szCs w:val="24"/>
        </w:rPr>
        <w:t>，</w:t>
      </w:r>
      <w:r>
        <w:rPr>
          <w:rFonts w:hint="eastAsia" w:asciiTheme="minorEastAsia" w:hAnsiTheme="minorEastAsia" w:eastAsiaTheme="minorEastAsia" w:cstheme="minorEastAsia"/>
          <w:spacing w:val="-5"/>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rPr>
        <w:t>人，营业收入为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万元，资产总额为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万元，属于</w:t>
      </w:r>
      <w:r>
        <w:rPr>
          <w:rFonts w:hint="eastAsia" w:asciiTheme="minorEastAsia" w:hAnsiTheme="minorEastAsia" w:eastAsiaTheme="minorEastAsia" w:cstheme="minorEastAsia"/>
          <w:spacing w:val="-5"/>
          <w:sz w:val="24"/>
          <w:szCs w:val="24"/>
          <w:u w:val="single" w:color="auto"/>
        </w:rPr>
        <w:t>（中</w:t>
      </w:r>
      <w:r>
        <w:rPr>
          <w:rFonts w:hint="eastAsia" w:asciiTheme="minorEastAsia" w:hAnsiTheme="minorEastAsia" w:eastAsiaTheme="minorEastAsia" w:cstheme="minorEastAsia"/>
          <w:spacing w:val="9"/>
          <w:sz w:val="24"/>
          <w:szCs w:val="24"/>
          <w:u w:val="single" w:color="auto"/>
        </w:rPr>
        <w:t>型企业、小型企业、微型企业</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p>
    <w:p w14:paraId="1195845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6D64FC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42EAD73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以上企业，不属于大企业的分支机构，不存在控股股东为大企业的情形，也不存在与大企业的负责人为同一人的情形。</w:t>
      </w:r>
    </w:p>
    <w:p w14:paraId="07084CD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本企业对上述声明内容的真实性负责。如有虚假，将依法承担相应责任。</w:t>
      </w:r>
    </w:p>
    <w:p w14:paraId="5C6F171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p>
    <w:p w14:paraId="012EAA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553E3D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3838" w:firstLineChars="19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p>
    <w:p w14:paraId="4C4C61CB">
      <w:pPr>
        <w:keepNext w:val="0"/>
        <w:keepLines w:val="0"/>
        <w:pageBreakBefore w:val="0"/>
        <w:kinsoku/>
        <w:wordWrap w:val="0"/>
        <w:overflowPunct/>
        <w:topLinePunct w:val="0"/>
        <w:bidi w:val="0"/>
        <w:spacing w:line="360" w:lineRule="auto"/>
        <w:ind w:firstLine="3600" w:firstLineChars="15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56310C1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0080" w:firstLineChars="4200"/>
        <w:jc w:val="both"/>
        <w:textAlignment w:val="baseline"/>
        <w:rPr>
          <w:rFonts w:hint="eastAsia" w:asciiTheme="minorEastAsia" w:hAnsiTheme="minorEastAsia" w:eastAsiaTheme="minorEastAsia" w:cstheme="minorEastAsia"/>
          <w:sz w:val="24"/>
          <w:szCs w:val="24"/>
        </w:rPr>
      </w:pPr>
    </w:p>
    <w:p w14:paraId="5998907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178848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sz w:val="24"/>
          <w:szCs w:val="24"/>
          <w:lang w:eastAsia="zh-CN"/>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r>
        <w:rPr>
          <w:rFonts w:hint="eastAsia" w:asciiTheme="minorEastAsia" w:hAnsiTheme="minorEastAsia" w:eastAsiaTheme="minorEastAsia" w:cstheme="minorEastAsia"/>
          <w:spacing w:val="9"/>
          <w:sz w:val="24"/>
          <w:szCs w:val="24"/>
          <w:lang w:eastAsia="zh-CN"/>
        </w:rPr>
        <w:t>。</w:t>
      </w:r>
    </w:p>
    <w:p w14:paraId="56BAF8DE">
      <w:pPr>
        <w:pStyle w:val="34"/>
        <w:rPr>
          <w:rFonts w:hint="eastAsia" w:asciiTheme="minorEastAsia" w:hAnsiTheme="minorEastAsia" w:eastAsiaTheme="minorEastAsia" w:cstheme="minorEastAsia"/>
          <w:spacing w:val="9"/>
          <w:sz w:val="24"/>
          <w:szCs w:val="24"/>
          <w:lang w:eastAsia="zh-CN"/>
        </w:rPr>
        <w:sectPr>
          <w:pgSz w:w="11907" w:h="16840"/>
          <w:pgMar w:top="1440" w:right="1800" w:bottom="1440" w:left="1800" w:header="878" w:footer="886" w:gutter="0"/>
          <w:pgNumType w:fmt="decimal"/>
          <w:cols w:space="720" w:num="1"/>
        </w:sectPr>
      </w:pPr>
    </w:p>
    <w:p w14:paraId="4C5D37E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残疾人福利性单位声明函格式</w:t>
      </w:r>
    </w:p>
    <w:p w14:paraId="1CB3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2674117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本单位郑重声明，根据《财政部民政部中国残疾人联合会关于促进残疾人就</w:t>
      </w:r>
    </w:p>
    <w:p w14:paraId="7D27FD0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业政府采购政策的通知》（财库〔2017〕141号）的规定，本单位</w:t>
      </w: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rPr>
        <w:t>：</w:t>
      </w:r>
    </w:p>
    <w:p w14:paraId="1E0D831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5D98E7F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1EBE742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0D1C82E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FB9C7B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C74625A">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4FAE7930">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C416C0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0E71918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15F9105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056955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7E7A09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388E83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AB6243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771FC4F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9736E4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3A8A9BC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422AE35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6E06450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2041D29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B56039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3233903C">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14:paraId="64BDE594">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14:paraId="71414050">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0DCEEF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pPr>
    </w:p>
    <w:p w14:paraId="73096B9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t>10.招标文件要求的其它材料及投标人认为有必要提供的材料。</w:t>
      </w:r>
    </w:p>
    <w:sectPr>
      <w:headerReference r:id="rId17" w:type="default"/>
      <w:footerReference r:id="rId18"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ˎ̥">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B4FA">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1AC21">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01AC21">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23339">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03816">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72B93">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CA72B93">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81FC">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6391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B86391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A577">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D765D">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96D765D">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70508">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7CAEF">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887CAEF">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03EE">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BF8FE">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ACBF8FE">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598C0">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2B145">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2631D">
    <w:pPr>
      <w:pStyle w:val="1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14F2">
    <w:pPr>
      <w:pStyle w:val="1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F878">
    <w:pPr>
      <w:pStyle w:val="1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38BA">
    <w:pPr>
      <w:pStyle w:val="1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1CE3">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1D128F"/>
    <w:multiLevelType w:val="singleLevel"/>
    <w:tmpl w:val="8B1D128F"/>
    <w:lvl w:ilvl="0" w:tentative="0">
      <w:start w:val="1"/>
      <w:numFmt w:val="chineseCounting"/>
      <w:suff w:val="nothing"/>
      <w:lvlText w:val="%1、"/>
      <w:lvlJc w:val="left"/>
      <w:rPr>
        <w:rFonts w:hint="eastAsia"/>
      </w:rPr>
    </w:lvl>
  </w:abstractNum>
  <w:abstractNum w:abstractNumId="1">
    <w:nsid w:val="CEB4317B"/>
    <w:multiLevelType w:val="singleLevel"/>
    <w:tmpl w:val="CEB4317B"/>
    <w:lvl w:ilvl="0" w:tentative="0">
      <w:start w:val="5"/>
      <w:numFmt w:val="decimal"/>
      <w:lvlText w:val="%1."/>
      <w:lvlJc w:val="left"/>
      <w:pPr>
        <w:tabs>
          <w:tab w:val="left" w:pos="312"/>
        </w:tabs>
      </w:pPr>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801679B"/>
    <w:multiLevelType w:val="singleLevel"/>
    <w:tmpl w:val="D801679B"/>
    <w:lvl w:ilvl="0" w:tentative="0">
      <w:start w:val="1"/>
      <w:numFmt w:val="decimal"/>
      <w:suff w:val="nothing"/>
      <w:lvlText w:val="%1、"/>
      <w:lvlJc w:val="left"/>
    </w:lvl>
  </w:abstractNum>
  <w:abstractNum w:abstractNumId="4">
    <w:nsid w:val="DDC87C0B"/>
    <w:multiLevelType w:val="singleLevel"/>
    <w:tmpl w:val="DDC87C0B"/>
    <w:lvl w:ilvl="0" w:tentative="0">
      <w:start w:val="11"/>
      <w:numFmt w:val="decimal"/>
      <w:suff w:val="nothing"/>
      <w:lvlText w:val="%1、"/>
      <w:lvlJc w:val="left"/>
    </w:lvl>
  </w:abstractNum>
  <w:abstractNum w:abstractNumId="5">
    <w:nsid w:val="F53C6C73"/>
    <w:multiLevelType w:val="singleLevel"/>
    <w:tmpl w:val="F53C6C73"/>
    <w:lvl w:ilvl="0" w:tentative="0">
      <w:start w:val="4"/>
      <w:numFmt w:val="decimal"/>
      <w:suff w:val="nothing"/>
      <w:lvlText w:val="%1、"/>
      <w:lvlJc w:val="left"/>
    </w:lvl>
  </w:abstractNum>
  <w:abstractNum w:abstractNumId="6">
    <w:nsid w:val="F7AD8E6F"/>
    <w:multiLevelType w:val="singleLevel"/>
    <w:tmpl w:val="F7AD8E6F"/>
    <w:lvl w:ilvl="0" w:tentative="0">
      <w:start w:val="5"/>
      <w:numFmt w:val="decimal"/>
      <w:suff w:val="nothing"/>
      <w:lvlText w:val="%1、"/>
      <w:lvlJc w:val="left"/>
    </w:lvl>
  </w:abstractNum>
  <w:abstractNum w:abstractNumId="7">
    <w:nsid w:val="FFEFC674"/>
    <w:multiLevelType w:val="singleLevel"/>
    <w:tmpl w:val="FFEFC674"/>
    <w:lvl w:ilvl="0" w:tentative="0">
      <w:start w:val="1"/>
      <w:numFmt w:val="decimal"/>
      <w:suff w:val="nothing"/>
      <w:lvlText w:val="（%1）"/>
      <w:lvlJc w:val="left"/>
    </w:lvl>
  </w:abstractNum>
  <w:abstractNum w:abstractNumId="8">
    <w:nsid w:val="3B97BFD3"/>
    <w:multiLevelType w:val="singleLevel"/>
    <w:tmpl w:val="3B97BFD3"/>
    <w:lvl w:ilvl="0" w:tentative="0">
      <w:start w:val="1"/>
      <w:numFmt w:val="chineseCounting"/>
      <w:suff w:val="nothing"/>
      <w:lvlText w:val="%1、"/>
      <w:lvlJc w:val="left"/>
      <w:rPr>
        <w:rFonts w:hint="eastAsia"/>
      </w:rPr>
    </w:lvl>
  </w:abstractNum>
  <w:abstractNum w:abstractNumId="9">
    <w:nsid w:val="3CFF97C4"/>
    <w:multiLevelType w:val="singleLevel"/>
    <w:tmpl w:val="3CFF97C4"/>
    <w:lvl w:ilvl="0" w:tentative="0">
      <w:start w:val="1"/>
      <w:numFmt w:val="chineseCounting"/>
      <w:suff w:val="nothing"/>
      <w:lvlText w:val="%1、"/>
      <w:lvlJc w:val="left"/>
      <w:rPr>
        <w:rFonts w:hint="eastAsia"/>
      </w:rPr>
    </w:lvl>
  </w:abstractNum>
  <w:abstractNum w:abstractNumId="10">
    <w:nsid w:val="4E6EC39D"/>
    <w:multiLevelType w:val="singleLevel"/>
    <w:tmpl w:val="4E6EC39D"/>
    <w:lvl w:ilvl="0" w:tentative="0">
      <w:start w:val="20"/>
      <w:numFmt w:val="decimal"/>
      <w:suff w:val="nothing"/>
      <w:lvlText w:val="%1、"/>
      <w:lvlJc w:val="left"/>
    </w:lvl>
  </w:abstractNum>
  <w:abstractNum w:abstractNumId="11">
    <w:nsid w:val="55A0044F"/>
    <w:multiLevelType w:val="singleLevel"/>
    <w:tmpl w:val="55A0044F"/>
    <w:lvl w:ilvl="0" w:tentative="0">
      <w:start w:val="1"/>
      <w:numFmt w:val="decimal"/>
      <w:lvlText w:val="%1."/>
      <w:lvlJc w:val="left"/>
      <w:pPr>
        <w:tabs>
          <w:tab w:val="left" w:pos="312"/>
        </w:tabs>
      </w:pPr>
    </w:lvl>
  </w:abstractNum>
  <w:abstractNum w:abstractNumId="12">
    <w:nsid w:val="5D7BE5FA"/>
    <w:multiLevelType w:val="singleLevel"/>
    <w:tmpl w:val="5D7BE5FA"/>
    <w:lvl w:ilvl="0" w:tentative="0">
      <w:start w:val="1"/>
      <w:numFmt w:val="decimal"/>
      <w:suff w:val="nothing"/>
      <w:lvlText w:val="%1、"/>
      <w:lvlJc w:val="left"/>
    </w:lvl>
  </w:abstractNum>
  <w:abstractNum w:abstractNumId="13">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32"/>
      <w:suff w:val="nothing"/>
      <w:lvlText w:val="%1%2　"/>
      <w:lvlJc w:val="left"/>
      <w:pPr>
        <w:ind w:left="0" w:firstLine="0"/>
      </w:pPr>
      <w:rPr>
        <w:rFonts w:hint="eastAsia" w:ascii="黑体" w:hAnsi="Times New Roman" w:eastAsia="黑体"/>
        <w:b w:val="0"/>
        <w:i w:val="0"/>
        <w:sz w:val="21"/>
      </w:rPr>
    </w:lvl>
    <w:lvl w:ilvl="2" w:tentative="0">
      <w:start w:val="1"/>
      <w:numFmt w:val="decimal"/>
      <w:pStyle w:val="31"/>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4">
    <w:nsid w:val="74883D03"/>
    <w:multiLevelType w:val="singleLevel"/>
    <w:tmpl w:val="74883D03"/>
    <w:lvl w:ilvl="0" w:tentative="0">
      <w:start w:val="1"/>
      <w:numFmt w:val="decimal"/>
      <w:lvlText w:val="%1."/>
      <w:lvlJc w:val="left"/>
      <w:pPr>
        <w:tabs>
          <w:tab w:val="left" w:pos="312"/>
        </w:tabs>
      </w:pPr>
    </w:lvl>
  </w:abstractNum>
  <w:abstractNum w:abstractNumId="15">
    <w:nsid w:val="74B3EAC0"/>
    <w:multiLevelType w:val="singleLevel"/>
    <w:tmpl w:val="74B3EAC0"/>
    <w:lvl w:ilvl="0" w:tentative="0">
      <w:start w:val="1"/>
      <w:numFmt w:val="decimal"/>
      <w:suff w:val="nothing"/>
      <w:lvlText w:val="%1、"/>
      <w:lvlJc w:val="left"/>
    </w:lvl>
  </w:abstractNum>
  <w:abstractNum w:abstractNumId="16">
    <w:nsid w:val="7A0F6431"/>
    <w:multiLevelType w:val="singleLevel"/>
    <w:tmpl w:val="7A0F6431"/>
    <w:lvl w:ilvl="0" w:tentative="0">
      <w:start w:val="1"/>
      <w:numFmt w:val="decimal"/>
      <w:suff w:val="space"/>
      <w:lvlText w:val="%1."/>
      <w:lvlJc w:val="left"/>
    </w:lvl>
  </w:abstractNum>
  <w:num w:numId="1">
    <w:abstractNumId w:val="13"/>
  </w:num>
  <w:num w:numId="2">
    <w:abstractNumId w:val="1"/>
  </w:num>
  <w:num w:numId="3">
    <w:abstractNumId w:val="9"/>
  </w:num>
  <w:num w:numId="4">
    <w:abstractNumId w:val="14"/>
  </w:num>
  <w:num w:numId="5">
    <w:abstractNumId w:val="15"/>
  </w:num>
  <w:num w:numId="6">
    <w:abstractNumId w:val="11"/>
  </w:num>
  <w:num w:numId="7">
    <w:abstractNumId w:val="0"/>
  </w:num>
  <w:num w:numId="8">
    <w:abstractNumId w:val="8"/>
  </w:num>
  <w:num w:numId="9">
    <w:abstractNumId w:val="4"/>
  </w:num>
  <w:num w:numId="10">
    <w:abstractNumId w:val="10"/>
  </w:num>
  <w:num w:numId="11">
    <w:abstractNumId w:val="3"/>
  </w:num>
  <w:num w:numId="12">
    <w:abstractNumId w:val="5"/>
  </w:num>
  <w:num w:numId="13">
    <w:abstractNumId w:val="6"/>
  </w:num>
  <w:num w:numId="14">
    <w:abstractNumId w:val="12"/>
  </w:num>
  <w:num w:numId="15">
    <w:abstractNumId w:val="16"/>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MWVlZWVkY2UzNDQwNDJlMDFiNjgyOGQxYmM0ZWZkYWEifQ=="/>
  </w:docVars>
  <w:rsids>
    <w:rsidRoot w:val="00000000"/>
    <w:rsid w:val="00621C19"/>
    <w:rsid w:val="0096273C"/>
    <w:rsid w:val="00D24FF0"/>
    <w:rsid w:val="014E35A1"/>
    <w:rsid w:val="01C02D71"/>
    <w:rsid w:val="023E759B"/>
    <w:rsid w:val="02427F54"/>
    <w:rsid w:val="027730B6"/>
    <w:rsid w:val="027D6FA2"/>
    <w:rsid w:val="029C3A3B"/>
    <w:rsid w:val="02FA03F5"/>
    <w:rsid w:val="03053967"/>
    <w:rsid w:val="03080D45"/>
    <w:rsid w:val="03217B69"/>
    <w:rsid w:val="039A65F4"/>
    <w:rsid w:val="03C26B83"/>
    <w:rsid w:val="03CC315E"/>
    <w:rsid w:val="03DF5A69"/>
    <w:rsid w:val="044921B6"/>
    <w:rsid w:val="046E59EF"/>
    <w:rsid w:val="04C01E68"/>
    <w:rsid w:val="050D556D"/>
    <w:rsid w:val="051A2871"/>
    <w:rsid w:val="05234F67"/>
    <w:rsid w:val="05545C1C"/>
    <w:rsid w:val="055748A3"/>
    <w:rsid w:val="059A3EA8"/>
    <w:rsid w:val="0654565B"/>
    <w:rsid w:val="06593C39"/>
    <w:rsid w:val="06787E06"/>
    <w:rsid w:val="06AF4861"/>
    <w:rsid w:val="06B0495B"/>
    <w:rsid w:val="06C93A28"/>
    <w:rsid w:val="06E37C8B"/>
    <w:rsid w:val="06E772CF"/>
    <w:rsid w:val="06F83227"/>
    <w:rsid w:val="075E313A"/>
    <w:rsid w:val="076721B4"/>
    <w:rsid w:val="08805332"/>
    <w:rsid w:val="08A35757"/>
    <w:rsid w:val="08CB596A"/>
    <w:rsid w:val="092D385C"/>
    <w:rsid w:val="09684744"/>
    <w:rsid w:val="09A129E2"/>
    <w:rsid w:val="09CC6764"/>
    <w:rsid w:val="09E3271C"/>
    <w:rsid w:val="0A29644D"/>
    <w:rsid w:val="0A437032"/>
    <w:rsid w:val="0A633B33"/>
    <w:rsid w:val="0AB46C2A"/>
    <w:rsid w:val="0ABC7CF1"/>
    <w:rsid w:val="0ABE6FC5"/>
    <w:rsid w:val="0AD61B81"/>
    <w:rsid w:val="0AD86A92"/>
    <w:rsid w:val="0B3B7AF5"/>
    <w:rsid w:val="0B3C24F6"/>
    <w:rsid w:val="0BAF08E4"/>
    <w:rsid w:val="0BC76E66"/>
    <w:rsid w:val="0BF0521B"/>
    <w:rsid w:val="0C3721AC"/>
    <w:rsid w:val="0C70413C"/>
    <w:rsid w:val="0CB101B0"/>
    <w:rsid w:val="0CBD4DA7"/>
    <w:rsid w:val="0CF900A3"/>
    <w:rsid w:val="0D9A718E"/>
    <w:rsid w:val="0DA859D3"/>
    <w:rsid w:val="0DD30B7C"/>
    <w:rsid w:val="0DE12D64"/>
    <w:rsid w:val="0E307EEE"/>
    <w:rsid w:val="0E657812"/>
    <w:rsid w:val="0EE83F9D"/>
    <w:rsid w:val="0F0D035A"/>
    <w:rsid w:val="0FB87AA7"/>
    <w:rsid w:val="0FD03EC2"/>
    <w:rsid w:val="0FE34B24"/>
    <w:rsid w:val="102C0845"/>
    <w:rsid w:val="104F3F68"/>
    <w:rsid w:val="10B145AD"/>
    <w:rsid w:val="113E7D24"/>
    <w:rsid w:val="115A7068"/>
    <w:rsid w:val="11620280"/>
    <w:rsid w:val="117B59FC"/>
    <w:rsid w:val="117D2D56"/>
    <w:rsid w:val="11B43A6A"/>
    <w:rsid w:val="11B5429E"/>
    <w:rsid w:val="121A79BB"/>
    <w:rsid w:val="122675E2"/>
    <w:rsid w:val="12417927"/>
    <w:rsid w:val="126E021D"/>
    <w:rsid w:val="126F5143"/>
    <w:rsid w:val="12C549DA"/>
    <w:rsid w:val="12D9220E"/>
    <w:rsid w:val="12FD5FFB"/>
    <w:rsid w:val="1380268A"/>
    <w:rsid w:val="13C5707D"/>
    <w:rsid w:val="13F07810"/>
    <w:rsid w:val="1446371A"/>
    <w:rsid w:val="14571FA0"/>
    <w:rsid w:val="14632D00"/>
    <w:rsid w:val="146A5814"/>
    <w:rsid w:val="14EC3DCF"/>
    <w:rsid w:val="14FB5517"/>
    <w:rsid w:val="15037E2D"/>
    <w:rsid w:val="156B2323"/>
    <w:rsid w:val="15AC3C0A"/>
    <w:rsid w:val="15B05882"/>
    <w:rsid w:val="15E04F64"/>
    <w:rsid w:val="15E12BB1"/>
    <w:rsid w:val="15FF61B2"/>
    <w:rsid w:val="164A7458"/>
    <w:rsid w:val="16F45CE8"/>
    <w:rsid w:val="16FC049F"/>
    <w:rsid w:val="174C193E"/>
    <w:rsid w:val="17566556"/>
    <w:rsid w:val="179B0D80"/>
    <w:rsid w:val="17B072B9"/>
    <w:rsid w:val="17B27393"/>
    <w:rsid w:val="17C9557C"/>
    <w:rsid w:val="17E20058"/>
    <w:rsid w:val="183D23CB"/>
    <w:rsid w:val="18510AEB"/>
    <w:rsid w:val="18610CDC"/>
    <w:rsid w:val="1901716D"/>
    <w:rsid w:val="19161B44"/>
    <w:rsid w:val="19B220A8"/>
    <w:rsid w:val="19D075C2"/>
    <w:rsid w:val="19D46BD3"/>
    <w:rsid w:val="19E002E7"/>
    <w:rsid w:val="19E260C0"/>
    <w:rsid w:val="1A464AA0"/>
    <w:rsid w:val="1A6B22E0"/>
    <w:rsid w:val="1A9F789A"/>
    <w:rsid w:val="1AAC0209"/>
    <w:rsid w:val="1AC47924"/>
    <w:rsid w:val="1AF57E02"/>
    <w:rsid w:val="1B4A0A55"/>
    <w:rsid w:val="1B4F168F"/>
    <w:rsid w:val="1B6F0841"/>
    <w:rsid w:val="1BDA4AC1"/>
    <w:rsid w:val="1C1A79BC"/>
    <w:rsid w:val="1CB15FAA"/>
    <w:rsid w:val="1D391455"/>
    <w:rsid w:val="1D72498F"/>
    <w:rsid w:val="1D8E63E4"/>
    <w:rsid w:val="1D9226F7"/>
    <w:rsid w:val="1D9D7C75"/>
    <w:rsid w:val="1E0754FF"/>
    <w:rsid w:val="1E172727"/>
    <w:rsid w:val="1E2712E1"/>
    <w:rsid w:val="1E7249AF"/>
    <w:rsid w:val="1E824F42"/>
    <w:rsid w:val="1EFE79F8"/>
    <w:rsid w:val="1F225822"/>
    <w:rsid w:val="1F830D3F"/>
    <w:rsid w:val="1F8737CC"/>
    <w:rsid w:val="1FE25607"/>
    <w:rsid w:val="1FE61854"/>
    <w:rsid w:val="1FE710C6"/>
    <w:rsid w:val="1FF31541"/>
    <w:rsid w:val="203945B9"/>
    <w:rsid w:val="20F10837"/>
    <w:rsid w:val="210939CE"/>
    <w:rsid w:val="212D6A29"/>
    <w:rsid w:val="21475FF8"/>
    <w:rsid w:val="214D162F"/>
    <w:rsid w:val="217E2260"/>
    <w:rsid w:val="21DC7625"/>
    <w:rsid w:val="21E33D7D"/>
    <w:rsid w:val="22937C80"/>
    <w:rsid w:val="229A51D3"/>
    <w:rsid w:val="22AC2870"/>
    <w:rsid w:val="22AE004D"/>
    <w:rsid w:val="22E737AC"/>
    <w:rsid w:val="23287C3C"/>
    <w:rsid w:val="23C6058D"/>
    <w:rsid w:val="23D34A58"/>
    <w:rsid w:val="24C8734D"/>
    <w:rsid w:val="24E94D19"/>
    <w:rsid w:val="25052271"/>
    <w:rsid w:val="252E1F46"/>
    <w:rsid w:val="255045B2"/>
    <w:rsid w:val="256253DA"/>
    <w:rsid w:val="25722260"/>
    <w:rsid w:val="257A4289"/>
    <w:rsid w:val="25A83616"/>
    <w:rsid w:val="25D07317"/>
    <w:rsid w:val="26000E53"/>
    <w:rsid w:val="260373D2"/>
    <w:rsid w:val="263A5FE5"/>
    <w:rsid w:val="265713EE"/>
    <w:rsid w:val="266177F8"/>
    <w:rsid w:val="2670389D"/>
    <w:rsid w:val="26734FA1"/>
    <w:rsid w:val="267811A0"/>
    <w:rsid w:val="275229C9"/>
    <w:rsid w:val="278C7E70"/>
    <w:rsid w:val="27E32A7D"/>
    <w:rsid w:val="27EF7E63"/>
    <w:rsid w:val="27F6032D"/>
    <w:rsid w:val="2878615A"/>
    <w:rsid w:val="289B002D"/>
    <w:rsid w:val="2944096C"/>
    <w:rsid w:val="29462E99"/>
    <w:rsid w:val="29736536"/>
    <w:rsid w:val="29C94933"/>
    <w:rsid w:val="29EF5E58"/>
    <w:rsid w:val="2A5E573D"/>
    <w:rsid w:val="2A832D34"/>
    <w:rsid w:val="2A870159"/>
    <w:rsid w:val="2ABA04F6"/>
    <w:rsid w:val="2AD7512C"/>
    <w:rsid w:val="2B296C36"/>
    <w:rsid w:val="2B32017A"/>
    <w:rsid w:val="2B4C1378"/>
    <w:rsid w:val="2B886128"/>
    <w:rsid w:val="2BD35370"/>
    <w:rsid w:val="2BDB6CED"/>
    <w:rsid w:val="2C9507A1"/>
    <w:rsid w:val="2CA1464D"/>
    <w:rsid w:val="2CB368C6"/>
    <w:rsid w:val="2CE542E8"/>
    <w:rsid w:val="2D4C797B"/>
    <w:rsid w:val="2D854259"/>
    <w:rsid w:val="2DB7418D"/>
    <w:rsid w:val="2DD5743D"/>
    <w:rsid w:val="2DF6291A"/>
    <w:rsid w:val="2E037ECE"/>
    <w:rsid w:val="2E123636"/>
    <w:rsid w:val="2EA95800"/>
    <w:rsid w:val="2EAB387A"/>
    <w:rsid w:val="2EDE4089"/>
    <w:rsid w:val="2EFD22A6"/>
    <w:rsid w:val="2F795793"/>
    <w:rsid w:val="2F7E5B21"/>
    <w:rsid w:val="2FAF3423"/>
    <w:rsid w:val="301C54B3"/>
    <w:rsid w:val="305F18E8"/>
    <w:rsid w:val="311741D6"/>
    <w:rsid w:val="3119309A"/>
    <w:rsid w:val="312A5594"/>
    <w:rsid w:val="312C625F"/>
    <w:rsid w:val="31C81974"/>
    <w:rsid w:val="31F3422D"/>
    <w:rsid w:val="32121533"/>
    <w:rsid w:val="32230959"/>
    <w:rsid w:val="3236567B"/>
    <w:rsid w:val="32A92D2C"/>
    <w:rsid w:val="32E56480"/>
    <w:rsid w:val="3322495F"/>
    <w:rsid w:val="333E1891"/>
    <w:rsid w:val="337450B5"/>
    <w:rsid w:val="33814F8D"/>
    <w:rsid w:val="344C700B"/>
    <w:rsid w:val="34C22FEC"/>
    <w:rsid w:val="34EB0670"/>
    <w:rsid w:val="34F86C33"/>
    <w:rsid w:val="357069B7"/>
    <w:rsid w:val="357D65D2"/>
    <w:rsid w:val="358362DE"/>
    <w:rsid w:val="35FC07ED"/>
    <w:rsid w:val="36116E2B"/>
    <w:rsid w:val="36266C69"/>
    <w:rsid w:val="36A91F93"/>
    <w:rsid w:val="36B765C5"/>
    <w:rsid w:val="37207EEF"/>
    <w:rsid w:val="374E72FE"/>
    <w:rsid w:val="37512649"/>
    <w:rsid w:val="37C036A0"/>
    <w:rsid w:val="37D664EB"/>
    <w:rsid w:val="37E776C2"/>
    <w:rsid w:val="383C09C6"/>
    <w:rsid w:val="38704382"/>
    <w:rsid w:val="388B2F38"/>
    <w:rsid w:val="399D1B1E"/>
    <w:rsid w:val="3A046503"/>
    <w:rsid w:val="3A6D7BE3"/>
    <w:rsid w:val="3B35724B"/>
    <w:rsid w:val="3B760FA8"/>
    <w:rsid w:val="3BB63ADA"/>
    <w:rsid w:val="3BDC4EDA"/>
    <w:rsid w:val="3C37498E"/>
    <w:rsid w:val="3C860462"/>
    <w:rsid w:val="3C94450B"/>
    <w:rsid w:val="3CD83A9C"/>
    <w:rsid w:val="3D051AB3"/>
    <w:rsid w:val="3D13022E"/>
    <w:rsid w:val="3D8031C9"/>
    <w:rsid w:val="3D9C0E9C"/>
    <w:rsid w:val="3DDE7B24"/>
    <w:rsid w:val="3E233D5C"/>
    <w:rsid w:val="3E353902"/>
    <w:rsid w:val="3E60285C"/>
    <w:rsid w:val="3E7A6E5F"/>
    <w:rsid w:val="3E7F6A33"/>
    <w:rsid w:val="3E807399"/>
    <w:rsid w:val="3E923BF9"/>
    <w:rsid w:val="3ED454B4"/>
    <w:rsid w:val="3F0A4EA1"/>
    <w:rsid w:val="3F487C50"/>
    <w:rsid w:val="3F814E1B"/>
    <w:rsid w:val="3FC65745"/>
    <w:rsid w:val="3FCE3BC4"/>
    <w:rsid w:val="400F116A"/>
    <w:rsid w:val="40274071"/>
    <w:rsid w:val="405D1A2A"/>
    <w:rsid w:val="407F405E"/>
    <w:rsid w:val="409370B0"/>
    <w:rsid w:val="40CC09EA"/>
    <w:rsid w:val="40D41902"/>
    <w:rsid w:val="410F0A26"/>
    <w:rsid w:val="41104A55"/>
    <w:rsid w:val="415779FB"/>
    <w:rsid w:val="41884B35"/>
    <w:rsid w:val="41C71300"/>
    <w:rsid w:val="423849B8"/>
    <w:rsid w:val="435F746A"/>
    <w:rsid w:val="4372309F"/>
    <w:rsid w:val="44093E52"/>
    <w:rsid w:val="444E5D13"/>
    <w:rsid w:val="446F3136"/>
    <w:rsid w:val="44790C24"/>
    <w:rsid w:val="44C640B0"/>
    <w:rsid w:val="453A628D"/>
    <w:rsid w:val="45C83D08"/>
    <w:rsid w:val="45CF0C25"/>
    <w:rsid w:val="45DD7715"/>
    <w:rsid w:val="45FD75E4"/>
    <w:rsid w:val="46922AB2"/>
    <w:rsid w:val="46F245F5"/>
    <w:rsid w:val="47503B46"/>
    <w:rsid w:val="476F2CBE"/>
    <w:rsid w:val="47C562E2"/>
    <w:rsid w:val="47C81344"/>
    <w:rsid w:val="47E44403"/>
    <w:rsid w:val="480A1F47"/>
    <w:rsid w:val="483B0352"/>
    <w:rsid w:val="48860FCF"/>
    <w:rsid w:val="488A3088"/>
    <w:rsid w:val="48DF1625"/>
    <w:rsid w:val="48E61E39"/>
    <w:rsid w:val="48F078C5"/>
    <w:rsid w:val="490833FB"/>
    <w:rsid w:val="49320965"/>
    <w:rsid w:val="493A0D1C"/>
    <w:rsid w:val="49465728"/>
    <w:rsid w:val="49735B01"/>
    <w:rsid w:val="49AC2E6D"/>
    <w:rsid w:val="4A3F3154"/>
    <w:rsid w:val="4A4562D3"/>
    <w:rsid w:val="4A52328E"/>
    <w:rsid w:val="4B050440"/>
    <w:rsid w:val="4B227F62"/>
    <w:rsid w:val="4B6545C2"/>
    <w:rsid w:val="4BBC369E"/>
    <w:rsid w:val="4C2E4987"/>
    <w:rsid w:val="4CEC4659"/>
    <w:rsid w:val="4D3B2BA3"/>
    <w:rsid w:val="4D493511"/>
    <w:rsid w:val="4DF21FC2"/>
    <w:rsid w:val="4DF932EA"/>
    <w:rsid w:val="4E201C1D"/>
    <w:rsid w:val="4E234053"/>
    <w:rsid w:val="4E391CB6"/>
    <w:rsid w:val="4E3B35B6"/>
    <w:rsid w:val="4E473770"/>
    <w:rsid w:val="4E7A34EC"/>
    <w:rsid w:val="4E861641"/>
    <w:rsid w:val="4EE76F22"/>
    <w:rsid w:val="4F7B5B39"/>
    <w:rsid w:val="4FAB04B3"/>
    <w:rsid w:val="4FB426AD"/>
    <w:rsid w:val="4FEE2DC9"/>
    <w:rsid w:val="505847DA"/>
    <w:rsid w:val="51346287"/>
    <w:rsid w:val="5177581D"/>
    <w:rsid w:val="51850890"/>
    <w:rsid w:val="519F1DA4"/>
    <w:rsid w:val="525210BA"/>
    <w:rsid w:val="52A90328"/>
    <w:rsid w:val="52C55AAA"/>
    <w:rsid w:val="52DC3333"/>
    <w:rsid w:val="52DD2582"/>
    <w:rsid w:val="53036690"/>
    <w:rsid w:val="53204D14"/>
    <w:rsid w:val="53376A7B"/>
    <w:rsid w:val="533D001D"/>
    <w:rsid w:val="537441A1"/>
    <w:rsid w:val="53B1020C"/>
    <w:rsid w:val="54065481"/>
    <w:rsid w:val="548A4DCE"/>
    <w:rsid w:val="557169CF"/>
    <w:rsid w:val="55747B81"/>
    <w:rsid w:val="557D5D2A"/>
    <w:rsid w:val="559C4962"/>
    <w:rsid w:val="559D556E"/>
    <w:rsid w:val="55A41C2D"/>
    <w:rsid w:val="561C2985"/>
    <w:rsid w:val="56682D63"/>
    <w:rsid w:val="56825BFB"/>
    <w:rsid w:val="5683243F"/>
    <w:rsid w:val="56905D0D"/>
    <w:rsid w:val="56A87D95"/>
    <w:rsid w:val="56FB4C08"/>
    <w:rsid w:val="574153BB"/>
    <w:rsid w:val="57BB3407"/>
    <w:rsid w:val="583A22FC"/>
    <w:rsid w:val="58901BCF"/>
    <w:rsid w:val="589A668A"/>
    <w:rsid w:val="58AC00F0"/>
    <w:rsid w:val="58C46E3D"/>
    <w:rsid w:val="58D971B2"/>
    <w:rsid w:val="59042C0B"/>
    <w:rsid w:val="59272568"/>
    <w:rsid w:val="59576FB6"/>
    <w:rsid w:val="59853B23"/>
    <w:rsid w:val="59BC1D1A"/>
    <w:rsid w:val="59C142A0"/>
    <w:rsid w:val="59C641E6"/>
    <w:rsid w:val="59D65347"/>
    <w:rsid w:val="5A2E3043"/>
    <w:rsid w:val="5A9763C3"/>
    <w:rsid w:val="5A9920D7"/>
    <w:rsid w:val="5AEA63E6"/>
    <w:rsid w:val="5B2C7B17"/>
    <w:rsid w:val="5BCB0AF4"/>
    <w:rsid w:val="5BE8603E"/>
    <w:rsid w:val="5C2D5181"/>
    <w:rsid w:val="5C3D1C65"/>
    <w:rsid w:val="5C9B1B86"/>
    <w:rsid w:val="5CA02E79"/>
    <w:rsid w:val="5CCD16A8"/>
    <w:rsid w:val="5CEA5B79"/>
    <w:rsid w:val="5D150553"/>
    <w:rsid w:val="5D3550FB"/>
    <w:rsid w:val="5D902A97"/>
    <w:rsid w:val="5D926D13"/>
    <w:rsid w:val="5E1F4E78"/>
    <w:rsid w:val="5E3606EF"/>
    <w:rsid w:val="5E8D2007"/>
    <w:rsid w:val="5EDA32DC"/>
    <w:rsid w:val="5EF43E59"/>
    <w:rsid w:val="5F321771"/>
    <w:rsid w:val="5F3A0F0C"/>
    <w:rsid w:val="5F412CC2"/>
    <w:rsid w:val="5F493CC1"/>
    <w:rsid w:val="5FB075B7"/>
    <w:rsid w:val="5FE25790"/>
    <w:rsid w:val="5FE2771E"/>
    <w:rsid w:val="600E6D7C"/>
    <w:rsid w:val="60203E6F"/>
    <w:rsid w:val="6062071A"/>
    <w:rsid w:val="607F1E09"/>
    <w:rsid w:val="60BD2923"/>
    <w:rsid w:val="60E01F29"/>
    <w:rsid w:val="618C2692"/>
    <w:rsid w:val="61E60EAB"/>
    <w:rsid w:val="622D31D4"/>
    <w:rsid w:val="62A74B0A"/>
    <w:rsid w:val="62AD7F75"/>
    <w:rsid w:val="62E015B0"/>
    <w:rsid w:val="63510510"/>
    <w:rsid w:val="639D4CC6"/>
    <w:rsid w:val="63BE1249"/>
    <w:rsid w:val="63F00D8A"/>
    <w:rsid w:val="642053CC"/>
    <w:rsid w:val="642108EC"/>
    <w:rsid w:val="646A5DEF"/>
    <w:rsid w:val="646F5EF6"/>
    <w:rsid w:val="64D84562"/>
    <w:rsid w:val="65785E0F"/>
    <w:rsid w:val="658A75F4"/>
    <w:rsid w:val="658F1538"/>
    <w:rsid w:val="65CA4D39"/>
    <w:rsid w:val="65CF7A95"/>
    <w:rsid w:val="65F512B7"/>
    <w:rsid w:val="66104D83"/>
    <w:rsid w:val="66A23F66"/>
    <w:rsid w:val="672526A7"/>
    <w:rsid w:val="67F97B21"/>
    <w:rsid w:val="680D3662"/>
    <w:rsid w:val="68222C97"/>
    <w:rsid w:val="68333F9A"/>
    <w:rsid w:val="683858D3"/>
    <w:rsid w:val="68491692"/>
    <w:rsid w:val="68645FE7"/>
    <w:rsid w:val="687B29DF"/>
    <w:rsid w:val="68A439DD"/>
    <w:rsid w:val="69413090"/>
    <w:rsid w:val="69855FCD"/>
    <w:rsid w:val="69BC17E8"/>
    <w:rsid w:val="69BE4592"/>
    <w:rsid w:val="69CB3F4C"/>
    <w:rsid w:val="69DD77FF"/>
    <w:rsid w:val="6A4F2876"/>
    <w:rsid w:val="6A6E08AB"/>
    <w:rsid w:val="6A99334D"/>
    <w:rsid w:val="6AE37CE3"/>
    <w:rsid w:val="6AEE3503"/>
    <w:rsid w:val="6B0625EA"/>
    <w:rsid w:val="6B5442BA"/>
    <w:rsid w:val="6C580C23"/>
    <w:rsid w:val="6C593408"/>
    <w:rsid w:val="6C68544B"/>
    <w:rsid w:val="6C785167"/>
    <w:rsid w:val="6CC60283"/>
    <w:rsid w:val="6D0715D4"/>
    <w:rsid w:val="6D5F72F2"/>
    <w:rsid w:val="6DA86A73"/>
    <w:rsid w:val="6DDB2C74"/>
    <w:rsid w:val="6E0E0C0F"/>
    <w:rsid w:val="6E8E7670"/>
    <w:rsid w:val="6EAD7631"/>
    <w:rsid w:val="6EEB0447"/>
    <w:rsid w:val="6F3D091C"/>
    <w:rsid w:val="6FAF3250"/>
    <w:rsid w:val="6FC71762"/>
    <w:rsid w:val="70017401"/>
    <w:rsid w:val="70312E6C"/>
    <w:rsid w:val="703F6560"/>
    <w:rsid w:val="70443146"/>
    <w:rsid w:val="70725ED5"/>
    <w:rsid w:val="709652CC"/>
    <w:rsid w:val="70B362F9"/>
    <w:rsid w:val="70E83A97"/>
    <w:rsid w:val="70FC3328"/>
    <w:rsid w:val="71653340"/>
    <w:rsid w:val="71844269"/>
    <w:rsid w:val="71C322E3"/>
    <w:rsid w:val="71F347D3"/>
    <w:rsid w:val="71FC098F"/>
    <w:rsid w:val="72415D05"/>
    <w:rsid w:val="7296241B"/>
    <w:rsid w:val="72EF3ED5"/>
    <w:rsid w:val="732A300A"/>
    <w:rsid w:val="73803FEB"/>
    <w:rsid w:val="73A744CA"/>
    <w:rsid w:val="73CE2CA8"/>
    <w:rsid w:val="743A4414"/>
    <w:rsid w:val="747F7695"/>
    <w:rsid w:val="748C5DD6"/>
    <w:rsid w:val="75072B6B"/>
    <w:rsid w:val="752A5628"/>
    <w:rsid w:val="754A398B"/>
    <w:rsid w:val="757E338E"/>
    <w:rsid w:val="75857AA3"/>
    <w:rsid w:val="758D5DE2"/>
    <w:rsid w:val="75943299"/>
    <w:rsid w:val="76017BAF"/>
    <w:rsid w:val="760C3862"/>
    <w:rsid w:val="767A5F36"/>
    <w:rsid w:val="76837B47"/>
    <w:rsid w:val="76B97261"/>
    <w:rsid w:val="76F6786C"/>
    <w:rsid w:val="772D4414"/>
    <w:rsid w:val="7744228A"/>
    <w:rsid w:val="77846D70"/>
    <w:rsid w:val="781E668F"/>
    <w:rsid w:val="783D01A1"/>
    <w:rsid w:val="788C166D"/>
    <w:rsid w:val="78AC0934"/>
    <w:rsid w:val="78BD4DDD"/>
    <w:rsid w:val="78E40C19"/>
    <w:rsid w:val="78E700F4"/>
    <w:rsid w:val="78EE7B24"/>
    <w:rsid w:val="7907377A"/>
    <w:rsid w:val="792E7F96"/>
    <w:rsid w:val="793B1352"/>
    <w:rsid w:val="79AB21E7"/>
    <w:rsid w:val="79CC501C"/>
    <w:rsid w:val="79F12DE4"/>
    <w:rsid w:val="7ACC7B06"/>
    <w:rsid w:val="7B0E17E2"/>
    <w:rsid w:val="7B0F0E96"/>
    <w:rsid w:val="7B3E48AE"/>
    <w:rsid w:val="7BF46F77"/>
    <w:rsid w:val="7C6203C7"/>
    <w:rsid w:val="7C6C06C0"/>
    <w:rsid w:val="7C8244F1"/>
    <w:rsid w:val="7CA47E43"/>
    <w:rsid w:val="7CB47DAA"/>
    <w:rsid w:val="7D076A17"/>
    <w:rsid w:val="7D462131"/>
    <w:rsid w:val="7DA6130C"/>
    <w:rsid w:val="7DC974CD"/>
    <w:rsid w:val="7E4B00B1"/>
    <w:rsid w:val="7E4E0C26"/>
    <w:rsid w:val="7E6E6B4B"/>
    <w:rsid w:val="7EA62275"/>
    <w:rsid w:val="7F034C8E"/>
    <w:rsid w:val="7F235328"/>
    <w:rsid w:val="7F640382"/>
    <w:rsid w:val="7F6E0AB2"/>
    <w:rsid w:val="7FB30C7B"/>
    <w:rsid w:val="7FB34697"/>
    <w:rsid w:val="7FBD0C23"/>
    <w:rsid w:val="7FC27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annotation text"/>
    <w:basedOn w:val="1"/>
    <w:qFormat/>
    <w:uiPriority w:val="0"/>
    <w:pPr>
      <w:jc w:val="left"/>
    </w:pPr>
  </w:style>
  <w:style w:type="paragraph" w:styleId="7">
    <w:name w:val="Body Text"/>
    <w:basedOn w:val="1"/>
    <w:next w:val="1"/>
    <w:qFormat/>
    <w:uiPriority w:val="0"/>
    <w:rPr>
      <w:rFonts w:ascii="宋体" w:hAnsi="宋体" w:eastAsia="宋体" w:cs="宋体"/>
      <w:sz w:val="31"/>
      <w:szCs w:val="31"/>
      <w:lang w:val="en-US" w:eastAsia="en-US" w:bidi="ar-SA"/>
    </w:rPr>
  </w:style>
  <w:style w:type="paragraph" w:styleId="8">
    <w:name w:val="Body Text Indent"/>
    <w:basedOn w:val="1"/>
    <w:qFormat/>
    <w:uiPriority w:val="99"/>
    <w:pPr>
      <w:spacing w:after="120" w:afterLines="0"/>
      <w:ind w:left="420" w:leftChars="200"/>
    </w:pPr>
    <w:rPr>
      <w:kern w:val="2"/>
      <w:sz w:val="21"/>
      <w:lang w:eastAsia="zh-CN" w:bidi="ar-SA"/>
    </w:rPr>
  </w:style>
  <w:style w:type="paragraph" w:styleId="9">
    <w:name w:val="Plain Text"/>
    <w:basedOn w:val="1"/>
    <w:qFormat/>
    <w:uiPriority w:val="0"/>
    <w:rPr>
      <w:rFonts w:ascii="宋体" w:hAnsi="Courier New" w:cs="Courier New"/>
      <w:szCs w:val="21"/>
    </w:rPr>
  </w:style>
  <w:style w:type="paragraph" w:styleId="10">
    <w:name w:val="Date"/>
    <w:basedOn w:val="1"/>
    <w:next w:val="1"/>
    <w:qFormat/>
    <w:uiPriority w:val="0"/>
    <w:rPr>
      <w:kern w:val="2"/>
      <w:sz w:val="21"/>
      <w:lang w:eastAsia="zh-CN" w:bidi="ar-SA"/>
    </w:rPr>
  </w:style>
  <w:style w:type="paragraph" w:styleId="11">
    <w:name w:val="Body Text Indent 2"/>
    <w:basedOn w:val="1"/>
    <w:qFormat/>
    <w:uiPriority w:val="99"/>
    <w:pPr>
      <w:spacing w:line="360" w:lineRule="auto"/>
      <w:ind w:left="1140"/>
    </w:pPr>
    <w:rPr>
      <w:rFonts w:ascii="宋体"/>
      <w:kern w:val="0"/>
      <w:sz w:val="24"/>
      <w:szCs w:val="20"/>
    </w:rPr>
  </w:style>
  <w:style w:type="paragraph" w:styleId="12">
    <w:name w:val="footer"/>
    <w:basedOn w:val="1"/>
    <w:qFormat/>
    <w:uiPriority w:val="0"/>
    <w:pPr>
      <w:tabs>
        <w:tab w:val="center" w:pos="4153"/>
        <w:tab w:val="right" w:pos="8306"/>
      </w:tabs>
      <w:snapToGrid w:val="0"/>
      <w:jc w:val="left"/>
    </w:pPr>
    <w:rPr>
      <w:sz w:val="18"/>
    </w:rPr>
  </w:style>
  <w:style w:type="paragraph" w:styleId="13">
    <w:name w:val="envelope return"/>
    <w:basedOn w:val="1"/>
    <w:qFormat/>
    <w:uiPriority w:val="0"/>
    <w:pPr>
      <w:snapToGrid w:val="0"/>
    </w:pPr>
    <w:rPr>
      <w:rFonts w:ascii="Arial" w:hAnsi="Arial"/>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footnote text"/>
    <w:basedOn w:val="1"/>
    <w:qFormat/>
    <w:uiPriority w:val="0"/>
    <w:pPr>
      <w:snapToGrid w:val="0"/>
      <w:jc w:val="left"/>
    </w:pPr>
    <w:rPr>
      <w:sz w:val="18"/>
      <w:szCs w:val="18"/>
    </w:rPr>
  </w:style>
  <w:style w:type="paragraph" w:styleId="16">
    <w:name w:val="toc 2"/>
    <w:basedOn w:val="1"/>
    <w:next w:val="1"/>
    <w:qFormat/>
    <w:uiPriority w:val="39"/>
    <w:pPr>
      <w:spacing w:line="360" w:lineRule="auto"/>
      <w:ind w:left="200" w:leftChars="200"/>
    </w:pPr>
  </w:style>
  <w:style w:type="paragraph" w:styleId="17">
    <w:name w:val="Body Text 2"/>
    <w:basedOn w:val="1"/>
    <w:next w:val="9"/>
    <w:qFormat/>
    <w:uiPriority w:val="0"/>
    <w:pPr>
      <w:spacing w:after="120" w:line="480" w:lineRule="auto"/>
    </w:pPr>
    <w:rPr>
      <w:rFonts w:ascii="Tahoma" w:hAnsi="Tahoma"/>
    </w:rPr>
  </w:style>
  <w:style w:type="paragraph" w:styleId="18">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Body Text First Indent"/>
    <w:basedOn w:val="7"/>
    <w:next w:val="21"/>
    <w:qFormat/>
    <w:uiPriority w:val="0"/>
    <w:pPr>
      <w:ind w:firstLine="420" w:firstLineChars="100"/>
      <w:jc w:val="left"/>
    </w:pPr>
    <w:rPr>
      <w:szCs w:val="20"/>
    </w:rPr>
  </w:style>
  <w:style w:type="paragraph" w:styleId="21">
    <w:name w:val="Body Text First Indent 2"/>
    <w:basedOn w:val="8"/>
    <w:next w:val="10"/>
    <w:qFormat/>
    <w:uiPriority w:val="0"/>
    <w:pPr>
      <w:ind w:firstLine="200" w:firstLineChars="200"/>
    </w:pPr>
    <w:rPr>
      <w:kern w:val="2"/>
      <w:sz w:val="28"/>
      <w:lang w:eastAsia="zh-CN" w:bidi="ar-SA"/>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FollowedHyperlink"/>
    <w:basedOn w:val="24"/>
    <w:qFormat/>
    <w:uiPriority w:val="0"/>
    <w:rPr>
      <w:color w:val="444444"/>
      <w:sz w:val="16"/>
      <w:szCs w:val="16"/>
      <w:u w:val="none"/>
    </w:rPr>
  </w:style>
  <w:style w:type="character" w:styleId="26">
    <w:name w:val="Hyperlink"/>
    <w:basedOn w:val="24"/>
    <w:qFormat/>
    <w:uiPriority w:val="0"/>
    <w:rPr>
      <w:color w:val="0000FF"/>
      <w:u w:val="single"/>
    </w:rPr>
  </w:style>
  <w:style w:type="paragraph" w:customStyle="1" w:styleId="27">
    <w:name w:val="Default"/>
    <w:next w:val="28"/>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8">
    <w:name w:val="表格文字"/>
    <w:basedOn w:val="29"/>
    <w:qFormat/>
    <w:uiPriority w:val="99"/>
    <w:pPr>
      <w:jc w:val="left"/>
    </w:pPr>
    <w:rPr>
      <w:rFonts w:ascii="宋体" w:hAnsi="宋体"/>
      <w:bCs/>
      <w:spacing w:val="-4"/>
      <w:kern w:val="0"/>
      <w:sz w:val="32"/>
      <w:szCs w:val="32"/>
      <w:lang w:val="zh-CN"/>
    </w:rPr>
  </w:style>
  <w:style w:type="paragraph" w:customStyle="1" w:styleId="29">
    <w:name w:val="正文2"/>
    <w:basedOn w:val="1"/>
    <w:qFormat/>
    <w:uiPriority w:val="0"/>
    <w:pPr>
      <w:spacing w:before="156" w:line="360" w:lineRule="auto"/>
      <w:ind w:firstLine="510" w:firstLineChars="200"/>
    </w:pPr>
    <w:rPr>
      <w:rFonts w:ascii="Calibri" w:hAnsi="Calibri"/>
      <w:kern w:val="0"/>
      <w:sz w:val="24"/>
    </w:rPr>
  </w:style>
  <w:style w:type="paragraph" w:customStyle="1" w:styleId="3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1">
    <w:name w:val="一级条标题"/>
    <w:basedOn w:val="32"/>
    <w:next w:val="33"/>
    <w:qFormat/>
    <w:uiPriority w:val="99"/>
    <w:pPr>
      <w:numPr>
        <w:ilvl w:val="2"/>
      </w:numPr>
      <w:outlineLvl w:val="2"/>
    </w:pPr>
    <w:rPr>
      <w:rFonts w:ascii="Calibri"/>
    </w:rPr>
  </w:style>
  <w:style w:type="paragraph" w:customStyle="1" w:styleId="32">
    <w:name w:val="章标题"/>
    <w:next w:val="1"/>
    <w:qFormat/>
    <w:uiPriority w:val="99"/>
    <w:pPr>
      <w:numPr>
        <w:ilvl w:val="1"/>
        <w:numId w:val="1"/>
      </w:numPr>
      <w:spacing w:beforeLines="50" w:afterLines="50"/>
      <w:jc w:val="both"/>
      <w:outlineLvl w:val="1"/>
    </w:pPr>
    <w:rPr>
      <w:rFonts w:ascii="黑体" w:hAnsi="Calibri" w:eastAsia="黑体" w:cs="Times New Roman"/>
      <w:kern w:val="2"/>
      <w:sz w:val="21"/>
      <w:szCs w:val="21"/>
      <w:lang w:val="en-US" w:eastAsia="zh-CN" w:bidi="ar-SA"/>
    </w:rPr>
  </w:style>
  <w:style w:type="paragraph" w:customStyle="1" w:styleId="33">
    <w:name w:val="段"/>
    <w:next w:val="1"/>
    <w:qFormat/>
    <w:uiPriority w:val="0"/>
    <w:pPr>
      <w:autoSpaceDE w:val="0"/>
      <w:autoSpaceDN w:val="0"/>
      <w:ind w:firstLine="200" w:firstLineChars="200"/>
      <w:jc w:val="both"/>
    </w:pPr>
    <w:rPr>
      <w:rFonts w:ascii="宋体" w:hAnsi="Calibri" w:eastAsia="宋体" w:cs="宋体"/>
      <w:kern w:val="2"/>
      <w:sz w:val="21"/>
      <w:szCs w:val="21"/>
      <w:lang w:val="en-US" w:eastAsia="zh-CN" w:bidi="ar-SA"/>
    </w:rPr>
  </w:style>
  <w:style w:type="paragraph" w:customStyle="1" w:styleId="34">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Table Text"/>
    <w:basedOn w:val="1"/>
    <w:semiHidden/>
    <w:qFormat/>
    <w:uiPriority w:val="0"/>
    <w:rPr>
      <w:rFonts w:ascii="Arial" w:hAnsi="Arial" w:eastAsia="Arial" w:cs="Arial"/>
      <w:sz w:val="21"/>
      <w:szCs w:val="21"/>
      <w:lang w:val="en-US" w:eastAsia="en-US" w:bidi="ar-SA"/>
    </w:rPr>
  </w:style>
  <w:style w:type="paragraph" w:customStyle="1" w:styleId="37">
    <w:name w:val="Char Char10 Char Char Char Char"/>
    <w:basedOn w:val="1"/>
    <w:next w:val="38"/>
    <w:qFormat/>
    <w:uiPriority w:val="99"/>
    <w:pPr>
      <w:autoSpaceDE w:val="0"/>
      <w:autoSpaceDN w:val="0"/>
      <w:jc w:val="left"/>
    </w:pPr>
    <w:rPr>
      <w:rFonts w:ascii="宋体" w:hAnsi="宋体" w:cs="宋体"/>
      <w:lang w:val="zh-CN" w:bidi="zh-CN"/>
    </w:rPr>
  </w:style>
  <w:style w:type="paragraph" w:customStyle="1" w:styleId="38">
    <w:name w:val="xl87"/>
    <w:basedOn w:val="1"/>
    <w:next w:val="39"/>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39">
    <w:name w:val="xl72"/>
    <w:basedOn w:val="1"/>
    <w:next w:val="40"/>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40">
    <w:name w:val="Date1"/>
    <w:basedOn w:val="1"/>
    <w:next w:val="1"/>
    <w:qFormat/>
    <w:uiPriority w:val="0"/>
    <w:rPr>
      <w:kern w:val="2"/>
      <w:lang w:eastAsia="zh-CN"/>
    </w:rPr>
  </w:style>
  <w:style w:type="paragraph" w:customStyle="1" w:styleId="41">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42">
    <w:name w:val="hover18"/>
    <w:basedOn w:val="24"/>
    <w:qFormat/>
    <w:uiPriority w:val="0"/>
  </w:style>
  <w:style w:type="paragraph" w:customStyle="1" w:styleId="43">
    <w:name w:val="列出段落1"/>
    <w:basedOn w:val="1"/>
    <w:qFormat/>
    <w:uiPriority w:val="0"/>
    <w:pPr>
      <w:ind w:firstLine="420" w:firstLineChars="200"/>
    </w:pPr>
    <w:rPr>
      <w:szCs w:val="21"/>
    </w:rPr>
  </w:style>
  <w:style w:type="paragraph" w:customStyle="1" w:styleId="44">
    <w:name w:val="样式1"/>
    <w:basedOn w:val="1"/>
    <w:qFormat/>
    <w:uiPriority w:val="0"/>
    <w:pPr>
      <w:spacing w:line="240" w:lineRule="auto"/>
      <w:jc w:val="both"/>
    </w:pPr>
    <w:rPr>
      <w:rFonts w:ascii="宋体"/>
      <w:sz w:val="21"/>
      <w:szCs w:val="21"/>
    </w:rPr>
  </w:style>
  <w:style w:type="character" w:customStyle="1" w:styleId="45">
    <w:name w:val="first-child"/>
    <w:basedOn w:val="24"/>
    <w:qFormat/>
    <w:uiPriority w:val="0"/>
  </w:style>
  <w:style w:type="character" w:customStyle="1" w:styleId="46">
    <w:name w:val="layui-layer-tabnow"/>
    <w:basedOn w:val="24"/>
    <w:qFormat/>
    <w:uiPriority w:val="0"/>
    <w:rPr>
      <w:bdr w:val="single" w:color="CCCCCC" w:sz="6" w:space="0"/>
      <w:shd w:val="clear" w:fill="FFFFFF"/>
    </w:rPr>
  </w:style>
  <w:style w:type="paragraph" w:customStyle="1" w:styleId="47">
    <w:name w:val="正文缩进1"/>
    <w:basedOn w:val="1"/>
    <w:qFormat/>
    <w:uiPriority w:val="0"/>
    <w:pPr>
      <w:widowControl/>
      <w:ind w:firstLine="420"/>
      <w:jc w:val="left"/>
    </w:pPr>
    <w:rPr>
      <w:rFonts w:ascii="Times New Roman" w:hAnsi="Times New Roman"/>
      <w:kern w:val="0"/>
      <w:szCs w:val="20"/>
    </w:rPr>
  </w:style>
  <w:style w:type="paragraph" w:customStyle="1" w:styleId="48">
    <w:name w:val="首行缩进"/>
    <w:basedOn w:val="1"/>
    <w:qFormat/>
    <w:uiPriority w:val="99"/>
    <w:pPr>
      <w:ind w:firstLine="480" w:firstLineChars="200"/>
    </w:pPr>
    <w:rPr>
      <w:szCs w:val="24"/>
      <w:lang w:val="zh-CN"/>
    </w:rPr>
  </w:style>
  <w:style w:type="paragraph" w:customStyle="1" w:styleId="49">
    <w:name w:val="表格格式（中册）"/>
    <w:basedOn w:val="1"/>
    <w:qFormat/>
    <w:uiPriority w:val="0"/>
    <w:rPr>
      <w:rFonts w:ascii="Times New Roman" w:hAnsi="Times New Roman" w:eastAsia="宋体" w:cs="Times New Roman"/>
      <w:sz w:val="24"/>
      <w:szCs w:val="24"/>
    </w:rPr>
  </w:style>
  <w:style w:type="paragraph" w:customStyle="1" w:styleId="50">
    <w:name w:val="索引 11"/>
    <w:basedOn w:val="1"/>
    <w:next w:val="1"/>
    <w:qFormat/>
    <w:uiPriority w:val="99"/>
    <w:pPr>
      <w:spacing w:line="360" w:lineRule="auto"/>
    </w:pPr>
    <w:rPr>
      <w:rFonts w:ascii="仿宋_GB2312" w:eastAsia="仿宋_GB2312"/>
      <w:szCs w:val="20"/>
    </w:rPr>
  </w:style>
  <w:style w:type="paragraph" w:customStyle="1" w:styleId="51">
    <w:name w:val="纯文本1"/>
    <w:basedOn w:val="1"/>
    <w:qFormat/>
    <w:uiPriority w:val="99"/>
    <w:rPr>
      <w:rFonts w:ascii="宋体" w:hAnsi="Courier New"/>
      <w:szCs w:val="22"/>
    </w:rPr>
  </w:style>
  <w:style w:type="paragraph" w:styleId="5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106</Pages>
  <Words>17019</Words>
  <Characters>20038</Characters>
  <TotalTime>2</TotalTime>
  <ScaleCrop>false</ScaleCrop>
  <LinksUpToDate>false</LinksUpToDate>
  <CharactersWithSpaces>20310</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WPS_1468317985</cp:lastModifiedBy>
  <cp:lastPrinted>2024-04-07T03:01:00Z</cp:lastPrinted>
  <dcterms:modified xsi:type="dcterms:W3CDTF">2026-09-29T02:55:48Z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2052-12.1.0.18608</vt:lpwstr>
  </property>
  <property fmtid="{D5CDD505-2E9C-101B-9397-08002B2CF9AE}" pid="5" name="ICV">
    <vt:lpwstr>48A9A1938F3342E5BEC39519F9011448_13</vt:lpwstr>
  </property>
  <property fmtid="{D5CDD505-2E9C-101B-9397-08002B2CF9AE}" pid="6" name="KSOTemplateDocerSaveRecord">
    <vt:lpwstr>eyJoZGlkIjoiZWMxZjRiZjU4N2RiMjY1YzFmNzk4ZjQ2MDRmZWFiOWQiLCJ1c2VySWQiOiI0ODc5MDU4MzgifQ==</vt:lpwstr>
  </property>
</Properties>
</file>