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color w:val="auto"/>
          <w:sz w:val="52"/>
          <w:szCs w:val="52"/>
          <w:highlight w:val="none"/>
          <w:lang w:val="en-US" w:eastAsia="zh-CN"/>
        </w:rPr>
      </w:pPr>
      <w:bookmarkStart w:id="0" w:name="_Toc22582"/>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default" w:ascii="宋体" w:hAnsi="宋体" w:eastAsia="宋体" w:cs="宋体"/>
          <w:b/>
          <w:bCs/>
          <w:color w:val="auto"/>
          <w:sz w:val="52"/>
          <w:szCs w:val="52"/>
          <w:highlight w:val="none"/>
          <w:lang w:val="en-US" w:eastAsia="zh-CN"/>
        </w:rPr>
      </w:pPr>
      <w:r>
        <w:rPr>
          <w:rFonts w:hint="eastAsia" w:ascii="宋体" w:hAnsi="宋体" w:eastAsia="宋体" w:cs="宋体"/>
          <w:b/>
          <w:bCs/>
          <w:color w:val="auto"/>
          <w:sz w:val="52"/>
          <w:szCs w:val="52"/>
          <w:highlight w:val="none"/>
          <w:lang w:val="en-US" w:eastAsia="zh-CN"/>
        </w:rPr>
        <w:t>唐河县2026年度地下水超采综合治理项目施工图及预算编制采购项目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color w:val="auto"/>
          <w:spacing w:val="-1"/>
          <w:sz w:val="56"/>
          <w:szCs w:val="56"/>
          <w:highlight w:val="none"/>
          <w14:textOutline w14:w="3844" w14:cap="flat" w14:cmpd="sng">
            <w14:solidFill>
              <w14:srgbClr w14:val="000000"/>
            </w14:solidFill>
            <w14:prstDash w14:val="solid"/>
            <w14:miter w14:val="0"/>
          </w14:textOutline>
        </w:rPr>
      </w:pPr>
      <w:bookmarkStart w:id="1" w:name="_Toc19102"/>
      <w:r>
        <w:rPr>
          <w:rFonts w:hint="eastAsia" w:ascii="宋体" w:hAnsi="宋体" w:eastAsia="宋体" w:cs="宋体"/>
          <w:color w:val="auto"/>
          <w:spacing w:val="-1"/>
          <w:sz w:val="56"/>
          <w:szCs w:val="56"/>
          <w:highlight w:val="none"/>
          <w14:textOutline w14:w="3844" w14:cap="flat" w14:cmpd="sng">
            <w14:solidFill>
              <w14:srgbClr w14:val="000000"/>
            </w14:solidFill>
            <w14:prstDash w14:val="solid"/>
            <w14:miter w14:val="0"/>
          </w14:textOutline>
        </w:rPr>
        <w:t>竞争性磋商文件</w:t>
      </w:r>
      <w:bookmarkEnd w:id="0"/>
      <w:bookmarkEnd w:id="1"/>
    </w:p>
    <w:p>
      <w:pPr>
        <w:pStyle w:val="2"/>
        <w:rPr>
          <w:rFonts w:hint="default" w:eastAsia="宋体"/>
          <w:color w:val="auto"/>
          <w:highlight w:val="none"/>
          <w:lang w:val="en-US" w:eastAsia="zh-CN"/>
        </w:rPr>
      </w:pPr>
      <w:r>
        <w:rPr>
          <w:rFonts w:hint="eastAsia"/>
          <w:color w:val="auto"/>
          <w:highlight w:val="none"/>
          <w:lang w:val="en-US" w:eastAsia="zh-CN"/>
        </w:rPr>
        <w:t xml:space="preserve">                      </w:t>
      </w:r>
      <w:bookmarkStart w:id="143" w:name="_GoBack"/>
      <w:bookmarkEnd w:id="143"/>
      <w:r>
        <w:rPr>
          <w:rFonts w:hint="eastAsia"/>
          <w:b/>
          <w:bCs/>
          <w:color w:val="auto"/>
          <w:sz w:val="40"/>
          <w:szCs w:val="40"/>
          <w:highlight w:val="none"/>
          <w:lang w:val="en-US" w:eastAsia="zh-CN"/>
        </w:rPr>
        <w:t>（非最终版）</w:t>
      </w:r>
    </w:p>
    <w:p>
      <w:pPr>
        <w:pStyle w:val="4"/>
        <w:rPr>
          <w:color w:val="auto"/>
          <w:highlight w:val="none"/>
        </w:rPr>
      </w:pPr>
    </w:p>
    <w:p>
      <w:pPr>
        <w:keepNext w:val="0"/>
        <w:keepLines w:val="0"/>
        <w:pageBreakBefore w:val="0"/>
        <w:kinsoku/>
        <w:wordWrap w:val="0"/>
        <w:overflowPunct/>
        <w:topLinePunct w:val="0"/>
        <w:bidi w:val="0"/>
        <w:spacing w:line="249" w:lineRule="auto"/>
        <w:jc w:val="both"/>
        <w:rPr>
          <w:rFonts w:ascii="Arial"/>
          <w:color w:val="auto"/>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highlight w:val="none"/>
        </w:rPr>
      </w:pPr>
    </w:p>
    <w:p>
      <w:pPr>
        <w:pStyle w:val="2"/>
        <w:rPr>
          <w:rFonts w:hint="eastAsia"/>
        </w:rPr>
      </w:pPr>
    </w:p>
    <w:p>
      <w:pPr>
        <w:pStyle w:val="2"/>
        <w:rPr>
          <w:rFonts w:hint="eastAsia"/>
          <w:color w:val="auto"/>
          <w:highlight w:val="none"/>
        </w:rPr>
      </w:pPr>
    </w:p>
    <w:p>
      <w:pPr>
        <w:pStyle w:val="2"/>
        <w:rPr>
          <w:rFonts w:hint="eastAsia" w:asciiTheme="minorEastAsia" w:hAnsiTheme="minorEastAsia" w:eastAsiaTheme="minorEastAsia" w:cstheme="minorEastAsia"/>
          <w:b/>
          <w:bCs/>
          <w:color w:val="auto"/>
          <w:spacing w:val="-17"/>
          <w:sz w:val="32"/>
          <w:szCs w:val="32"/>
          <w:highlight w:val="none"/>
        </w:rPr>
      </w:pPr>
    </w:p>
    <w:p>
      <w:pPr>
        <w:rPr>
          <w:rFonts w:hint="eastAsia"/>
          <w:color w:val="auto"/>
          <w:highlight w:val="none"/>
        </w:rPr>
      </w:pPr>
    </w:p>
    <w:p>
      <w:pPr>
        <w:pStyle w:val="2"/>
        <w:rPr>
          <w:rFonts w:hint="eastAsia"/>
          <w:color w:val="auto"/>
          <w:highlight w:val="none"/>
        </w:rPr>
      </w:pPr>
    </w:p>
    <w:p>
      <w:pPr>
        <w:pStyle w:val="2"/>
        <w:ind w:left="0" w:leftChars="0" w:firstLine="0" w:firstLineChars="0"/>
        <w:rPr>
          <w:rFonts w:hint="eastAsia"/>
          <w:color w:val="auto"/>
          <w:highlight w:val="none"/>
        </w:rPr>
      </w:pPr>
    </w:p>
    <w:p>
      <w:pPr>
        <w:pStyle w:val="2"/>
        <w:rPr>
          <w:rFonts w:hint="eastAsia"/>
          <w:color w:val="auto"/>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项目名称：</w:t>
      </w:r>
      <w:r>
        <w:rPr>
          <w:rFonts w:hint="eastAsia" w:asciiTheme="minorEastAsia" w:hAnsiTheme="minorEastAsia" w:eastAsiaTheme="minorEastAsia" w:cstheme="minorEastAsia"/>
          <w:b/>
          <w:bCs/>
          <w:color w:val="auto"/>
          <w:spacing w:val="-17"/>
          <w:sz w:val="30"/>
          <w:szCs w:val="30"/>
          <w:highlight w:val="none"/>
          <w:u w:val="single"/>
          <w:lang w:val="en-US" w:eastAsia="zh-CN"/>
        </w:rPr>
        <w:t>唐河县2026年度地下水超采综合治理项目施工图及预算编制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1603" w:firstLineChars="600"/>
        <w:jc w:val="both"/>
        <w:textAlignment w:val="baseline"/>
        <w:rPr>
          <w:rFonts w:hint="eastAsia"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u w:val="single"/>
          <w:lang w:val="en-US" w:eastAsia="zh-CN"/>
        </w:rPr>
        <w:t>采购项目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项目编号</w:t>
      </w:r>
      <w:r>
        <w:rPr>
          <w:rFonts w:hint="eastAsia" w:asciiTheme="minorEastAsia" w:hAnsiTheme="minorEastAsia" w:eastAsiaTheme="minorEastAsia" w:cstheme="minorEastAsia"/>
          <w:b/>
          <w:bCs/>
          <w:color w:val="auto"/>
          <w:spacing w:val="-17"/>
          <w:sz w:val="30"/>
          <w:szCs w:val="30"/>
          <w:highlight w:val="none"/>
          <w:lang w:eastAsia="zh-CN"/>
        </w:rPr>
        <w:t>：</w:t>
      </w:r>
      <w:r>
        <w:rPr>
          <w:rFonts w:hint="eastAsia" w:asciiTheme="minorEastAsia" w:hAnsiTheme="minorEastAsia" w:eastAsiaTheme="minorEastAsia" w:cstheme="minorEastAsia"/>
          <w:b/>
          <w:bCs/>
          <w:color w:val="auto"/>
          <w:spacing w:val="-17"/>
          <w:sz w:val="30"/>
          <w:szCs w:val="30"/>
          <w:highlight w:val="none"/>
          <w:u w:val="single"/>
          <w:lang w:eastAsia="zh-CN"/>
        </w:rPr>
        <w:t>唐财采购竞争性磋商-2026-</w:t>
      </w:r>
      <w:r>
        <w:rPr>
          <w:rFonts w:hint="eastAsia" w:asciiTheme="minorEastAsia" w:hAnsiTheme="minorEastAsia" w:eastAsiaTheme="minorEastAsia" w:cstheme="minorEastAsia"/>
          <w:b/>
          <w:bCs/>
          <w:color w:val="auto"/>
          <w:spacing w:val="-17"/>
          <w:sz w:val="30"/>
          <w:szCs w:val="30"/>
          <w:highlight w:val="none"/>
          <w:u w:val="single"/>
          <w:lang w:val="en-US" w:eastAsia="zh-CN"/>
        </w:rPr>
        <w:t xml:space="preserve">130  </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color w:val="auto"/>
          <w:spacing w:val="-17"/>
          <w:sz w:val="30"/>
          <w:szCs w:val="30"/>
          <w:highlight w:val="none"/>
        </w:rPr>
      </w:pPr>
      <w:r>
        <w:rPr>
          <w:rFonts w:hint="eastAsia" w:asciiTheme="minorEastAsia" w:hAnsiTheme="minorEastAsia" w:eastAsiaTheme="minorEastAsia" w:cstheme="minorEastAsia"/>
          <w:b/>
          <w:bCs/>
          <w:color w:val="auto"/>
          <w:spacing w:val="-17"/>
          <w:sz w:val="30"/>
          <w:szCs w:val="30"/>
          <w:highlight w:val="none"/>
          <w:lang w:val="en-US" w:eastAsia="zh-CN"/>
        </w:rPr>
        <w:t>标段编号</w:t>
      </w:r>
      <w:r>
        <w:rPr>
          <w:rFonts w:hint="eastAsia" w:asciiTheme="minorEastAsia" w:hAnsiTheme="minorEastAsia" w:eastAsiaTheme="minorEastAsia" w:cstheme="minorEastAsia"/>
          <w:b/>
          <w:bCs/>
          <w:color w:val="auto"/>
          <w:spacing w:val="-17"/>
          <w:sz w:val="30"/>
          <w:szCs w:val="30"/>
          <w:highlight w:val="none"/>
        </w:rPr>
        <w:t>：</w:t>
      </w:r>
      <w:r>
        <w:rPr>
          <w:rFonts w:hint="eastAsia" w:asciiTheme="minorEastAsia" w:hAnsiTheme="minorEastAsia" w:eastAsiaTheme="minorEastAsia" w:cstheme="minorEastAsia"/>
          <w:b/>
          <w:bCs/>
          <w:color w:val="auto"/>
          <w:spacing w:val="-17"/>
          <w:sz w:val="30"/>
          <w:szCs w:val="30"/>
          <w:highlight w:val="none"/>
          <w:u w:val="single"/>
          <w:lang w:val="en-US" w:eastAsia="zh-CN"/>
        </w:rPr>
        <w:t>1标段</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采</w:t>
      </w:r>
      <w:r>
        <w:rPr>
          <w:rFonts w:hint="eastAsia" w:asciiTheme="minorEastAsia" w:hAnsiTheme="minorEastAsia" w:eastAsiaTheme="minorEastAsia" w:cstheme="minorEastAsia"/>
          <w:b/>
          <w:bCs/>
          <w:color w:val="auto"/>
          <w:spacing w:val="-17"/>
          <w:sz w:val="30"/>
          <w:szCs w:val="30"/>
          <w:highlight w:val="none"/>
          <w:lang w:val="en-US" w:eastAsia="zh-CN"/>
        </w:rPr>
        <w:t xml:space="preserve"> </w:t>
      </w:r>
      <w:r>
        <w:rPr>
          <w:rFonts w:hint="eastAsia" w:asciiTheme="minorEastAsia" w:hAnsiTheme="minorEastAsia" w:eastAsiaTheme="minorEastAsia" w:cstheme="minorEastAsia"/>
          <w:b/>
          <w:bCs/>
          <w:color w:val="auto"/>
          <w:spacing w:val="-17"/>
          <w:sz w:val="30"/>
          <w:szCs w:val="30"/>
          <w:highlight w:val="none"/>
        </w:rPr>
        <w:t>购</w:t>
      </w:r>
      <w:r>
        <w:rPr>
          <w:rFonts w:hint="eastAsia" w:asciiTheme="minorEastAsia" w:hAnsiTheme="minorEastAsia" w:eastAsiaTheme="minorEastAsia" w:cstheme="minorEastAsia"/>
          <w:b/>
          <w:bCs/>
          <w:color w:val="auto"/>
          <w:spacing w:val="-17"/>
          <w:sz w:val="30"/>
          <w:szCs w:val="30"/>
          <w:highlight w:val="none"/>
          <w:lang w:val="en-US" w:eastAsia="zh-CN"/>
        </w:rPr>
        <w:t xml:space="preserve"> </w:t>
      </w:r>
      <w:r>
        <w:rPr>
          <w:rFonts w:hint="eastAsia" w:asciiTheme="minorEastAsia" w:hAnsiTheme="minorEastAsia" w:eastAsiaTheme="minorEastAsia" w:cstheme="minorEastAsia"/>
          <w:b/>
          <w:bCs/>
          <w:color w:val="auto"/>
          <w:spacing w:val="-17"/>
          <w:sz w:val="30"/>
          <w:szCs w:val="30"/>
          <w:highlight w:val="none"/>
        </w:rPr>
        <w:t>人：</w:t>
      </w:r>
      <w:r>
        <w:rPr>
          <w:rFonts w:hint="eastAsia" w:asciiTheme="minorEastAsia" w:hAnsiTheme="minorEastAsia" w:eastAsiaTheme="minorEastAsia" w:cstheme="minorEastAsia"/>
          <w:b/>
          <w:bCs/>
          <w:color w:val="auto"/>
          <w:spacing w:val="-17"/>
          <w:sz w:val="30"/>
          <w:szCs w:val="30"/>
          <w:highlight w:val="none"/>
          <w:u w:val="single"/>
          <w:lang w:val="en-US" w:eastAsia="zh-CN"/>
        </w:rPr>
        <w:t xml:space="preserve"> 唐河县水利局</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采购代理机构：</w:t>
      </w:r>
      <w:r>
        <w:rPr>
          <w:rFonts w:hint="eastAsia" w:asciiTheme="minorEastAsia" w:hAnsiTheme="minorEastAsia" w:eastAsiaTheme="minorEastAsia" w:cstheme="minorEastAsia"/>
          <w:b/>
          <w:bCs/>
          <w:color w:val="auto"/>
          <w:spacing w:val="-17"/>
          <w:sz w:val="30"/>
          <w:szCs w:val="30"/>
          <w:highlight w:val="none"/>
          <w:u w:val="single"/>
          <w:lang w:val="en-US" w:eastAsia="zh-CN"/>
        </w:rPr>
        <w:t>唐河县龙建工程管理有限公司</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u w:val="none"/>
          <w:lang w:val="en-US" w:eastAsia="zh-CN"/>
        </w:rPr>
        <w:t>日期：</w:t>
      </w:r>
      <w:r>
        <w:rPr>
          <w:rFonts w:hint="eastAsia" w:asciiTheme="minorEastAsia" w:hAnsiTheme="minorEastAsia" w:eastAsiaTheme="minorEastAsia" w:cstheme="minorEastAsia"/>
          <w:b/>
          <w:bCs/>
          <w:color w:val="auto"/>
          <w:spacing w:val="-17"/>
          <w:sz w:val="30"/>
          <w:szCs w:val="30"/>
          <w:highlight w:val="none"/>
          <w:u w:val="single"/>
          <w:lang w:val="en-US" w:eastAsia="zh-CN"/>
        </w:rPr>
        <w:t>二零二六年十月</w:t>
      </w:r>
    </w:p>
    <w:p>
      <w:pPr>
        <w:keepNext w:val="0"/>
        <w:keepLines w:val="0"/>
        <w:pageBreakBefore w:val="0"/>
        <w:widowControl/>
        <w:overflowPunct/>
        <w:topLinePunct w:val="0"/>
        <w:autoSpaceDE w:val="0"/>
        <w:autoSpaceDN w:val="0"/>
        <w:bidi w:val="0"/>
        <w:adjustRightInd w:val="0"/>
        <w:snapToGrid w:val="0"/>
        <w:spacing w:before="0" w:beforeLines="0" w:after="0" w:afterLines="0" w:line="240" w:lineRule="auto"/>
        <w:ind w:left="2100" w:leftChars="1000" w:right="0" w:rightChars="0" w:firstLine="0" w:firstLineChars="0"/>
        <w:jc w:val="center"/>
        <w:textAlignment w:val="baseline"/>
        <w:rPr>
          <w:rFonts w:ascii="宋体" w:hAnsi="宋体" w:eastAsia="宋体" w:cs="Arial"/>
          <w:snapToGrid w:val="0"/>
          <w:color w:val="auto"/>
          <w:kern w:val="0"/>
          <w:sz w:val="21"/>
          <w:szCs w:val="21"/>
          <w:highlight w:val="none"/>
          <w:lang w:val="en-US" w:eastAsia="en-US" w:bidi="ar-SA"/>
        </w:rPr>
      </w:pPr>
    </w:p>
    <w:p>
      <w:pPr>
        <w:pStyle w:val="2"/>
        <w:rPr>
          <w:rFonts w:ascii="宋体" w:hAnsi="宋体" w:eastAsia="宋体" w:cs="Arial"/>
          <w:snapToGrid w:val="0"/>
          <w:color w:val="auto"/>
          <w:kern w:val="0"/>
          <w:sz w:val="21"/>
          <w:szCs w:val="21"/>
          <w:highlight w:val="none"/>
          <w:lang w:val="en-US" w:eastAsia="en-US" w:bidi="ar-SA"/>
        </w:rPr>
      </w:pPr>
    </w:p>
    <w:p>
      <w:pPr>
        <w:rPr>
          <w:rFonts w:hint="eastAsia" w:eastAsia="宋体"/>
          <w:color w:val="auto"/>
          <w:highlight w:val="none"/>
          <w:lang w:val="en-US" w:eastAsia="zh-CN"/>
        </w:rPr>
        <w:sectPr>
          <w:headerReference r:id="rId5" w:type="default"/>
          <w:footerReference r:id="rId6" w:type="default"/>
          <w:pgSz w:w="11910" w:h="16840"/>
          <w:pgMar w:top="1440" w:right="1080" w:bottom="1440" w:left="1080" w:header="964" w:footer="805" w:gutter="0"/>
          <w:pgNumType w:fmt="decimal" w:start="1"/>
          <w:cols w:space="720" w:num="1"/>
        </w:sectPr>
      </w:pPr>
    </w:p>
    <w:sdt>
      <w:sdtPr>
        <w:rPr>
          <w:rFonts w:ascii="宋体" w:hAnsi="宋体" w:eastAsia="宋体" w:cs="Arial"/>
          <w:snapToGrid w:val="0"/>
          <w:color w:val="auto"/>
          <w:kern w:val="0"/>
          <w:sz w:val="21"/>
          <w:szCs w:val="21"/>
          <w:highlight w:val="none"/>
          <w:lang w:val="en-US" w:eastAsia="en-US" w:bidi="ar-SA"/>
        </w:rPr>
        <w:id w:val="147466632"/>
        <w15:color w:val="DBDBDB"/>
        <w:docPartObj>
          <w:docPartGallery w:val="Table of Contents"/>
          <w:docPartUnique/>
        </w:docPartObj>
      </w:sdtPr>
      <w:sdtEndPr>
        <w:rPr>
          <w:rFonts w:ascii="宋体" w:hAnsi="宋体" w:eastAsia="宋体" w:cs="Arial"/>
          <w:snapToGrid w:val="0"/>
          <w:color w:val="auto"/>
          <w:kern w:val="0"/>
          <w:sz w:val="21"/>
          <w:szCs w:val="21"/>
          <w:highlight w:val="none"/>
          <w:lang w:val="en-US" w:eastAsia="en-US" w:bidi="ar-SA"/>
        </w:rPr>
      </w:sdtEndPr>
      <w:sdtContent>
        <w:p>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bookmarkStart w:id="2" w:name="_Toc1508"/>
        </w:p>
        <w:p>
          <w:pPr>
            <w:spacing w:before="0" w:beforeLines="0" w:after="0" w:afterLines="0" w:line="240" w:lineRule="auto"/>
            <w:ind w:left="0" w:leftChars="0" w:right="0" w:rightChars="0" w:firstLine="0" w:firstLineChars="0"/>
            <w:jc w:val="center"/>
            <w:rPr>
              <w:color w:val="auto"/>
              <w:sz w:val="28"/>
              <w:szCs w:val="28"/>
              <w:highlight w:val="none"/>
            </w:rPr>
          </w:pPr>
          <w:r>
            <w:rPr>
              <w:rFonts w:ascii="宋体" w:hAnsi="宋体" w:eastAsia="宋体"/>
              <w:b/>
              <w:bCs/>
              <w:color w:val="auto"/>
              <w:sz w:val="48"/>
              <w:szCs w:val="48"/>
              <w:highlight w:val="none"/>
            </w:rPr>
            <w:t>目录</w:t>
          </w:r>
        </w:p>
        <w:p>
          <w:pPr>
            <w:pStyle w:val="14"/>
            <w:tabs>
              <w:tab w:val="right" w:leader="dot" w:pos="10150"/>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p>
        <w:p>
          <w:pPr>
            <w:pStyle w:val="14"/>
            <w:tabs>
              <w:tab w:val="right" w:leader="dot" w:pos="10150"/>
            </w:tabs>
            <w:rPr>
              <w:rFonts w:hint="eastAsia" w:ascii="仿宋" w:hAnsi="仿宋" w:eastAsia="仿宋" w:cs="仿宋"/>
              <w:b w:val="0"/>
              <w:bCs w:val="0"/>
              <w:color w:val="auto"/>
              <w:sz w:val="36"/>
              <w:szCs w:val="36"/>
              <w:highlight w:val="none"/>
            </w:rPr>
          </w:pP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_Toc7099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第一章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lang w:eastAsia="zh-CN"/>
              <w14:textOutline w14:w="2306" w14:cap="flat" w14:cmpd="sng">
                <w14:solidFill>
                  <w14:srgbClr w14:val="000000"/>
                </w14:solidFill>
                <w14:prstDash w14:val="solid"/>
                <w14:miter w14:val="0"/>
              </w14:textOutline>
            </w:rPr>
            <w:t>竞争性磋商公告</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_Toc7099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_Toc9124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第二章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采购需求</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lang w:val="en-US" w:eastAsia="zh-CN"/>
            </w:rPr>
            <w:t>7</w:t>
          </w:r>
          <w:r>
            <w:rPr>
              <w:rFonts w:hint="eastAsia" w:ascii="仿宋" w:hAnsi="仿宋" w:eastAsia="仿宋" w:cs="仿宋"/>
              <w:b w:val="0"/>
              <w:bCs w:val="0"/>
              <w:color w:val="auto"/>
              <w:sz w:val="36"/>
              <w:szCs w:val="36"/>
              <w:highlight w:val="none"/>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_Toc6685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三</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供应商须知</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_Toc6685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10</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_Toc19531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四</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评</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审</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程序、评审方法和评审标准</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_Toc19531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19</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_Toc472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第五章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合同草案条款</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_Toc472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30</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_Toc17192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5"/>
              <w:sz w:val="36"/>
              <w:szCs w:val="56"/>
              <w:highlight w:val="none"/>
              <w14:textOutline w14:w="2306" w14:cap="flat" w14:cmpd="sng">
                <w14:solidFill>
                  <w14:srgbClr w14:val="000000"/>
                </w14:solidFill>
                <w14:prstDash w14:val="solid"/>
                <w14:miter w14:val="0"/>
              </w14:textOutline>
            </w:rPr>
            <w:t>第六章 响应文件格式</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_Toc17192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32</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pPr>
            <w:pStyle w:val="14"/>
            <w:tabs>
              <w:tab w:val="right" w:leader="dot" w:pos="10150"/>
            </w:tabs>
            <w:rPr>
              <w:rFonts w:hint="eastAsia" w:ascii="仿宋" w:hAnsi="仿宋" w:eastAsia="仿宋" w:cs="仿宋"/>
              <w:b w:val="0"/>
              <w:bCs w:val="0"/>
              <w:color w:val="auto"/>
              <w:sz w:val="36"/>
              <w:szCs w:val="36"/>
              <w:highlight w:val="none"/>
            </w:rPr>
          </w:pPr>
        </w:p>
        <w:p>
          <w:pPr>
            <w:rPr>
              <w:color w:val="auto"/>
              <w:highlight w:val="none"/>
            </w:rPr>
          </w:pPr>
          <w:r>
            <w:rPr>
              <w:color w:val="auto"/>
              <w:sz w:val="24"/>
              <w:szCs w:val="24"/>
              <w:highlight w:val="none"/>
            </w:rPr>
            <w:fldChar w:fldCharType="end"/>
          </w:r>
        </w:p>
      </w:sdtContent>
    </w:sdt>
    <w:p>
      <w:pPr>
        <w:rPr>
          <w:color w:val="auto"/>
          <w:highlight w:val="none"/>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
        <w:keepNext w:val="0"/>
        <w:keepLines w:val="0"/>
        <w:pageBreakBefore w:val="0"/>
        <w:kinsoku/>
        <w:wordWrap w:val="0"/>
        <w:overflowPunct/>
        <w:topLinePunct w:val="0"/>
        <w:bidi w:val="0"/>
        <w:spacing w:before="358" w:line="360" w:lineRule="auto"/>
        <w:jc w:val="center"/>
        <w:outlineLvl w:val="0"/>
        <w:rPr>
          <w:rFonts w:ascii="Arial"/>
          <w:color w:val="auto"/>
          <w:sz w:val="21"/>
          <w:highlight w:val="none"/>
        </w:rPr>
      </w:pPr>
      <w:bookmarkStart w:id="3" w:name="_Toc7099"/>
      <w:r>
        <w:rPr>
          <w:color w:val="auto"/>
          <w:spacing w:val="-1"/>
          <w:sz w:val="36"/>
          <w:szCs w:val="36"/>
          <w:highlight w:val="none"/>
          <w14:textOutline w14:w="2306" w14:cap="flat" w14:cmpd="sng">
            <w14:solidFill>
              <w14:srgbClr w14:val="000000"/>
            </w14:solidFill>
            <w14:prstDash w14:val="solid"/>
            <w14:miter w14:val="0"/>
          </w14:textOutline>
        </w:rPr>
        <w:t>第一章</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color w:val="auto"/>
          <w:spacing w:val="-1"/>
          <w:sz w:val="36"/>
          <w:szCs w:val="36"/>
          <w:highlight w:val="none"/>
          <w:lang w:eastAsia="zh-CN"/>
          <w14:textOutline w14:w="2306" w14:cap="flat" w14:cmpd="sng">
            <w14:solidFill>
              <w14:srgbClr w14:val="000000"/>
            </w14:solidFill>
            <w14:prstDash w14:val="solid"/>
            <w14:miter w14:val="0"/>
          </w14:textOutline>
        </w:rPr>
        <w:t>竞争性磋商公告</w:t>
      </w:r>
      <w:bookmarkEnd w:id="2"/>
      <w:bookmarkEnd w:id="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rPr>
          <w:rFonts w:hint="eastAsia" w:ascii="宋体" w:hAnsi="宋体" w:eastAsia="宋体" w:cs="宋体"/>
          <w:b/>
          <w:bCs/>
          <w:color w:val="auto"/>
          <w:spacing w:val="-1"/>
          <w:kern w:val="0"/>
          <w:sz w:val="24"/>
          <w:szCs w:val="24"/>
          <w:highlight w:val="none"/>
          <w:lang w:val="en-US" w:eastAsia="zh-CN" w:bidi="ar-SA"/>
        </w:rPr>
      </w:pPr>
      <w:r>
        <w:rPr>
          <w:rFonts w:hint="eastAsia" w:ascii="宋体" w:hAnsi="宋体" w:eastAsia="宋体" w:cs="宋体"/>
          <w:b/>
          <w:bCs/>
          <w:color w:val="auto"/>
          <w:spacing w:val="-1"/>
          <w:kern w:val="0"/>
          <w:sz w:val="24"/>
          <w:szCs w:val="24"/>
          <w:highlight w:val="none"/>
          <w:lang w:val="en-US" w:eastAsia="zh-CN" w:bidi="ar-SA"/>
        </w:rPr>
        <w:t>项目概况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714" w:firstLineChars="300"/>
        <w:textAlignment w:val="auto"/>
        <w:rPr>
          <w:rFonts w:hint="eastAsia" w:ascii="宋体" w:hAnsi="宋体" w:eastAsia="宋体" w:cs="宋体"/>
          <w:color w:val="auto"/>
          <w:spacing w:val="-1"/>
          <w:kern w:val="0"/>
          <w:sz w:val="24"/>
          <w:szCs w:val="24"/>
          <w:highlight w:val="none"/>
          <w:lang w:val="en-US" w:eastAsia="zh-CN" w:bidi="ar-SA"/>
        </w:rPr>
      </w:pPr>
      <w:r>
        <w:rPr>
          <w:rFonts w:hint="eastAsia" w:cs="宋体"/>
          <w:color w:val="auto"/>
          <w:spacing w:val="-1"/>
          <w:kern w:val="0"/>
          <w:sz w:val="24"/>
          <w:szCs w:val="24"/>
          <w:highlight w:val="none"/>
          <w:lang w:val="en-US" w:eastAsia="zh-CN" w:bidi="ar-SA"/>
        </w:rPr>
        <w:t>唐河县2026年度地下水超采综合治理项目施工图及预算编制采购项目招标项目的</w:t>
      </w:r>
      <w:r>
        <w:rPr>
          <w:rFonts w:hint="eastAsia" w:ascii="宋体" w:hAnsi="宋体" w:eastAsia="宋体" w:cs="宋体"/>
          <w:color w:val="auto"/>
          <w:spacing w:val="-1"/>
          <w:kern w:val="0"/>
          <w:sz w:val="24"/>
          <w:szCs w:val="24"/>
          <w:highlight w:val="none"/>
          <w:lang w:val="en-US" w:eastAsia="zh-CN" w:bidi="ar-SA"/>
        </w:rPr>
        <w:t>的潜在投标人应在唐河县公共资源交易中心网站（http://ggzyjy.tanghe.gov.cn）获取招标文件，并于2026年10月26日9时30分（北京时间）前递交响应文件。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outlineLvl w:val="1"/>
        <w:rPr>
          <w:rFonts w:hint="eastAsia" w:ascii="宋体" w:hAnsi="宋体" w:eastAsia="宋体" w:cs="宋体"/>
          <w:b/>
          <w:bCs/>
          <w:color w:val="auto"/>
          <w:spacing w:val="-1"/>
          <w:kern w:val="0"/>
          <w:sz w:val="24"/>
          <w:szCs w:val="24"/>
          <w:highlight w:val="none"/>
          <w:lang w:val="en-US" w:eastAsia="zh-CN" w:bidi="ar-SA"/>
        </w:rPr>
      </w:pPr>
      <w:bookmarkStart w:id="4" w:name="_Toc6345"/>
      <w:r>
        <w:rPr>
          <w:rFonts w:hint="eastAsia" w:ascii="宋体" w:hAnsi="宋体" w:eastAsia="宋体" w:cs="宋体"/>
          <w:b/>
          <w:bCs/>
          <w:color w:val="auto"/>
          <w:spacing w:val="-1"/>
          <w:kern w:val="0"/>
          <w:sz w:val="24"/>
          <w:szCs w:val="24"/>
          <w:highlight w:val="none"/>
          <w:lang w:val="en-US" w:eastAsia="zh-CN" w:bidi="ar-SA"/>
        </w:rPr>
        <w:t>一、项目基本情况</w:t>
      </w:r>
      <w:bookmarkEnd w:id="4"/>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 xml:space="preserve">1.项目编号：唐财采购竞争性磋商-2026- 130 </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2.项目名称：唐河县2026年度地下水超采综合治理项目施工图及预算编制采购项目</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3.采购方式：竞争性磋商</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4.项目预算金额：840000.00元         项目最高限价： 840000.00元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1598"/>
        <w:gridCol w:w="2520"/>
        <w:gridCol w:w="1390"/>
        <w:gridCol w:w="1452"/>
        <w:gridCol w:w="1019"/>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序号</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包号</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包名称</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包预算（元）</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最高限价（元）</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shd w:val="clear" w:color="auto" w:fill="FFFFFF"/>
                <w:lang w:val="en-US" w:eastAsia="zh-CN"/>
              </w:rPr>
            </w:pPr>
            <w:r>
              <w:rPr>
                <w:rFonts w:hint="eastAsia" w:ascii="宋体" w:hAnsi="宋体" w:cs="宋体"/>
                <w:bCs/>
                <w:color w:val="auto"/>
                <w:sz w:val="24"/>
                <w:szCs w:val="24"/>
                <w:highlight w:val="none"/>
                <w:shd w:val="clear" w:color="auto" w:fill="FFFFFF"/>
                <w:lang w:val="en-US" w:eastAsia="zh-CN"/>
              </w:rPr>
              <w:t>是否专门面向中小企业</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szCs w:val="24"/>
                <w:highlight w:val="none"/>
                <w:shd w:val="clear" w:color="auto" w:fill="FFFFFF"/>
                <w:lang w:val="en-US" w:eastAsia="zh-CN"/>
              </w:rPr>
            </w:pPr>
            <w:r>
              <w:rPr>
                <w:rFonts w:hint="eastAsia" w:ascii="宋体" w:hAnsi="宋体" w:cs="宋体"/>
                <w:bCs/>
                <w:color w:val="auto"/>
                <w:sz w:val="24"/>
                <w:szCs w:val="24"/>
                <w:highlight w:val="none"/>
                <w:shd w:val="clear" w:color="auto" w:fill="FFFFFF"/>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1</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shd w:val="clear" w:color="auto" w:fill="FFFFFF"/>
                <w:lang w:val="en-US" w:eastAsia="zh-CN"/>
              </w:rPr>
            </w:pPr>
            <w:r>
              <w:rPr>
                <w:rFonts w:hint="eastAsia" w:ascii="宋体" w:hAnsi="宋体" w:eastAsia="宋体" w:cs="宋体"/>
                <w:bCs/>
                <w:color w:val="auto"/>
                <w:sz w:val="24"/>
                <w:szCs w:val="24"/>
                <w:highlight w:val="none"/>
                <w:shd w:val="clear" w:color="auto" w:fill="FFFFFF"/>
                <w:lang w:val="en-US" w:eastAsia="zh-CN"/>
              </w:rPr>
              <w:t xml:space="preserve">唐财采购竞争性磋商-2026-130 -1   </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Cs/>
                <w:color w:val="auto"/>
                <w:sz w:val="24"/>
                <w:szCs w:val="24"/>
                <w:highlight w:val="none"/>
                <w:shd w:val="clear" w:color="auto" w:fill="FFFFFF"/>
                <w:lang w:val="en-US" w:eastAsia="zh-CN"/>
              </w:rPr>
            </w:pPr>
            <w:r>
              <w:rPr>
                <w:rFonts w:hint="eastAsia" w:cs="宋体"/>
                <w:snapToGrid w:val="0"/>
                <w:color w:val="auto"/>
                <w:spacing w:val="-1"/>
                <w:kern w:val="0"/>
                <w:sz w:val="24"/>
                <w:szCs w:val="24"/>
                <w:highlight w:val="none"/>
                <w:lang w:val="en-US" w:eastAsia="zh-CN" w:bidi="ar-SA"/>
              </w:rPr>
              <w:t>唐河县2026年度地下水超采综合治理项目施工图及预算编制采购项目</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840000.00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840000.00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eastAsia="宋体" w:cs="宋体"/>
                <w:bCs/>
                <w:color w:val="auto"/>
                <w:sz w:val="24"/>
                <w:szCs w:val="24"/>
                <w:highlight w:val="none"/>
                <w:u w:val="none"/>
                <w:shd w:val="clear" w:color="auto" w:fill="FFFFFF"/>
                <w:lang w:val="en-US" w:eastAsia="zh-CN"/>
              </w:rPr>
              <w:t>是</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eastAsia="宋体" w:cs="宋体"/>
                <w:bCs/>
                <w:color w:val="auto"/>
                <w:sz w:val="24"/>
                <w:szCs w:val="24"/>
                <w:highlight w:val="none"/>
                <w:u w:val="none"/>
                <w:shd w:val="clear" w:color="auto" w:fill="FFFFFF"/>
                <w:lang w:val="en-US" w:eastAsia="zh-CN"/>
              </w:rPr>
              <w:t>840000.00</w:t>
            </w:r>
          </w:p>
        </w:tc>
      </w:tr>
    </w:tbl>
    <w:p>
      <w:pPr>
        <w:pStyle w:val="3"/>
        <w:keepNext w:val="0"/>
        <w:keepLines w:val="0"/>
        <w:pageBreakBefore w:val="0"/>
        <w:widowControl/>
        <w:numPr>
          <w:ilvl w:val="0"/>
          <w:numId w:val="1"/>
        </w:numPr>
        <w:kinsoku/>
        <w:wordWrap w:val="0"/>
        <w:overflowPunct/>
        <w:topLinePunct w:val="0"/>
        <w:autoSpaceDE w:val="0"/>
        <w:autoSpaceDN w:val="0"/>
        <w:bidi w:val="0"/>
        <w:adjustRightInd w:val="0"/>
        <w:snapToGrid w:val="0"/>
        <w:spacing w:before="0" w:beforeLines="1" w:after="0" w:afterLines="1" w:line="520" w:lineRule="exact"/>
        <w:ind w:right="0" w:firstLine="476" w:firstLineChars="200"/>
        <w:jc w:val="both"/>
        <w:textAlignment w:val="baseline"/>
        <w:rPr>
          <w:rFonts w:hint="default"/>
          <w:color w:val="auto"/>
          <w:highlight w:val="none"/>
          <w:lang w:val="en-US" w:eastAsia="zh-CN"/>
        </w:rPr>
      </w:pPr>
      <w:r>
        <w:rPr>
          <w:rFonts w:hint="eastAsia" w:ascii="Arial" w:hAnsi="Arial" w:eastAsia="Arial" w:cs="宋体"/>
          <w:snapToGrid w:val="0"/>
          <w:color w:val="auto"/>
          <w:spacing w:val="-1"/>
          <w:kern w:val="0"/>
          <w:sz w:val="24"/>
          <w:szCs w:val="24"/>
          <w:highlight w:val="none"/>
          <w:lang w:val="en-US" w:eastAsia="zh-CN" w:bidi="ar-SA"/>
        </w:rPr>
        <w:t>采购需求：（包括但不限于标的的名称、数量、简要技术需求或服务要求等）</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（1）项目名称：唐河县2026年度地下水超采综合治理项目施工图及预算编制采购项目</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（2）项目实施地点：唐河县区域。</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left="717" w:leftChars="228" w:right="0" w:hanging="238" w:hangingChars="100"/>
        <w:jc w:val="both"/>
        <w:textAlignment w:val="baseline"/>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（3）采购内容：</w:t>
      </w:r>
      <w:r>
        <w:rPr>
          <w:rFonts w:hint="eastAsia" w:ascii="宋体" w:hAnsi="宋体" w:eastAsia="宋体" w:cs="宋体"/>
          <w:snapToGrid w:val="0"/>
          <w:color w:val="auto"/>
          <w:spacing w:val="-1"/>
          <w:kern w:val="0"/>
          <w:sz w:val="24"/>
          <w:szCs w:val="24"/>
          <w:highlight w:val="none"/>
          <w:lang w:val="en-US" w:eastAsia="zh-CN" w:bidi="ar-SA"/>
        </w:rPr>
        <w:t>唐河县2026年度地下水超采综合治理项目施工图及预算编制采购项目</w:t>
      </w:r>
      <w:r>
        <w:rPr>
          <w:rFonts w:hint="eastAsia" w:ascii="宋体" w:hAnsi="宋体" w:eastAsia="宋体" w:cs="宋体"/>
          <w:color w:val="auto"/>
          <w:spacing w:val="-1"/>
          <w:kern w:val="0"/>
          <w:sz w:val="24"/>
          <w:szCs w:val="24"/>
          <w:highlight w:val="none"/>
          <w:lang w:val="en-US" w:eastAsia="zh-CN" w:bidi="ar-SA"/>
        </w:rPr>
        <w:t>（详见采购文件）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（4）标段划分：共一个标段。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（5）质量要求：合格，符合国家及地方有关现行标准、规范；</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（6）服务期限：合同签订后30日历天内。</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6.合同履行期限：同服务期限；</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7、本项目是否接受联合体投标：否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8、是否接受进口产品：否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9、是否专门面向中小企业：是</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8" w:firstLineChars="200"/>
        <w:textAlignment w:val="auto"/>
        <w:outlineLvl w:val="1"/>
        <w:rPr>
          <w:rFonts w:hint="eastAsia" w:ascii="宋体" w:hAnsi="宋体" w:eastAsia="宋体" w:cs="宋体"/>
          <w:b/>
          <w:bCs/>
          <w:color w:val="auto"/>
          <w:spacing w:val="-1"/>
          <w:kern w:val="0"/>
          <w:sz w:val="24"/>
          <w:szCs w:val="24"/>
          <w:highlight w:val="none"/>
          <w:lang w:val="en-US" w:eastAsia="zh-CN" w:bidi="ar-SA"/>
        </w:rPr>
      </w:pPr>
      <w:bookmarkStart w:id="5" w:name="_Toc6785"/>
      <w:r>
        <w:rPr>
          <w:rFonts w:hint="eastAsia" w:ascii="宋体" w:hAnsi="宋体" w:eastAsia="宋体" w:cs="宋体"/>
          <w:b/>
          <w:bCs/>
          <w:color w:val="auto"/>
          <w:spacing w:val="-1"/>
          <w:kern w:val="0"/>
          <w:sz w:val="24"/>
          <w:szCs w:val="24"/>
          <w:highlight w:val="none"/>
          <w:lang w:val="en-US" w:eastAsia="zh-CN" w:bidi="ar-SA"/>
        </w:rPr>
        <w:t>二、申请人的资格要求（须同时满足）</w:t>
      </w:r>
      <w:bookmarkEnd w:id="5"/>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1、满足《中华人民共和国政府采购法》第二十二条规定；</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2、落实政府采购政策满足的资格要求：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本项目执行扶持中小企业、监狱企业和残疾人福利性单位发展的政策。</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3、本项目的特定资格要求：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3.1供应商具有独立承担民事责任的能力以及有效的营业执照；</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3.2供应商须具有行政主管部门颁发的水利行业专业乙级及以上设计资质,具有相应的设计能力；</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3.3拟派项目负责人具备中级及以上职称证(水利水电相关专业)；</w:t>
      </w:r>
    </w:p>
    <w:p>
      <w:pPr>
        <w:pStyle w:val="2"/>
        <w:keepNext w:val="0"/>
        <w:keepLines w:val="0"/>
        <w:pageBreakBefore w:val="0"/>
        <w:wordWrap/>
        <w:overflowPunct/>
        <w:topLinePunct w:val="0"/>
        <w:autoSpaceDE w:val="0"/>
        <w:autoSpaceDN w:val="0"/>
        <w:bidi w:val="0"/>
        <w:spacing w:line="430" w:lineRule="exact"/>
        <w:ind w:firstLine="476" w:firstLineChars="200"/>
        <w:rPr>
          <w:rFonts w:hint="eastAsia"/>
          <w:color w:val="auto"/>
          <w:highlight w:val="none"/>
          <w:lang w:val="en-US" w:eastAsia="zh-CN"/>
        </w:rPr>
      </w:pPr>
      <w:r>
        <w:rPr>
          <w:rFonts w:hint="eastAsia" w:cs="宋体"/>
          <w:snapToGrid w:val="0"/>
          <w:color w:val="auto"/>
          <w:spacing w:val="-1"/>
          <w:kern w:val="0"/>
          <w:sz w:val="24"/>
          <w:szCs w:val="24"/>
          <w:highlight w:val="none"/>
          <w:lang w:val="en-US" w:eastAsia="zh-CN" w:bidi="ar-SA"/>
        </w:rPr>
        <w:t>3.4供应商</w:t>
      </w:r>
      <w:r>
        <w:rPr>
          <w:rFonts w:hint="eastAsia" w:ascii="宋体" w:hAnsi="宋体" w:eastAsia="宋体" w:cs="宋体"/>
          <w:snapToGrid w:val="0"/>
          <w:color w:val="auto"/>
          <w:spacing w:val="-1"/>
          <w:kern w:val="0"/>
          <w:sz w:val="24"/>
          <w:szCs w:val="24"/>
          <w:highlight w:val="none"/>
          <w:lang w:val="en-US" w:eastAsia="zh-CN" w:bidi="ar-SA"/>
        </w:rPr>
        <w:t>具有履行合同所必需的设备和专业技术能力</w:t>
      </w:r>
      <w:r>
        <w:rPr>
          <w:rFonts w:hint="eastAsia" w:cs="宋体"/>
          <w:snapToGrid w:val="0"/>
          <w:color w:val="auto"/>
          <w:spacing w:val="-1"/>
          <w:kern w:val="0"/>
          <w:sz w:val="24"/>
          <w:szCs w:val="24"/>
          <w:highlight w:val="none"/>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3.5财务状况良好，没有处于被责令停业、破产状态，各投标人须提供具有近三年（2023年度、2024年度、2025年度）经审计的财务报告，信誉良好（成立不足三年的企业，从成立之日算起）。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3.7参加本次政府采购活动前三年内，在经营活动中没有重大违法犯罪记录；</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3.9本次招标不接受联合体投标，不允许分包和转包。</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3.10遵守国家有关法律、法规、规章。</w:t>
      </w:r>
    </w:p>
    <w:p>
      <w:pPr>
        <w:pStyle w:val="2"/>
        <w:keepNext w:val="0"/>
        <w:keepLines w:val="0"/>
        <w:pageBreakBefore w:val="0"/>
        <w:wordWrap/>
        <w:overflowPunct/>
        <w:topLinePunct w:val="0"/>
        <w:autoSpaceDE w:val="0"/>
        <w:autoSpaceDN w:val="0"/>
        <w:bidi w:val="0"/>
        <w:spacing w:line="430" w:lineRule="exac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按照唐河县财政局《关于在政府采购活动中试行供应商资格信用承诺制的通知》唐财购[2021]18号的要求，供应商在投标(响应)时，按照规定提供“投标承诺函”(详见采购文件)的，无需再提交上述（3.</w:t>
      </w:r>
      <w:r>
        <w:rPr>
          <w:rFonts w:hint="eastAsia" w:cs="宋体"/>
          <w:snapToGrid w:val="0"/>
          <w:color w:val="auto"/>
          <w:spacing w:val="-1"/>
          <w:kern w:val="0"/>
          <w:sz w:val="24"/>
          <w:szCs w:val="24"/>
          <w:highlight w:val="none"/>
          <w:lang w:val="en-US" w:eastAsia="zh-CN" w:bidi="ar-SA"/>
        </w:rPr>
        <w:t>5</w:t>
      </w:r>
      <w:r>
        <w:rPr>
          <w:rFonts w:hint="eastAsia" w:ascii="宋体" w:hAnsi="宋体" w:eastAsia="宋体" w:cs="宋体"/>
          <w:snapToGrid w:val="0"/>
          <w:color w:val="auto"/>
          <w:spacing w:val="-1"/>
          <w:kern w:val="0"/>
          <w:sz w:val="24"/>
          <w:szCs w:val="24"/>
          <w:highlight w:val="none"/>
          <w:lang w:val="en-US" w:eastAsia="zh-CN" w:bidi="ar-SA"/>
        </w:rPr>
        <w:t>）（3.</w:t>
      </w:r>
      <w:r>
        <w:rPr>
          <w:rFonts w:hint="eastAsia" w:cs="宋体"/>
          <w:snapToGrid w:val="0"/>
          <w:color w:val="auto"/>
          <w:spacing w:val="-1"/>
          <w:kern w:val="0"/>
          <w:sz w:val="24"/>
          <w:szCs w:val="24"/>
          <w:highlight w:val="none"/>
          <w:lang w:val="en-US" w:eastAsia="zh-CN" w:bidi="ar-SA"/>
        </w:rPr>
        <w:t>6</w:t>
      </w:r>
      <w:r>
        <w:rPr>
          <w:rFonts w:hint="eastAsia" w:ascii="宋体" w:hAnsi="宋体" w:eastAsia="宋体" w:cs="宋体"/>
          <w:snapToGrid w:val="0"/>
          <w:color w:val="auto"/>
          <w:spacing w:val="-1"/>
          <w:kern w:val="0"/>
          <w:sz w:val="24"/>
          <w:szCs w:val="24"/>
          <w:highlight w:val="none"/>
          <w:lang w:val="en-US" w:eastAsia="zh-CN" w:bidi="ar-SA"/>
        </w:rPr>
        <w:t>）的证明材料。供应商在中标(成交)后，应将上述由投标承诺函替代的证明材料提交采购人、采购代理机构，证明材料将随公告一并公示。</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注：本项目实行资格后审，审查内容以投标截止时间前上传南阳市市场主体库信</w:t>
      </w:r>
      <w:r>
        <w:rPr>
          <w:rFonts w:hint="eastAsia" w:ascii="宋体" w:hAnsi="宋体" w:eastAsia="宋体" w:cs="宋体"/>
          <w:color w:val="auto"/>
          <w:spacing w:val="-1"/>
          <w:kern w:val="0"/>
          <w:sz w:val="24"/>
          <w:szCs w:val="24"/>
          <w:highlight w:val="none"/>
          <w:lang w:val="en-US" w:eastAsia="zh-CN" w:bidi="ar-SA"/>
        </w:rPr>
        <w:t>息为准，过期更改的市场主体库（南阳市）信息不做为本项目评审依据。开标现场不接受市场主体库（南阳市）信息原件。市场主体库（南阳市）上传信息必须内容齐全，真实有效，原件扫描清晰可辨。否则，由此造成应得分而未得分或审查不合格情况的，由投标企业承担责任。</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6" w:name="_Toc31637"/>
      <w:bookmarkStart w:id="7" w:name="_Toc27065"/>
      <w:r>
        <w:rPr>
          <w:rFonts w:hint="eastAsia" w:ascii="宋体" w:hAnsi="宋体" w:eastAsia="宋体" w:cs="宋体"/>
          <w:b/>
          <w:bCs/>
          <w:color w:val="auto"/>
          <w:spacing w:val="-1"/>
          <w:kern w:val="0"/>
          <w:sz w:val="24"/>
          <w:szCs w:val="24"/>
          <w:highlight w:val="none"/>
          <w:lang w:val="en-US" w:eastAsia="zh-CN" w:bidi="ar-SA"/>
        </w:rPr>
        <w:t>三、获取采购文件</w:t>
      </w:r>
      <w:bookmarkEnd w:id="6"/>
      <w:bookmarkEnd w:id="7"/>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1.时间：2026年10月14日至2026年10月20日，每天上午8:00至12:00，下午12:00至17:30（北京时间，法定节假日除外。）</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2.地点：唐河县公共资源交易中心网站（http://ggzyjy.tanghe.gov.cn）</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3.方式：潜在供应商在唐河县公共资源交易中心网站（http://ggzyjy.tanghe.gov.cn/）</w:t>
      </w:r>
    </w:p>
    <w:p>
      <w:pPr>
        <w:keepNext w:val="0"/>
        <w:keepLines w:val="0"/>
        <w:pageBreakBefore w:val="0"/>
        <w:widowControl w:val="0"/>
        <w:kinsoku/>
        <w:wordWrap/>
        <w:overflowPunct/>
        <w:topLinePunct w:val="0"/>
        <w:autoSpaceDE w:val="0"/>
        <w:autoSpaceDN w:val="0"/>
        <w:bidi w:val="0"/>
        <w:adjustRightInd/>
        <w:snapToGrid/>
        <w:spacing w:before="0" w:after="0" w:line="52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登录交易主体系统获取采购文件。</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4.售价：0元</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8" w:name="_Toc9557"/>
      <w:bookmarkStart w:id="9" w:name="_Toc29217"/>
      <w:r>
        <w:rPr>
          <w:rFonts w:hint="eastAsia" w:ascii="宋体" w:hAnsi="宋体" w:eastAsia="宋体" w:cs="宋体"/>
          <w:b/>
          <w:bCs/>
          <w:color w:val="auto"/>
          <w:spacing w:val="-1"/>
          <w:kern w:val="0"/>
          <w:sz w:val="24"/>
          <w:szCs w:val="24"/>
          <w:highlight w:val="none"/>
          <w:lang w:val="en-US" w:eastAsia="zh-CN" w:bidi="ar-SA"/>
        </w:rPr>
        <w:t>四、响应文件提交</w:t>
      </w:r>
      <w:bookmarkEnd w:id="8"/>
      <w:bookmarkEnd w:id="9"/>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1.截止时间：2026年10月26日09时30分（北京时间）</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2.地点：唐河县公共资源交易中心网站，加密版响应文件应在磋商文件规定的开标截止时间前上传至交易系统，逾期上传交易系统或未上传成功的电子投标文件视为放弃本次投标。</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10" w:name="_Toc5182"/>
      <w:bookmarkStart w:id="11" w:name="_Toc529"/>
      <w:r>
        <w:rPr>
          <w:rFonts w:hint="eastAsia" w:ascii="宋体" w:hAnsi="宋体" w:eastAsia="宋体" w:cs="宋体"/>
          <w:b/>
          <w:bCs/>
          <w:color w:val="auto"/>
          <w:spacing w:val="-1"/>
          <w:kern w:val="0"/>
          <w:sz w:val="24"/>
          <w:szCs w:val="24"/>
          <w:highlight w:val="none"/>
          <w:lang w:val="en-US" w:eastAsia="zh-CN" w:bidi="ar-SA"/>
        </w:rPr>
        <w:t>五、响应文件开启</w:t>
      </w:r>
      <w:bookmarkEnd w:id="10"/>
      <w:bookmarkEnd w:id="11"/>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1.时间：2026年10月26日09时30分（北京时间）</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地点：采用网上不见面方式开标，投标供应商无需到达开标现场参与投标。各供应商根据手册要求，自行提前做好所有相关准备工作，自行上传响应文件，无需寄送和递交非加密响应文件光盘等。需提前登录不见面开标系统，过程中如遇到紧急事项，可在不见面开标大厅中进行提出异议或文字交流。如供应商准备不到位，或因网络等问题造成无法及时解密、开标无法继续的，视为该供应商自动放弃投标（30分钟内）将被退回响应文件；附件：操作手册在下载中心或办事指南中自行下载，不见面开标大厅地址：唐河县公共资源交易中心网站首页“不见面开标大厅”模块。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12" w:name="_Toc23316"/>
      <w:bookmarkStart w:id="13" w:name="_Toc28"/>
      <w:r>
        <w:rPr>
          <w:rFonts w:hint="eastAsia" w:ascii="宋体" w:hAnsi="宋体" w:eastAsia="宋体" w:cs="宋体"/>
          <w:b/>
          <w:bCs/>
          <w:color w:val="auto"/>
          <w:spacing w:val="-1"/>
          <w:kern w:val="0"/>
          <w:sz w:val="24"/>
          <w:szCs w:val="24"/>
          <w:highlight w:val="none"/>
          <w:lang w:val="en-US" w:eastAsia="zh-CN" w:bidi="ar-SA"/>
        </w:rPr>
        <w:t>六、发布公告的媒介及招标公告期限</w:t>
      </w:r>
      <w:bookmarkEnd w:id="12"/>
      <w:bookmarkEnd w:id="13"/>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本次招标公告在《河南省政府采购网》、《南阳市政府采购网》、《唐河县公共资源交易中心》上发布， 招标公告期限为三个工作日。</w:t>
      </w:r>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b/>
          <w:bCs/>
          <w:color w:val="auto"/>
          <w:spacing w:val="-1"/>
          <w:kern w:val="0"/>
          <w:sz w:val="24"/>
          <w:szCs w:val="24"/>
          <w:highlight w:val="none"/>
          <w:lang w:val="en-US" w:eastAsia="zh-CN" w:bidi="ar-SA"/>
        </w:rPr>
      </w:pPr>
      <w:bookmarkStart w:id="14" w:name="_Toc19158"/>
      <w:bookmarkStart w:id="15" w:name="_Toc31057"/>
    </w:p>
    <w:p>
      <w:pPr>
        <w:pStyle w:val="2"/>
        <w:rPr>
          <w:rFonts w:hint="eastAsia" w:ascii="宋体" w:hAnsi="宋体" w:eastAsia="宋体" w:cs="宋体"/>
          <w:b/>
          <w:bCs/>
          <w:color w:val="auto"/>
          <w:spacing w:val="-1"/>
          <w:kern w:val="0"/>
          <w:sz w:val="24"/>
          <w:szCs w:val="24"/>
          <w:highlight w:val="none"/>
          <w:lang w:val="en-US" w:eastAsia="zh-CN" w:bidi="ar-SA"/>
        </w:rPr>
      </w:pPr>
    </w:p>
    <w:p>
      <w:pPr>
        <w:pStyle w:val="4"/>
        <w:rPr>
          <w:rFonts w:hint="eastAsia"/>
          <w:lang w:val="en-US" w:eastAsia="zh-CN"/>
        </w:rPr>
      </w:pP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b/>
          <w:bCs/>
          <w:color w:val="auto"/>
          <w:spacing w:val="-1"/>
          <w:kern w:val="0"/>
          <w:sz w:val="24"/>
          <w:szCs w:val="24"/>
          <w:highlight w:val="none"/>
          <w:lang w:val="en-US" w:eastAsia="zh-CN" w:bidi="ar-SA"/>
        </w:rPr>
        <w:t>七、其他补充事宜</w:t>
      </w:r>
      <w:bookmarkEnd w:id="14"/>
      <w:bookmarkEnd w:id="15"/>
      <w:r>
        <w:rPr>
          <w:rFonts w:hint="eastAsia" w:ascii="宋体" w:hAnsi="宋体" w:eastAsia="宋体" w:cs="宋体"/>
          <w:color w:val="auto"/>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无</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ab/>
      </w:r>
      <w:bookmarkStart w:id="16" w:name="_Toc31993"/>
      <w:r>
        <w:rPr>
          <w:rFonts w:hint="eastAsia" w:ascii="宋体" w:hAnsi="宋体" w:eastAsia="宋体" w:cs="宋体"/>
          <w:b/>
          <w:bCs/>
          <w:color w:val="auto"/>
          <w:spacing w:val="-1"/>
          <w:kern w:val="0"/>
          <w:sz w:val="24"/>
          <w:szCs w:val="24"/>
          <w:highlight w:val="none"/>
          <w:lang w:val="en-US" w:eastAsia="zh-CN" w:bidi="ar-SA"/>
        </w:rPr>
        <w:t>八、凡对本次招标提出询问，请按照以下方式联系</w:t>
      </w:r>
      <w:bookmarkEnd w:id="16"/>
      <w:r>
        <w:rPr>
          <w:rFonts w:hint="eastAsia" w:ascii="宋体" w:hAnsi="宋体" w:eastAsia="宋体" w:cs="宋体"/>
          <w:color w:val="auto"/>
          <w:spacing w:val="-1"/>
          <w:kern w:val="0"/>
          <w:sz w:val="24"/>
          <w:szCs w:val="24"/>
          <w:highlight w:val="none"/>
          <w:lang w:val="en-US" w:eastAsia="zh-CN" w:bidi="ar-SA"/>
        </w:rPr>
        <w:tab/>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1. 采购人信息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名称：</w:t>
      </w:r>
      <w:r>
        <w:rPr>
          <w:rFonts w:hint="eastAsia" w:cs="宋体"/>
          <w:color w:val="auto"/>
          <w:spacing w:val="-1"/>
          <w:kern w:val="0"/>
          <w:sz w:val="24"/>
          <w:szCs w:val="24"/>
          <w:highlight w:val="none"/>
          <w:lang w:val="en-US" w:eastAsia="zh-CN" w:bidi="ar-SA"/>
        </w:rPr>
        <w:t>唐河县水利局</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地址：唐河县凤山路</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 xml:space="preserve">陈先生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联系方式：13937720039</w:t>
      </w:r>
      <w:r>
        <w:rPr>
          <w:rFonts w:hint="eastAsia" w:cs="宋体"/>
          <w:color w:val="auto"/>
          <w:spacing w:val="-1"/>
          <w:kern w:val="0"/>
          <w:sz w:val="24"/>
          <w:szCs w:val="24"/>
          <w:highlight w:val="none"/>
          <w:lang w:val="en-US" w:eastAsia="zh-CN" w:bidi="ar-SA"/>
        </w:rPr>
        <w:t xml:space="preserve">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2.采购代理机构信息（如有）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名称：唐河县龙建工程管理有限公司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地址：唐河县文峰街道飞凤路飞凤游园管理楼二楼</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孙</w:t>
      </w:r>
      <w:r>
        <w:rPr>
          <w:rFonts w:hint="eastAsia" w:ascii="宋体" w:hAnsi="宋体" w:eastAsia="宋体" w:cs="宋体"/>
          <w:color w:val="auto"/>
          <w:spacing w:val="-1"/>
          <w:kern w:val="0"/>
          <w:sz w:val="24"/>
          <w:szCs w:val="24"/>
          <w:highlight w:val="none"/>
          <w:lang w:val="en-US" w:eastAsia="zh-CN" w:bidi="ar-SA"/>
        </w:rPr>
        <w:t>女士</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0377-60888961</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3.项目联系方式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项目联系人：</w:t>
      </w:r>
      <w:r>
        <w:rPr>
          <w:rFonts w:hint="eastAsia" w:cs="宋体"/>
          <w:color w:val="auto"/>
          <w:spacing w:val="-1"/>
          <w:kern w:val="0"/>
          <w:sz w:val="24"/>
          <w:szCs w:val="24"/>
          <w:highlight w:val="none"/>
          <w:lang w:val="en-US" w:eastAsia="zh-CN" w:bidi="ar-SA"/>
        </w:rPr>
        <w:t>孙</w:t>
      </w:r>
      <w:r>
        <w:rPr>
          <w:rFonts w:hint="eastAsia" w:ascii="宋体" w:hAnsi="宋体" w:eastAsia="宋体" w:cs="宋体"/>
          <w:color w:val="auto"/>
          <w:spacing w:val="-1"/>
          <w:kern w:val="0"/>
          <w:sz w:val="24"/>
          <w:szCs w:val="24"/>
          <w:highlight w:val="none"/>
          <w:lang w:val="en-US" w:eastAsia="zh-CN" w:bidi="ar-SA"/>
        </w:rPr>
        <w:t>女士</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0377-60888961</w:t>
      </w:r>
    </w:p>
    <w:p>
      <w:pPr>
        <w:pStyle w:val="23"/>
        <w:rPr>
          <w:rFonts w:hint="eastAsia"/>
          <w:color w:val="auto"/>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bookmarkStart w:id="17" w:name="_Toc29153"/>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pPr>
        <w:pStyle w:val="2"/>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pPr>
        <w:pStyle w:val="4"/>
        <w:rPr>
          <w:rFonts w:hint="eastAsia"/>
          <w:color w:val="auto"/>
          <w:highlight w:val="none"/>
        </w:rPr>
      </w:pPr>
    </w:p>
    <w:p>
      <w:pPr>
        <w:pStyle w:val="4"/>
        <w:ind w:left="0" w:leftChars="0" w:firstLine="0" w:firstLineChars="0"/>
        <w:rPr>
          <w:rFonts w:hint="eastAsia"/>
          <w:color w:val="auto"/>
          <w:highlight w:val="none"/>
        </w:rPr>
      </w:pPr>
    </w:p>
    <w:p>
      <w:pPr>
        <w:rPr>
          <w:rFonts w:hint="eastAsia"/>
          <w:color w:val="auto"/>
          <w:highlight w:val="none"/>
        </w:rPr>
      </w:pPr>
    </w:p>
    <w:p>
      <w:pPr>
        <w:pStyle w:val="2"/>
        <w:rPr>
          <w:rFonts w:hint="eastAsia"/>
          <w:color w:val="auto"/>
          <w:highlight w:val="none"/>
        </w:rPr>
      </w:pPr>
    </w:p>
    <w:p>
      <w:pPr>
        <w:pStyle w:val="4"/>
        <w:rPr>
          <w:rFonts w:hint="eastAsia"/>
          <w:color w:val="auto"/>
          <w:highlight w:val="none"/>
        </w:rPr>
      </w:pPr>
    </w:p>
    <w:p>
      <w:pPr>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4"/>
        <w:rPr>
          <w:rFonts w:hint="eastAsia"/>
          <w:color w:val="auto"/>
          <w:highlight w:val="none"/>
        </w:rPr>
      </w:pPr>
    </w:p>
    <w:p>
      <w:pPr>
        <w:pStyle w:val="4"/>
        <w:ind w:left="0" w:leftChars="0" w:firstLine="0" w:firstLineChars="0"/>
        <w:rPr>
          <w:rFonts w:hint="eastAsia"/>
          <w:color w:val="auto"/>
          <w:highlight w:val="none"/>
        </w:rPr>
      </w:pPr>
    </w:p>
    <w:p>
      <w:pPr>
        <w:pStyle w:val="4"/>
        <w:rPr>
          <w:rFonts w:hint="eastAsia" w:ascii="宋体" w:hAnsi="宋体" w:eastAsia="宋体" w:cs="宋体"/>
          <w:snapToGrid w:val="0"/>
          <w:color w:val="auto"/>
          <w:spacing w:val="-1"/>
          <w:kern w:val="0"/>
          <w:sz w:val="36"/>
          <w:szCs w:val="36"/>
          <w:highlight w:val="none"/>
          <w:lang w:val="en-US" w:eastAsia="zh-CN" w:bidi="ar-SA"/>
          <w14:textOutline w14:w="2306" w14:cap="flat" w14:cmpd="sng">
            <w14:solidFill>
              <w14:srgbClr w14:val="000000"/>
            </w14:solidFill>
            <w14:prstDash w14:val="solid"/>
            <w14:miter w14:val="0"/>
          </w14:textOutline>
        </w:rPr>
      </w:pPr>
    </w:p>
    <w:bookmarkEnd w:id="17"/>
    <w:p>
      <w:pPr>
        <w:jc w:val="center"/>
        <w:rPr>
          <w:rFonts w:hint="eastAsia" w:ascii="宋体" w:hAnsi="宋体" w:eastAsia="宋体" w:cs="宋体"/>
          <w:snapToGrid w:val="0"/>
          <w:color w:val="auto"/>
          <w:spacing w:val="-1"/>
          <w:kern w:val="0"/>
          <w:sz w:val="36"/>
          <w:szCs w:val="36"/>
          <w:highlight w:val="none"/>
          <w:lang w:val="en-US" w:eastAsia="zh-CN" w:bidi="ar-SA"/>
          <w14:textOutline w14:w="2306" w14:cap="flat" w14:cmpd="sng">
            <w14:solidFill>
              <w14:srgbClr w14:val="000000"/>
            </w14:solidFill>
            <w14:prstDash w14:val="solid"/>
            <w14:miter w14:val="0"/>
          </w14:textOutline>
        </w:rPr>
      </w:pPr>
      <w:r>
        <w:rPr>
          <w:rFonts w:hint="eastAsia" w:ascii="宋体" w:hAnsi="宋体" w:eastAsia="宋体" w:cs="宋体"/>
          <w:snapToGrid w:val="0"/>
          <w:color w:val="auto"/>
          <w:spacing w:val="-1"/>
          <w:kern w:val="0"/>
          <w:sz w:val="36"/>
          <w:szCs w:val="36"/>
          <w:highlight w:val="none"/>
          <w:lang w:val="en-US" w:eastAsia="zh-CN" w:bidi="ar-SA"/>
          <w14:textOutline w14:w="2306" w14:cap="flat" w14:cmpd="sng">
            <w14:solidFill>
              <w14:srgbClr w14:val="000000"/>
            </w14:solidFill>
            <w14:prstDash w14:val="solid"/>
            <w14:miter w14:val="0"/>
          </w14:textOutline>
        </w:rPr>
        <w:t>第二章  采购需求</w:t>
      </w:r>
    </w:p>
    <w:p>
      <w:pPr>
        <w:spacing w:line="480" w:lineRule="auto"/>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一、采购内容及要求</w:t>
      </w:r>
    </w:p>
    <w:p>
      <w:pPr>
        <w:spacing w:line="480" w:lineRule="auto"/>
        <w:ind w:left="420" w:left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1、服务范围：</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河南省唐河县2026年度地下水超采综合治理项目施工图及预算编制服务范围为上屯镇、昝岗镇、黑龙镇、郭滩镇4个乡镇51个行政村。</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根据全省地下水超采划定成果，对上述村庄进行地下水水源置换工程，遏制地下水超采，保障供水安全，实现地下水资源可持续利用，改善和修复生态环境。</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2、服务内容：</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2.1工程设计内容主要包括：</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本工程以南水北调地表水作为置换水源，涉及供水站47处、供水人口12.20万人。新建供水管网总长118.695km，其中球墨铸铁管铺设29.624km，聚乙烯PE管铺设86.677km，钢塑复合管道铺设2.394km；配套建设各类阀井385座、一体化加压设备2套、末端加压管道泵3套。</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2.2施工图及预算编制阶段工作内容：</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按照批复实施方案、现行国家及行业规范完成全套施工图设计，图纸内容完整、表达清晰，深度满足施工安装、图纸审查、工程招投标及现场技术交底要求；同步开展工程预算编制，严格采用现行计价定额、价格信息，据实计算工程量，合理计取各项费用，确保工程量与施工图一一对应，预算成果文件规范、数据准确，满足项目投资控制及主管部门报审要求，并负责图纸、预算的修改完善、答疑及配合审查工作。</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3、服务要求</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地下水超采综合治理是一项系统治理、长效管控、持续巩固的工程，既要坚持高站位谋划、高标准实施、高质量落地，又要立足区域水文地质条件、用水现状与超采实际，做到统筹施策、分期推进。要以人与自然和谐共生的生态理念指导治理工程建设，运用先进理念、先进技术、先进工艺、先进设备实施水源置换、节水改造、压采管控与生态修复工程；构建可靠的替代供水保障、地下水动态监测和超采风险防控体系，持续压减地下水开采量，逐步修复地下水位，提升区域水资源承载能力，为农业稳产、乡村振兴、流域生态文明建设提供坚实水利保障。</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项目实施后，基本实现“采补平衡、水位回升、节水增效、生态向好”的目标。</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4、规划依据</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（1）《中国地震动参数区划图》（GB18306-2015）；</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（2）《建筑抗震设计规范》（GB50011-2010（2024年版））；</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（3）《室外给水设计标准》（GB50013-2018）；</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（4）《城市给水工程项目规范》（GB55026-2022）；</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（5）《村镇供水工程技术规范》（GB∕T43824-2024）；</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（6）《水平定向钻法管道穿越工程技术规程》（CECS 382-2014）；</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（7）《水利水电工程施工组织设计规范》（SL303-2017）；</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（8）《水利水电工程设计工程量计算规定》（SL328-2005）；</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（9）《水利水电工程等级划分及洪水标准》（SL252-2017）；</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（10）《给水排水设计手册》（第三版），北京：中国建筑工业出版社；</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（11）《给水排水工程管道结构设计规范》（GB50332-2002）；</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（12）《给水排水管道工程施工及验收规范》（GB50268-2008）；</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（13）《市政给水管道工程及附属设施》（07MS101），北京：中国计划出版社；</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（14）《埋地塑料给水管道工程技术规程》（CJJ101-2016）；</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（15）《砌体结构设计规范》（GB50003-2011）；</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（16）《水利水电工程球墨铸铁管道技术导则》(T/CWHIDA0002-2018)；</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（17）《输配水管道工程顶管穿越设计技术规程》（DB41/T 2858-2025）；</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（18）《输配水管道工程顶管穿越施工技术规程》（DB41/T 2529-2023）；</w:t>
      </w:r>
    </w:p>
    <w:p>
      <w:pPr>
        <w:numPr>
          <w:ilvl w:val="0"/>
          <w:numId w:val="0"/>
        </w:num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5、规划原则</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（1）设计深度均应达到国家有关规范和标准的要求。</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（2）项目建设前期工作基础较好，在取得可靠的基本资料基础上，进行方案技术设计，确保方案切实可行，不存在区域矛盾、拆迁等重大制约因素。</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（3）设计应安全可靠，技术先进，因地制宜，注重技术创新、节水节能、节约投资。</w:t>
      </w:r>
    </w:p>
    <w:p>
      <w:pPr>
        <w:spacing w:line="480" w:lineRule="auto"/>
        <w:ind w:firstLine="478" w:firstLineChars="200"/>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二、项目商务要求</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1.服务期限：合同签订后30日历天内。</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2.付款方式：提交设计成果、通过主管部门批复后支付合同额的100%。</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3.质量要求：合格，符合国家及地方有关现行标准、规范。</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4.验收标准及方式：</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4.1验收标准：中标人在验收活动中必须遵守采购人的有关规定。依照国家有关规定以及招标文件、响应文件、中标承诺和合同约定的标准等要求进行验收；经采购人完全确认后，完成验收。</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4.2验收方式：现场验收。</w:t>
      </w:r>
    </w:p>
    <w:p>
      <w:pPr>
        <w:spacing w:line="480" w:lineRule="auto"/>
        <w:ind w:firstLine="476" w:firstLineChars="20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5.中标人必须承担总包责任，必须独立完成项目，不得以任何形式转包和分包，否则采购人有权终止合同并追究中标人的责任。</w:t>
      </w:r>
    </w:p>
    <w:p>
      <w:pPr>
        <w:pStyle w:val="2"/>
        <w:jc w:val="center"/>
        <w:rPr>
          <w:color w:val="auto"/>
          <w:spacing w:val="-1"/>
          <w:position w:val="24"/>
          <w:sz w:val="36"/>
          <w:szCs w:val="36"/>
          <w:highlight w:val="none"/>
          <w14:textOutline w14:w="2306" w14:cap="flat" w14:cmpd="sng">
            <w14:solidFill>
              <w14:srgbClr w14:val="000000"/>
            </w14:solidFill>
            <w14:prstDash w14:val="solid"/>
            <w14:miter w14:val="0"/>
          </w14:textOutline>
        </w:rPr>
      </w:pPr>
    </w:p>
    <w:p>
      <w:pPr>
        <w:pStyle w:val="4"/>
        <w:rPr>
          <w:color w:val="auto"/>
          <w:spacing w:val="-1"/>
          <w:position w:val="24"/>
          <w:sz w:val="36"/>
          <w:szCs w:val="36"/>
          <w:highlight w:val="none"/>
          <w14:textOutline w14:w="2306" w14:cap="flat" w14:cmpd="sng">
            <w14:solidFill>
              <w14:srgbClr w14:val="000000"/>
            </w14:solidFill>
            <w14:prstDash w14:val="solid"/>
            <w14:miter w14:val="0"/>
          </w14:textOutline>
        </w:rPr>
      </w:pPr>
    </w:p>
    <w:p>
      <w:pPr>
        <w:rPr>
          <w:color w:val="auto"/>
          <w:spacing w:val="-1"/>
          <w:position w:val="24"/>
          <w:sz w:val="36"/>
          <w:szCs w:val="36"/>
          <w:highlight w:val="none"/>
          <w14:textOutline w14:w="2306" w14:cap="flat" w14:cmpd="sng">
            <w14:solidFill>
              <w14:srgbClr w14:val="000000"/>
            </w14:solidFill>
            <w14:prstDash w14:val="solid"/>
            <w14:miter w14:val="0"/>
          </w14:textOutline>
        </w:rPr>
      </w:pPr>
    </w:p>
    <w:p>
      <w:pPr>
        <w:pStyle w:val="2"/>
        <w:rPr>
          <w:color w:val="auto"/>
          <w:spacing w:val="-1"/>
          <w:position w:val="24"/>
          <w:sz w:val="36"/>
          <w:szCs w:val="36"/>
          <w:highlight w:val="none"/>
          <w14:textOutline w14:w="2306" w14:cap="flat" w14:cmpd="sng">
            <w14:solidFill>
              <w14:srgbClr w14:val="000000"/>
            </w14:solidFill>
            <w14:prstDash w14:val="solid"/>
            <w14:miter w14:val="0"/>
          </w14:textOutline>
        </w:rPr>
      </w:pPr>
    </w:p>
    <w:p>
      <w:pPr>
        <w:pStyle w:val="4"/>
        <w:rPr>
          <w:color w:val="auto"/>
          <w:spacing w:val="-1"/>
          <w:position w:val="24"/>
          <w:sz w:val="36"/>
          <w:szCs w:val="36"/>
          <w:highlight w:val="none"/>
          <w14:textOutline w14:w="2306" w14:cap="flat" w14:cmpd="sng">
            <w14:solidFill>
              <w14:srgbClr w14:val="000000"/>
            </w14:solidFill>
            <w14:prstDash w14:val="solid"/>
            <w14:miter w14:val="0"/>
          </w14:textOutline>
        </w:rPr>
      </w:pPr>
    </w:p>
    <w:p>
      <w:pPr>
        <w:rPr>
          <w:color w:val="auto"/>
          <w:spacing w:val="-1"/>
          <w:position w:val="24"/>
          <w:sz w:val="36"/>
          <w:szCs w:val="36"/>
          <w:highlight w:val="none"/>
          <w14:textOutline w14:w="2306" w14:cap="flat" w14:cmpd="sng">
            <w14:solidFill>
              <w14:srgbClr w14:val="000000"/>
            </w14:solidFill>
            <w14:prstDash w14:val="solid"/>
            <w14:miter w14:val="0"/>
          </w14:textOutline>
        </w:rPr>
      </w:pPr>
    </w:p>
    <w:p>
      <w:pPr>
        <w:pStyle w:val="2"/>
        <w:rPr>
          <w:color w:val="auto"/>
          <w:spacing w:val="-1"/>
          <w:position w:val="24"/>
          <w:sz w:val="36"/>
          <w:szCs w:val="36"/>
          <w:highlight w:val="none"/>
          <w14:textOutline w14:w="2306" w14:cap="flat" w14:cmpd="sng">
            <w14:solidFill>
              <w14:srgbClr w14:val="000000"/>
            </w14:solidFill>
            <w14:prstDash w14:val="solid"/>
            <w14:miter w14:val="0"/>
          </w14:textOutline>
        </w:rPr>
      </w:pPr>
    </w:p>
    <w:p>
      <w:pPr>
        <w:rPr>
          <w:color w:val="auto"/>
          <w:spacing w:val="-1"/>
          <w:position w:val="24"/>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bookmarkStart w:id="18" w:name="_Toc8690"/>
      <w:bookmarkStart w:id="19" w:name="_Toc6685"/>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供应商须知</w:t>
      </w:r>
      <w:bookmarkEnd w:id="18"/>
      <w:bookmarkEnd w:id="19"/>
    </w:p>
    <w:p>
      <w:pPr>
        <w:pStyle w:val="3"/>
        <w:keepNext w:val="0"/>
        <w:keepLines w:val="0"/>
        <w:pageBreakBefore w:val="0"/>
        <w:kinsoku/>
        <w:wordWrap w:val="0"/>
        <w:overflowPunct/>
        <w:topLinePunct w:val="0"/>
        <w:bidi w:val="0"/>
        <w:spacing w:line="220" w:lineRule="auto"/>
        <w:ind w:left="3861"/>
        <w:jc w:val="both"/>
        <w:rPr>
          <w:color w:val="auto"/>
          <w:spacing w:val="-1"/>
          <w:sz w:val="28"/>
          <w:szCs w:val="28"/>
          <w:highlight w:val="none"/>
          <w14:textOutline w14:w="1800" w14:cap="flat" w14:cmpd="sng">
            <w14:solidFill>
              <w14:srgbClr w14:val="000000"/>
            </w14:solidFill>
            <w14:prstDash w14:val="solid"/>
            <w14:miter w14:val="0"/>
          </w14:textOutline>
        </w:rPr>
      </w:pPr>
      <w:r>
        <w:rPr>
          <w:color w:val="auto"/>
          <w:spacing w:val="-1"/>
          <w:sz w:val="28"/>
          <w:szCs w:val="28"/>
          <w:highlight w:val="none"/>
          <w14:textOutline w14:w="1800" w14:cap="flat" w14:cmpd="sng">
            <w14:solidFill>
              <w14:srgbClr w14:val="000000"/>
            </w14:solidFill>
            <w14:prstDash w14:val="solid"/>
            <w14:miter w14:val="0"/>
          </w14:textOutline>
        </w:rPr>
        <w:t>供应商须知表</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条款</w:t>
            </w:r>
            <w:r>
              <w:rPr>
                <w:rFonts w:hint="eastAsia" w:asciiTheme="minorEastAsia" w:hAnsiTheme="minorEastAsia" w:eastAsiaTheme="minorEastAsia" w:cstheme="minorEastAsia"/>
                <w:color w:val="auto"/>
                <w:sz w:val="24"/>
                <w:szCs w:val="24"/>
                <w:highlight w:val="none"/>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Cs/>
                <w:color w:val="auto"/>
                <w:sz w:val="24"/>
                <w:szCs w:val="24"/>
                <w:highlight w:val="none"/>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9"/>
                <w:sz w:val="24"/>
                <w:szCs w:val="24"/>
                <w:highlight w:val="none"/>
                <w:lang w:eastAsia="zh-CN"/>
              </w:rPr>
              <w:t>☑</w:t>
            </w:r>
            <w:r>
              <w:rPr>
                <w:rFonts w:hint="eastAsia" w:asciiTheme="minorEastAsia" w:hAnsiTheme="minorEastAsia" w:eastAsiaTheme="minorEastAsia" w:cstheme="minorEastAsia"/>
                <w:color w:val="auto"/>
                <w:spacing w:val="19"/>
                <w:sz w:val="24"/>
                <w:szCs w:val="24"/>
                <w:highlight w:val="none"/>
              </w:rPr>
              <w:t>服务</w:t>
            </w:r>
          </w:p>
          <w:p>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pacing w:val="19"/>
                <w:sz w:val="24"/>
                <w:szCs w:val="24"/>
                <w:highlight w:val="none"/>
              </w:rPr>
            </w:pPr>
            <w:r>
              <w:rPr>
                <w:rFonts w:hint="eastAsia" w:asciiTheme="minorEastAsia" w:hAnsiTheme="minorEastAsia" w:eastAsiaTheme="minorEastAsia" w:cstheme="minorEastAsia"/>
                <w:color w:val="auto"/>
                <w:spacing w:val="19"/>
                <w:sz w:val="24"/>
                <w:szCs w:val="24"/>
                <w:highlight w:val="none"/>
              </w:rPr>
              <w:t>□货物</w:t>
            </w:r>
          </w:p>
          <w:p>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pacing w:val="19"/>
                <w:sz w:val="24"/>
                <w:szCs w:val="24"/>
                <w:highlight w:val="none"/>
                <w:lang w:val="en-US" w:eastAsia="zh-CN"/>
              </w:rPr>
            </w:pPr>
            <w:r>
              <w:rPr>
                <w:rFonts w:hint="eastAsia" w:asciiTheme="minorEastAsia" w:hAnsiTheme="minorEastAsia" w:eastAsiaTheme="minorEastAsia" w:cstheme="minorEastAsia"/>
                <w:color w:val="auto"/>
                <w:spacing w:val="19"/>
                <w:sz w:val="24"/>
                <w:szCs w:val="24"/>
                <w:highlight w:val="none"/>
                <w:lang w:eastAsia="zh-CN"/>
              </w:rPr>
              <w:t>□</w:t>
            </w:r>
            <w:r>
              <w:rPr>
                <w:rFonts w:hint="eastAsia" w:asciiTheme="minorEastAsia" w:hAnsiTheme="minorEastAsia" w:eastAsiaTheme="minorEastAsia" w:cstheme="minorEastAsia"/>
                <w:color w:val="auto"/>
                <w:spacing w:val="19"/>
                <w:sz w:val="24"/>
                <w:szCs w:val="24"/>
                <w:highlight w:val="none"/>
                <w:lang w:val="en-US"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是否属于科研仪器设备采购项目：</w:t>
            </w:r>
          </w:p>
          <w:p>
            <w:pPr>
              <w:pStyle w:val="30"/>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9"/>
                <w:sz w:val="24"/>
                <w:szCs w:val="24"/>
                <w:highlight w:val="none"/>
              </w:rPr>
              <w:t>□是</w:t>
            </w:r>
          </w:p>
          <w:p>
            <w:pPr>
              <w:pStyle w:val="30"/>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不组织</w:t>
            </w:r>
          </w:p>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□组织，考察时间：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5"/>
                <w:sz w:val="24"/>
                <w:szCs w:val="24"/>
                <w:highlight w:val="none"/>
              </w:rPr>
              <w:t>考察地点：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不召开</w:t>
            </w:r>
          </w:p>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□召开，召开时间：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pacing w:val="-26"/>
                <w:sz w:val="24"/>
                <w:szCs w:val="24"/>
                <w:highlight w:val="none"/>
              </w:rPr>
              <w:t>召开地点：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highlight w:val="none"/>
                <w:shd w:val="clear"/>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1、本项目采购标的按照中小企业划分标准属于：</w:t>
            </w:r>
            <w:r>
              <w:rPr>
                <w:rFonts w:hint="eastAsia" w:asciiTheme="minorEastAsia" w:hAnsiTheme="minorEastAsia" w:eastAsiaTheme="minorEastAsia" w:cstheme="minorEastAsia"/>
                <w:snapToGrid w:val="0"/>
                <w:color w:val="auto"/>
                <w:spacing w:val="29"/>
                <w:kern w:val="0"/>
                <w:sz w:val="24"/>
                <w:szCs w:val="24"/>
                <w:highlight w:val="none"/>
                <w:u w:val="single"/>
                <w:shd w:val="clear"/>
                <w:lang w:val="en-US" w:eastAsia="zh-CN" w:bidi="ar-SA"/>
              </w:rPr>
              <w:t xml:space="preserve"> 其他未列明行业 </w:t>
            </w:r>
          </w:p>
          <w:p>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☑本项目专门面向中小企业采购。</w:t>
            </w:r>
          </w:p>
          <w:p>
            <w:pPr>
              <w:keepNext w:val="0"/>
              <w:keepLines w:val="0"/>
              <w:widowControl/>
              <w:suppressLineNumbers w:val="0"/>
              <w:jc w:val="left"/>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
              </w:rPr>
              <w:t>□本项目小微企业价格折扣比例</w:t>
            </w:r>
            <w:r>
              <w:rPr>
                <w:rFonts w:hint="eastAsia" w:ascii="宋体" w:hAnsi="宋体" w:eastAsia="宋体" w:cs="宋体"/>
                <w:snapToGrid w:val="0"/>
                <w:color w:val="auto"/>
                <w:kern w:val="0"/>
                <w:sz w:val="24"/>
                <w:szCs w:val="24"/>
                <w:highlight w:val="none"/>
                <w:u w:val="single"/>
                <w:lang w:val="en-US" w:eastAsia="zh-CN" w:bidi="ar"/>
              </w:rPr>
              <w:t xml:space="preserve">   </w:t>
            </w:r>
            <w:r>
              <w:rPr>
                <w:rFonts w:hint="eastAsia" w:ascii="宋体" w:hAnsi="宋体" w:eastAsia="宋体" w:cs="宋体"/>
                <w:snapToGrid w:val="0"/>
                <w:color w:val="auto"/>
                <w:kern w:val="0"/>
                <w:sz w:val="24"/>
                <w:szCs w:val="24"/>
                <w:highlight w:val="none"/>
                <w:u w:val="none"/>
                <w:lang w:val="en-US" w:eastAsia="zh-CN" w:bidi="ar"/>
              </w:rPr>
              <w:t xml:space="preserve"> %</w:t>
            </w:r>
          </w:p>
          <w:p>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0"/>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sz w:val="24"/>
                <w:szCs w:val="24"/>
                <w:highlight w:val="none"/>
              </w:rPr>
            </w:pPr>
          </w:p>
          <w:p>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磋商</w:t>
            </w:r>
            <w:r>
              <w:rPr>
                <w:rFonts w:hint="eastAsia" w:asciiTheme="minorEastAsia" w:hAnsiTheme="minorEastAsia" w:eastAsiaTheme="minorEastAsia" w:cstheme="minorEastAsia"/>
                <w:color w:val="auto"/>
                <w:spacing w:val="-3"/>
                <w:sz w:val="24"/>
                <w:szCs w:val="24"/>
                <w:highlight w:val="none"/>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磋商</w:t>
            </w:r>
            <w:r>
              <w:rPr>
                <w:rFonts w:hint="eastAsia" w:asciiTheme="minorEastAsia" w:hAnsiTheme="minorEastAsia" w:eastAsiaTheme="minorEastAsia" w:cstheme="minorEastAsia"/>
                <w:color w:val="auto"/>
                <w:spacing w:val="-7"/>
                <w:sz w:val="24"/>
                <w:szCs w:val="24"/>
                <w:highlight w:val="none"/>
              </w:rPr>
              <w:t>报价的特殊规定：</w:t>
            </w:r>
          </w:p>
          <w:p>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rPr>
              <w:t>无</w:t>
            </w:r>
          </w:p>
          <w:p>
            <w:pPr>
              <w:pStyle w:val="30"/>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rPr>
              <w:t>□有，具体情形：。</w:t>
            </w:r>
          </w:p>
          <w:p>
            <w:pPr>
              <w:pStyle w:val="30"/>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1"/>
                <w:position w:val="5"/>
                <w:sz w:val="24"/>
                <w:szCs w:val="24"/>
                <w:highlight w:val="none"/>
              </w:rPr>
              <w:t>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12"/>
                <w:sz w:val="24"/>
                <w:szCs w:val="24"/>
                <w:highlight w:val="none"/>
                <w:u w:val="none"/>
                <w:lang w:val="en-US" w:eastAsia="zh-CN"/>
              </w:rPr>
              <w:t>小写：840000.00元     大写：捌拾肆万元整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开标之日起</w:t>
            </w:r>
            <w:r>
              <w:rPr>
                <w:rFonts w:hint="eastAsia" w:asciiTheme="minorEastAsia" w:hAnsiTheme="minorEastAsia" w:eastAsiaTheme="minorEastAsia" w:cstheme="minorEastAsia"/>
                <w:color w:val="auto"/>
                <w:sz w:val="24"/>
                <w:szCs w:val="24"/>
                <w:highlight w:val="none"/>
                <w:lang w:eastAsia="zh-CN"/>
              </w:rPr>
              <w:t>60</w:t>
            </w:r>
            <w:r>
              <w:rPr>
                <w:rFonts w:hint="eastAsia" w:asciiTheme="minorEastAsia" w:hAnsiTheme="minorEastAsia" w:eastAsiaTheme="minorEastAsia" w:cstheme="minorEastAsia"/>
                <w:color w:val="auto"/>
                <w:sz w:val="24"/>
                <w:szCs w:val="24"/>
                <w:highlight w:val="none"/>
              </w:rPr>
              <w:t>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电子</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lang w:eastAsia="zh-CN"/>
              </w:rPr>
              <w:t>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上传</w:t>
            </w:r>
            <w:r>
              <w:rPr>
                <w:rFonts w:hint="eastAsia" w:asciiTheme="minorEastAsia" w:hAnsiTheme="minorEastAsia" w:eastAsiaTheme="minorEastAsia" w:cstheme="minorEastAsia"/>
                <w:color w:val="auto"/>
                <w:sz w:val="24"/>
                <w:szCs w:val="24"/>
                <w:highlight w:val="none"/>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26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30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26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30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供应商资格要</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求(须同时满</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足)</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pacing w:val="-12"/>
                <w:sz w:val="24"/>
                <w:szCs w:val="24"/>
                <w:highlight w:val="none"/>
                <w:u w:val="single"/>
                <w:lang w:val="en-US" w:eastAsia="zh-CN"/>
              </w:rPr>
            </w:pPr>
            <w:r>
              <w:rPr>
                <w:rFonts w:hint="eastAsia" w:asciiTheme="minorEastAsia" w:hAnsiTheme="minorEastAsia" w:eastAsiaTheme="minorEastAsia" w:cstheme="minorEastAsia"/>
                <w:color w:val="auto"/>
                <w:spacing w:val="-12"/>
                <w:sz w:val="24"/>
                <w:szCs w:val="24"/>
                <w:highlight w:val="none"/>
                <w:u w:val="none"/>
                <w:lang w:val="en-US" w:eastAsia="zh-CN"/>
              </w:rPr>
              <w:t>同竞争性磋商公告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磋商保证金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本项目不收投标保证金。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履约保证金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本项目免收履约保证金。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lang w:eastAsia="zh-CN"/>
              </w:rPr>
              <w:t>是否委托</w:t>
            </w:r>
            <w:r>
              <w:rPr>
                <w:rFonts w:hint="eastAsia" w:asciiTheme="minorEastAsia" w:hAnsiTheme="minorEastAsia" w:eastAsiaTheme="minorEastAsia" w:cstheme="minorEastAsia"/>
                <w:color w:val="auto"/>
                <w:sz w:val="24"/>
                <w:szCs w:val="24"/>
                <w:highlight w:val="none"/>
                <w:lang w:val="en-US" w:eastAsia="zh-CN"/>
              </w:rPr>
              <w:t>磋商小组</w:t>
            </w:r>
            <w:r>
              <w:rPr>
                <w:rFonts w:hint="eastAsia" w:asciiTheme="minorEastAsia" w:hAnsiTheme="minorEastAsia" w:eastAsiaTheme="minorEastAsia" w:cstheme="minorEastAsia"/>
                <w:color w:val="auto"/>
                <w:sz w:val="24"/>
                <w:szCs w:val="24"/>
                <w:highlight w:val="none"/>
                <w:lang w:eastAsia="zh-CN"/>
              </w:rPr>
              <w:t>直接确定</w:t>
            </w:r>
            <w:r>
              <w:rPr>
                <w:rFonts w:hint="eastAsia" w:asciiTheme="minorEastAsia" w:hAnsiTheme="minorEastAsia" w:eastAsiaTheme="minorEastAsia" w:cstheme="minorEastAsia"/>
                <w:color w:val="auto"/>
                <w:sz w:val="24"/>
                <w:szCs w:val="24"/>
                <w:highlight w:val="none"/>
                <w:lang w:val="en-US" w:eastAsia="zh-CN"/>
              </w:rPr>
              <w:t>成交</w:t>
            </w:r>
            <w:r>
              <w:rPr>
                <w:rFonts w:hint="eastAsia" w:asciiTheme="minorEastAsia" w:hAnsiTheme="minorEastAsia" w:eastAsiaTheme="minorEastAsia" w:cstheme="minorEastAsia"/>
                <w:color w:val="auto"/>
                <w:sz w:val="24"/>
                <w:szCs w:val="24"/>
                <w:highlight w:val="none"/>
                <w:lang w:eastAsia="zh-CN"/>
              </w:rPr>
              <w:t>人：</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是</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lang w:val="en-US" w:eastAsia="zh-CN"/>
              </w:rPr>
              <w:t>否</w:t>
            </w:r>
          </w:p>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由磋商小组推荐成交供应商3名，采购人出具成交确认书确定成交供应商。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代理费</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29"/>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集中采购机构不收费</w:t>
            </w:r>
          </w:p>
          <w:p>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收费对象：</w:t>
            </w:r>
            <w:r>
              <w:rPr>
                <w:rFonts w:hint="eastAsia" w:asciiTheme="minorEastAsia" w:hAnsiTheme="minorEastAsia" w:eastAsiaTheme="minorEastAsia" w:cstheme="minorEastAsia"/>
                <w:color w:val="auto"/>
                <w:spacing w:val="29"/>
                <w:sz w:val="24"/>
                <w:szCs w:val="24"/>
                <w:highlight w:val="none"/>
              </w:rPr>
              <w:t>□</w:t>
            </w:r>
            <w:r>
              <w:rPr>
                <w:rFonts w:hint="eastAsia" w:asciiTheme="minorEastAsia" w:hAnsiTheme="minorEastAsia" w:eastAsiaTheme="minorEastAsia" w:cstheme="minorEastAsia"/>
                <w:color w:val="auto"/>
                <w:spacing w:val="29"/>
                <w:sz w:val="24"/>
                <w:szCs w:val="24"/>
                <w:highlight w:val="none"/>
                <w:lang w:val="en-US" w:eastAsia="zh-CN"/>
              </w:rPr>
              <w:t>采购人</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Theme="minorEastAsia" w:hAnsiTheme="minorEastAsia" w:eastAsiaTheme="minorEastAsia" w:cstheme="minorEastAsia"/>
                <w:color w:val="auto"/>
                <w:spacing w:val="-13"/>
                <w:sz w:val="24"/>
                <w:szCs w:val="24"/>
                <w:highlight w:val="none"/>
                <w:lang w:val="en-US" w:eastAsia="zh-CN"/>
              </w:rPr>
              <w:t>中标人</w:t>
            </w:r>
          </w:p>
          <w:p>
            <w:pPr>
              <w:pStyle w:val="30"/>
              <w:keepNext w:val="0"/>
              <w:keepLines w:val="0"/>
              <w:pageBreakBefore w:val="0"/>
              <w:kinsoku/>
              <w:wordWrap w:val="0"/>
              <w:overflowPunct/>
              <w:topLinePunct w:val="0"/>
              <w:bidi w:val="0"/>
              <w:spacing w:before="1" w:line="220" w:lineRule="auto"/>
              <w:ind w:left="126" w:leftChars="0"/>
              <w:jc w:val="both"/>
              <w:rPr>
                <w:rFonts w:hint="default"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color w:val="auto"/>
                <w:spacing w:val="-13"/>
                <w:sz w:val="24"/>
                <w:szCs w:val="24"/>
                <w:highlight w:val="none"/>
                <w:lang w:val="en-US" w:eastAsia="zh-CN"/>
              </w:rPr>
              <w:t>收费标准：</w:t>
            </w:r>
            <w:r>
              <w:rPr>
                <w:rFonts w:hint="eastAsia" w:asciiTheme="minorEastAsia" w:hAnsiTheme="minorEastAsia" w:eastAsiaTheme="minorEastAsia" w:cstheme="minorEastAsia"/>
                <w:color w:val="auto"/>
                <w:spacing w:val="-13"/>
                <w:sz w:val="24"/>
                <w:szCs w:val="24"/>
                <w:highlight w:val="none"/>
                <w:shd w:val="clear"/>
                <w:lang w:val="en-US" w:eastAsia="zh-CN"/>
              </w:rPr>
              <w:t>按照豫招协【2023】002号文规定之招标代理服务收费计算标准，向中标、成交供应商收取，不足1万按1万元收取。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color w:val="auto"/>
                <w:spacing w:val="0"/>
                <w:sz w:val="24"/>
                <w:szCs w:val="24"/>
                <w:highlight w:val="none"/>
              </w:rPr>
              <w:t>解释权</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Theme="minorEastAsia" w:hAnsiTheme="minorEastAsia" w:eastAsiaTheme="minorEastAsia" w:cstheme="minorEastAsia"/>
                <w:color w:val="auto"/>
                <w:spacing w:val="-13"/>
                <w:sz w:val="24"/>
                <w:szCs w:val="24"/>
                <w:highlight w:val="none"/>
                <w:lang w:val="en-US" w:eastAsia="zh-CN"/>
              </w:rPr>
            </w:pPr>
            <w:r>
              <w:rPr>
                <w:color w:val="auto"/>
                <w:spacing w:val="0"/>
                <w:sz w:val="24"/>
                <w:szCs w:val="24"/>
                <w:highlight w:val="none"/>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供应商须知、评审办法、磋商文件格式的先后顺序解释；同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供应商提出问题的截止时间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both"/>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递交响应性文件的截止之日5日前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其他说明</w:t>
            </w:r>
          </w:p>
        </w:tc>
        <w:tc>
          <w:tcPr>
            <w:tcW w:w="7305" w:type="dxa"/>
            <w:tcBorders>
              <w:top w:val="single" w:color="auto" w:sz="6" w:space="0"/>
              <w:left w:val="single" w:color="auto" w:sz="6" w:space="0"/>
              <w:bottom w:val="single" w:color="auto" w:sz="12" w:space="0"/>
              <w:right w:val="single" w:color="auto" w:sz="12" w:space="0"/>
            </w:tcBorders>
            <w:noWrap w:val="0"/>
            <w:vAlign w:val="top"/>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“招标人”与“采购人”，“投标人”与“供应商”按照同一意思理解。</w:t>
            </w:r>
          </w:p>
        </w:tc>
      </w:tr>
    </w:tbl>
    <w:p>
      <w:pPr>
        <w:pStyle w:val="3"/>
        <w:keepNext w:val="0"/>
        <w:keepLines w:val="0"/>
        <w:pageBreakBefore w:val="0"/>
        <w:kinsoku/>
        <w:wordWrap w:val="0"/>
        <w:overflowPunct/>
        <w:topLinePunct w:val="0"/>
        <w:bidi w:val="0"/>
        <w:spacing w:before="91" w:line="360" w:lineRule="auto"/>
        <w:ind w:left="3844"/>
        <w:jc w:val="both"/>
        <w:rPr>
          <w:color w:val="auto"/>
          <w:sz w:val="28"/>
          <w:szCs w:val="28"/>
          <w:highlight w:val="none"/>
        </w:rPr>
      </w:pPr>
      <w:r>
        <w:rPr>
          <w:color w:val="auto"/>
          <w:spacing w:val="-1"/>
          <w:sz w:val="28"/>
          <w:szCs w:val="28"/>
          <w:highlight w:val="none"/>
          <w14:textOutline w14:w="1800" w14:cap="flat" w14:cmpd="sng">
            <w14:solidFill>
              <w14:srgbClr w14:val="000000"/>
            </w14:solidFill>
            <w14:prstDash w14:val="solid"/>
            <w14:miter w14:val="0"/>
          </w14:textOutline>
        </w:rPr>
        <w:t>供应商须知</w:t>
      </w:r>
    </w:p>
    <w:p>
      <w:pPr>
        <w:pStyle w:val="3"/>
        <w:keepNext w:val="0"/>
        <w:keepLines w:val="0"/>
        <w:pageBreakBefore w:val="0"/>
        <w:kinsoku/>
        <w:wordWrap w:val="0"/>
        <w:overflowPunct/>
        <w:topLinePunct w:val="0"/>
        <w:bidi w:val="0"/>
        <w:spacing w:before="270" w:line="360" w:lineRule="auto"/>
        <w:jc w:val="both"/>
        <w:outlineLvl w:val="1"/>
        <w:rPr>
          <w:rFonts w:hint="eastAsia" w:asciiTheme="minorEastAsia" w:hAnsiTheme="minorEastAsia" w:eastAsiaTheme="minorEastAsia" w:cstheme="minorEastAsia"/>
          <w:color w:val="auto"/>
          <w:spacing w:val="-1"/>
          <w:sz w:val="24"/>
          <w:szCs w:val="24"/>
          <w:highlight w:val="none"/>
        </w:rPr>
      </w:pPr>
      <w:bookmarkStart w:id="20" w:name="_Toc9525"/>
      <w:r>
        <w:rPr>
          <w:color w:val="auto"/>
          <w:spacing w:val="-10"/>
          <w:sz w:val="28"/>
          <w:szCs w:val="28"/>
          <w:highlight w:val="none"/>
          <w14:textOutline w14:w="1800" w14:cap="flat" w14:cmpd="sng">
            <w14:solidFill>
              <w14:srgbClr w14:val="000000"/>
            </w14:solidFill>
            <w14:prstDash w14:val="solid"/>
            <w14:miter w14:val="0"/>
          </w14:textOutline>
        </w:rPr>
        <w:t>一</w:t>
      </w:r>
      <w:r>
        <w:rPr>
          <w:rFonts w:hint="eastAsia"/>
          <w:color w:val="auto"/>
          <w:spacing w:val="5"/>
          <w:sz w:val="28"/>
          <w:szCs w:val="28"/>
          <w:highlight w:val="none"/>
          <w:lang w:eastAsia="zh-CN"/>
        </w:rPr>
        <w:t>、</w:t>
      </w:r>
      <w:r>
        <w:rPr>
          <w:color w:val="auto"/>
          <w:spacing w:val="-10"/>
          <w:sz w:val="28"/>
          <w:szCs w:val="28"/>
          <w:highlight w:val="none"/>
          <w14:textOutline w14:w="1800" w14:cap="flat" w14:cmpd="sng">
            <w14:solidFill>
              <w14:srgbClr w14:val="000000"/>
            </w14:solidFill>
            <w14:prstDash w14:val="solid"/>
            <w14:miter w14:val="0"/>
          </w14:textOutline>
        </w:rPr>
        <w:t>说明</w:t>
      </w:r>
      <w:bookmarkEnd w:id="20"/>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1"/>
          <w:sz w:val="24"/>
          <w:szCs w:val="24"/>
          <w:highlight w:val="none"/>
        </w:rPr>
        <w:t>1</w:t>
      </w:r>
      <w:r>
        <w:rPr>
          <w:rFonts w:hint="eastAsia" w:asciiTheme="minorEastAsia" w:hAnsiTheme="minorEastAsia" w:eastAsiaTheme="minorEastAsia" w:cstheme="minorEastAsia"/>
          <w:b/>
          <w:bCs/>
          <w:color w:val="auto"/>
          <w:spacing w:val="-1"/>
          <w:sz w:val="24"/>
          <w:szCs w:val="24"/>
          <w:highlight w:val="none"/>
          <w:lang w:val="en-US" w:eastAsia="zh-CN"/>
        </w:rPr>
        <w:t>.</w:t>
      </w:r>
      <w:r>
        <w:rPr>
          <w:rFonts w:hint="eastAsia" w:asciiTheme="minorEastAsia" w:hAnsiTheme="minorEastAsia" w:eastAsiaTheme="minorEastAsia" w:cstheme="minorEastAsia"/>
          <w:b/>
          <w:bCs/>
          <w:color w:val="auto"/>
          <w:spacing w:val="-1"/>
          <w:sz w:val="24"/>
          <w:szCs w:val="24"/>
          <w:highlight w:val="none"/>
        </w:rPr>
        <w:t>采购人、采购代理机构、</w:t>
      </w:r>
      <w:r>
        <w:rPr>
          <w:rFonts w:hint="eastAsia" w:asciiTheme="minorEastAsia" w:hAnsiTheme="minorEastAsia" w:eastAsiaTheme="minorEastAsia" w:cstheme="minorEastAsia"/>
          <w:b/>
          <w:bCs/>
          <w:color w:val="auto"/>
          <w:spacing w:val="-4"/>
          <w:sz w:val="24"/>
          <w:szCs w:val="24"/>
          <w:highlight w:val="none"/>
          <w:lang w:val="en-US" w:eastAsia="zh-CN"/>
        </w:rPr>
        <w:t>供应商</w:t>
      </w:r>
      <w:r>
        <w:rPr>
          <w:rFonts w:hint="eastAsia" w:asciiTheme="minorEastAsia" w:hAnsiTheme="minorEastAsia" w:eastAsiaTheme="minorEastAsia" w:cstheme="minorEastAsia"/>
          <w:b/>
          <w:bCs/>
          <w:color w:val="auto"/>
          <w:spacing w:val="-1"/>
          <w:sz w:val="24"/>
          <w:szCs w:val="24"/>
          <w:highlight w:val="none"/>
        </w:rPr>
        <w:t>、联合体</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auto"/>
          <w:spacing w:val="2"/>
          <w:sz w:val="24"/>
          <w:szCs w:val="24"/>
          <w:highlight w:val="none"/>
          <w:lang w:val="en-US" w:eastAsia="zh-CN"/>
        </w:rPr>
        <w:t>竞争性磋商公告</w:t>
      </w:r>
      <w:r>
        <w:rPr>
          <w:rFonts w:hint="eastAsia" w:asciiTheme="minorEastAsia" w:hAnsiTheme="minorEastAsia" w:eastAsiaTheme="minorEastAsia" w:cstheme="minorEastAsia"/>
          <w:color w:val="auto"/>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供应商（也称申请人）：指向采购人</w:t>
      </w:r>
      <w:r>
        <w:rPr>
          <w:rFonts w:hint="eastAsia" w:asciiTheme="minorEastAsia" w:hAnsiTheme="minorEastAsia" w:eastAsiaTheme="minorEastAsia" w:cstheme="minorEastAsia"/>
          <w:color w:val="auto"/>
          <w:spacing w:val="2"/>
          <w:sz w:val="24"/>
          <w:szCs w:val="24"/>
          <w:highlight w:val="none"/>
          <w:lang w:val="en-US" w:eastAsia="zh-CN"/>
        </w:rPr>
        <w:t>提</w:t>
      </w:r>
      <w:r>
        <w:rPr>
          <w:rFonts w:hint="eastAsia" w:asciiTheme="minorEastAsia" w:hAnsiTheme="minorEastAsia" w:eastAsiaTheme="minorEastAsia" w:cstheme="minorEastAsia"/>
          <w:color w:val="auto"/>
          <w:spacing w:val="2"/>
          <w:sz w:val="24"/>
          <w:szCs w:val="24"/>
          <w:highlight w:val="none"/>
        </w:rPr>
        <w:t>供货物、工程或者服务的法人、其他组织或者自然人。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1.3</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联合体：指两个以上的自然人、法人或者其他组织组成一个联合体，以一个供应商的身份共同参加政府采购。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资金来源、项目属性、科研仪器设备采购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2.1</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rPr>
        <w:t>资金来源为</w:t>
      </w:r>
      <w:r>
        <w:rPr>
          <w:rFonts w:hint="eastAsia" w:asciiTheme="minorEastAsia" w:hAnsiTheme="minorEastAsia" w:eastAsiaTheme="minorEastAsia" w:cstheme="minorEastAsia"/>
          <w:color w:val="auto"/>
          <w:spacing w:val="7"/>
          <w:sz w:val="24"/>
          <w:szCs w:val="24"/>
          <w:highlight w:val="none"/>
          <w:lang w:val="en-US" w:eastAsia="zh-CN"/>
        </w:rPr>
        <w:t>财政资金</w:t>
      </w:r>
      <w:r>
        <w:rPr>
          <w:rFonts w:hint="eastAsia" w:asciiTheme="minorEastAsia" w:hAnsiTheme="minorEastAsia" w:eastAsiaTheme="minorEastAsia" w:cstheme="minorEastAsia"/>
          <w:color w:val="auto"/>
          <w:spacing w:val="-9"/>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项目属性见《</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lang w:eastAsia="zh-CN"/>
        </w:rPr>
        <w:t>须知表</w:t>
      </w:r>
      <w:r>
        <w:rPr>
          <w:rFonts w:hint="eastAsia" w:asciiTheme="minorEastAsia" w:hAnsiTheme="minorEastAsia" w:eastAsiaTheme="minorEastAsia" w:cstheme="minorEastAsia"/>
          <w:color w:val="auto"/>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2.3</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是否属于科研仪器设备采购见《</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lang w:eastAsia="zh-CN"/>
        </w:rPr>
        <w:t>须知表</w:t>
      </w:r>
      <w:r>
        <w:rPr>
          <w:rFonts w:hint="eastAsia" w:asciiTheme="minorEastAsia" w:hAnsiTheme="minorEastAsia" w:eastAsiaTheme="minorEastAsia" w:cstheme="minorEastAsia"/>
          <w:color w:val="auto"/>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现场考察、开标前答疑会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3.1</w:t>
      </w:r>
      <w:r>
        <w:rPr>
          <w:rFonts w:hint="eastAsia" w:asciiTheme="minorEastAsia" w:hAnsiTheme="minorEastAsia" w:eastAsiaTheme="minorEastAsia" w:cstheme="minorEastAsia"/>
          <w:color w:val="auto"/>
          <w:spacing w:val="3"/>
          <w:sz w:val="24"/>
          <w:szCs w:val="24"/>
          <w:highlight w:val="none"/>
          <w:lang w:val="en-US" w:eastAsia="zh-CN"/>
        </w:rPr>
        <w:t xml:space="preserve"> </w:t>
      </w:r>
      <w:r>
        <w:rPr>
          <w:rFonts w:hint="eastAsia" w:asciiTheme="minorEastAsia" w:hAnsiTheme="minorEastAsia" w:eastAsiaTheme="minorEastAsia" w:cstheme="minorEastAsia"/>
          <w:color w:val="auto"/>
          <w:spacing w:val="3"/>
          <w:sz w:val="24"/>
          <w:szCs w:val="24"/>
          <w:highlight w:val="none"/>
        </w:rPr>
        <w:t>若《</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color w:val="auto"/>
          <w:spacing w:val="3"/>
          <w:sz w:val="24"/>
          <w:szCs w:val="24"/>
          <w:highlight w:val="none"/>
          <w:lang w:eastAsia="zh-CN"/>
        </w:rPr>
        <w:t>须知表</w:t>
      </w:r>
      <w:r>
        <w:rPr>
          <w:rFonts w:hint="eastAsia" w:asciiTheme="minorEastAsia" w:hAnsiTheme="minorEastAsia" w:eastAsiaTheme="minorEastAsia" w:cstheme="minorEastAsia"/>
          <w:color w:val="auto"/>
          <w:spacing w:val="3"/>
          <w:sz w:val="24"/>
          <w:szCs w:val="24"/>
          <w:highlight w:val="none"/>
        </w:rPr>
        <w:t>》中规定了组</w:t>
      </w:r>
      <w:r>
        <w:rPr>
          <w:rFonts w:hint="eastAsia" w:asciiTheme="minorEastAsia" w:hAnsiTheme="minorEastAsia" w:eastAsiaTheme="minorEastAsia" w:cstheme="minorEastAsia"/>
          <w:color w:val="auto"/>
          <w:spacing w:val="2"/>
          <w:sz w:val="24"/>
          <w:szCs w:val="24"/>
          <w:highlight w:val="none"/>
        </w:rPr>
        <w:t>织现场考察、召开</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前答疑会，则供应商</w:t>
      </w:r>
      <w:r>
        <w:rPr>
          <w:rFonts w:hint="eastAsia" w:asciiTheme="minorEastAsia" w:hAnsiTheme="minorEastAsia" w:eastAsiaTheme="minorEastAsia" w:cstheme="minorEastAsia"/>
          <w:color w:val="auto"/>
          <w:spacing w:val="-3"/>
          <w:sz w:val="24"/>
          <w:szCs w:val="24"/>
          <w:highlight w:val="none"/>
        </w:rPr>
        <w:t>应按要求在规定的时间和地点参加。</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3.2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由于未参加现场考察或</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前答疑会而导致对项目实际情况不了解，影响</w:t>
      </w:r>
      <w:r>
        <w:rPr>
          <w:rFonts w:hint="eastAsia" w:asciiTheme="minorEastAsia" w:hAnsiTheme="minorEastAsia" w:eastAsiaTheme="minorEastAsia" w:cstheme="minorEastAsia"/>
          <w:color w:val="auto"/>
          <w:spacing w:val="2"/>
          <w:sz w:val="24"/>
          <w:szCs w:val="24"/>
          <w:highlight w:val="none"/>
          <w:lang w:val="en-US" w:eastAsia="zh-CN"/>
        </w:rPr>
        <w:t>响应</w:t>
      </w:r>
      <w:r>
        <w:rPr>
          <w:rFonts w:hint="eastAsia" w:asciiTheme="minorEastAsia" w:hAnsiTheme="minorEastAsia" w:eastAsiaTheme="minorEastAsia" w:cstheme="minorEastAsia"/>
          <w:color w:val="auto"/>
          <w:spacing w:val="2"/>
          <w:sz w:val="24"/>
          <w:szCs w:val="24"/>
          <w:highlight w:val="none"/>
        </w:rPr>
        <w:t>文件编制、</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报价准确性、综合因素响应不全面等问题的，由</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rPr>
        <w:t>自行承担不利评审后果。</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1"/>
          <w:position w:val="17"/>
          <w:sz w:val="24"/>
          <w:szCs w:val="24"/>
          <w:highlight w:val="none"/>
          <w:lang w:val="en-US" w:eastAsia="zh-CN"/>
        </w:rPr>
        <w:t>4.</w:t>
      </w:r>
      <w:r>
        <w:rPr>
          <w:rFonts w:hint="eastAsia" w:asciiTheme="minorEastAsia" w:hAnsiTheme="minorEastAsia" w:eastAsiaTheme="minorEastAsia" w:cstheme="minorEastAsia"/>
          <w:b/>
          <w:bCs/>
          <w:color w:val="auto"/>
          <w:spacing w:val="-1"/>
          <w:position w:val="17"/>
          <w:sz w:val="24"/>
          <w:szCs w:val="24"/>
          <w:highlight w:val="none"/>
        </w:rPr>
        <w:t>政府采购政策（包括但不限于下列具体政策要求）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采购本国货物、工程和服务</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.1.1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政府采购应当采购本国货物、工程和服务。但有《中华人民共和国政府采购法》第十条规定情形的除外。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.1.2</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本项目如接受非本国货</w:t>
      </w:r>
      <w:r>
        <w:rPr>
          <w:rFonts w:hint="eastAsia" w:asciiTheme="minorEastAsia" w:hAnsiTheme="minorEastAsia" w:eastAsiaTheme="minorEastAsia" w:cstheme="minorEastAsia"/>
          <w:color w:val="auto"/>
          <w:spacing w:val="-5"/>
          <w:sz w:val="24"/>
          <w:szCs w:val="24"/>
          <w:highlight w:val="none"/>
        </w:rPr>
        <w:t>物、工程、服务参与</w:t>
      </w:r>
      <w:r>
        <w:rPr>
          <w:rFonts w:hint="eastAsia" w:asciiTheme="minorEastAsia" w:hAnsiTheme="minorEastAsia" w:eastAsiaTheme="minorEastAsia" w:cstheme="minorEastAsia"/>
          <w:color w:val="auto"/>
          <w:spacing w:val="-5"/>
          <w:sz w:val="24"/>
          <w:szCs w:val="24"/>
          <w:highlight w:val="none"/>
          <w:lang w:val="en-US" w:eastAsia="zh-CN"/>
        </w:rPr>
        <w:t>磋商</w:t>
      </w:r>
      <w:r>
        <w:rPr>
          <w:rFonts w:hint="eastAsia" w:asciiTheme="minorEastAsia" w:hAnsiTheme="minorEastAsia" w:eastAsiaTheme="minorEastAsia" w:cstheme="minorEastAsia"/>
          <w:color w:val="auto"/>
          <w:spacing w:val="-5"/>
          <w:sz w:val="24"/>
          <w:szCs w:val="24"/>
          <w:highlight w:val="none"/>
        </w:rPr>
        <w:t>，则具体要求见第</w:t>
      </w:r>
      <w:r>
        <w:rPr>
          <w:rFonts w:hint="eastAsia" w:asciiTheme="minorEastAsia" w:hAnsiTheme="minorEastAsia" w:eastAsiaTheme="minorEastAsia" w:cstheme="minorEastAsia"/>
          <w:color w:val="auto"/>
          <w:spacing w:val="-5"/>
          <w:sz w:val="24"/>
          <w:szCs w:val="24"/>
          <w:highlight w:val="none"/>
          <w:lang w:val="en-US" w:eastAsia="zh-CN"/>
        </w:rPr>
        <w:t>二</w:t>
      </w:r>
      <w:r>
        <w:rPr>
          <w:rFonts w:hint="eastAsia" w:asciiTheme="minorEastAsia" w:hAnsiTheme="minorEastAsia" w:eastAsiaTheme="minorEastAsia" w:cstheme="minorEastAsia"/>
          <w:color w:val="auto"/>
          <w:spacing w:val="-19"/>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.1.3</w:t>
      </w:r>
      <w:r>
        <w:rPr>
          <w:rFonts w:hint="eastAsia" w:asciiTheme="minorEastAsia" w:hAnsiTheme="minorEastAsia" w:eastAsiaTheme="minorEastAsia" w:cstheme="minorEastAsia"/>
          <w:color w:val="auto"/>
          <w:spacing w:val="6"/>
          <w:sz w:val="24"/>
          <w:szCs w:val="24"/>
          <w:highlight w:val="none"/>
          <w:lang w:val="en-US" w:eastAsia="zh-CN"/>
        </w:rPr>
        <w:t xml:space="preserve"> </w:t>
      </w:r>
      <w:r>
        <w:rPr>
          <w:rFonts w:hint="eastAsia" w:asciiTheme="minorEastAsia" w:hAnsiTheme="minorEastAsia" w:eastAsiaTheme="minorEastAsia" w:cstheme="minorEastAsia"/>
          <w:color w:val="auto"/>
          <w:spacing w:val="6"/>
          <w:sz w:val="24"/>
          <w:szCs w:val="24"/>
          <w:highlight w:val="none"/>
        </w:rPr>
        <w:t>进口产品指通过中国海关</w:t>
      </w:r>
      <w:r>
        <w:rPr>
          <w:rFonts w:hint="eastAsia" w:asciiTheme="minorEastAsia" w:hAnsiTheme="minorEastAsia" w:eastAsiaTheme="minorEastAsia" w:cstheme="minorEastAsia"/>
          <w:color w:val="auto"/>
          <w:spacing w:val="5"/>
          <w:sz w:val="24"/>
          <w:szCs w:val="24"/>
          <w:highlight w:val="none"/>
        </w:rPr>
        <w:t>报关验放进入中国境内且产自关境外的产</w:t>
      </w:r>
      <w:r>
        <w:rPr>
          <w:rFonts w:hint="eastAsia" w:asciiTheme="minorEastAsia" w:hAnsiTheme="minorEastAsia" w:eastAsiaTheme="minorEastAsia" w:cstheme="minorEastAsia"/>
          <w:color w:val="auto"/>
          <w:spacing w:val="-5"/>
          <w:sz w:val="24"/>
          <w:szCs w:val="24"/>
          <w:highlight w:val="none"/>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highlight w:val="none"/>
        </w:rPr>
        <w:t>于政府采购进口产品管理有关问题的通知》（财办库〔</w:t>
      </w:r>
      <w:r>
        <w:rPr>
          <w:rFonts w:hint="eastAsia" w:asciiTheme="minorEastAsia" w:hAnsiTheme="minorEastAsia" w:eastAsiaTheme="minorEastAsia" w:cstheme="minorEastAsia"/>
          <w:color w:val="auto"/>
          <w:spacing w:val="4"/>
          <w:sz w:val="24"/>
          <w:szCs w:val="24"/>
          <w:highlight w:val="none"/>
        </w:rPr>
        <w:t>2008〕248</w:t>
      </w:r>
      <w:r>
        <w:rPr>
          <w:rFonts w:hint="eastAsia" w:asciiTheme="minorEastAsia" w:hAnsiTheme="minorEastAsia" w:eastAsiaTheme="minorEastAsia" w:cstheme="minorEastAsia"/>
          <w:color w:val="auto"/>
          <w:spacing w:val="-38"/>
          <w:sz w:val="24"/>
          <w:szCs w:val="24"/>
          <w:highlight w:val="none"/>
        </w:rPr>
        <w:t>号文）</w:t>
      </w:r>
      <w:r>
        <w:rPr>
          <w:rFonts w:hint="eastAsia" w:asciiTheme="minorEastAsia" w:hAnsiTheme="minorEastAsia" w:eastAsiaTheme="minorEastAsia" w:cstheme="minorEastAsia"/>
          <w:color w:val="auto"/>
          <w:spacing w:val="5"/>
          <w:sz w:val="24"/>
          <w:szCs w:val="24"/>
          <w:highlight w:val="none"/>
          <w:lang w:val="en-US" w:eastAsia="zh-CN"/>
        </w:rPr>
        <w:t>以及唐河县财政局的具体规定</w:t>
      </w:r>
      <w:r>
        <w:rPr>
          <w:rFonts w:hint="eastAsia" w:asciiTheme="minorEastAsia" w:hAnsiTheme="minorEastAsia" w:eastAsiaTheme="minorEastAsia" w:cstheme="minorEastAsia"/>
          <w:color w:val="auto"/>
          <w:spacing w:val="5"/>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.2</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中小企业、监狱企业及残疾人福利性单位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.2.1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中小企业定义：</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HYPERLINK"5.2.1.1"</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.2.1.1</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auto"/>
          <w:spacing w:val="-4"/>
          <w:sz w:val="24"/>
          <w:szCs w:val="24"/>
          <w:highlight w:val="none"/>
          <w:lang w:val="en-US" w:eastAsia="zh-CN"/>
        </w:rPr>
        <w:t>执行</w:t>
      </w:r>
      <w:r>
        <w:rPr>
          <w:rFonts w:hint="eastAsia" w:asciiTheme="minorEastAsia" w:hAnsiTheme="minorEastAsia" w:eastAsiaTheme="minorEastAsia" w:cstheme="minorEastAsia"/>
          <w:color w:val="auto"/>
          <w:spacing w:val="-4"/>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HYPERLINK"5.2.1.2"</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.2.1.2</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供应商</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供的货物、工程或者服务符合下列情形的，享受中小企业扶持政策：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（1）在货物采购项目中，货物由中小企业制造，即货物由中小企业生产且使用该中小企业商号或者注册商标；</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（2）在工程采购项目中，工程由中小企业承建，即工程施工单位为中小企业；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（3）在服务采购项目中，服务由中小企业承接，即</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供服务的人员为中小企业依照《中华人民共和国劳动合同法》订立劳动合同的从业人员。</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HYPERLINK"5.2.1.3"</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.2.1.3</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在货物采购项目中，供应商</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供的货物既有中小企业制造货物，也有大型企业制造货物的，不享受中小企业扶持政策。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HYPERLINK"5.2.1.4"</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.2.1.4</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以联合体形式参加政府采购活动，联合体各方均为中小企业的，联合体视同中小企业。其中，联合体各方均为小微企业的，联合体视同小微企业。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.2.2</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highlight w:val="none"/>
        </w:rPr>
        <w:t>企业定义：是指由司法部认定的为罪犯、戒</w:t>
      </w:r>
      <w:r>
        <w:rPr>
          <w:rFonts w:hint="eastAsia" w:asciiTheme="minorEastAsia" w:hAnsiTheme="minorEastAsia" w:eastAsiaTheme="minorEastAsia" w:cstheme="minorEastAsia"/>
          <w:color w:val="auto"/>
          <w:spacing w:val="-7"/>
          <w:sz w:val="24"/>
          <w:szCs w:val="24"/>
          <w:highlight w:val="none"/>
        </w:rPr>
        <w:t>毒人员</w:t>
      </w:r>
      <w:r>
        <w:rPr>
          <w:rFonts w:hint="eastAsia" w:asciiTheme="minorEastAsia" w:hAnsiTheme="minorEastAsia" w:eastAsiaTheme="minorEastAsia" w:cstheme="minorEastAsia"/>
          <w:color w:val="auto"/>
          <w:spacing w:val="-7"/>
          <w:sz w:val="24"/>
          <w:szCs w:val="24"/>
          <w:highlight w:val="none"/>
          <w:lang w:val="en-US" w:eastAsia="zh-CN"/>
        </w:rPr>
        <w:t>提</w:t>
      </w:r>
      <w:r>
        <w:rPr>
          <w:rFonts w:hint="eastAsia" w:asciiTheme="minorEastAsia" w:hAnsiTheme="minorEastAsia" w:eastAsiaTheme="minorEastAsia" w:cstheme="minorEastAsia"/>
          <w:color w:val="auto"/>
          <w:spacing w:val="-7"/>
          <w:sz w:val="24"/>
          <w:szCs w:val="24"/>
          <w:highlight w:val="none"/>
        </w:rPr>
        <w:t>供生产项目和劳</w:t>
      </w:r>
      <w:r>
        <w:rPr>
          <w:rFonts w:hint="eastAsia" w:asciiTheme="minorEastAsia" w:hAnsiTheme="minorEastAsia" w:eastAsiaTheme="minorEastAsia" w:cstheme="minorEastAsia"/>
          <w:color w:val="auto"/>
          <w:spacing w:val="-8"/>
          <w:sz w:val="24"/>
          <w:szCs w:val="24"/>
          <w:highlight w:val="none"/>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highlight w:val="none"/>
        </w:rPr>
        <w:t>管理局，各省、自治区、直辖市监狱管理</w:t>
      </w:r>
      <w:r>
        <w:rPr>
          <w:rFonts w:hint="eastAsia" w:asciiTheme="minorEastAsia" w:hAnsiTheme="minorEastAsia" w:eastAsiaTheme="minorEastAsia" w:cstheme="minorEastAsia"/>
          <w:color w:val="auto"/>
          <w:spacing w:val="-14"/>
          <w:sz w:val="24"/>
          <w:szCs w:val="24"/>
          <w:highlight w:val="none"/>
        </w:rPr>
        <w:t>局、戒毒管理局，各地（设</w:t>
      </w:r>
      <w:r>
        <w:rPr>
          <w:rFonts w:hint="eastAsia" w:asciiTheme="minorEastAsia" w:hAnsiTheme="minorEastAsia" w:eastAsiaTheme="minorEastAsia" w:cstheme="minorEastAsia"/>
          <w:color w:val="auto"/>
          <w:spacing w:val="-13"/>
          <w:sz w:val="24"/>
          <w:szCs w:val="24"/>
          <w:highlight w:val="none"/>
        </w:rPr>
        <w:t>区的市）监狱、强制隔离戒毒所、戒毒康复所，以及新疆生产建设兵</w:t>
      </w:r>
      <w:r>
        <w:rPr>
          <w:rFonts w:hint="eastAsia" w:asciiTheme="minorEastAsia" w:hAnsiTheme="minorEastAsia" w:eastAsiaTheme="minorEastAsia" w:cstheme="minorEastAsia"/>
          <w:color w:val="auto"/>
          <w:spacing w:val="-4"/>
          <w:sz w:val="24"/>
          <w:szCs w:val="24"/>
          <w:highlight w:val="none"/>
        </w:rPr>
        <w:t>团监狱管理局、戒毒管理局的企业。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在政府采购活动中，残疾人福利性单位视同小型、微型企业</w:t>
      </w:r>
      <w:r>
        <w:rPr>
          <w:rFonts w:hint="eastAsia" w:asciiTheme="minorEastAsia" w:hAnsiTheme="minorEastAsia" w:eastAsiaTheme="minorEastAsia" w:cstheme="minorEastAsia"/>
          <w:color w:val="auto"/>
          <w:spacing w:val="-9"/>
          <w:sz w:val="24"/>
          <w:szCs w:val="24"/>
          <w:highlight w:val="none"/>
        </w:rPr>
        <w:t>，享受预</w:t>
      </w:r>
      <w:r>
        <w:rPr>
          <w:rFonts w:hint="eastAsia" w:asciiTheme="minorEastAsia" w:hAnsiTheme="minorEastAsia" w:eastAsiaTheme="minorEastAsia" w:cstheme="minorEastAsia"/>
          <w:color w:val="auto"/>
          <w:spacing w:val="-5"/>
          <w:sz w:val="24"/>
          <w:szCs w:val="24"/>
          <w:highlight w:val="none"/>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highlight w:val="none"/>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highlight w:val="none"/>
        </w:rPr>
        <w:t>同时满足以下条件：</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HYPERLINK"5.2.3.1"</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.2.3.1</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安置的残疾人占本单位在职职工人数的比例不低于25%（含25%），并且安置的残疾人人数不少于10人（含10人）；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HYPERLINK"5.2.3.2"</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.2.3.2</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依法与安置的每位残疾人签订了一年以上（含一年）的劳动合同或服务协议；</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HYPERLINK"5.2.3.3"</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.2.3.3</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rPr>
        <w:t>为安置的每位残疾人按月足额缴纳了基本养老、医疗、失业</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工伤和生育等社会保险费；</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HYPERLINK"5.2.3.4"</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.2.3.4</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通过银行等金融机构向安置的每位残疾人，按月支付了不低于单位所在区县的月最低工资标准的工资；</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HYPERLINK"5.2.3.5"</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.2.3.5</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提</w:t>
      </w:r>
      <w:r>
        <w:rPr>
          <w:rFonts w:hint="eastAsia" w:asciiTheme="minorEastAsia" w:hAnsiTheme="minorEastAsia" w:eastAsiaTheme="minorEastAsia" w:cstheme="minorEastAsia"/>
          <w:color w:val="auto"/>
          <w:spacing w:val="-8"/>
          <w:sz w:val="24"/>
          <w:szCs w:val="24"/>
          <w:highlight w:val="none"/>
        </w:rPr>
        <w:t>供本单位制造的货物、承担的工程或者服务（以下简称产品），或者</w:t>
      </w:r>
      <w:r>
        <w:rPr>
          <w:rFonts w:hint="eastAsia" w:asciiTheme="minorEastAsia" w:hAnsiTheme="minorEastAsia" w:eastAsiaTheme="minorEastAsia" w:cstheme="minorEastAsia"/>
          <w:color w:val="auto"/>
          <w:spacing w:val="-8"/>
          <w:sz w:val="24"/>
          <w:szCs w:val="24"/>
          <w:highlight w:val="none"/>
          <w:lang w:val="en-US" w:eastAsia="zh-CN"/>
        </w:rPr>
        <w:t>提</w:t>
      </w:r>
      <w:r>
        <w:rPr>
          <w:rFonts w:hint="eastAsia" w:asciiTheme="minorEastAsia" w:hAnsiTheme="minorEastAsia" w:eastAsiaTheme="minorEastAsia" w:cstheme="minorEastAsia"/>
          <w:color w:val="auto"/>
          <w:spacing w:val="-8"/>
          <w:sz w:val="24"/>
          <w:szCs w:val="24"/>
          <w:highlight w:val="none"/>
        </w:rPr>
        <w:t>供其他残疾人福利性单位制造的货物（不包括使用非残疾人福利性单位注册商标的货物）；</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HYPERLINK"5.2.3.6"</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.2.3.6</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本项目是否专门面向中小企业预留采购份额见第一章《</w:t>
      </w:r>
      <w:r>
        <w:rPr>
          <w:rFonts w:hint="eastAsia" w:asciiTheme="minorEastAsia" w:hAnsiTheme="minorEastAsia" w:eastAsiaTheme="minorEastAsia" w:cstheme="minorEastAsia"/>
          <w:color w:val="auto"/>
          <w:spacing w:val="-8"/>
          <w:sz w:val="24"/>
          <w:szCs w:val="24"/>
          <w:highlight w:val="none"/>
          <w:lang w:val="en-US" w:eastAsia="zh-CN"/>
        </w:rPr>
        <w:t>竞争性磋商公告</w:t>
      </w:r>
      <w:r>
        <w:rPr>
          <w:rFonts w:hint="eastAsia" w:asciiTheme="minorEastAsia" w:hAnsiTheme="minorEastAsia" w:eastAsiaTheme="minorEastAsia" w:cstheme="minorEastAsia"/>
          <w:color w:val="auto"/>
          <w:spacing w:val="-8"/>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.2.5</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采购标的对应的中小企业划分标准所属行业见《</w:t>
      </w:r>
      <w:r>
        <w:rPr>
          <w:rFonts w:hint="eastAsia" w:asciiTheme="minorEastAsia" w:hAnsiTheme="minorEastAsia" w:eastAsiaTheme="minorEastAsia" w:cstheme="minorEastAsia"/>
          <w:color w:val="auto"/>
          <w:spacing w:val="-8"/>
          <w:sz w:val="24"/>
          <w:szCs w:val="24"/>
          <w:highlight w:val="none"/>
          <w:lang w:val="en-US" w:eastAsia="zh-CN"/>
        </w:rPr>
        <w:t>供应商</w:t>
      </w:r>
      <w:r>
        <w:rPr>
          <w:rFonts w:hint="eastAsia" w:asciiTheme="minorEastAsia" w:hAnsiTheme="minorEastAsia" w:eastAsiaTheme="minorEastAsia" w:cstheme="minorEastAsia"/>
          <w:color w:val="auto"/>
          <w:spacing w:val="-8"/>
          <w:sz w:val="24"/>
          <w:szCs w:val="24"/>
          <w:highlight w:val="none"/>
          <w:lang w:eastAsia="zh-CN"/>
        </w:rPr>
        <w:t>须知表</w:t>
      </w:r>
      <w:r>
        <w:rPr>
          <w:rFonts w:hint="eastAsia" w:asciiTheme="minorEastAsia" w:hAnsiTheme="minorEastAsia" w:eastAsiaTheme="minorEastAsia" w:cstheme="minorEastAsia"/>
          <w:color w:val="auto"/>
          <w:spacing w:val="-8"/>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.2.6</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小微企业价格评审优惠的政策调整：见第四章《评</w:t>
      </w:r>
      <w:r>
        <w:rPr>
          <w:rFonts w:hint="eastAsia" w:asciiTheme="minorEastAsia" w:hAnsiTheme="minorEastAsia" w:eastAsiaTheme="minorEastAsia" w:cstheme="minorEastAsia"/>
          <w:color w:val="auto"/>
          <w:spacing w:val="-8"/>
          <w:sz w:val="24"/>
          <w:szCs w:val="24"/>
          <w:highlight w:val="none"/>
          <w:lang w:val="en-US" w:eastAsia="zh-CN"/>
        </w:rPr>
        <w:t>审</w:t>
      </w:r>
      <w:r>
        <w:rPr>
          <w:rFonts w:hint="eastAsia" w:asciiTheme="minorEastAsia" w:hAnsiTheme="minorEastAsia" w:eastAsiaTheme="minorEastAsia" w:cstheme="minorEastAsia"/>
          <w:color w:val="auto"/>
          <w:spacing w:val="-8"/>
          <w:sz w:val="24"/>
          <w:szCs w:val="24"/>
          <w:highlight w:val="none"/>
        </w:rPr>
        <w:t>程序、评审方法和评审标准》。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政府采购节能产品、环境标志产品</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.3.1</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政府采购节能产品、环境标志产品实施品目清单管理。财政部、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.3.2</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如本项目采购产品属于实施政府强制采购品目清单范围的节能产品，则</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8"/>
          <w:sz w:val="24"/>
          <w:szCs w:val="24"/>
          <w:highlight w:val="none"/>
        </w:rPr>
        <w:t>所报产品必须获得国家确定的认证机构出具的、处于有效期之内的节能产品认证证书，否则</w:t>
      </w:r>
      <w:r>
        <w:rPr>
          <w:rFonts w:hint="eastAsia" w:asciiTheme="minorEastAsia" w:hAnsiTheme="minorEastAsia" w:eastAsiaTheme="minorEastAsia" w:cstheme="minorEastAsia"/>
          <w:color w:val="auto"/>
          <w:spacing w:val="-8"/>
          <w:sz w:val="24"/>
          <w:szCs w:val="24"/>
          <w:highlight w:val="none"/>
          <w:lang w:val="en-US" w:eastAsia="zh-CN"/>
        </w:rPr>
        <w:t>响应</w:t>
      </w:r>
      <w:r>
        <w:rPr>
          <w:rFonts w:hint="eastAsia" w:asciiTheme="minorEastAsia" w:hAnsiTheme="minorEastAsia" w:eastAsiaTheme="minorEastAsia" w:cstheme="minorEastAsia"/>
          <w:color w:val="auto"/>
          <w:spacing w:val="-8"/>
          <w:sz w:val="24"/>
          <w:szCs w:val="24"/>
          <w:highlight w:val="none"/>
        </w:rPr>
        <w:t>无效</w:t>
      </w:r>
      <w:r>
        <w:rPr>
          <w:rFonts w:hint="eastAsia" w:asciiTheme="minorEastAsia" w:hAnsiTheme="minorEastAsia" w:eastAsiaTheme="minorEastAsia" w:cstheme="minorEastAsia"/>
          <w:color w:val="auto"/>
          <w:spacing w:val="-8"/>
          <w:sz w:val="24"/>
          <w:szCs w:val="24"/>
          <w:highlight w:val="none"/>
          <w:lang w:val="en-US" w:eastAsia="zh-CN"/>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color w:val="auto"/>
          <w:spacing w:val="-8"/>
          <w:sz w:val="24"/>
          <w:szCs w:val="24"/>
          <w:highlight w:val="none"/>
          <w:lang w:val="en-US" w:eastAsia="zh-CN"/>
        </w:rPr>
        <w:t>审</w:t>
      </w:r>
      <w:r>
        <w:rPr>
          <w:rFonts w:hint="eastAsia" w:asciiTheme="minorEastAsia" w:hAnsiTheme="minorEastAsia" w:eastAsiaTheme="minorEastAsia" w:cstheme="minorEastAsia"/>
          <w:color w:val="auto"/>
          <w:spacing w:val="-8"/>
          <w:sz w:val="24"/>
          <w:szCs w:val="24"/>
          <w:highlight w:val="none"/>
        </w:rPr>
        <w:t>程序、评审方法和评审标准》。（如涉及）。</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正版软件</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.4.1</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依据《财政部</w:t>
      </w:r>
      <w:r>
        <w:rPr>
          <w:rFonts w:hint="eastAsia" w:asciiTheme="minorEastAsia" w:hAnsiTheme="minorEastAsia" w:eastAsiaTheme="minorEastAsia" w:cstheme="minorEastAsia"/>
          <w:color w:val="auto"/>
          <w:spacing w:val="-8"/>
          <w:sz w:val="24"/>
          <w:szCs w:val="24"/>
          <w:highlight w:val="none"/>
          <w:lang w:eastAsia="zh-CN"/>
        </w:rPr>
        <w:t>、</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color w:val="auto"/>
          <w:spacing w:val="-8"/>
          <w:sz w:val="24"/>
          <w:szCs w:val="24"/>
          <w:highlight w:val="none"/>
          <w:lang w:val="en-US" w:eastAsia="zh-CN"/>
        </w:rPr>
        <w:t>响应</w:t>
      </w:r>
      <w:r>
        <w:rPr>
          <w:rFonts w:hint="eastAsia" w:asciiTheme="minorEastAsia" w:hAnsiTheme="minorEastAsia" w:eastAsiaTheme="minorEastAsia" w:cstheme="minorEastAsia"/>
          <w:color w:val="auto"/>
          <w:spacing w:val="-8"/>
          <w:sz w:val="24"/>
          <w:szCs w:val="24"/>
          <w:highlight w:val="none"/>
        </w:rPr>
        <w:t>无效。财政部、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、信息产业部以文件形式确定、公布并适时调整。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4</w:t>
      </w:r>
      <w:r>
        <w:rPr>
          <w:rFonts w:hint="eastAsia" w:asciiTheme="minorEastAsia" w:hAnsiTheme="minorEastAsia" w:eastAsiaTheme="minorEastAsia" w:cstheme="minorEastAsia"/>
          <w:color w:val="auto"/>
          <w:spacing w:val="-3"/>
          <w:sz w:val="24"/>
          <w:szCs w:val="24"/>
          <w:highlight w:val="none"/>
        </w:rPr>
        <w:t>.4.2</w:t>
      </w:r>
      <w:r>
        <w:rPr>
          <w:rFonts w:hint="eastAsia" w:asciiTheme="minorEastAsia" w:hAnsiTheme="minorEastAsia" w:eastAsiaTheme="minorEastAsia" w:cstheme="minorEastAsia"/>
          <w:color w:val="auto"/>
          <w:spacing w:val="-3"/>
          <w:sz w:val="24"/>
          <w:szCs w:val="24"/>
          <w:highlight w:val="none"/>
          <w:lang w:val="en-US" w:eastAsia="zh-CN"/>
        </w:rPr>
        <w:t xml:space="preserve"> </w:t>
      </w:r>
      <w:r>
        <w:rPr>
          <w:rFonts w:hint="eastAsia" w:asciiTheme="minorEastAsia" w:hAnsiTheme="minorEastAsia" w:eastAsiaTheme="minorEastAsia" w:cstheme="minorEastAsia"/>
          <w:color w:val="auto"/>
          <w:spacing w:val="-3"/>
          <w:sz w:val="24"/>
          <w:szCs w:val="24"/>
          <w:highlight w:val="none"/>
        </w:rPr>
        <w:t>各级政府部门在购置计算机办公设备时，必须采购预装正版操作系统</w:t>
      </w:r>
      <w:r>
        <w:rPr>
          <w:rFonts w:hint="eastAsia" w:asciiTheme="minorEastAsia" w:hAnsiTheme="minorEastAsia" w:eastAsiaTheme="minorEastAsia" w:cstheme="minorEastAsia"/>
          <w:color w:val="auto"/>
          <w:spacing w:val="-9"/>
          <w:sz w:val="24"/>
          <w:szCs w:val="24"/>
          <w:highlight w:val="none"/>
        </w:rPr>
        <w:t>软件的计算机产品，相关规定依据《国家版权局、信息产业</w:t>
      </w:r>
      <w:r>
        <w:rPr>
          <w:rFonts w:hint="eastAsia" w:asciiTheme="minorEastAsia" w:hAnsiTheme="minorEastAsia" w:eastAsiaTheme="minorEastAsia" w:cstheme="minorEastAsia"/>
          <w:color w:val="auto"/>
          <w:spacing w:val="-10"/>
          <w:sz w:val="24"/>
          <w:szCs w:val="24"/>
          <w:highlight w:val="none"/>
        </w:rPr>
        <w:t>部、财政</w:t>
      </w:r>
      <w:r>
        <w:rPr>
          <w:rFonts w:hint="eastAsia" w:asciiTheme="minorEastAsia" w:hAnsiTheme="minorEastAsia" w:eastAsiaTheme="minorEastAsia" w:cstheme="minorEastAsia"/>
          <w:color w:val="auto"/>
          <w:spacing w:val="-4"/>
          <w:sz w:val="24"/>
          <w:szCs w:val="24"/>
          <w:highlight w:val="none"/>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highlight w:val="none"/>
        </w:rPr>
        <w:t>购已预装正版操作系统软件产品的通知》（国权联〔200</w:t>
      </w:r>
      <w:r>
        <w:rPr>
          <w:rFonts w:hint="eastAsia" w:asciiTheme="minorEastAsia" w:hAnsiTheme="minorEastAsia" w:eastAsiaTheme="minorEastAsia" w:cstheme="minorEastAsia"/>
          <w:color w:val="auto"/>
          <w:spacing w:val="-4"/>
          <w:sz w:val="24"/>
          <w:szCs w:val="24"/>
          <w:highlight w:val="none"/>
        </w:rPr>
        <w:t>6〕1号）、</w:t>
      </w:r>
      <w:r>
        <w:rPr>
          <w:rFonts w:hint="eastAsia" w:asciiTheme="minorEastAsia" w:hAnsiTheme="minorEastAsia" w:eastAsiaTheme="minorEastAsia" w:cstheme="minorEastAsia"/>
          <w:color w:val="auto"/>
          <w:sz w:val="24"/>
          <w:szCs w:val="24"/>
          <w:highlight w:val="none"/>
        </w:rPr>
        <w:t>《国务院办公厅关于进一步做好政府机关使用正版</w:t>
      </w:r>
      <w:r>
        <w:rPr>
          <w:rFonts w:hint="eastAsia" w:asciiTheme="minorEastAsia" w:hAnsiTheme="minorEastAsia" w:eastAsiaTheme="minorEastAsia" w:cstheme="minorEastAsia"/>
          <w:color w:val="auto"/>
          <w:spacing w:val="-1"/>
          <w:sz w:val="24"/>
          <w:szCs w:val="24"/>
          <w:highlight w:val="none"/>
        </w:rPr>
        <w:t>软件工作的通知》</w:t>
      </w:r>
      <w:r>
        <w:rPr>
          <w:rFonts w:hint="eastAsia" w:asciiTheme="minorEastAsia" w:hAnsiTheme="minorEastAsia" w:eastAsiaTheme="minorEastAsia" w:cstheme="minorEastAsia"/>
          <w:color w:val="auto"/>
          <w:spacing w:val="-3"/>
          <w:sz w:val="24"/>
          <w:szCs w:val="24"/>
          <w:highlight w:val="none"/>
        </w:rPr>
        <w:t>（国办发〔2010〕47号）、《财政部关于进一步做好政府机关使用</w:t>
      </w:r>
      <w:r>
        <w:rPr>
          <w:rFonts w:hint="eastAsia" w:asciiTheme="minorEastAsia" w:hAnsiTheme="minorEastAsia" w:eastAsiaTheme="minorEastAsia" w:cstheme="minorEastAsia"/>
          <w:color w:val="auto"/>
          <w:spacing w:val="-6"/>
          <w:sz w:val="24"/>
          <w:szCs w:val="24"/>
          <w:highlight w:val="none"/>
        </w:rPr>
        <w:t>正版软件工作的通知》（财预〔2010〕536号）。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网络安全专用产品</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.5.1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所投产品属于列入《网络关键设备和网络安全专用产品目录》的网络</w:t>
      </w:r>
      <w:r>
        <w:rPr>
          <w:rFonts w:hint="eastAsia" w:asciiTheme="minorEastAsia" w:hAnsiTheme="minorEastAsia" w:eastAsiaTheme="minorEastAsia" w:cstheme="minorEastAsia"/>
          <w:color w:val="auto"/>
          <w:spacing w:val="-2"/>
          <w:sz w:val="24"/>
          <w:szCs w:val="24"/>
          <w:highlight w:val="none"/>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highlight w:val="none"/>
        </w:rPr>
        <w:t>公安部、国家认证认可监督管理委员会统一公布和更新</w:t>
      </w:r>
      <w:r>
        <w:rPr>
          <w:rFonts w:hint="eastAsia" w:asciiTheme="minorEastAsia" w:hAnsiTheme="minorEastAsia" w:eastAsiaTheme="minorEastAsia" w:cstheme="minorEastAsia"/>
          <w:color w:val="auto"/>
          <w:spacing w:val="-5"/>
          <w:sz w:val="24"/>
          <w:szCs w:val="24"/>
          <w:highlight w:val="none"/>
        </w:rPr>
        <w:t>的符合要求的</w:t>
      </w:r>
      <w:r>
        <w:rPr>
          <w:rFonts w:hint="eastAsia" w:asciiTheme="minorEastAsia" w:hAnsiTheme="minorEastAsia" w:eastAsiaTheme="minorEastAsia" w:cstheme="minorEastAsia"/>
          <w:color w:val="auto"/>
          <w:spacing w:val="-4"/>
          <w:sz w:val="24"/>
          <w:szCs w:val="24"/>
          <w:highlight w:val="none"/>
        </w:rPr>
        <w:t>网络关键设备和网络安全专用产品清单中。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 xml:space="preserve">6 </w:t>
      </w:r>
      <w:r>
        <w:rPr>
          <w:rFonts w:hint="eastAsia" w:asciiTheme="minorEastAsia" w:hAnsiTheme="minorEastAsia" w:eastAsiaTheme="minorEastAsia" w:cstheme="minorEastAsia"/>
          <w:color w:val="auto"/>
          <w:spacing w:val="2"/>
          <w:sz w:val="24"/>
          <w:szCs w:val="24"/>
          <w:highlight w:val="none"/>
        </w:rPr>
        <w:t>采购需求标准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商品包装、快递包装政府采购需求标准（试行）</w:t>
      </w:r>
      <w:r>
        <w:rPr>
          <w:rFonts w:hint="eastAsia" w:asciiTheme="minorEastAsia" w:hAnsiTheme="minorEastAsia" w:eastAsiaTheme="minorEastAsia" w:cstheme="minorEastAsia"/>
          <w:color w:val="auto"/>
          <w:spacing w:val="-12"/>
          <w:sz w:val="24"/>
          <w:szCs w:val="24"/>
          <w:highlight w:val="none"/>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highlight w:val="none"/>
        </w:rPr>
        <w:t>标准（试行）》的通知（财办库〔2020〕1</w:t>
      </w:r>
      <w:r>
        <w:rPr>
          <w:rFonts w:hint="eastAsia" w:asciiTheme="minorEastAsia" w:hAnsiTheme="minorEastAsia" w:eastAsiaTheme="minorEastAsia" w:cstheme="minorEastAsia"/>
          <w:color w:val="auto"/>
          <w:spacing w:val="-4"/>
          <w:sz w:val="24"/>
          <w:szCs w:val="24"/>
          <w:highlight w:val="none"/>
        </w:rPr>
        <w:t>23号</w:t>
      </w:r>
      <w:r>
        <w:rPr>
          <w:rFonts w:hint="eastAsia" w:asciiTheme="minorEastAsia" w:hAnsiTheme="minorEastAsia" w:eastAsiaTheme="minorEastAsia" w:cstheme="minorEastAsia"/>
          <w:color w:val="auto"/>
          <w:spacing w:val="-28"/>
          <w:sz w:val="24"/>
          <w:szCs w:val="24"/>
          <w:highlight w:val="none"/>
        </w:rPr>
        <w:t>），</w:t>
      </w:r>
      <w:r>
        <w:rPr>
          <w:rFonts w:hint="eastAsia" w:asciiTheme="minorEastAsia" w:hAnsiTheme="minorEastAsia" w:eastAsiaTheme="minorEastAsia" w:cstheme="minorEastAsia"/>
          <w:color w:val="auto"/>
          <w:spacing w:val="-4"/>
          <w:sz w:val="24"/>
          <w:szCs w:val="24"/>
          <w:highlight w:val="none"/>
        </w:rPr>
        <w:t>本项目如涉及商</w:t>
      </w:r>
      <w:r>
        <w:rPr>
          <w:rFonts w:hint="eastAsia" w:asciiTheme="minorEastAsia" w:hAnsiTheme="minorEastAsia" w:eastAsiaTheme="minorEastAsia" w:cstheme="minorEastAsia"/>
          <w:color w:val="auto"/>
          <w:spacing w:val="-6"/>
          <w:sz w:val="24"/>
          <w:szCs w:val="24"/>
          <w:highlight w:val="none"/>
        </w:rPr>
        <w:t>品包装和快递包装的，则其具体要求见第</w:t>
      </w:r>
      <w:r>
        <w:rPr>
          <w:rFonts w:hint="eastAsia" w:asciiTheme="minorEastAsia" w:hAnsiTheme="minorEastAsia" w:eastAsiaTheme="minorEastAsia" w:cstheme="minorEastAsia"/>
          <w:color w:val="auto"/>
          <w:spacing w:val="-6"/>
          <w:sz w:val="24"/>
          <w:szCs w:val="24"/>
          <w:highlight w:val="none"/>
          <w:lang w:val="en-US" w:eastAsia="zh-CN"/>
        </w:rPr>
        <w:t>二</w:t>
      </w:r>
      <w:r>
        <w:rPr>
          <w:rFonts w:hint="eastAsia" w:asciiTheme="minorEastAsia" w:hAnsiTheme="minorEastAsia" w:eastAsiaTheme="minorEastAsia" w:cstheme="minorEastAsia"/>
          <w:color w:val="auto"/>
          <w:spacing w:val="-6"/>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highlight w:val="none"/>
        </w:rPr>
      </w:pPr>
      <w:r>
        <w:rPr>
          <w:rFonts w:hint="eastAsia" w:asciiTheme="minorEastAsia" w:hAnsiTheme="minorEastAsia" w:eastAsiaTheme="minorEastAsia" w:cstheme="minorEastAsia"/>
          <w:color w:val="auto"/>
          <w:spacing w:val="-12"/>
          <w:sz w:val="24"/>
          <w:szCs w:val="24"/>
          <w:highlight w:val="none"/>
          <w:lang w:val="en-US" w:eastAsia="zh-CN"/>
        </w:rPr>
        <w:t>4</w:t>
      </w:r>
      <w:r>
        <w:rPr>
          <w:rFonts w:hint="eastAsia" w:asciiTheme="minorEastAsia" w:hAnsiTheme="minorEastAsia" w:eastAsiaTheme="minorEastAsia" w:cstheme="minorEastAsia"/>
          <w:color w:val="auto"/>
          <w:spacing w:val="-12"/>
          <w:sz w:val="24"/>
          <w:szCs w:val="24"/>
          <w:highlight w:val="none"/>
        </w:rPr>
        <w:t>.</w:t>
      </w:r>
      <w:r>
        <w:rPr>
          <w:rFonts w:hint="eastAsia" w:asciiTheme="minorEastAsia" w:hAnsiTheme="minorEastAsia" w:eastAsiaTheme="minorEastAsia" w:cstheme="minorEastAsia"/>
          <w:color w:val="auto"/>
          <w:spacing w:val="-12"/>
          <w:sz w:val="24"/>
          <w:szCs w:val="24"/>
          <w:highlight w:val="none"/>
          <w:lang w:val="en-US" w:eastAsia="zh-CN"/>
        </w:rPr>
        <w:t>6</w:t>
      </w:r>
      <w:r>
        <w:rPr>
          <w:rFonts w:hint="eastAsia" w:asciiTheme="minorEastAsia" w:hAnsiTheme="minorEastAsia" w:eastAsiaTheme="minorEastAsia" w:cstheme="minorEastAsia"/>
          <w:color w:val="auto"/>
          <w:spacing w:val="-12"/>
          <w:sz w:val="24"/>
          <w:szCs w:val="24"/>
          <w:highlight w:val="none"/>
        </w:rPr>
        <w:t>.2</w:t>
      </w:r>
      <w:r>
        <w:rPr>
          <w:rFonts w:hint="eastAsia" w:asciiTheme="minorEastAsia" w:hAnsiTheme="minorEastAsia" w:eastAsiaTheme="minorEastAsia" w:cstheme="minorEastAsia"/>
          <w:color w:val="auto"/>
          <w:spacing w:val="-12"/>
          <w:sz w:val="24"/>
          <w:szCs w:val="24"/>
          <w:highlight w:val="none"/>
          <w:lang w:val="en-US" w:eastAsia="zh-CN"/>
        </w:rPr>
        <w:t xml:space="preserve"> </w:t>
      </w:r>
      <w:r>
        <w:rPr>
          <w:rFonts w:hint="eastAsia" w:asciiTheme="minorEastAsia" w:hAnsiTheme="minorEastAsia" w:eastAsiaTheme="minorEastAsia" w:cstheme="minorEastAsia"/>
          <w:color w:val="auto"/>
          <w:spacing w:val="-12"/>
          <w:sz w:val="24"/>
          <w:szCs w:val="24"/>
          <w:highlight w:val="none"/>
        </w:rPr>
        <w:t>绿色数据中心政府采购需求标准（试行）</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highlight w:val="none"/>
        </w:rPr>
      </w:pPr>
      <w:r>
        <w:rPr>
          <w:rFonts w:hint="eastAsia" w:asciiTheme="minorEastAsia" w:hAnsiTheme="minorEastAsia" w:eastAsiaTheme="minorEastAsia" w:cstheme="minorEastAsia"/>
          <w:color w:val="auto"/>
          <w:spacing w:val="-12"/>
          <w:sz w:val="24"/>
          <w:szCs w:val="24"/>
          <w:highlight w:val="none"/>
        </w:rPr>
        <w:t>为加快数据中心绿色转型，根据财政部</w:t>
      </w:r>
      <w:r>
        <w:rPr>
          <w:rFonts w:hint="eastAsia" w:asciiTheme="minorEastAsia" w:hAnsiTheme="minorEastAsia" w:eastAsiaTheme="minorEastAsia" w:cstheme="minorEastAsia"/>
          <w:color w:val="auto"/>
          <w:spacing w:val="-12"/>
          <w:sz w:val="24"/>
          <w:szCs w:val="24"/>
          <w:highlight w:val="none"/>
          <w:lang w:eastAsia="zh-CN"/>
        </w:rPr>
        <w:t>、</w:t>
      </w:r>
      <w:r>
        <w:rPr>
          <w:rFonts w:hint="eastAsia" w:asciiTheme="minorEastAsia" w:hAnsiTheme="minorEastAsia" w:eastAsiaTheme="minorEastAsia" w:cstheme="minorEastAsia"/>
          <w:color w:val="auto"/>
          <w:spacing w:val="-12"/>
          <w:sz w:val="24"/>
          <w:szCs w:val="24"/>
          <w:highlight w:val="none"/>
        </w:rPr>
        <w:t>生态环境部</w:t>
      </w:r>
      <w:r>
        <w:rPr>
          <w:rFonts w:hint="eastAsia" w:asciiTheme="minorEastAsia" w:hAnsiTheme="minorEastAsia" w:eastAsiaTheme="minorEastAsia" w:cstheme="minorEastAsia"/>
          <w:color w:val="auto"/>
          <w:spacing w:val="-12"/>
          <w:sz w:val="24"/>
          <w:szCs w:val="24"/>
          <w:highlight w:val="none"/>
          <w:lang w:eastAsia="zh-CN"/>
        </w:rPr>
        <w:t>、</w:t>
      </w:r>
      <w:r>
        <w:rPr>
          <w:rFonts w:hint="eastAsia" w:asciiTheme="minorEastAsia" w:hAnsiTheme="minorEastAsia" w:eastAsiaTheme="minorEastAsia" w:cstheme="minorEastAsia"/>
          <w:color w:val="auto"/>
          <w:spacing w:val="-12"/>
          <w:sz w:val="24"/>
          <w:szCs w:val="24"/>
          <w:highlight w:val="none"/>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color w:val="auto"/>
          <w:spacing w:val="-12"/>
          <w:sz w:val="24"/>
          <w:szCs w:val="24"/>
          <w:highlight w:val="none"/>
          <w:lang w:val="en-US" w:eastAsia="zh-CN"/>
        </w:rPr>
        <w:t>二</w:t>
      </w:r>
      <w:r>
        <w:rPr>
          <w:rFonts w:hint="eastAsia" w:asciiTheme="minorEastAsia" w:hAnsiTheme="minorEastAsia" w:eastAsiaTheme="minorEastAsia" w:cstheme="minorEastAsia"/>
          <w:color w:val="auto"/>
          <w:spacing w:val="-12"/>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2"/>
          <w:sz w:val="24"/>
          <w:szCs w:val="24"/>
          <w:highlight w:val="none"/>
          <w:lang w:val="en-US" w:eastAsia="zh-CN"/>
        </w:rPr>
        <w:t>5.采购</w:t>
      </w:r>
      <w:r>
        <w:rPr>
          <w:rFonts w:hint="eastAsia" w:asciiTheme="minorEastAsia" w:hAnsiTheme="minorEastAsia" w:eastAsiaTheme="minorEastAsia" w:cstheme="minorEastAsia"/>
          <w:b/>
          <w:bCs/>
          <w:color w:val="auto"/>
          <w:spacing w:val="-2"/>
          <w:sz w:val="24"/>
          <w:szCs w:val="24"/>
          <w:highlight w:val="none"/>
        </w:rPr>
        <w:t>费用</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4"/>
          <w:sz w:val="24"/>
          <w:szCs w:val="24"/>
          <w:highlight w:val="none"/>
        </w:rPr>
        <w:t>应自行承担所有与准备和参加</w:t>
      </w:r>
      <w:r>
        <w:rPr>
          <w:rFonts w:hint="eastAsia" w:asciiTheme="minorEastAsia" w:hAnsiTheme="minorEastAsia" w:eastAsiaTheme="minorEastAsia" w:cstheme="minorEastAsia"/>
          <w:color w:val="auto"/>
          <w:spacing w:val="-4"/>
          <w:sz w:val="24"/>
          <w:szCs w:val="24"/>
          <w:highlight w:val="none"/>
          <w:lang w:val="en-US" w:eastAsia="zh-CN"/>
        </w:rPr>
        <w:t>本次采购</w:t>
      </w:r>
      <w:r>
        <w:rPr>
          <w:rFonts w:hint="eastAsia" w:asciiTheme="minorEastAsia" w:hAnsiTheme="minorEastAsia" w:eastAsiaTheme="minorEastAsia" w:cstheme="minorEastAsia"/>
          <w:color w:val="auto"/>
          <w:spacing w:val="-4"/>
          <w:sz w:val="24"/>
          <w:szCs w:val="24"/>
          <w:highlight w:val="none"/>
        </w:rPr>
        <w:t>有关的费用</w:t>
      </w:r>
      <w:r>
        <w:rPr>
          <w:rFonts w:hint="eastAsia" w:asciiTheme="minorEastAsia" w:hAnsiTheme="minorEastAsia" w:eastAsiaTheme="minorEastAsia" w:cstheme="minorEastAsia"/>
          <w:color w:val="auto"/>
          <w:spacing w:val="-5"/>
          <w:sz w:val="24"/>
          <w:szCs w:val="24"/>
          <w:highlight w:val="none"/>
        </w:rPr>
        <w:t>，无论</w:t>
      </w:r>
      <w:r>
        <w:rPr>
          <w:rFonts w:hint="eastAsia" w:asciiTheme="minorEastAsia" w:hAnsiTheme="minorEastAsia" w:eastAsiaTheme="minorEastAsia" w:cstheme="minorEastAsia"/>
          <w:color w:val="auto"/>
          <w:spacing w:val="-5"/>
          <w:sz w:val="24"/>
          <w:szCs w:val="24"/>
          <w:highlight w:val="none"/>
          <w:lang w:val="en-US" w:eastAsia="zh-CN"/>
        </w:rPr>
        <w:t>磋商</w:t>
      </w:r>
      <w:r>
        <w:rPr>
          <w:rFonts w:hint="eastAsia" w:asciiTheme="minorEastAsia" w:hAnsiTheme="minorEastAsia" w:eastAsiaTheme="minorEastAsia" w:cstheme="minorEastAsia"/>
          <w:color w:val="auto"/>
          <w:spacing w:val="-5"/>
          <w:sz w:val="24"/>
          <w:szCs w:val="24"/>
          <w:highlight w:val="none"/>
        </w:rPr>
        <w:t>的结果如何，</w:t>
      </w:r>
      <w:r>
        <w:rPr>
          <w:rFonts w:hint="eastAsia" w:asciiTheme="minorEastAsia" w:hAnsiTheme="minorEastAsia" w:eastAsiaTheme="minorEastAsia" w:cstheme="minorEastAsia"/>
          <w:color w:val="auto"/>
          <w:spacing w:val="-1"/>
          <w:sz w:val="24"/>
          <w:szCs w:val="24"/>
          <w:highlight w:val="none"/>
        </w:rPr>
        <w:t>采购人或采购代理机构在任何情况下均无承担</w:t>
      </w:r>
      <w:r>
        <w:rPr>
          <w:rFonts w:hint="eastAsia" w:asciiTheme="minorEastAsia" w:hAnsiTheme="minorEastAsia" w:eastAsiaTheme="minorEastAsia" w:cstheme="minorEastAsia"/>
          <w:color w:val="auto"/>
          <w:spacing w:val="-2"/>
          <w:sz w:val="24"/>
          <w:szCs w:val="24"/>
          <w:highlight w:val="none"/>
        </w:rPr>
        <w:t>这些费用的义务和责任。</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6.采购范围及适用法律</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6.2 “监督管理部门”是指</w:t>
      </w:r>
      <w:r>
        <w:rPr>
          <w:rFonts w:hint="eastAsia" w:asciiTheme="minorEastAsia" w:hAnsiTheme="minorEastAsia" w:eastAsiaTheme="minorEastAsia" w:cstheme="minorEastAsia"/>
          <w:snapToGrid w:val="0"/>
          <w:color w:val="auto"/>
          <w:spacing w:val="-2"/>
          <w:kern w:val="0"/>
          <w:sz w:val="24"/>
          <w:szCs w:val="24"/>
          <w:highlight w:val="none"/>
          <w:u w:val="single"/>
          <w:lang w:val="en-US" w:eastAsia="zh-CN" w:bidi="ar-SA"/>
        </w:rPr>
        <w:t xml:space="preserve">  唐河县财政局 </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6.3 “货物”指供应商按采购文件规定，须向采购人提供的与本次采购相关的</w:t>
      </w:r>
      <w:r>
        <w:rPr>
          <w:rFonts w:hint="eastAsia" w:asciiTheme="minorEastAsia" w:hAnsiTheme="minorEastAsia" w:eastAsiaTheme="minorEastAsia" w:cstheme="minorEastAsia"/>
          <w:snapToGrid w:val="0"/>
          <w:color w:val="auto"/>
          <w:spacing w:val="-2"/>
          <w:kern w:val="0"/>
          <w:sz w:val="24"/>
          <w:szCs w:val="24"/>
          <w:highlight w:val="none"/>
          <w:u w:val="single"/>
          <w:lang w:val="en-US" w:eastAsia="zh-CN" w:bidi="ar-SA"/>
        </w:rPr>
        <w:t xml:space="preserve">  /    </w:t>
      </w: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6.4 “服务”指采购文件中规定的供应商应承担的服务内容。</w:t>
      </w:r>
    </w:p>
    <w:p>
      <w:pPr>
        <w:pStyle w:val="3"/>
        <w:keepNext w:val="0"/>
        <w:keepLines w:val="0"/>
        <w:pageBreakBefore w:val="0"/>
        <w:kinsoku/>
        <w:wordWrap w:val="0"/>
        <w:overflowPunct/>
        <w:topLinePunct w:val="0"/>
        <w:bidi w:val="0"/>
        <w:spacing w:before="91" w:line="360" w:lineRule="auto"/>
        <w:jc w:val="both"/>
        <w:outlineLvl w:val="1"/>
        <w:rPr>
          <w:rFonts w:hint="eastAsia"/>
          <w:color w:val="auto"/>
          <w:sz w:val="24"/>
          <w:szCs w:val="24"/>
          <w:highlight w:val="none"/>
          <w:lang w:val="en-US" w:eastAsia="zh-CN"/>
        </w:rPr>
      </w:pPr>
      <w:bookmarkStart w:id="21" w:name="_Toc11788"/>
      <w:r>
        <w:rPr>
          <w:color w:val="auto"/>
          <w:spacing w:val="-1"/>
          <w:sz w:val="28"/>
          <w:szCs w:val="28"/>
          <w:highlight w:val="none"/>
          <w14:textOutline w14:w="1800" w14:cap="flat" w14:cmpd="sng">
            <w14:solidFill>
              <w14:srgbClr w14:val="000000"/>
            </w14:solidFill>
            <w14:prstDash w14:val="solid"/>
            <w14:miter w14:val="0"/>
          </w14:textOutline>
        </w:rPr>
        <w:t>二</w:t>
      </w:r>
      <w:r>
        <w:rPr>
          <w:rFonts w:hint="eastAsia"/>
          <w:color w:val="auto"/>
          <w:spacing w:val="-1"/>
          <w:sz w:val="28"/>
          <w:szCs w:val="28"/>
          <w:highlight w:val="none"/>
          <w:lang w:eastAsia="zh-CN"/>
        </w:rPr>
        <w:t>、</w:t>
      </w:r>
      <w:r>
        <w:rPr>
          <w:color w:val="auto"/>
          <w:spacing w:val="-1"/>
          <w:sz w:val="28"/>
          <w:szCs w:val="28"/>
          <w:highlight w:val="none"/>
          <w14:textOutline w14:w="1800" w14:cap="flat" w14:cmpd="sng">
            <w14:solidFill>
              <w14:srgbClr w14:val="000000"/>
            </w14:solidFill>
            <w14:prstDash w14:val="solid"/>
            <w14:miter w14:val="0"/>
          </w14:textOutline>
        </w:rPr>
        <w:t>竞争性磋商文件</w:t>
      </w:r>
      <w:bookmarkEnd w:id="21"/>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b/>
          <w:bCs/>
          <w:color w:val="auto"/>
          <w:sz w:val="24"/>
          <w:szCs w:val="24"/>
          <w:highlight w:val="none"/>
        </w:rPr>
      </w:pPr>
      <w:r>
        <w:rPr>
          <w:rFonts w:hint="eastAsia"/>
          <w:b/>
          <w:bCs/>
          <w:color w:val="auto"/>
          <w:sz w:val="24"/>
          <w:szCs w:val="24"/>
          <w:highlight w:val="none"/>
          <w:lang w:val="en-US" w:eastAsia="zh-CN"/>
        </w:rPr>
        <w:t>7.</w:t>
      </w:r>
      <w:r>
        <w:rPr>
          <w:b/>
          <w:bCs/>
          <w:color w:val="auto"/>
          <w:sz w:val="24"/>
          <w:szCs w:val="24"/>
          <w:highlight w:val="none"/>
        </w:rPr>
        <w:t>竞争性磋商文件构成</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rFonts w:hint="eastAsia"/>
          <w:color w:val="auto"/>
          <w:spacing w:val="-1"/>
          <w:sz w:val="24"/>
          <w:szCs w:val="24"/>
          <w:highlight w:val="none"/>
          <w:lang w:val="en-US" w:eastAsia="zh-CN"/>
        </w:rPr>
        <w:t>7</w:t>
      </w:r>
      <w:r>
        <w:rPr>
          <w:color w:val="auto"/>
          <w:spacing w:val="-1"/>
          <w:sz w:val="24"/>
          <w:szCs w:val="24"/>
          <w:highlight w:val="none"/>
        </w:rPr>
        <w:t>.1</w:t>
      </w:r>
      <w:r>
        <w:rPr>
          <w:rFonts w:hint="eastAsia"/>
          <w:color w:val="auto"/>
          <w:spacing w:val="-1"/>
          <w:sz w:val="24"/>
          <w:szCs w:val="24"/>
          <w:highlight w:val="none"/>
          <w:lang w:val="en-US" w:eastAsia="zh-CN"/>
        </w:rPr>
        <w:t xml:space="preserve"> </w:t>
      </w:r>
      <w:r>
        <w:rPr>
          <w:color w:val="auto"/>
          <w:spacing w:val="-1"/>
          <w:sz w:val="24"/>
          <w:szCs w:val="24"/>
          <w:highlight w:val="none"/>
        </w:rPr>
        <w:t>竞争性磋商文件包括以下部分：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rFonts w:hint="eastAsia"/>
          <w:color w:val="auto"/>
          <w:spacing w:val="-1"/>
          <w:sz w:val="24"/>
          <w:szCs w:val="24"/>
          <w:highlight w:val="none"/>
        </w:rPr>
        <w:t>第一章 竞争性磋商公告</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第二章</w:t>
      </w:r>
      <w:r>
        <w:rPr>
          <w:rFonts w:hint="eastAsia"/>
          <w:color w:val="auto"/>
          <w:spacing w:val="-1"/>
          <w:sz w:val="24"/>
          <w:szCs w:val="24"/>
          <w:highlight w:val="none"/>
          <w:lang w:val="en-US" w:eastAsia="zh-CN"/>
        </w:rPr>
        <w:t xml:space="preserve"> </w:t>
      </w:r>
      <w:r>
        <w:rPr>
          <w:color w:val="auto"/>
          <w:spacing w:val="-1"/>
          <w:sz w:val="24"/>
          <w:szCs w:val="24"/>
          <w:highlight w:val="none"/>
        </w:rPr>
        <w:t>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第三章</w:t>
      </w:r>
      <w:r>
        <w:rPr>
          <w:rFonts w:hint="eastAsia"/>
          <w:color w:val="auto"/>
          <w:spacing w:val="-1"/>
          <w:sz w:val="24"/>
          <w:szCs w:val="24"/>
          <w:highlight w:val="none"/>
          <w:lang w:val="en-US" w:eastAsia="zh-CN"/>
        </w:rPr>
        <w:t xml:space="preserve"> </w:t>
      </w:r>
      <w:r>
        <w:rPr>
          <w:color w:val="auto"/>
          <w:spacing w:val="-1"/>
          <w:sz w:val="24"/>
          <w:szCs w:val="24"/>
          <w:highlight w:val="none"/>
        </w:rPr>
        <w:t>供应商须知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第四章</w:t>
      </w:r>
      <w:r>
        <w:rPr>
          <w:rFonts w:hint="eastAsia"/>
          <w:color w:val="auto"/>
          <w:spacing w:val="-1"/>
          <w:sz w:val="24"/>
          <w:szCs w:val="24"/>
          <w:highlight w:val="none"/>
          <w:lang w:val="en-US" w:eastAsia="zh-CN"/>
        </w:rPr>
        <w:t xml:space="preserve"> </w:t>
      </w:r>
      <w:r>
        <w:rPr>
          <w:rFonts w:hint="eastAsia"/>
          <w:color w:val="auto"/>
          <w:spacing w:val="-1"/>
          <w:sz w:val="24"/>
          <w:szCs w:val="24"/>
          <w:highlight w:val="none"/>
        </w:rPr>
        <w:t>评</w:t>
      </w:r>
      <w:r>
        <w:rPr>
          <w:rFonts w:hint="eastAsia"/>
          <w:color w:val="auto"/>
          <w:spacing w:val="-1"/>
          <w:sz w:val="24"/>
          <w:szCs w:val="24"/>
          <w:highlight w:val="none"/>
          <w:lang w:val="en-US" w:eastAsia="zh-CN"/>
        </w:rPr>
        <w:t>审</w:t>
      </w:r>
      <w:r>
        <w:rPr>
          <w:rFonts w:hint="eastAsia"/>
          <w:color w:val="auto"/>
          <w:spacing w:val="-1"/>
          <w:sz w:val="24"/>
          <w:szCs w:val="24"/>
          <w:highlight w:val="none"/>
        </w:rPr>
        <w:t>程序、</w:t>
      </w:r>
      <w:r>
        <w:rPr>
          <w:color w:val="auto"/>
          <w:spacing w:val="-1"/>
          <w:sz w:val="24"/>
          <w:szCs w:val="24"/>
          <w:highlight w:val="none"/>
        </w:rPr>
        <w:t>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第五章</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政府采购合同（草案）</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第六章</w:t>
      </w:r>
      <w:r>
        <w:rPr>
          <w:rFonts w:hint="eastAsia"/>
          <w:color w:val="auto"/>
          <w:spacing w:val="-1"/>
          <w:sz w:val="24"/>
          <w:szCs w:val="24"/>
          <w:highlight w:val="none"/>
          <w:lang w:val="en-US" w:eastAsia="zh-CN"/>
        </w:rPr>
        <w:t xml:space="preserve"> </w:t>
      </w:r>
      <w:r>
        <w:rPr>
          <w:color w:val="auto"/>
          <w:spacing w:val="-1"/>
          <w:sz w:val="24"/>
          <w:szCs w:val="24"/>
          <w:highlight w:val="none"/>
        </w:rPr>
        <w:t>响应文件格式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7.2 供应商应认真阅读竞争性磋商文件的全部内容。供应商应按照竞争性磋商文件要求提交响应文件并保证所提供的全部资料的真实性，并对竞争性磋商文件做出实质性响应，否则响应无效。</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color w:val="auto"/>
          <w:spacing w:val="-1"/>
          <w:sz w:val="24"/>
          <w:szCs w:val="24"/>
          <w:highlight w:val="none"/>
          <w:lang w:val="en-US" w:eastAsia="zh-CN"/>
        </w:rPr>
      </w:pPr>
      <w:r>
        <w:rPr>
          <w:rFonts w:hint="eastAsia"/>
          <w:b/>
          <w:bCs/>
          <w:color w:val="auto"/>
          <w:spacing w:val="-1"/>
          <w:sz w:val="24"/>
          <w:szCs w:val="24"/>
          <w:highlight w:val="none"/>
          <w:lang w:val="en-US" w:eastAsia="zh-CN"/>
        </w:rPr>
        <w:t>8.对竞争性磋商文件的澄清或修改</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 xml:space="preserve">8.1 </w:t>
      </w:r>
      <w:r>
        <w:rPr>
          <w:rFonts w:hint="eastAsia" w:asciiTheme="minorEastAsia" w:hAnsiTheme="minorEastAsia" w:eastAsiaTheme="minorEastAsia" w:cstheme="minorEastAsia"/>
          <w:color w:val="auto"/>
          <w:spacing w:val="-8"/>
          <w:sz w:val="24"/>
          <w:szCs w:val="24"/>
          <w:highlight w:val="none"/>
          <w:lang w:val="en-US" w:eastAsia="zh-CN"/>
        </w:rPr>
        <w:t>采购人或采购代理机构</w:t>
      </w:r>
      <w:r>
        <w:rPr>
          <w:rFonts w:hint="eastAsia"/>
          <w:color w:val="auto"/>
          <w:spacing w:val="-1"/>
          <w:sz w:val="24"/>
          <w:szCs w:val="24"/>
          <w:highlight w:val="none"/>
          <w:lang w:val="en-US" w:eastAsia="zh-CN"/>
        </w:rPr>
        <w:t>可用补充文件的方式修正竞争性磋商文件，补充文件内容以公告的形式告知所有竞争性磋商文件收受人，该补充文件将成为竞争性磋商文件的组成部分，并替代所修正的部分。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 xml:space="preserve">8.2 </w:t>
      </w:r>
      <w:r>
        <w:rPr>
          <w:rFonts w:hint="eastAsia" w:asciiTheme="minorEastAsia" w:hAnsiTheme="minorEastAsia" w:eastAsiaTheme="minorEastAsia" w:cstheme="minorEastAsia"/>
          <w:color w:val="auto"/>
          <w:spacing w:val="-8"/>
          <w:sz w:val="24"/>
          <w:szCs w:val="24"/>
          <w:highlight w:val="none"/>
          <w:lang w:val="en-US" w:eastAsia="zh-CN"/>
        </w:rPr>
        <w:t>采购人或采购代理机构</w:t>
      </w:r>
      <w:r>
        <w:rPr>
          <w:rFonts w:hint="eastAsia"/>
          <w:color w:val="auto"/>
          <w:spacing w:val="-1"/>
          <w:sz w:val="24"/>
          <w:szCs w:val="24"/>
          <w:highlight w:val="none"/>
          <w:lang w:val="en-US" w:eastAsia="zh-CN"/>
        </w:rPr>
        <w:t>可以酌情延长上传截止时间，并将此变更以公告形式通知所有竞争性磋商文件收受人。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color w:val="auto"/>
          <w:spacing w:val="-8"/>
          <w:sz w:val="24"/>
          <w:szCs w:val="24"/>
          <w:highlight w:val="none"/>
          <w:lang w:val="en-US" w:eastAsia="zh-CN"/>
        </w:rPr>
        <w:t>（必须在原公告发布媒体上发布公告）</w:t>
      </w:r>
      <w:r>
        <w:rPr>
          <w:rFonts w:hint="eastAsia"/>
          <w:color w:val="auto"/>
          <w:spacing w:val="-1"/>
          <w:sz w:val="24"/>
          <w:szCs w:val="24"/>
          <w:highlight w:val="none"/>
          <w:lang w:val="en-US" w:eastAsia="zh-CN"/>
        </w:rPr>
        <w:t>通知所有获取磋商文件的供应商；不足5日的，将顺延上传响应文件截止时间。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color w:val="auto"/>
          <w:spacing w:val="-1"/>
          <w:sz w:val="24"/>
          <w:szCs w:val="24"/>
          <w:highlight w:val="none"/>
          <w:lang w:val="en-US" w:eastAsia="zh-CN"/>
        </w:rPr>
      </w:pPr>
      <w:r>
        <w:rPr>
          <w:rFonts w:hint="eastAsia"/>
          <w:b/>
          <w:bCs/>
          <w:color w:val="auto"/>
          <w:spacing w:val="-1"/>
          <w:sz w:val="24"/>
          <w:szCs w:val="24"/>
          <w:highlight w:val="none"/>
          <w:lang w:val="en-US" w:eastAsia="zh-CN"/>
        </w:rPr>
        <w:t>8.4 政府采购项目实行网上受理，开标前所有信息保密。因此，</w:t>
      </w:r>
      <w:r>
        <w:rPr>
          <w:rFonts w:hint="eastAsia" w:asciiTheme="minorEastAsia" w:hAnsiTheme="minorEastAsia" w:eastAsiaTheme="minorEastAsia" w:cstheme="minorEastAsia"/>
          <w:b/>
          <w:bCs/>
          <w:color w:val="auto"/>
          <w:spacing w:val="-8"/>
          <w:sz w:val="24"/>
          <w:szCs w:val="24"/>
          <w:highlight w:val="none"/>
          <w:lang w:val="en-US" w:eastAsia="zh-CN"/>
        </w:rPr>
        <w:t>采购人或采购代理机构</w:t>
      </w:r>
      <w:r>
        <w:rPr>
          <w:rFonts w:hint="eastAsia"/>
          <w:b/>
          <w:bCs/>
          <w:color w:val="auto"/>
          <w:spacing w:val="-1"/>
          <w:sz w:val="24"/>
          <w:szCs w:val="24"/>
          <w:highlight w:val="none"/>
          <w:lang w:val="en-US" w:eastAsia="zh-CN"/>
        </w:rPr>
        <w:t>发布的一切公告信息（包括采购公告、变更公告、澄清公告等）均在“河南省政府采购网”“唐河县公共资源交易中心网”等媒体发布，请潜在供应商随时查询有关公告信息。若因潜在供应商没有及时查看到公告信息而造成的失误，责任自负。</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color w:val="auto"/>
          <w:sz w:val="24"/>
          <w:szCs w:val="24"/>
          <w:highlight w:val="none"/>
        </w:rPr>
      </w:pPr>
      <w:r>
        <w:rPr>
          <w:rFonts w:hint="eastAsia" w:asciiTheme="minorEastAsia" w:hAnsiTheme="minorEastAsia" w:eastAsiaTheme="minorEastAsia" w:cstheme="minorEastAsia"/>
          <w:b/>
          <w:bCs/>
          <w:color w:val="auto"/>
          <w:spacing w:val="-8"/>
          <w:sz w:val="24"/>
          <w:szCs w:val="24"/>
          <w:highlight w:val="none"/>
          <w:lang w:val="en-US" w:eastAsia="zh-CN"/>
        </w:rPr>
        <w:t>8.5 供应商应关注是否有发布最新的澄清更正公告和更正的最新磋商文件（电子答疑文件），如有则需下载最新的磋商文件，并在此基础上制作最新的响应文件并上传。</w:t>
      </w:r>
    </w:p>
    <w:p>
      <w:pPr>
        <w:pStyle w:val="3"/>
        <w:keepNext w:val="0"/>
        <w:keepLines w:val="0"/>
        <w:pageBreakBefore w:val="0"/>
        <w:kinsoku/>
        <w:wordWrap w:val="0"/>
        <w:overflowPunct/>
        <w:topLinePunct w:val="0"/>
        <w:bidi w:val="0"/>
        <w:spacing w:before="91" w:line="360" w:lineRule="auto"/>
        <w:jc w:val="both"/>
        <w:outlineLvl w:val="1"/>
        <w:rPr>
          <w:rFonts w:hint="eastAsia" w:ascii="Arial" w:hAnsi="Arial" w:eastAsia="宋体" w:cs="Arial"/>
          <w:color w:val="auto"/>
          <w:sz w:val="24"/>
          <w:szCs w:val="24"/>
          <w:highlight w:val="none"/>
          <w:lang w:val="en-US" w:eastAsia="zh-CN"/>
        </w:rPr>
      </w:pPr>
      <w:bookmarkStart w:id="22" w:name="_Toc18131"/>
      <w:r>
        <w:rPr>
          <w:color w:val="auto"/>
          <w:spacing w:val="-4"/>
          <w:sz w:val="28"/>
          <w:szCs w:val="28"/>
          <w:highlight w:val="none"/>
          <w14:textOutline w14:w="1800" w14:cap="flat" w14:cmpd="sng">
            <w14:solidFill>
              <w14:srgbClr w14:val="000000"/>
            </w14:solidFill>
            <w14:prstDash w14:val="solid"/>
            <w14:miter w14:val="0"/>
          </w14:textOutline>
        </w:rPr>
        <w:t>三</w:t>
      </w:r>
      <w:r>
        <w:rPr>
          <w:rFonts w:hint="eastAsia"/>
          <w:color w:val="auto"/>
          <w:spacing w:val="10"/>
          <w:sz w:val="28"/>
          <w:szCs w:val="28"/>
          <w:highlight w:val="none"/>
          <w:lang w:eastAsia="zh-CN"/>
        </w:rPr>
        <w:t>、</w:t>
      </w:r>
      <w:r>
        <w:rPr>
          <w:color w:val="auto"/>
          <w:spacing w:val="-4"/>
          <w:sz w:val="28"/>
          <w:szCs w:val="28"/>
          <w:highlight w:val="none"/>
          <w14:textOutline w14:w="1800" w14:cap="flat" w14:cmpd="sng">
            <w14:solidFill>
              <w14:srgbClr w14:val="000000"/>
            </w14:solidFill>
            <w14:prstDash w14:val="solid"/>
            <w14:miter w14:val="0"/>
          </w14:textOutline>
        </w:rPr>
        <w:t>响应文件的编制</w:t>
      </w:r>
      <w:bookmarkEnd w:id="22"/>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color w:val="auto"/>
          <w:spacing w:val="-1"/>
          <w:sz w:val="24"/>
          <w:szCs w:val="24"/>
          <w:highlight w:val="none"/>
          <w:lang w:val="en-US" w:eastAsia="zh-CN"/>
        </w:rPr>
      </w:pPr>
      <w:r>
        <w:rPr>
          <w:rFonts w:hint="eastAsia"/>
          <w:b/>
          <w:bCs/>
          <w:color w:val="auto"/>
          <w:spacing w:val="-1"/>
          <w:sz w:val="24"/>
          <w:szCs w:val="24"/>
          <w:highlight w:val="none"/>
          <w:lang w:val="en-US" w:eastAsia="zh-CN"/>
        </w:rPr>
        <w:t>9.响应范围、竞争性磋商文件中计量单位的使用及磋商语言</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9.2 除竞争性磋商文件有特殊要求外，本项目磋商所使用的计量单位，应采用中华人民共和国法定计量单位。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color w:val="auto"/>
          <w:spacing w:val="-1"/>
          <w:sz w:val="24"/>
          <w:szCs w:val="24"/>
          <w:highlight w:val="none"/>
          <w:lang w:val="en-US" w:eastAsia="zh-CN"/>
        </w:rPr>
      </w:pPr>
      <w:r>
        <w:rPr>
          <w:rFonts w:hint="eastAsia"/>
          <w:b/>
          <w:bCs/>
          <w:color w:val="auto"/>
          <w:spacing w:val="-1"/>
          <w:sz w:val="24"/>
          <w:szCs w:val="24"/>
          <w:highlight w:val="none"/>
          <w:lang w:val="en-US" w:eastAsia="zh-CN"/>
        </w:rPr>
        <w:t>10.响应文件构成</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10.1 供应商应当按照竞争性磋商文件的要求编制响应文件，并对其提交的响应文件的真实性、合法性承担法律责任。响应文件的部分格式要求，见第六章《响应文件格式》。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10.3</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电子</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lang w:eastAsia="zh-CN"/>
        </w:rPr>
        <w:t>文件应使用CA数字证书生成并在截止时间前上传其加密版本，</w:t>
      </w:r>
      <w:r>
        <w:rPr>
          <w:rFonts w:hint="eastAsia" w:asciiTheme="minorEastAsia" w:hAnsiTheme="minorEastAsia" w:eastAsiaTheme="minorEastAsia" w:cstheme="minorEastAsia"/>
          <w:color w:val="auto"/>
          <w:sz w:val="24"/>
          <w:szCs w:val="24"/>
          <w:highlight w:val="none"/>
          <w:lang w:val="en-US" w:eastAsia="zh-CN"/>
        </w:rPr>
        <w:t>根据磋商文件中规定的下载平台要求，</w:t>
      </w:r>
      <w:r>
        <w:rPr>
          <w:rFonts w:hint="eastAsia" w:asciiTheme="minorEastAsia" w:hAnsiTheme="minorEastAsia" w:eastAsiaTheme="minorEastAsia" w:cstheme="minorEastAsia"/>
          <w:color w:val="auto"/>
          <w:sz w:val="24"/>
          <w:szCs w:val="24"/>
          <w:highlight w:val="none"/>
          <w:lang w:eastAsia="zh-CN"/>
        </w:rPr>
        <w:t>具体详见《投标文件制作工具操作手册》。</w:t>
      </w:r>
      <w:r>
        <w:rPr>
          <w:rFonts w:hint="eastAsia" w:asciiTheme="minorEastAsia" w:hAnsiTheme="minorEastAsia" w:eastAsiaTheme="minorEastAsia" w:cstheme="minorEastAsia"/>
          <w:b/>
          <w:bCs/>
          <w:color w:val="auto"/>
          <w:sz w:val="24"/>
          <w:szCs w:val="24"/>
          <w:highlight w:val="none"/>
          <w:lang w:eastAsia="zh-CN"/>
        </w:rPr>
        <w:t>否则，被视为无效</w:t>
      </w:r>
      <w:r>
        <w:rPr>
          <w:rFonts w:hint="eastAsia" w:asciiTheme="minorEastAsia" w:hAnsiTheme="minorEastAsia" w:eastAsiaTheme="minorEastAsia" w:cstheme="minorEastAsia"/>
          <w:b/>
          <w:bCs/>
          <w:color w:val="auto"/>
          <w:sz w:val="24"/>
          <w:szCs w:val="24"/>
          <w:highlight w:val="none"/>
          <w:lang w:val="en-US" w:eastAsia="zh-CN"/>
        </w:rPr>
        <w:t>响应</w:t>
      </w:r>
      <w:r>
        <w:rPr>
          <w:rFonts w:hint="eastAsia" w:asciiTheme="minorEastAsia" w:hAnsiTheme="minorEastAsia" w:eastAsiaTheme="minorEastAsia" w:cstheme="minorEastAsia"/>
          <w:b/>
          <w:bCs/>
          <w:color w:val="auto"/>
          <w:sz w:val="24"/>
          <w:szCs w:val="24"/>
          <w:highlight w:val="none"/>
          <w:lang w:eastAsia="zh-CN"/>
        </w:rPr>
        <w:t>文件，将被平台系统拒绝。</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10.4 </w:t>
      </w:r>
      <w:r>
        <w:rPr>
          <w:rFonts w:hint="eastAsia" w:asciiTheme="minorEastAsia" w:hAnsiTheme="minorEastAsia" w:eastAsiaTheme="minorEastAsia" w:cstheme="minorEastAsia"/>
          <w:color w:val="auto"/>
          <w:sz w:val="24"/>
          <w:szCs w:val="24"/>
          <w:highlight w:val="none"/>
        </w:rPr>
        <w:t>第四章《</w:t>
      </w:r>
      <w:r>
        <w:rPr>
          <w:rFonts w:hint="eastAsia"/>
          <w:color w:val="auto"/>
          <w:spacing w:val="-1"/>
          <w:sz w:val="24"/>
          <w:szCs w:val="24"/>
          <w:highlight w:val="none"/>
        </w:rPr>
        <w:t>评</w:t>
      </w:r>
      <w:r>
        <w:rPr>
          <w:rFonts w:hint="eastAsia"/>
          <w:color w:val="auto"/>
          <w:spacing w:val="-1"/>
          <w:sz w:val="24"/>
          <w:szCs w:val="24"/>
          <w:highlight w:val="none"/>
          <w:lang w:val="en-US" w:eastAsia="zh-CN"/>
        </w:rPr>
        <w:t>审</w:t>
      </w:r>
      <w:r>
        <w:rPr>
          <w:rFonts w:hint="eastAsia"/>
          <w:color w:val="auto"/>
          <w:spacing w:val="-1"/>
          <w:sz w:val="24"/>
          <w:szCs w:val="24"/>
          <w:highlight w:val="none"/>
        </w:rPr>
        <w:t>程序、</w:t>
      </w:r>
      <w:r>
        <w:rPr>
          <w:color w:val="auto"/>
          <w:spacing w:val="-1"/>
          <w:sz w:val="24"/>
          <w:szCs w:val="24"/>
          <w:highlight w:val="none"/>
        </w:rPr>
        <w:t>评审方法和评审标准</w:t>
      </w:r>
      <w:r>
        <w:rPr>
          <w:rFonts w:hint="eastAsia" w:asciiTheme="minorEastAsia" w:hAnsiTheme="minorEastAsia" w:eastAsiaTheme="minorEastAsia" w:cstheme="minorEastAsia"/>
          <w:color w:val="auto"/>
          <w:sz w:val="24"/>
          <w:szCs w:val="24"/>
          <w:highlight w:val="none"/>
        </w:rPr>
        <w:t>》中涉及的证明文件。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r>
        <w:rPr>
          <w:rFonts w:hint="eastAsia" w:asciiTheme="minorEastAsia" w:hAnsiTheme="minorEastAsia" w:eastAsiaTheme="minorEastAsia" w:cstheme="minorEastAsia"/>
          <w:color w:val="auto"/>
          <w:sz w:val="24"/>
          <w:szCs w:val="24"/>
          <w:highlight w:val="none"/>
          <w:lang w:val="en-US" w:eastAsia="zh-CN"/>
        </w:rPr>
        <w:t xml:space="preserve">5 </w:t>
      </w:r>
      <w:r>
        <w:rPr>
          <w:rFonts w:hint="eastAsia" w:asciiTheme="minorEastAsia" w:hAnsiTheme="minorEastAsia" w:eastAsiaTheme="minorEastAsia" w:cstheme="minorEastAsia"/>
          <w:color w:val="auto"/>
          <w:sz w:val="24"/>
          <w:szCs w:val="24"/>
          <w:highlight w:val="none"/>
        </w:rPr>
        <w:t>对照第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章《采购需求》，说明所</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供货物</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服务</w:t>
      </w:r>
      <w:r>
        <w:rPr>
          <w:rFonts w:hint="eastAsia" w:asciiTheme="minorEastAsia" w:hAnsiTheme="minorEastAsia" w:eastAsiaTheme="minorEastAsia" w:cstheme="minorEastAsia"/>
          <w:color w:val="auto"/>
          <w:sz w:val="24"/>
          <w:szCs w:val="24"/>
          <w:highlight w:val="none"/>
          <w:lang w:val="en-US" w:eastAsia="zh-CN"/>
        </w:rPr>
        <w:t>或工程</w:t>
      </w:r>
      <w:r>
        <w:rPr>
          <w:rFonts w:hint="eastAsia" w:asciiTheme="minorEastAsia" w:hAnsiTheme="minorEastAsia" w:eastAsiaTheme="minorEastAsia" w:cstheme="minorEastAsia"/>
          <w:color w:val="auto"/>
          <w:sz w:val="24"/>
          <w:szCs w:val="24"/>
          <w:highlight w:val="none"/>
        </w:rPr>
        <w:t>已对第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章《采购需求》做出了响应，或申明与第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章《采购需求》的偏差和例外。如第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章《采购需求》中要求</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供证明文件的，</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rPr>
        <w:t>应当按具体要求</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10.6 </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lang w:val="en-US" w:eastAsia="zh-CN"/>
        </w:rPr>
        <w:t>编制响应文件时，涉及营业执照、资质、业绩、财务、社保、纳税及各类证书、报告等内容，必须是原件的扫描件。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10.7 </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lang w:val="en-US" w:eastAsia="zh-CN"/>
        </w:rPr>
        <w:t>认为应附的其他材料。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11.报价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11.1</w:t>
      </w:r>
      <w:r>
        <w:rPr>
          <w:rFonts w:hint="eastAsia" w:asciiTheme="minorEastAsia" w:hAnsiTheme="minorEastAsia" w:eastAsiaTheme="minorEastAsia" w:cstheme="minorEastAsia"/>
          <w:color w:val="auto"/>
          <w:sz w:val="24"/>
          <w:szCs w:val="24"/>
          <w:highlight w:val="none"/>
          <w:lang w:val="en-US" w:eastAsia="zh-CN"/>
        </w:rPr>
        <w:t xml:space="preserve"> 报价</w:t>
      </w:r>
      <w:r>
        <w:rPr>
          <w:rFonts w:hint="eastAsia" w:asciiTheme="minorEastAsia" w:hAnsiTheme="minorEastAsia" w:eastAsiaTheme="minorEastAsia" w:cstheme="minorEastAsia"/>
          <w:color w:val="auto"/>
          <w:sz w:val="24"/>
          <w:szCs w:val="24"/>
          <w:highlight w:val="none"/>
        </w:rPr>
        <w:t>均以人民币报价。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的报价应包括为完成本项目所发生的一切费用和税费，采购人将不再支付报价以外的任何费用。</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的报价应包括但不限于下列内容，</w:t>
      </w:r>
      <w:r>
        <w:rPr>
          <w:rFonts w:hint="eastAsia" w:asciiTheme="minorEastAsia" w:hAnsiTheme="minorEastAsia" w:eastAsiaTheme="minorEastAsia" w:cstheme="minorEastAsia"/>
          <w:color w:val="auto"/>
          <w:sz w:val="24"/>
          <w:szCs w:val="24"/>
          <w:highlight w:val="none"/>
          <w:lang w:val="en-US" w:eastAsia="zh-CN"/>
        </w:rPr>
        <w:t>磋商文件</w:t>
      </w:r>
      <w:r>
        <w:rPr>
          <w:rFonts w:hint="eastAsia" w:asciiTheme="minorEastAsia" w:hAnsiTheme="minorEastAsia" w:eastAsiaTheme="minorEastAsia" w:cstheme="minorEastAsia"/>
          <w:color w:val="auto"/>
          <w:sz w:val="24"/>
          <w:szCs w:val="24"/>
          <w:highlight w:val="none"/>
        </w:rPr>
        <w:t>中有特殊规定的，从其规定。</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w:t>
      </w:r>
      <w:r>
        <w:rPr>
          <w:rFonts w:hint="eastAsia" w:asciiTheme="minorEastAsia" w:hAnsiTheme="minorEastAsia" w:eastAsiaTheme="minorEastAsia" w:cstheme="minorEastAsia"/>
          <w:color w:val="auto"/>
          <w:sz w:val="24"/>
          <w:szCs w:val="24"/>
          <w:highlight w:val="none"/>
          <w:lang w:val="en-US" w:eastAsia="zh-CN"/>
        </w:rPr>
        <w:t xml:space="preserve">1 </w:t>
      </w:r>
      <w:r>
        <w:rPr>
          <w:rFonts w:hint="eastAsia" w:asciiTheme="minorEastAsia" w:hAnsiTheme="minorEastAsia" w:eastAsiaTheme="minorEastAsia" w:cstheme="minorEastAsia"/>
          <w:color w:val="auto"/>
          <w:sz w:val="24"/>
          <w:szCs w:val="24"/>
          <w:highlight w:val="none"/>
          <w:lang w:eastAsia="zh-CN"/>
        </w:rPr>
        <w:t>所投</w:t>
      </w:r>
      <w:r>
        <w:rPr>
          <w:rFonts w:hint="eastAsia" w:asciiTheme="minorEastAsia" w:hAnsiTheme="minorEastAsia" w:eastAsiaTheme="minorEastAsia" w:cstheme="minorEastAsia"/>
          <w:color w:val="auto"/>
          <w:sz w:val="24"/>
          <w:szCs w:val="24"/>
          <w:highlight w:val="none"/>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auto"/>
          <w:sz w:val="24"/>
          <w:szCs w:val="24"/>
          <w:highlight w:val="none"/>
          <w:lang w:eastAsia="zh-CN"/>
        </w:rPr>
        <w:t>报价时应详细列出所投产品的生产厂商、品牌、型号、单价、数量、总价等。</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11.2.2</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服务项目</w:t>
      </w: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文件要求完成本项目的全部相关费用。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11.3</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采购人不得向供应商索要或者接受其给予的赠品、回扣或者与采购无关的其他商品、服务。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11.4</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不能</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供任何有选择性或可调整的报价（</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竞争性磋商</w:t>
      </w:r>
      <w:r>
        <w:rPr>
          <w:rFonts w:hint="eastAsia" w:asciiTheme="minorEastAsia" w:hAnsiTheme="minorEastAsia" w:eastAsiaTheme="minorEastAsia" w:cstheme="minorEastAsia"/>
          <w:color w:val="auto"/>
          <w:sz w:val="24"/>
          <w:szCs w:val="24"/>
          <w:highlight w:val="none"/>
        </w:rPr>
        <w:t>文件另有规定的除外），否则其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无效。</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11.5 本项目将按供应商所提交的单价和总价来支付本项目所需的费用。对供应商没有填写单价和总价的内容,将被认为这些项目费用已包括在报价中。</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11.6 磋商结束，供应商进行网上最终报价。</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11.7 本次采购设有预算，供应商最终报价超过预算的，磋商小组将不予评议。</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11.8 供应商的所有报价不得低于成本恶意竞争。</w:t>
      </w:r>
    </w:p>
    <w:p>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12.响应有效期</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12.2 特别情况下，采购代理机构、采购人可于响应有效期满之前要求供应商同意延长有效期，要求与答复均为书面形式。供应商可以拒绝上述要求。对于同意该要求的供应商，既不要求也不允许其修改响应文件。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13.响应</w:t>
      </w:r>
      <w:r>
        <w:rPr>
          <w:rFonts w:hint="eastAsia" w:asciiTheme="minorEastAsia" w:hAnsiTheme="minorEastAsia" w:eastAsiaTheme="minorEastAsia" w:cstheme="minorEastAsia"/>
          <w:b/>
          <w:bCs/>
          <w:color w:val="auto"/>
          <w:sz w:val="24"/>
          <w:szCs w:val="24"/>
          <w:highlight w:val="none"/>
        </w:rPr>
        <w:t>文件的签署、盖章</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13.1 电子响应文件必须在规定签章处电子签章或手写签字后扫描上传进响应文件。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13.2 竞争性磋商文件要求盖章的内容，一般通过CA证书加盖电子签章。</w:t>
      </w:r>
    </w:p>
    <w:p>
      <w:pPr>
        <w:pStyle w:val="3"/>
        <w:keepNext w:val="0"/>
        <w:keepLines w:val="0"/>
        <w:pageBreakBefore w:val="0"/>
        <w:kinsoku/>
        <w:wordWrap w:val="0"/>
        <w:overflowPunct/>
        <w:topLinePunct w:val="0"/>
        <w:bidi w:val="0"/>
        <w:spacing w:before="122" w:line="360" w:lineRule="auto"/>
        <w:jc w:val="both"/>
        <w:outlineLvl w:val="1"/>
        <w:rPr>
          <w:rFonts w:hint="eastAsia" w:ascii="宋体" w:hAnsi="宋体" w:eastAsia="宋体" w:cs="宋体"/>
          <w:snapToGrid w:val="0"/>
          <w:color w:val="auto"/>
          <w:spacing w:val="-1"/>
          <w:kern w:val="0"/>
          <w:sz w:val="24"/>
          <w:szCs w:val="24"/>
          <w:highlight w:val="none"/>
          <w:lang w:val="en-US" w:eastAsia="zh-CN" w:bidi="ar-SA"/>
        </w:rPr>
      </w:pPr>
      <w:bookmarkStart w:id="23" w:name="_Toc24840"/>
      <w:r>
        <w:rPr>
          <w:color w:val="auto"/>
          <w:spacing w:val="-4"/>
          <w:sz w:val="28"/>
          <w:szCs w:val="28"/>
          <w:highlight w:val="none"/>
          <w14:textOutline w14:w="1800" w14:cap="flat" w14:cmpd="sng">
            <w14:solidFill>
              <w14:srgbClr w14:val="000000"/>
            </w14:solidFill>
            <w14:prstDash w14:val="solid"/>
            <w14:miter w14:val="0"/>
          </w14:textOutline>
        </w:rPr>
        <w:t>四</w:t>
      </w:r>
      <w:r>
        <w:rPr>
          <w:rFonts w:hint="eastAsia"/>
          <w:color w:val="auto"/>
          <w:spacing w:val="10"/>
          <w:sz w:val="28"/>
          <w:szCs w:val="28"/>
          <w:highlight w:val="none"/>
          <w:lang w:eastAsia="zh-CN"/>
        </w:rPr>
        <w:t>、</w:t>
      </w:r>
      <w:r>
        <w:rPr>
          <w:color w:val="auto"/>
          <w:spacing w:val="-4"/>
          <w:sz w:val="28"/>
          <w:szCs w:val="28"/>
          <w:highlight w:val="none"/>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color w:val="auto"/>
          <w:spacing w:val="-4"/>
          <w:sz w:val="28"/>
          <w:szCs w:val="28"/>
          <w:highlight w:val="none"/>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color w:val="auto"/>
          <w:spacing w:val="-4"/>
          <w:sz w:val="28"/>
          <w:szCs w:val="28"/>
          <w:highlight w:val="none"/>
          <w14:textOutline w14:w="1800" w14:cap="flat" w14:cmpd="sng">
            <w14:solidFill>
              <w14:srgbClr w14:val="000000"/>
            </w14:solidFill>
            <w14:prstDash w14:val="solid"/>
            <w14:miter w14:val="0"/>
          </w14:textOutline>
        </w:rPr>
        <w:t>交</w:t>
      </w:r>
      <w:bookmarkEnd w:id="23"/>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14.响应文件的提交</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rPr>
        <w:t>1</w:t>
      </w:r>
      <w:r>
        <w:rPr>
          <w:rFonts w:hint="eastAsia" w:asciiTheme="minorEastAsia" w:hAnsiTheme="minorEastAsia" w:eastAsiaTheme="minorEastAsia" w:cstheme="minorEastAsia"/>
          <w:color w:val="auto"/>
          <w:spacing w:val="3"/>
          <w:sz w:val="24"/>
          <w:szCs w:val="24"/>
          <w:highlight w:val="none"/>
          <w:lang w:val="en-US" w:eastAsia="zh-CN"/>
        </w:rPr>
        <w:t>4.</w:t>
      </w:r>
      <w:r>
        <w:rPr>
          <w:rFonts w:hint="eastAsia" w:asciiTheme="minorEastAsia" w:hAnsiTheme="minorEastAsia" w:eastAsiaTheme="minorEastAsia" w:cstheme="minorEastAsia"/>
          <w:color w:val="auto"/>
          <w:spacing w:val="3"/>
          <w:sz w:val="24"/>
          <w:szCs w:val="24"/>
          <w:highlight w:val="none"/>
        </w:rPr>
        <w:t>1</w:t>
      </w:r>
      <w:r>
        <w:rPr>
          <w:rFonts w:hint="eastAsia" w:asciiTheme="minorEastAsia" w:hAnsiTheme="minorEastAsia" w:eastAsiaTheme="minorEastAsia" w:cstheme="minorEastAsia"/>
          <w:color w:val="auto"/>
          <w:spacing w:val="3"/>
          <w:sz w:val="24"/>
          <w:szCs w:val="24"/>
          <w:highlight w:val="none"/>
          <w:lang w:val="en-US" w:eastAsia="zh-CN"/>
        </w:rPr>
        <w:t xml:space="preserve"> 电子响应文件的提交是指使用唐河县公共资源交易中心网上交易系统在上传截止时间前完成制作软件生成的加密电子响应文件的上传。未在上传截止时间前完成上传的，视为逾期提交。逾期提交的响应文件不予受理。</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14.2 采购人及采购代理机构拒绝接受通过电子交易平台以外任何形式提交的响应文件。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15.响应文件上传截止时间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供应商应在竞争性磋商文件要求响应文件上传截止时间前，将电子响应文件提交至电子交易平台。</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16.响应文件的修改与撤回</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在采购文件规定的电子响应文件上传截止时间前，供应商可以修改或撤回已上传的电子响应文件，最终电子响应文件以上传截止时间前完成上传至唐河县公共资源交易电子交易平台最后一份加密电子响应文件为准。</w:t>
      </w:r>
      <w:r>
        <w:rPr>
          <w:rFonts w:hint="eastAsia" w:asciiTheme="minorEastAsia" w:hAnsiTheme="minorEastAsia" w:eastAsiaTheme="minorEastAsia" w:cstheme="minorEastAsia"/>
          <w:color w:val="auto"/>
          <w:spacing w:val="3"/>
          <w:sz w:val="24"/>
          <w:szCs w:val="24"/>
          <w:highlight w:val="none"/>
          <w:lang w:val="en-US" w:eastAsia="zh-CN"/>
        </w:rPr>
        <w:t>上传截止时间之后，供应商不得修改或撤回电子响应文件。</w:t>
      </w:r>
    </w:p>
    <w:p>
      <w:pPr>
        <w:pStyle w:val="3"/>
        <w:keepNext w:val="0"/>
        <w:keepLines w:val="0"/>
        <w:pageBreakBefore w:val="0"/>
        <w:kinsoku/>
        <w:wordWrap w:val="0"/>
        <w:overflowPunct/>
        <w:topLinePunct w:val="0"/>
        <w:bidi w:val="0"/>
        <w:spacing w:before="358" w:line="360" w:lineRule="auto"/>
        <w:jc w:val="center"/>
        <w:outlineLvl w:val="0"/>
        <w:rPr>
          <w:color w:val="auto"/>
          <w:spacing w:val="-1"/>
          <w:sz w:val="36"/>
          <w:szCs w:val="36"/>
          <w:highlight w:val="none"/>
          <w14:textOutline w14:w="2306" w14:cap="flat" w14:cmpd="sng">
            <w14:solidFill>
              <w14:srgbClr w14:val="000000"/>
            </w14:solidFill>
            <w14:prstDash w14:val="solid"/>
            <w14:miter w14:val="0"/>
          </w14:textOutline>
        </w:rPr>
      </w:pPr>
      <w:bookmarkStart w:id="24" w:name="_Toc10621"/>
    </w:p>
    <w:p>
      <w:pPr>
        <w:pStyle w:val="3"/>
        <w:keepNext w:val="0"/>
        <w:keepLines w:val="0"/>
        <w:pageBreakBefore w:val="0"/>
        <w:kinsoku/>
        <w:wordWrap w:val="0"/>
        <w:overflowPunct/>
        <w:topLinePunct w:val="0"/>
        <w:bidi w:val="0"/>
        <w:spacing w:before="358" w:line="360" w:lineRule="auto"/>
        <w:jc w:val="center"/>
        <w:outlineLvl w:val="0"/>
        <w:rPr>
          <w:color w:val="auto"/>
          <w:spacing w:val="-1"/>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kinsoku/>
        <w:wordWrap w:val="0"/>
        <w:overflowPunct/>
        <w:topLinePunct w:val="0"/>
        <w:bidi w:val="0"/>
        <w:spacing w:before="358" w:line="360" w:lineRule="auto"/>
        <w:jc w:val="both"/>
        <w:outlineLvl w:val="0"/>
        <w:rPr>
          <w:color w:val="auto"/>
          <w:spacing w:val="-1"/>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kinsoku/>
        <w:wordWrap w:val="0"/>
        <w:overflowPunct/>
        <w:topLinePunct w:val="0"/>
        <w:bidi w:val="0"/>
        <w:spacing w:before="358" w:line="360" w:lineRule="auto"/>
        <w:jc w:val="center"/>
        <w:outlineLvl w:val="0"/>
        <w:rPr>
          <w:color w:val="auto"/>
          <w:spacing w:val="-1"/>
          <w:sz w:val="36"/>
          <w:szCs w:val="36"/>
          <w:highlight w:val="none"/>
          <w14:textOutline w14:w="2306" w14:cap="flat" w14:cmpd="sng">
            <w14:solidFill>
              <w14:srgbClr w14:val="000000"/>
            </w14:solidFill>
            <w14:prstDash w14:val="solid"/>
            <w14:miter w14:val="0"/>
          </w14:textOutline>
        </w:rPr>
      </w:pPr>
      <w:bookmarkStart w:id="25" w:name="_Toc19531"/>
    </w:p>
    <w:p>
      <w:pPr>
        <w:pStyle w:val="3"/>
        <w:keepNext w:val="0"/>
        <w:keepLines w:val="0"/>
        <w:pageBreakBefore w:val="0"/>
        <w:kinsoku/>
        <w:wordWrap w:val="0"/>
        <w:overflowPunct/>
        <w:topLinePunct w:val="0"/>
        <w:bidi w:val="0"/>
        <w:spacing w:before="358" w:line="360" w:lineRule="auto"/>
        <w:jc w:val="center"/>
        <w:outlineLvl w:val="0"/>
        <w:rPr>
          <w:color w:val="auto"/>
          <w:spacing w:val="-2"/>
          <w:sz w:val="24"/>
          <w:szCs w:val="24"/>
          <w:highlight w:val="none"/>
          <w14:textOutline w14:w="1537" w14:cap="flat" w14:cmpd="sng">
            <w14:solidFill>
              <w14:srgbClr w14:val="000000"/>
            </w14:solidFill>
            <w14:prstDash w14:val="solid"/>
            <w14:miter w14:val="0"/>
          </w14:textOutline>
        </w:rPr>
      </w:pPr>
      <w:r>
        <w:rPr>
          <w:color w:val="auto"/>
          <w:spacing w:val="-1"/>
          <w:sz w:val="36"/>
          <w:szCs w:val="36"/>
          <w:highlight w:val="none"/>
          <w14:textOutline w14:w="2306" w14:cap="flat" w14:cmpd="sng">
            <w14:solidFill>
              <w14:srgbClr w14:val="000000"/>
            </w14:solidFill>
            <w14:prstDash w14:val="solid"/>
            <w14:miter w14:val="0"/>
          </w14:textOutline>
        </w:rPr>
        <w:t>第</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四</w:t>
      </w:r>
      <w:r>
        <w:rPr>
          <w:color w:val="auto"/>
          <w:spacing w:val="-1"/>
          <w:sz w:val="36"/>
          <w:szCs w:val="36"/>
          <w:highlight w:val="none"/>
          <w14:textOutline w14:w="2306" w14:cap="flat" w14:cmpd="sng">
            <w14:solidFill>
              <w14:srgbClr w14:val="000000"/>
            </w14:solidFill>
            <w14:prstDash w14:val="solid"/>
            <w14:miter w14:val="0"/>
          </w14:textOutline>
        </w:rPr>
        <w:t>章</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color w:val="auto"/>
          <w:spacing w:val="-1"/>
          <w:sz w:val="36"/>
          <w:szCs w:val="36"/>
          <w:highlight w:val="none"/>
          <w14:textOutline w14:w="2306" w14:cap="flat" w14:cmpd="sng">
            <w14:solidFill>
              <w14:srgbClr w14:val="000000"/>
            </w14:solidFill>
            <w14:prstDash w14:val="solid"/>
            <w14:miter w14:val="0"/>
          </w14:textOutline>
        </w:rPr>
        <w:t>评</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审</w:t>
      </w:r>
      <w:r>
        <w:rPr>
          <w:rFonts w:hint="eastAsia"/>
          <w:color w:val="auto"/>
          <w:spacing w:val="-1"/>
          <w:sz w:val="36"/>
          <w:szCs w:val="36"/>
          <w:highlight w:val="none"/>
          <w14:textOutline w14:w="2306" w14:cap="flat" w14:cmpd="sng">
            <w14:solidFill>
              <w14:srgbClr w14:val="000000"/>
            </w14:solidFill>
            <w14:prstDash w14:val="solid"/>
            <w14:miter w14:val="0"/>
          </w14:textOutline>
        </w:rPr>
        <w:t>程序、</w:t>
      </w:r>
      <w:r>
        <w:rPr>
          <w:color w:val="auto"/>
          <w:spacing w:val="-1"/>
          <w:sz w:val="36"/>
          <w:szCs w:val="36"/>
          <w:highlight w:val="none"/>
          <w14:textOutline w14:w="2306" w14:cap="flat" w14:cmpd="sng">
            <w14:solidFill>
              <w14:srgbClr w14:val="000000"/>
            </w14:solidFill>
            <w14:prstDash w14:val="solid"/>
            <w14:miter w14:val="0"/>
          </w14:textOutline>
        </w:rPr>
        <w:t>评审方法和评审标准</w:t>
      </w:r>
      <w:bookmarkEnd w:id="24"/>
      <w:bookmarkEnd w:id="25"/>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6" w:name="_Toc31954"/>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一、编制、确认竞争性磋商文件</w:t>
      </w:r>
      <w:bookmarkEnd w:id="26"/>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color w:val="auto"/>
          <w:spacing w:val="3"/>
          <w:sz w:val="24"/>
          <w:szCs w:val="24"/>
          <w:highlight w:val="none"/>
          <w:lang w:val="en-US" w:eastAsia="zh-CN"/>
        </w:rPr>
        <w:t>采购人或采购代理机构</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根据采购项目特点和采购实际需求编制竞争性磋商文件，编制的竞争性磋商文件应由采购人审核并确认。</w:t>
      </w:r>
    </w:p>
    <w:p>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7" w:name="_Toc26340"/>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二、发布竞争性磋商公告，邀请供应商参加磋商</w:t>
      </w:r>
      <w:bookmarkEnd w:id="27"/>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竞争性磋商文件经采购人书面确认后，将在指定媒体和唐河县公共资源交易中心网发布竞争性磋商公告。供应商按照公告和竞争性磋商文件要求制作并递交响应文件。</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8" w:name="_Toc32234"/>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三、组建磋商小组</w:t>
      </w:r>
      <w:bookmarkEnd w:id="28"/>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根据</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竞争性磋商小组负责对响应文件进行评审、质疑、评估、比较、评分，组织磋商和最后报价。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评审专家应当严格遵守评审工作纪律，按照客观、公正、审慎的原则，根据磋商文件规定的评审程序、评审方法和评审标准进行独立评审。</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lang w:val="en-US" w:eastAsia="zh-CN"/>
        </w:rPr>
        <w:t>评审活动结束，按照《河南省政府采购评审专家劳务报酬支付标准》的通知(豫财购〔2017〕9号)的规定，发放劳务报酬。</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bookmarkStart w:id="29" w:name="_Toc29911"/>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四、解密电子响应文件</w:t>
      </w:r>
      <w:bookmarkEnd w:id="29"/>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30" w:name="_Toc26883"/>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供应商解密：供应商制作电子响应文件时，必须使用本单位的CA证书进行加密，供应商在解密前须自行检查CA证书的有效性。解密时未在开启响应文件时间后30分钟内进行解密成功的视为撤销其响应文件（因电子开标系统原因除外）。</w:t>
      </w:r>
      <w:bookmarkEnd w:id="30"/>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bookmarkStart w:id="31" w:name="_Toc6867"/>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五、评审</w:t>
      </w:r>
      <w:bookmarkEnd w:id="31"/>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磋商小组对供应商提交的响应文件进行评审。主要对响应文件的有效性、完整性和响应程度进行审查，具体包括：</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4" w:firstLineChars="200"/>
        <w:jc w:val="center"/>
        <w:textAlignment w:val="baseline"/>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资格性审查</w:t>
      </w:r>
    </w:p>
    <w:tbl>
      <w:tblPr>
        <w:tblStyle w:val="29"/>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4773"/>
        <w:gridCol w:w="32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vAlign w:val="top"/>
          </w:tcPr>
          <w:p>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7" w14:cap="flat" w14:cmpd="sng">
                  <w14:solidFill>
                    <w14:srgbClr w14:val="000000"/>
                  </w14:solidFill>
                  <w14:prstDash w14:val="solid"/>
                  <w14:miter w14:val="0"/>
                </w14:textOutline>
              </w:rPr>
              <w:t>序号</w:t>
            </w:r>
          </w:p>
        </w:tc>
        <w:tc>
          <w:tcPr>
            <w:tcW w:w="1058"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审查因素</w:t>
            </w:r>
          </w:p>
        </w:tc>
        <w:tc>
          <w:tcPr>
            <w:tcW w:w="4773"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审查内容</w:t>
            </w:r>
          </w:p>
        </w:tc>
        <w:tc>
          <w:tcPr>
            <w:tcW w:w="3227"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val="en-US" w:eastAsia="zh-CN"/>
                <w14:textOutline w14:w="1537" w14:cap="flat" w14:cmpd="sng">
                  <w14:solidFill>
                    <w14:srgbClr w14:val="000000"/>
                  </w14:solidFill>
                  <w14:prstDash w14:val="solid"/>
                  <w14:miter w14:val="0"/>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color w:val="auto"/>
                <w:highlight w:val="none"/>
              </w:rPr>
            </w:pPr>
          </w:p>
          <w:p>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满足第一章《</w:t>
            </w:r>
            <w:r>
              <w:rPr>
                <w:rFonts w:hint="eastAsia" w:asciiTheme="minorEastAsia" w:hAnsiTheme="minorEastAsia" w:eastAsiaTheme="minorEastAsia" w:cstheme="minorEastAsia"/>
                <w:color w:val="auto"/>
                <w:spacing w:val="-2"/>
                <w:sz w:val="24"/>
                <w:szCs w:val="24"/>
                <w:highlight w:val="none"/>
                <w:lang w:val="en-US" w:eastAsia="zh-CN"/>
              </w:rPr>
              <w:t>竞争性磋商公告</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2"/>
                <w:sz w:val="24"/>
                <w:szCs w:val="24"/>
                <w:highlight w:val="none"/>
                <w:lang w:val="en-US" w:eastAsia="zh-CN"/>
              </w:rPr>
              <w:t>具备的</w:t>
            </w:r>
            <w:r>
              <w:rPr>
                <w:rFonts w:hint="eastAsia" w:asciiTheme="minorEastAsia" w:hAnsiTheme="minorEastAsia" w:eastAsiaTheme="minorEastAsia" w:cstheme="minorEastAsia"/>
                <w:color w:val="auto"/>
                <w:spacing w:val="-2"/>
                <w:sz w:val="24"/>
                <w:szCs w:val="24"/>
                <w:highlight w:val="none"/>
              </w:rPr>
              <w:t>资格要求</w:t>
            </w:r>
          </w:p>
        </w:tc>
        <w:tc>
          <w:tcPr>
            <w:tcW w:w="4773" w:type="dxa"/>
            <w:vAlign w:val="top"/>
          </w:tcPr>
          <w:p>
            <w:pPr>
              <w:keepNext w:val="0"/>
              <w:keepLines w:val="0"/>
              <w:pageBreakBefore w:val="0"/>
              <w:numPr>
                <w:ilvl w:val="0"/>
                <w:numId w:val="2"/>
              </w:numPr>
              <w:kinsoku/>
              <w:wordWrap w:val="0"/>
              <w:overflowPunct/>
              <w:topLinePunct w:val="0"/>
              <w:bidi w:val="0"/>
              <w:spacing w:before="32" w:line="232" w:lineRule="auto"/>
              <w:ind w:left="0" w:leftChars="0" w:right="105" w:firstLine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供应商具有独立承担民事责任的能力以及有效的营业执照；</w:t>
            </w:r>
          </w:p>
          <w:p>
            <w:pPr>
              <w:keepNext w:val="0"/>
              <w:keepLines w:val="0"/>
              <w:pageBreakBefore w:val="0"/>
              <w:numPr>
                <w:ilvl w:val="0"/>
                <w:numId w:val="2"/>
              </w:numPr>
              <w:kinsoku/>
              <w:wordWrap w:val="0"/>
              <w:overflowPunct/>
              <w:topLinePunct w:val="0"/>
              <w:bidi w:val="0"/>
              <w:spacing w:before="32" w:line="232" w:lineRule="auto"/>
              <w:ind w:left="0" w:leftChars="0" w:right="105" w:firstLine="0" w:firstLine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供应商须具有行政主管部门颁发的水利行业专业乙级及以上设计资质,具有相应的设计能力；</w:t>
            </w:r>
          </w:p>
          <w:p>
            <w:pPr>
              <w:pStyle w:val="2"/>
              <w:numPr>
                <w:ilvl w:val="0"/>
                <w:numId w:val="2"/>
              </w:numPr>
              <w:ind w:left="0" w:leftChars="0" w:firstLine="0" w:firstLineChars="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拟派项目负责人具备中级及以上职称证(水利水电相关专业)；</w:t>
            </w:r>
          </w:p>
          <w:p>
            <w:pPr>
              <w:pStyle w:val="2"/>
              <w:numPr>
                <w:ilvl w:val="0"/>
                <w:numId w:val="2"/>
              </w:numPr>
              <w:ind w:left="0" w:leftChars="0" w:firstLine="0" w:firstLineChars="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snapToGrid w:val="0"/>
                <w:color w:val="auto"/>
                <w:kern w:val="0"/>
                <w:sz w:val="24"/>
                <w:szCs w:val="24"/>
                <w:highlight w:val="none"/>
                <w:lang w:val="en-US" w:eastAsia="zh-CN" w:bidi="ar-SA"/>
              </w:rPr>
              <w:t>具有履行合同所必需的设备和专业技术能力。</w:t>
            </w:r>
          </w:p>
          <w:p>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（7）参加本次政府采购活动前三年内，在经营活动中没有重大违法犯罪记录；</w:t>
            </w:r>
          </w:p>
          <w:p>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（9）本次招标不接受联合体投标，不允许分包和转包。</w:t>
            </w:r>
          </w:p>
          <w:p>
            <w:pPr>
              <w:keepNext w:val="0"/>
              <w:keepLines w:val="0"/>
              <w:pageBreakBefore w:val="0"/>
              <w:kinsoku/>
              <w:wordWrap w:val="0"/>
              <w:overflowPunct/>
              <w:topLinePunct w:val="0"/>
              <w:bidi w:val="0"/>
              <w:spacing w:before="32" w:line="232" w:lineRule="auto"/>
              <w:ind w:right="105"/>
              <w:jc w:val="both"/>
              <w:rPr>
                <w:rFonts w:hint="eastAsia"/>
                <w:color w:val="auto"/>
                <w:highlight w:val="none"/>
              </w:rPr>
            </w:pPr>
            <w:r>
              <w:rPr>
                <w:rFonts w:hint="eastAsia" w:asciiTheme="minorEastAsia" w:hAnsiTheme="minorEastAsia" w:eastAsiaTheme="minorEastAsia" w:cstheme="minorEastAsia"/>
                <w:color w:val="auto"/>
                <w:sz w:val="24"/>
                <w:szCs w:val="24"/>
                <w:highlight w:val="none"/>
                <w:lang w:val="en-US" w:eastAsia="zh-CN"/>
              </w:rPr>
              <w:t>（10）遵守国家有关法律、法规、规章。</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供应商为企业（包括合伙企业、个体工商户）的，应提供有效的营业执照；</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供应商为事业单位的，应提供有效的事业单位法人证书；</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供应商是非企业机构的，应提供有效的执业许可证、登记证书等证明文件；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供应商是自然人的，应提供有效的自然人身份证明。</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2"/>
                <w:sz w:val="24"/>
                <w:szCs w:val="24"/>
                <w:highlight w:val="none"/>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721" w:type="dxa"/>
            <w:vAlign w:val="center"/>
          </w:tcPr>
          <w:p>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 小 企业政策</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具体要求见第一章《竞争性磋商公告》</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w:t>
            </w:r>
          </w:p>
        </w:tc>
        <w:tc>
          <w:tcPr>
            <w:tcW w:w="1058" w:type="dxa"/>
            <w:vAlign w:val="center"/>
          </w:tcPr>
          <w:p>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中 小 企</w:t>
            </w:r>
          </w:p>
          <w:p>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业 证 明</w:t>
            </w:r>
          </w:p>
          <w:p>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文件</w:t>
            </w:r>
          </w:p>
          <w:p>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当本项目（包）涉及预留份额专门面向中小企业采购，此时须在《资格证明文件》中提供。</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1、供应商单独参与的，应提供《中小企业声明函》或《残疾人福利性单位声明函》或由省级以上监狱管理局、戒毒管理局（含新疆生产建设兵团）出具的属于监狱企业的证明文件。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如采购文件要求以联合体形式参加，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格式见《响应文件格式》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before="69" w:line="199" w:lineRule="auto"/>
              <w:ind w:left="372"/>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058" w:type="dxa"/>
            <w:vAlign w:val="center"/>
          </w:tcPr>
          <w:p>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本 项 目</w:t>
            </w:r>
          </w:p>
          <w:p>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的 其 他</w:t>
            </w:r>
          </w:p>
          <w:p>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资 格 要</w:t>
            </w:r>
          </w:p>
          <w:p>
            <w:pPr>
              <w:keepNext w:val="0"/>
              <w:keepLines w:val="0"/>
              <w:widowControl/>
              <w:suppressLineNumbers w:val="0"/>
              <w:spacing w:line="240" w:lineRule="auto"/>
              <w:jc w:val="center"/>
              <w:rPr>
                <w:rFonts w:hint="eastAsia"/>
                <w:color w:val="auto"/>
                <w:highlight w:val="none"/>
              </w:rPr>
            </w:pPr>
            <w:r>
              <w:rPr>
                <w:rFonts w:hint="eastAsia" w:ascii="宋体" w:hAnsi="宋体" w:eastAsia="宋体" w:cs="宋体"/>
                <w:snapToGrid w:val="0"/>
                <w:color w:val="auto"/>
                <w:kern w:val="0"/>
                <w:sz w:val="24"/>
                <w:szCs w:val="24"/>
                <w:highlight w:val="none"/>
                <w:lang w:val="en-US" w:eastAsia="zh-CN" w:bidi="ar"/>
              </w:rPr>
              <w:t>求</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如有，见第一章《竞争性磋商公告》</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p>
        </w:tc>
      </w:tr>
    </w:tbl>
    <w:p>
      <w:pPr>
        <w:pStyle w:val="3"/>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b/>
          <w:bCs/>
          <w:snapToGrid w:val="0"/>
          <w:color w:val="auto"/>
          <w:kern w:val="0"/>
          <w:sz w:val="24"/>
          <w:szCs w:val="24"/>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5）（6）的证明材料。供应商在中标(成交)后，应将上述由投标承诺函替代的证明材料提交采购人、采购代理机构，证明材料将随公告一并公示。</w:t>
      </w:r>
    </w:p>
    <w:p>
      <w:pPr>
        <w:pStyle w:val="3"/>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snapToGrid w:val="0"/>
          <w:color w:val="auto"/>
          <w:spacing w:val="1"/>
          <w:kern w:val="0"/>
          <w:sz w:val="24"/>
          <w:szCs w:val="24"/>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备注：以上材料以供应商南阳市公共资源交易中心市场主体库“投标所需的其他材料”中上传的原件扫描件为准，由磋商小组依据投标企业在南阳市公共资源交易中心网站市场主体库填报的信息资料扫描件进行审查。以投标截止时间前填报上传市场主体库信息为准，过期更改的市场主体库信息不作为本项目评审依据。开评标现场不接受市场主体库信息原件。市场主体库上传信息必须内容齐全，真实有效，原件扫描件清晰可辨。否则，由此造成资格审查不合格等情况的，由投标企业承担责任。</w:t>
      </w:r>
    </w:p>
    <w:p>
      <w:pPr>
        <w:pStyle w:val="3"/>
        <w:keepNext w:val="0"/>
        <w:keepLines w:val="0"/>
        <w:pageBreakBefore w:val="0"/>
        <w:widowControl/>
        <w:kinsoku/>
        <w:wordWrap w:val="0"/>
        <w:overflowPunct/>
        <w:topLinePunct w:val="0"/>
        <w:autoSpaceDE w:val="0"/>
        <w:autoSpaceDN w:val="0"/>
        <w:bidi w:val="0"/>
        <w:adjustRightInd w:val="0"/>
        <w:snapToGrid w:val="0"/>
        <w:spacing w:line="480" w:lineRule="auto"/>
        <w:ind w:left="0" w:firstLine="484" w:firstLineChars="200"/>
        <w:jc w:val="both"/>
        <w:textAlignment w:val="baseline"/>
        <w:rPr>
          <w:rFonts w:hint="eastAsia" w:asciiTheme="minorEastAsia" w:hAnsiTheme="minorEastAsia" w:eastAsiaTheme="minorEastAsia" w:cstheme="minorEastAsia"/>
          <w:snapToGrid w:val="0"/>
          <w:color w:val="auto"/>
          <w:spacing w:val="1"/>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2.</w:t>
      </w:r>
      <w:r>
        <w:rPr>
          <w:rFonts w:hint="eastAsia" w:asciiTheme="minorEastAsia" w:hAnsiTheme="minorEastAsia" w:eastAsiaTheme="minorEastAsia" w:cstheme="minorEastAsia"/>
          <w:snapToGrid w:val="0"/>
          <w:color w:val="auto"/>
          <w:spacing w:val="1"/>
          <w:kern w:val="0"/>
          <w:sz w:val="24"/>
          <w:szCs w:val="24"/>
          <w:highlight w:val="none"/>
          <w:lang w:val="en-US" w:eastAsia="en-US" w:bidi="ar-SA"/>
        </w:rPr>
        <w:t>符合性审查</w:t>
      </w: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w:t>
      </w:r>
    </w:p>
    <w:p>
      <w:pPr>
        <w:keepNext w:val="0"/>
        <w:keepLines w:val="0"/>
        <w:pageBreakBefore w:val="0"/>
        <w:kinsoku/>
        <w:wordWrap w:val="0"/>
        <w:overflowPunct/>
        <w:topLinePunct w:val="0"/>
        <w:bidi w:val="0"/>
        <w:spacing w:after="0" w:line="48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磋商小组依据竞争性磋商文件的规定检查供应商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响应文件</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制作内容</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的完整度和符合性</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是否符合竞争性磋商文件的各项要求。</w:t>
      </w:r>
    </w:p>
    <w:tbl>
      <w:tblPr>
        <w:tblStyle w:val="17"/>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621"/>
        <w:gridCol w:w="5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rPr>
              <w:t>序</w:t>
            </w:r>
            <w:r>
              <w:rPr>
                <w:rFonts w:hint="eastAsia" w:ascii="宋体" w:hAnsi="宋体" w:cs="宋体"/>
                <w:b/>
                <w:snapToGrid w:val="0"/>
                <w:color w:val="auto"/>
                <w:kern w:val="0"/>
                <w:sz w:val="24"/>
                <w:highlight w:val="none"/>
                <w:lang w:eastAsia="en-US"/>
              </w:rPr>
              <w:t>号</w:t>
            </w:r>
          </w:p>
        </w:tc>
        <w:tc>
          <w:tcPr>
            <w:tcW w:w="3621"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lang w:eastAsia="en-US"/>
              </w:rPr>
              <w:t>评审因素</w:t>
            </w:r>
          </w:p>
        </w:tc>
        <w:tc>
          <w:tcPr>
            <w:tcW w:w="525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lang w:eastAsia="en-US"/>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1</w:t>
            </w:r>
          </w:p>
        </w:tc>
        <w:tc>
          <w:tcPr>
            <w:tcW w:w="3621" w:type="dxa"/>
            <w:noWrap w:val="0"/>
            <w:vAlign w:val="center"/>
          </w:tcPr>
          <w:p>
            <w:pPr>
              <w:widowControl/>
              <w:kinsoku w:val="0"/>
              <w:autoSpaceDE w:val="0"/>
              <w:autoSpaceDN w:val="0"/>
              <w:adjustRightInd w:val="0"/>
              <w:snapToGrid w:val="0"/>
              <w:ind w:left="537"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供应商名称</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auto"/>
                <w:kern w:val="0"/>
                <w:sz w:val="24"/>
                <w:highlight w:val="none"/>
              </w:rPr>
            </w:pPr>
            <w:r>
              <w:rPr>
                <w:rFonts w:hint="eastAsia"/>
                <w:color w:val="auto"/>
                <w:sz w:val="24"/>
                <w:highlight w:val="none"/>
              </w:rPr>
              <w:t>与营业执照或其他资格证明文件（</w:t>
            </w:r>
            <w:r>
              <w:rPr>
                <w:rFonts w:hint="eastAsia" w:ascii="宋体" w:hAnsi="宋体" w:cs="宋体"/>
                <w:color w:val="auto"/>
                <w:spacing w:val="-2"/>
                <w:sz w:val="24"/>
                <w:highlight w:val="none"/>
              </w:rPr>
              <w:t>如事业单位法人证书等</w:t>
            </w:r>
            <w:r>
              <w:rPr>
                <w:rFonts w:hint="eastAsia"/>
                <w:color w:val="auto"/>
                <w:sz w:val="24"/>
                <w:highlight w:val="none"/>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2</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响应文件签字盖章</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3</w:t>
            </w:r>
          </w:p>
        </w:tc>
        <w:tc>
          <w:tcPr>
            <w:tcW w:w="3621" w:type="dxa"/>
            <w:noWrap w:val="0"/>
            <w:vAlign w:val="center"/>
          </w:tcPr>
          <w:p>
            <w:pPr>
              <w:widowControl/>
              <w:kinsoku w:val="0"/>
              <w:autoSpaceDE w:val="0"/>
              <w:autoSpaceDN w:val="0"/>
              <w:adjustRightInd w:val="0"/>
              <w:snapToGrid w:val="0"/>
              <w:ind w:right="492" w:firstLine="960" w:firstLineChars="400"/>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响应文件格式</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符合第六章</w:t>
            </w:r>
            <w:r>
              <w:rPr>
                <w:rFonts w:ascii="宋体" w:hAnsi="宋体" w:cs="宋体"/>
                <w:snapToGrid w:val="0"/>
                <w:color w:val="auto"/>
                <w:kern w:val="0"/>
                <w:sz w:val="24"/>
                <w:highlight w:val="none"/>
              </w:rPr>
              <w:t>“</w:t>
            </w:r>
            <w:r>
              <w:rPr>
                <w:rFonts w:hint="eastAsia" w:ascii="宋体" w:hAnsi="宋体" w:cs="宋体"/>
                <w:snapToGrid w:val="0"/>
                <w:color w:val="auto"/>
                <w:kern w:val="0"/>
                <w:sz w:val="24"/>
                <w:highlight w:val="none"/>
              </w:rPr>
              <w:t>响应文件格式</w:t>
            </w:r>
            <w:r>
              <w:rPr>
                <w:rFonts w:ascii="宋体" w:hAnsi="宋体" w:cs="宋体"/>
                <w:snapToGrid w:val="0"/>
                <w:color w:val="auto"/>
                <w:kern w:val="0"/>
                <w:sz w:val="24"/>
                <w:highlight w:val="none"/>
              </w:rPr>
              <w:t>”</w:t>
            </w:r>
            <w:r>
              <w:rPr>
                <w:rFonts w:hint="eastAsia" w:ascii="宋体" w:hAnsi="宋体" w:cs="宋体"/>
                <w:snapToGrid w:val="0"/>
                <w:color w:val="auto"/>
                <w:kern w:val="0"/>
                <w:sz w:val="24"/>
                <w:highlight w:val="none"/>
              </w:rPr>
              <w:t>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4</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报价唯一</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只有一个有效报价且不超过最高限价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5</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响应范围</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6</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lang w:val="en-US" w:eastAsia="zh-CN"/>
              </w:rPr>
              <w:t>服务期限</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7</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default"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eastAsia="en-US"/>
              </w:rPr>
              <w:t>质量要求</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8</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响应有效期</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bl>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只有通过以上审查的供应商的响应文件，方可进入商务和技术评估，综合比较与评价。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3.</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技术（服务）审查。磋商小组依据竞争性磋商文件的规定审查各供应商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所响应设备的技术指标、技术性能、产品技术说明或项目方案、人员配备等</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是否符合最低要求。</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4.</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综合比较与评价。对各供应商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对磋商文件的符合性和技术响应程度、项目方案或技术响应程度、综合实力、售后服务以及报价等因素，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进行综合评比。</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5.</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未实质性响应磋商文件的响应文件按无效响应处理，磋商小组应当告知提交响应文件的供应商。</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响应文件无效的情形：</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在资格性和符合性审查时，如发现下列情形之一的，响应文件将被视为无效：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资格证明文件不全的，或者不符合竞争性磋商文件标明的资格要求的；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承诺</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书或者填写项目不齐全的；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5.1.3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授权代表人未能出具身份证明或与法定代表人或负责人授权委托人身份不符的；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5.1.4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电子响应文件未使用</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CA</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加密的；</w:t>
      </w:r>
    </w:p>
    <w:p>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5.1.5 其他不符合磋商文件实质性要求的。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在报价评审时，如发现下列情形之一的，响应文件将被视为无效：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未采用人民币报价的；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报价具有选择性；</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5.2.3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磋商、响应文件有关事项的澄清、说明或者更正和最后报价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.1</w:t>
      </w:r>
      <w:r>
        <w:rPr>
          <w:rFonts w:hint="eastAsia"/>
          <w:color w:val="auto"/>
          <w:sz w:val="24"/>
          <w:szCs w:val="24"/>
          <w:highlight w:val="none"/>
          <w:lang w:val="en-US" w:eastAsia="zh-CN"/>
        </w:rPr>
        <w:t xml:space="preserve"> </w:t>
      </w:r>
      <w:r>
        <w:rPr>
          <w:color w:val="auto"/>
          <w:sz w:val="24"/>
          <w:szCs w:val="24"/>
          <w:highlight w:val="none"/>
        </w:rPr>
        <w:t>磋商小组所有成员将集中与单一供应商分别进行磋商，并给予所有参加磋商的供应商平等的磋商机会。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.3</w:t>
      </w:r>
      <w:r>
        <w:rPr>
          <w:rFonts w:hint="eastAsia"/>
          <w:color w:val="auto"/>
          <w:sz w:val="24"/>
          <w:szCs w:val="24"/>
          <w:highlight w:val="none"/>
          <w:lang w:val="en-US" w:eastAsia="zh-CN"/>
        </w:rPr>
        <w:t xml:space="preserve"> </w:t>
      </w:r>
      <w:r>
        <w:rPr>
          <w:color w:val="auto"/>
          <w:sz w:val="24"/>
          <w:szCs w:val="24"/>
          <w:highlight w:val="none"/>
        </w:rPr>
        <w:t>对磋商文件作出的实质性变动是磋商文件的有效组成部分，磋商小组应当及时</w:t>
      </w:r>
      <w:r>
        <w:rPr>
          <w:rFonts w:hint="eastAsia"/>
          <w:color w:val="auto"/>
          <w:sz w:val="24"/>
          <w:szCs w:val="24"/>
          <w:highlight w:val="none"/>
          <w:lang w:val="en-US" w:eastAsia="zh-CN"/>
        </w:rPr>
        <w:t>通过</w:t>
      </w:r>
      <w:r>
        <w:rPr>
          <w:rFonts w:hint="eastAsia"/>
          <w:color w:val="auto"/>
          <w:sz w:val="24"/>
          <w:szCs w:val="24"/>
          <w:highlight w:val="none"/>
        </w:rPr>
        <w:t>评标系统通知</w:t>
      </w:r>
      <w:r>
        <w:rPr>
          <w:color w:val="auto"/>
          <w:sz w:val="24"/>
          <w:szCs w:val="24"/>
          <w:highlight w:val="none"/>
        </w:rPr>
        <w:t>所有参加磋商的供应商。</w:t>
      </w:r>
      <w:r>
        <w:rPr>
          <w:rFonts w:hint="eastAsia"/>
          <w:color w:val="auto"/>
          <w:sz w:val="24"/>
          <w:szCs w:val="24"/>
          <w:highlight w:val="none"/>
        </w:rPr>
        <w:t>具体磋商内容由磋商小组根据磋商实际情况确定。</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6</w:t>
      </w:r>
      <w:r>
        <w:rPr>
          <w:rFonts w:ascii="宋体" w:hAnsi="宋体" w:eastAsia="宋体" w:cs="宋体"/>
          <w:snapToGrid w:val="0"/>
          <w:color w:val="auto"/>
          <w:kern w:val="0"/>
          <w:sz w:val="24"/>
          <w:szCs w:val="24"/>
          <w:highlight w:val="none"/>
          <w:lang w:val="en-US" w:eastAsia="en-US" w:bidi="ar-SA"/>
        </w:rPr>
        <w:t>.4</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供应商应当按照竞争性磋商文件的变动情况和磋商小组的要求，通过</w:t>
      </w:r>
      <w:r>
        <w:rPr>
          <w:rFonts w:hint="eastAsia" w:ascii="宋体" w:hAnsi="宋体" w:eastAsia="宋体" w:cs="宋体"/>
          <w:snapToGrid w:val="0"/>
          <w:color w:val="auto"/>
          <w:kern w:val="0"/>
          <w:sz w:val="24"/>
          <w:szCs w:val="24"/>
          <w:highlight w:val="none"/>
          <w:lang w:val="en-US" w:eastAsia="zh-CN" w:bidi="ar-SA"/>
        </w:rPr>
        <w:t>评标</w:t>
      </w:r>
      <w:r>
        <w:rPr>
          <w:rFonts w:hint="eastAsia" w:ascii="宋体" w:hAnsi="宋体" w:eastAsia="宋体" w:cs="宋体"/>
          <w:snapToGrid w:val="0"/>
          <w:color w:val="auto"/>
          <w:kern w:val="0"/>
          <w:sz w:val="24"/>
          <w:szCs w:val="24"/>
          <w:highlight w:val="none"/>
          <w:lang w:val="en-US" w:eastAsia="en-US" w:bidi="ar-SA"/>
        </w:rPr>
        <w:t>系统以在线形式提交承诺，并用</w:t>
      </w:r>
      <w:r>
        <w:rPr>
          <w:rFonts w:hint="eastAsia" w:ascii="宋体" w:hAnsi="宋体" w:eastAsia="宋体" w:cs="宋体"/>
          <w:snapToGrid w:val="0"/>
          <w:color w:val="auto"/>
          <w:kern w:val="0"/>
          <w:sz w:val="24"/>
          <w:szCs w:val="24"/>
          <w:highlight w:val="none"/>
          <w:lang w:val="en-US" w:eastAsia="zh-CN" w:bidi="ar-SA"/>
        </w:rPr>
        <w:t>CA</w:t>
      </w:r>
      <w:r>
        <w:rPr>
          <w:rFonts w:hint="eastAsia" w:ascii="宋体" w:hAnsi="宋体" w:eastAsia="宋体" w:cs="宋体"/>
          <w:snapToGrid w:val="0"/>
          <w:color w:val="auto"/>
          <w:kern w:val="0"/>
          <w:sz w:val="24"/>
          <w:szCs w:val="24"/>
          <w:highlight w:val="none"/>
          <w:lang w:val="en-US" w:eastAsia="en-US" w:bidi="ar-SA"/>
        </w:rPr>
        <w:t>签章。</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ascii="宋体" w:hAnsi="宋体" w:eastAsia="宋体" w:cs="宋体"/>
          <w:snapToGrid w:val="0"/>
          <w:color w:val="auto"/>
          <w:kern w:val="0"/>
          <w:sz w:val="24"/>
          <w:szCs w:val="24"/>
          <w:highlight w:val="none"/>
          <w:lang w:val="en-US" w:eastAsia="en-US" w:bidi="ar-SA"/>
        </w:rPr>
        <w:t>.5</w:t>
      </w:r>
      <w:r>
        <w:rPr>
          <w:rFonts w:hint="eastAsia" w:cs="宋体"/>
          <w:snapToGrid w:val="0"/>
          <w:color w:val="auto"/>
          <w:kern w:val="0"/>
          <w:sz w:val="24"/>
          <w:szCs w:val="24"/>
          <w:highlight w:val="none"/>
          <w:lang w:val="en-US" w:eastAsia="zh-CN" w:bidi="ar-SA"/>
        </w:rPr>
        <w:t xml:space="preserve"> </w:t>
      </w:r>
      <w:r>
        <w:rPr>
          <w:rFonts w:ascii="宋体" w:hAnsi="宋体" w:eastAsia="宋体" w:cs="宋体"/>
          <w:snapToGrid w:val="0"/>
          <w:color w:val="auto"/>
          <w:kern w:val="0"/>
          <w:sz w:val="24"/>
          <w:szCs w:val="24"/>
          <w:highlight w:val="none"/>
          <w:lang w:val="en-US" w:eastAsia="en-US" w:bidi="ar-SA"/>
        </w:rPr>
        <w:t>响应文件的澄清、说明或者更正：</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.5.1</w:t>
      </w:r>
      <w:r>
        <w:rPr>
          <w:rFonts w:hint="eastAsia"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磋商小组在对响应文件的有效性、完整性和响应程度进行审查时，可以要求供应商对响应文件中含义不明确、同类问题表述不一致或者有明显文字和计算错误的内容等作出必要的澄清、说明或者更正。</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.5.</w:t>
      </w:r>
      <w:r>
        <w:rPr>
          <w:rFonts w:hint="eastAsia" w:cs="宋体"/>
          <w:snapToGrid w:val="0"/>
          <w:color w:val="auto"/>
          <w:kern w:val="0"/>
          <w:sz w:val="24"/>
          <w:szCs w:val="24"/>
          <w:highlight w:val="none"/>
          <w:lang w:val="en-US" w:eastAsia="zh-CN" w:bidi="ar-SA"/>
        </w:rPr>
        <w:t xml:space="preserve">2 </w:t>
      </w:r>
      <w:r>
        <w:rPr>
          <w:rFonts w:hint="eastAsia" w:ascii="宋体" w:hAnsi="宋体" w:eastAsia="宋体" w:cs="宋体"/>
          <w:snapToGrid w:val="0"/>
          <w:color w:val="auto"/>
          <w:kern w:val="0"/>
          <w:sz w:val="24"/>
          <w:szCs w:val="24"/>
          <w:highlight w:val="none"/>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en-US" w:bidi="ar-SA"/>
        </w:rPr>
        <w:t>加盖公章。供应商为自然人的，应当由本人签字并附身份证明。澄清、说明或者更正文件将作为响应文件内容的一部分。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.6</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eastAsia="宋体" w:cs="宋体"/>
          <w:snapToGrid w:val="0"/>
          <w:color w:val="auto"/>
          <w:kern w:val="0"/>
          <w:sz w:val="24"/>
          <w:szCs w:val="24"/>
          <w:highlight w:val="none"/>
          <w:lang w:val="en-US" w:eastAsia="en-US" w:bidi="ar-SA"/>
        </w:rPr>
        <w:t>少于</w:t>
      </w: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家。《</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政府采购竞争性磋商采购方式管理暂行办法</w:t>
      </w:r>
      <w:r>
        <w:rPr>
          <w:rFonts w:hint="eastAsia" w:ascii="宋体" w:hAnsi="宋体" w:eastAsia="宋体" w:cs="宋体"/>
          <w:snapToGrid w:val="0"/>
          <w:color w:val="auto"/>
          <w:kern w:val="0"/>
          <w:sz w:val="24"/>
          <w:szCs w:val="24"/>
          <w:highlight w:val="none"/>
          <w:lang w:val="en-US" w:eastAsia="en-US" w:bidi="ar-SA"/>
        </w:rPr>
        <w:t>》第</w:t>
      </w:r>
      <w:r>
        <w:rPr>
          <w:rFonts w:hint="eastAsia" w:ascii="宋体" w:hAnsi="宋体" w:eastAsia="宋体" w:cs="宋体"/>
          <w:snapToGrid w:val="0"/>
          <w:color w:val="auto"/>
          <w:kern w:val="0"/>
          <w:sz w:val="24"/>
          <w:szCs w:val="24"/>
          <w:highlight w:val="none"/>
          <w:lang w:val="en-US" w:eastAsia="zh-CN" w:bidi="ar-SA"/>
        </w:rPr>
        <w:t>三</w:t>
      </w:r>
      <w:r>
        <w:rPr>
          <w:rFonts w:hint="eastAsia" w:ascii="宋体" w:hAnsi="宋体" w:eastAsia="宋体" w:cs="宋体"/>
          <w:snapToGrid w:val="0"/>
          <w:color w:val="auto"/>
          <w:kern w:val="0"/>
          <w:sz w:val="24"/>
          <w:szCs w:val="24"/>
          <w:highlight w:val="none"/>
          <w:lang w:val="en-US" w:eastAsia="en-US" w:bidi="ar-SA"/>
        </w:rPr>
        <w:t>条第</w:t>
      </w:r>
      <w:r>
        <w:rPr>
          <w:rFonts w:hint="eastAsia" w:ascii="宋体" w:hAnsi="宋体" w:eastAsia="宋体" w:cs="宋体"/>
          <w:snapToGrid w:val="0"/>
          <w:color w:val="auto"/>
          <w:kern w:val="0"/>
          <w:sz w:val="24"/>
          <w:szCs w:val="24"/>
          <w:highlight w:val="none"/>
          <w:lang w:val="en-US" w:eastAsia="zh-CN" w:bidi="ar-SA"/>
        </w:rPr>
        <w:t>四项</w:t>
      </w:r>
      <w:r>
        <w:rPr>
          <w:rFonts w:hint="eastAsia" w:ascii="宋体" w:hAnsi="宋体" w:eastAsia="宋体" w:cs="宋体"/>
          <w:snapToGrid w:val="0"/>
          <w:color w:val="auto"/>
          <w:kern w:val="0"/>
          <w:sz w:val="24"/>
          <w:szCs w:val="24"/>
          <w:highlight w:val="none"/>
          <w:lang w:val="en-US" w:eastAsia="en-US" w:bidi="ar-SA"/>
        </w:rPr>
        <w:t>规定的情形除外。最后报价是响应文件的有效组成部分。</w:t>
      </w:r>
    </w:p>
    <w:p>
      <w:pPr>
        <w:keepNext w:val="0"/>
        <w:keepLines w:val="0"/>
        <w:pageBreakBefore w:val="0"/>
        <w:kinsoku/>
        <w:wordWrap w:val="0"/>
        <w:overflowPunct/>
        <w:topLinePunct w:val="0"/>
        <w:bidi w:val="0"/>
        <w:spacing w:after="0" w:line="360" w:lineRule="auto"/>
        <w:ind w:firstLine="480" w:firstLineChars="200"/>
        <w:jc w:val="both"/>
        <w:rPr>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.7</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磋商文件不能详细列明采购标的的技术、服务要求，需经磋商由供应商</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交最后报价。市场竞争不充分的科研项目，以及需要扶持的科技成果转化项目，</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交最后报价的供应商可以为2家；政府购买服务项目（含政府和社会资本合作项目），在采购过程中符合要求的供应商（社会资本）只有2家的，竞争性磋商采购活动可以继续进行。</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cs="宋体"/>
          <w:snapToGrid w:val="0"/>
          <w:color w:val="auto"/>
          <w:kern w:val="0"/>
          <w:sz w:val="24"/>
          <w:szCs w:val="24"/>
          <w:highlight w:val="none"/>
          <w:lang w:val="en-US" w:eastAsia="en-US" w:bidi="ar-SA"/>
        </w:rPr>
        <w:t>.</w:t>
      </w:r>
      <w:r>
        <w:rPr>
          <w:rFonts w:hint="eastAsia" w:cs="宋体"/>
          <w:snapToGrid w:val="0"/>
          <w:color w:val="auto"/>
          <w:kern w:val="0"/>
          <w:sz w:val="24"/>
          <w:szCs w:val="24"/>
          <w:highlight w:val="none"/>
          <w:lang w:val="en-US" w:eastAsia="zh-CN" w:bidi="ar-SA"/>
        </w:rPr>
        <w:t xml:space="preserve">8 </w:t>
      </w:r>
      <w:r>
        <w:rPr>
          <w:rFonts w:hint="eastAsia" w:cs="宋体"/>
          <w:snapToGrid w:val="0"/>
          <w:color w:val="auto"/>
          <w:kern w:val="0"/>
          <w:sz w:val="24"/>
          <w:szCs w:val="24"/>
          <w:highlight w:val="none"/>
          <w:lang w:val="en-US" w:eastAsia="en-US" w:bidi="ar-SA"/>
        </w:rPr>
        <w:t>已</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交响应文件的供应商，在</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交最后报价之前，可以根据磋商情况退出磋商。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7.</w:t>
      </w:r>
      <w:r>
        <w:rPr>
          <w:rFonts w:hint="eastAsia" w:cs="宋体"/>
          <w:snapToGrid w:val="0"/>
          <w:color w:val="auto"/>
          <w:kern w:val="0"/>
          <w:sz w:val="24"/>
          <w:szCs w:val="24"/>
          <w:highlight w:val="none"/>
          <w:lang w:val="en-US" w:eastAsia="en-US" w:bidi="ar-SA"/>
        </w:rPr>
        <w:t>最后报价的算术修正及政策调整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auto"/>
          <w:kern w:val="0"/>
          <w:sz w:val="24"/>
          <w:szCs w:val="24"/>
          <w:highlight w:val="none"/>
          <w:lang w:val="en-US" w:eastAsia="zh-CN" w:bidi="ar-SA"/>
        </w:rPr>
      </w:pPr>
      <w:r>
        <w:rPr>
          <w:rFonts w:hint="eastAsia" w:cs="宋体"/>
          <w:snapToGrid w:val="0"/>
          <w:color w:val="auto"/>
          <w:kern w:val="0"/>
          <w:sz w:val="24"/>
          <w:szCs w:val="24"/>
          <w:highlight w:val="none"/>
          <w:lang w:val="en-US" w:eastAsia="en-US" w:bidi="ar-SA"/>
        </w:rPr>
        <w:t>最后报价须包含竞争性磋商文件全部内容，最后报价出现大写金额和小写金额不一致的，以大写金额为准</w:t>
      </w:r>
      <w:r>
        <w:rPr>
          <w:rFonts w:hint="eastAsia" w:cs="宋体"/>
          <w:snapToGrid w:val="0"/>
          <w:color w:val="auto"/>
          <w:kern w:val="0"/>
          <w:sz w:val="24"/>
          <w:szCs w:val="24"/>
          <w:highlight w:val="none"/>
          <w:lang w:val="en-US" w:eastAsia="zh-CN"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本项目采用的评审方法为</w:t>
      </w:r>
      <w:r>
        <w:rPr>
          <w:rFonts w:hint="eastAsia" w:cs="宋体"/>
          <w:snapToGrid w:val="0"/>
          <w:color w:val="auto"/>
          <w:kern w:val="0"/>
          <w:sz w:val="24"/>
          <w:szCs w:val="24"/>
          <w:highlight w:val="none"/>
          <w:lang w:val="en-US" w:eastAsia="zh-CN" w:bidi="ar-SA"/>
        </w:rPr>
        <w:t>：</w:t>
      </w:r>
      <w:r>
        <w:rPr>
          <w:rFonts w:hint="eastAsia" w:cs="宋体"/>
          <w:snapToGrid w:val="0"/>
          <w:color w:val="auto"/>
          <w:kern w:val="0"/>
          <w:sz w:val="24"/>
          <w:szCs w:val="24"/>
          <w:highlight w:val="none"/>
          <w:lang w:val="en-US" w:eastAsia="en-US" w:bidi="ar-SA"/>
        </w:rPr>
        <w:t>综合评分法。综合评分法，是指响应文件满足磋商文件全部实质性要求且按评审因素的量化指标评审得分最高的供应商为成交候选供应商的评审方法。</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.2</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竞争性磋商文件中没有规定的评审标准不得作为评审依据。</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.3</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非政府强制采购的节能产品或环境标志产品，依据品目清单和认证证书实施政府优先采购。优先采购的具体规定（如涉及</w:t>
      </w:r>
      <w:r>
        <w:rPr>
          <w:rFonts w:hint="eastAsia" w:cs="宋体"/>
          <w:snapToGrid w:val="0"/>
          <w:color w:val="auto"/>
          <w:kern w:val="0"/>
          <w:sz w:val="24"/>
          <w:szCs w:val="24"/>
          <w:highlight w:val="none"/>
          <w:lang w:val="en-US" w:eastAsia="zh-CN" w:bidi="ar-SA"/>
        </w:rPr>
        <w:t>）</w:t>
      </w:r>
      <w:r>
        <w:rPr>
          <w:rFonts w:hint="eastAsia" w:cs="宋体"/>
          <w:snapToGrid w:val="0"/>
          <w:color w:val="auto"/>
          <w:kern w:val="0"/>
          <w:sz w:val="24"/>
          <w:szCs w:val="24"/>
          <w:highlight w:val="none"/>
          <w:lang w:val="en-US" w:eastAsia="en-US"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.4</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关于无线局域网认证产品政府采购清单中的产品，优先采购的具体规定（如涉及）</w:t>
      </w:r>
      <w:r>
        <w:rPr>
          <w:color w:val="auto"/>
          <w:spacing w:val="-25"/>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确定成交候选人名单</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auto"/>
          <w:kern w:val="0"/>
          <w:sz w:val="24"/>
          <w:szCs w:val="24"/>
          <w:highlight w:val="none"/>
          <w:lang w:val="en-US" w:eastAsia="en-US" w:bidi="ar-SA"/>
        </w:rPr>
      </w:pPr>
      <w:r>
        <w:rPr>
          <w:rFonts w:hint="eastAsia" w:cs="宋体"/>
          <w:b/>
          <w:bCs/>
          <w:snapToGrid w:val="0"/>
          <w:color w:val="auto"/>
          <w:kern w:val="0"/>
          <w:sz w:val="24"/>
          <w:szCs w:val="24"/>
          <w:highlight w:val="none"/>
          <w:lang w:val="en-US" w:eastAsia="zh-CN" w:bidi="ar-SA"/>
        </w:rPr>
        <w:t>9</w:t>
      </w:r>
      <w:r>
        <w:rPr>
          <w:rFonts w:hint="eastAsia" w:cs="宋体"/>
          <w:b/>
          <w:bCs/>
          <w:snapToGrid w:val="0"/>
          <w:color w:val="auto"/>
          <w:kern w:val="0"/>
          <w:sz w:val="24"/>
          <w:szCs w:val="24"/>
          <w:highlight w:val="none"/>
          <w:lang w:val="en-US" w:eastAsia="en-US" w:bidi="ar-SA"/>
        </w:rPr>
        <w:t>.</w:t>
      </w:r>
      <w:r>
        <w:rPr>
          <w:rFonts w:hint="eastAsia" w:cs="宋体"/>
          <w:b/>
          <w:bCs/>
          <w:snapToGrid w:val="0"/>
          <w:color w:val="auto"/>
          <w:kern w:val="0"/>
          <w:sz w:val="24"/>
          <w:szCs w:val="24"/>
          <w:highlight w:val="none"/>
          <w:lang w:val="en-US" w:eastAsia="zh-CN" w:bidi="ar-SA"/>
        </w:rPr>
        <w:t xml:space="preserve">2 </w:t>
      </w:r>
      <w:r>
        <w:rPr>
          <w:rFonts w:hint="eastAsia" w:cs="宋体"/>
          <w:b/>
          <w:bCs/>
          <w:snapToGrid w:val="0"/>
          <w:color w:val="auto"/>
          <w:kern w:val="0"/>
          <w:sz w:val="24"/>
          <w:szCs w:val="24"/>
          <w:highlight w:val="none"/>
          <w:lang w:val="en-US" w:eastAsia="en-US" w:bidi="ar-SA"/>
        </w:rPr>
        <w:t>磋商小组要对评分汇总情况进行复核，特别是对排名第一的、报价最低的、响应文件被认定为无效的情形进行重点复核。</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w:t>
      </w:r>
      <w:r>
        <w:rPr>
          <w:rFonts w:hint="eastAsia" w:cs="宋体"/>
          <w:snapToGrid w:val="0"/>
          <w:color w:val="auto"/>
          <w:kern w:val="0"/>
          <w:sz w:val="24"/>
          <w:szCs w:val="24"/>
          <w:highlight w:val="none"/>
          <w:lang w:val="en-US" w:eastAsia="zh-CN" w:bidi="ar-SA"/>
        </w:rPr>
        <w:t>3 ☑</w:t>
      </w:r>
      <w:r>
        <w:rPr>
          <w:rFonts w:hint="eastAsia" w:cs="宋体"/>
          <w:snapToGrid w:val="0"/>
          <w:color w:val="auto"/>
          <w:kern w:val="0"/>
          <w:sz w:val="24"/>
          <w:szCs w:val="24"/>
          <w:highlight w:val="none"/>
          <w:lang w:val="en-US" w:eastAsia="en-US" w:bidi="ar-SA"/>
        </w:rPr>
        <w:t>磋商小组根据上述供应商排序，依次推荐排序前</w:t>
      </w:r>
      <w:r>
        <w:rPr>
          <w:rFonts w:hint="eastAsia" w:cs="宋体"/>
          <w:snapToGrid w:val="0"/>
          <w:color w:val="auto"/>
          <w:kern w:val="0"/>
          <w:sz w:val="24"/>
          <w:szCs w:val="24"/>
          <w:highlight w:val="none"/>
          <w:lang w:val="en-US" w:eastAsia="zh-CN" w:bidi="ar-SA"/>
        </w:rPr>
        <w:t>3</w:t>
      </w:r>
      <w:r>
        <w:rPr>
          <w:rFonts w:hint="eastAsia" w:cs="宋体"/>
          <w:snapToGrid w:val="0"/>
          <w:color w:val="auto"/>
          <w:kern w:val="0"/>
          <w:sz w:val="24"/>
          <w:szCs w:val="24"/>
          <w:highlight w:val="none"/>
          <w:lang w:val="en-US" w:eastAsia="en-US" w:bidi="ar-SA"/>
        </w:rPr>
        <w:t>名的供应商为成交候选供应商。采购人应当自收到评审报告之日起5个工作日内在评审报告推荐的成交候选人中按顺序确定成交供应商。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10.</w:t>
      </w:r>
      <w:r>
        <w:rPr>
          <w:rFonts w:hint="eastAsia" w:cs="宋体"/>
          <w:snapToGrid w:val="0"/>
          <w:color w:val="auto"/>
          <w:kern w:val="0"/>
          <w:sz w:val="24"/>
          <w:szCs w:val="24"/>
          <w:highlight w:val="none"/>
          <w:lang w:val="en-US" w:eastAsia="en-US" w:bidi="ar-SA"/>
        </w:rPr>
        <w:t>报告违法行为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highlight w:val="none"/>
        </w:rPr>
      </w:pPr>
      <w:r>
        <w:rPr>
          <w:rFonts w:hint="eastAsia" w:cs="宋体"/>
          <w:snapToGrid w:val="0"/>
          <w:color w:val="auto"/>
          <w:kern w:val="0"/>
          <w:sz w:val="24"/>
          <w:szCs w:val="24"/>
          <w:highlight w:val="none"/>
          <w:lang w:val="en-US" w:eastAsia="zh-CN" w:bidi="ar-SA"/>
        </w:rPr>
        <w:t>10</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磋商小组在评审过程中发现供应商有行贿、</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供虚假材料或者串通等违法行为时，有向采购人、采购代理机构或者有关部门报告的职责。</w:t>
      </w:r>
      <w:bookmarkStart w:id="32" w:name="_Toc20187"/>
    </w:p>
    <w:p>
      <w:pPr>
        <w:pStyle w:val="3"/>
        <w:keepNext w:val="0"/>
        <w:keepLines w:val="0"/>
        <w:pageBreakBefore w:val="0"/>
        <w:kinsoku/>
        <w:wordWrap w:val="0"/>
        <w:overflowPunct/>
        <w:topLinePunct w:val="0"/>
        <w:bidi w:val="0"/>
        <w:spacing w:before="78" w:line="221" w:lineRule="auto"/>
        <w:jc w:val="center"/>
        <w:outlineLvl w:val="1"/>
        <w:rPr>
          <w:color w:val="auto"/>
          <w:spacing w:val="-2"/>
          <w:sz w:val="24"/>
          <w:szCs w:val="24"/>
          <w:highlight w:val="none"/>
          <w14:textOutline w14:w="1537" w14:cap="flat" w14:cmpd="sng">
            <w14:solidFill>
              <w14:srgbClr w14:val="000000"/>
            </w14:solidFill>
            <w14:prstDash w14:val="solid"/>
            <w14:miter w14:val="0"/>
          </w14:textOutline>
        </w:rPr>
      </w:pPr>
      <w:r>
        <w:rPr>
          <w:color w:val="auto"/>
          <w:spacing w:val="-2"/>
          <w:sz w:val="24"/>
          <w:szCs w:val="24"/>
          <w:highlight w:val="none"/>
          <w14:textOutline w14:w="1537" w14:cap="flat" w14:cmpd="sng">
            <w14:solidFill>
              <w14:srgbClr w14:val="000000"/>
            </w14:solidFill>
            <w14:prstDash w14:val="solid"/>
            <w14:miter w14:val="0"/>
          </w14:textOutline>
        </w:rPr>
        <w:t>评审标准</w:t>
      </w:r>
      <w:bookmarkEnd w:id="32"/>
    </w:p>
    <w:tbl>
      <w:tblPr>
        <w:tblStyle w:val="29"/>
        <w:tblW w:w="975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595"/>
        <w:gridCol w:w="883"/>
        <w:gridCol w:w="2018"/>
        <w:gridCol w:w="44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839" w:type="dxa"/>
            <w:vAlign w:val="top"/>
          </w:tcPr>
          <w:p>
            <w:pPr>
              <w:keepNext w:val="0"/>
              <w:keepLines w:val="0"/>
              <w:pageBreakBefore w:val="0"/>
              <w:kinsoku/>
              <w:wordWrap w:val="0"/>
              <w:overflowPunct/>
              <w:topLinePunct w:val="0"/>
              <w:bidi w:val="0"/>
              <w:spacing w:before="40" w:line="208" w:lineRule="auto"/>
              <w:ind w:left="198"/>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14:textOutline w14:w="1537" w14:cap="flat" w14:cmpd="sng">
                  <w14:solidFill>
                    <w14:srgbClr w14:val="000000"/>
                  </w14:solidFill>
                  <w14:prstDash w14:val="solid"/>
                  <w14:miter w14:val="0"/>
                </w14:textOutline>
              </w:rPr>
              <w:t>序号</w:t>
            </w:r>
          </w:p>
        </w:tc>
        <w:tc>
          <w:tcPr>
            <w:tcW w:w="1595" w:type="dxa"/>
            <w:vAlign w:val="top"/>
          </w:tcPr>
          <w:p>
            <w:pPr>
              <w:keepNext w:val="0"/>
              <w:keepLines w:val="0"/>
              <w:pageBreakBefore w:val="0"/>
              <w:kinsoku/>
              <w:wordWrap w:val="0"/>
              <w:overflowPunct/>
              <w:topLinePunct w:val="0"/>
              <w:bidi w:val="0"/>
              <w:spacing w:before="40" w:line="208" w:lineRule="auto"/>
              <w:ind w:left="268"/>
              <w:jc w:val="both"/>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14:textOutline w14:w="1537" w14:cap="flat" w14:cmpd="sng">
                  <w14:solidFill>
                    <w14:srgbClr w14:val="000000"/>
                  </w14:solidFill>
                  <w14:prstDash w14:val="solid"/>
                  <w14:miter w14:val="0"/>
                </w14:textOutline>
              </w:rPr>
              <w:t>评分因素</w:t>
            </w:r>
          </w:p>
        </w:tc>
        <w:tc>
          <w:tcPr>
            <w:tcW w:w="883" w:type="dxa"/>
            <w:vAlign w:val="top"/>
          </w:tcPr>
          <w:p>
            <w:pPr>
              <w:keepNext w:val="0"/>
              <w:keepLines w:val="0"/>
              <w:pageBreakBefore w:val="0"/>
              <w:kinsoku/>
              <w:wordWrap w:val="0"/>
              <w:overflowPunct/>
              <w:topLinePunct w:val="0"/>
              <w:bidi w:val="0"/>
              <w:spacing w:before="40" w:line="208" w:lineRule="auto"/>
              <w:ind w:firstLine="212" w:firstLineChars="100"/>
              <w:jc w:val="center"/>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14:textOutline w14:w="1537" w14:cap="flat" w14:cmpd="sng">
                  <w14:solidFill>
                    <w14:srgbClr w14:val="000000"/>
                  </w14:solidFill>
                  <w14:prstDash w14:val="solid"/>
                  <w14:miter w14:val="0"/>
                </w14:textOutline>
              </w:rPr>
              <w:t>分值</w:t>
            </w:r>
          </w:p>
        </w:tc>
        <w:tc>
          <w:tcPr>
            <w:tcW w:w="2018" w:type="dxa"/>
            <w:vAlign w:val="top"/>
          </w:tcPr>
          <w:p>
            <w:pPr>
              <w:keepNext w:val="0"/>
              <w:keepLines w:val="0"/>
              <w:pageBreakBefore w:val="0"/>
              <w:kinsoku/>
              <w:wordWrap w:val="0"/>
              <w:overflowPunct/>
              <w:topLinePunct w:val="0"/>
              <w:bidi w:val="0"/>
              <w:spacing w:before="40" w:line="208" w:lineRule="auto"/>
              <w:jc w:val="center"/>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14:textOutline w14:w="1537" w14:cap="flat" w14:cmpd="sng">
                  <w14:solidFill>
                    <w14:srgbClr w14:val="000000"/>
                  </w14:solidFill>
                  <w14:prstDash w14:val="solid"/>
                  <w14:miter w14:val="0"/>
                </w14:textOutline>
              </w:rPr>
              <w:t>评分标准</w:t>
            </w:r>
          </w:p>
        </w:tc>
        <w:tc>
          <w:tcPr>
            <w:tcW w:w="4415" w:type="dxa"/>
            <w:vAlign w:val="top"/>
          </w:tcPr>
          <w:p>
            <w:pPr>
              <w:keepNext w:val="0"/>
              <w:keepLines w:val="0"/>
              <w:pageBreakBefore w:val="0"/>
              <w:kinsoku/>
              <w:wordWrap w:val="0"/>
              <w:overflowPunct/>
              <w:topLinePunct w:val="0"/>
              <w:bidi w:val="0"/>
              <w:spacing w:before="40" w:line="208" w:lineRule="auto"/>
              <w:jc w:val="center"/>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14:textOutline w14:w="1537" w14:cap="flat" w14:cmpd="sng">
                  <w14:solidFill>
                    <w14:srgbClr w14:val="000000"/>
                  </w14:solidFill>
                  <w14:prstDash w14:val="solid"/>
                  <w14:miter w14:val="0"/>
                </w14:textOutline>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839"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color w:val="auto"/>
                <w:sz w:val="20"/>
                <w:szCs w:val="20"/>
                <w:highlight w:val="none"/>
                <w:lang w:val="en-US" w:eastAsia="zh-CN"/>
              </w:rPr>
            </w:pPr>
          </w:p>
          <w:p>
            <w:pPr>
              <w:pStyle w:val="30"/>
              <w:keepNext w:val="0"/>
              <w:keepLines w:val="0"/>
              <w:pageBreakBefore w:val="0"/>
              <w:kinsoku/>
              <w:wordWrap w:val="0"/>
              <w:overflowPunct/>
              <w:topLinePunct w:val="0"/>
              <w:bidi w:val="0"/>
              <w:ind w:firstLine="200" w:firstLineChars="100"/>
              <w:jc w:val="both"/>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p>
        </w:tc>
        <w:tc>
          <w:tcPr>
            <w:tcW w:w="1595" w:type="dxa"/>
            <w:vAlign w:val="center"/>
          </w:tcPr>
          <w:p>
            <w:pPr>
              <w:pStyle w:val="30"/>
              <w:keepNext w:val="0"/>
              <w:keepLines w:val="0"/>
              <w:pageBreakBefore w:val="0"/>
              <w:kinsoku/>
              <w:wordWrap w:val="0"/>
              <w:overflowPunct/>
              <w:topLinePunct w:val="0"/>
              <w:bidi w:val="0"/>
              <w:spacing w:line="295" w:lineRule="auto"/>
              <w:jc w:val="center"/>
              <w:rPr>
                <w:rFonts w:hint="eastAsia" w:ascii="宋体" w:hAnsi="宋体" w:eastAsia="宋体" w:cs="宋体"/>
                <w:color w:val="auto"/>
                <w:sz w:val="20"/>
                <w:szCs w:val="20"/>
                <w:highlight w:val="none"/>
              </w:rPr>
            </w:pPr>
          </w:p>
          <w:p>
            <w:pPr>
              <w:keepNext w:val="0"/>
              <w:keepLines w:val="0"/>
              <w:pageBreakBefore w:val="0"/>
              <w:kinsoku/>
              <w:wordWrap w:val="0"/>
              <w:overflowPunct/>
              <w:topLinePunct w:val="0"/>
              <w:bidi w:val="0"/>
              <w:spacing w:before="78" w:line="219" w:lineRule="auto"/>
              <w:jc w:val="center"/>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lang w:val="en-US" w:eastAsia="zh-CN"/>
              </w:rPr>
              <w:t>磋商</w:t>
            </w:r>
            <w:r>
              <w:rPr>
                <w:rFonts w:hint="eastAsia" w:ascii="宋体" w:hAnsi="宋体" w:eastAsia="宋体" w:cs="宋体"/>
                <w:color w:val="auto"/>
                <w:spacing w:val="-3"/>
                <w:sz w:val="22"/>
                <w:szCs w:val="22"/>
                <w:highlight w:val="none"/>
              </w:rPr>
              <w:t>报价</w:t>
            </w: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30分</w:t>
            </w:r>
          </w:p>
        </w:tc>
        <w:tc>
          <w:tcPr>
            <w:tcW w:w="2018" w:type="dxa"/>
            <w:vAlign w:val="center"/>
          </w:tcPr>
          <w:p>
            <w:pPr>
              <w:keepNext w:val="0"/>
              <w:keepLines w:val="0"/>
              <w:pageBreakBefore w:val="0"/>
              <w:kinsoku/>
              <w:wordWrap w:val="0"/>
              <w:overflowPunct/>
              <w:topLinePunct w:val="0"/>
              <w:bidi w:val="0"/>
              <w:spacing w:before="191" w:line="235" w:lineRule="auto"/>
              <w:ind w:left="113" w:right="103"/>
              <w:jc w:val="left"/>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rPr>
              <w:t>满足</w:t>
            </w:r>
            <w:r>
              <w:rPr>
                <w:rFonts w:hint="eastAsia" w:ascii="宋体" w:hAnsi="宋体" w:eastAsia="宋体" w:cs="宋体"/>
                <w:snapToGrid w:val="0"/>
                <w:color w:val="auto"/>
                <w:spacing w:val="-2"/>
                <w:kern w:val="0"/>
                <w:sz w:val="22"/>
                <w:szCs w:val="22"/>
                <w:highlight w:val="none"/>
                <w:lang w:val="en-US" w:eastAsia="zh-CN" w:bidi="ar-SA"/>
              </w:rPr>
              <w:t>竞争性磋商</w:t>
            </w:r>
            <w:r>
              <w:rPr>
                <w:rFonts w:hint="eastAsia" w:ascii="宋体" w:hAnsi="宋体" w:eastAsia="宋体" w:cs="宋体"/>
                <w:color w:val="auto"/>
                <w:spacing w:val="10"/>
                <w:sz w:val="22"/>
                <w:szCs w:val="22"/>
                <w:highlight w:val="none"/>
              </w:rPr>
              <w:t>文件要求且</w:t>
            </w:r>
            <w:r>
              <w:rPr>
                <w:rFonts w:hint="eastAsia" w:ascii="宋体" w:hAnsi="宋体" w:eastAsia="宋体" w:cs="宋体"/>
                <w:color w:val="auto"/>
                <w:spacing w:val="10"/>
                <w:sz w:val="22"/>
                <w:szCs w:val="22"/>
                <w:highlight w:val="none"/>
                <w:lang w:val="en-US" w:eastAsia="zh-CN"/>
              </w:rPr>
              <w:t>磋商</w:t>
            </w:r>
            <w:r>
              <w:rPr>
                <w:rFonts w:hint="eastAsia" w:ascii="宋体" w:hAnsi="宋体" w:eastAsia="宋体" w:cs="宋体"/>
                <w:color w:val="auto"/>
                <w:spacing w:val="10"/>
                <w:sz w:val="22"/>
                <w:szCs w:val="22"/>
                <w:highlight w:val="none"/>
              </w:rPr>
              <w:t>价格最低</w:t>
            </w:r>
            <w:r>
              <w:rPr>
                <w:rFonts w:hint="eastAsia" w:ascii="宋体" w:hAnsi="宋体" w:eastAsia="宋体" w:cs="宋体"/>
                <w:color w:val="auto"/>
                <w:spacing w:val="-13"/>
                <w:sz w:val="22"/>
                <w:szCs w:val="22"/>
                <w:highlight w:val="none"/>
              </w:rPr>
              <w:t>的</w:t>
            </w:r>
            <w:r>
              <w:rPr>
                <w:rFonts w:hint="eastAsia" w:ascii="宋体" w:hAnsi="宋体" w:eastAsia="宋体" w:cs="宋体"/>
                <w:color w:val="auto"/>
                <w:spacing w:val="-13"/>
                <w:sz w:val="22"/>
                <w:szCs w:val="22"/>
                <w:highlight w:val="none"/>
                <w:lang w:val="en-US" w:eastAsia="zh-CN"/>
              </w:rPr>
              <w:t>磋商</w:t>
            </w:r>
            <w:r>
              <w:rPr>
                <w:rFonts w:hint="eastAsia" w:ascii="宋体" w:hAnsi="宋体" w:eastAsia="宋体" w:cs="宋体"/>
                <w:color w:val="auto"/>
                <w:spacing w:val="-13"/>
                <w:sz w:val="22"/>
                <w:szCs w:val="22"/>
                <w:highlight w:val="none"/>
              </w:rPr>
              <w:t>报价为评标基准价，其价格分</w:t>
            </w:r>
            <w:r>
              <w:rPr>
                <w:rFonts w:hint="eastAsia" w:ascii="宋体" w:hAnsi="宋体" w:eastAsia="宋体" w:cs="宋体"/>
                <w:color w:val="auto"/>
                <w:spacing w:val="-6"/>
                <w:sz w:val="22"/>
                <w:szCs w:val="22"/>
                <w:highlight w:val="none"/>
              </w:rPr>
              <w:t>为满分。其他</w:t>
            </w:r>
            <w:r>
              <w:rPr>
                <w:rFonts w:hint="eastAsia" w:ascii="宋体" w:hAnsi="宋体" w:eastAsia="宋体" w:cs="宋体"/>
                <w:color w:val="auto"/>
                <w:spacing w:val="2"/>
                <w:sz w:val="22"/>
                <w:szCs w:val="22"/>
                <w:highlight w:val="none"/>
              </w:rPr>
              <w:t>供应商</w:t>
            </w:r>
            <w:r>
              <w:rPr>
                <w:rFonts w:hint="eastAsia" w:ascii="宋体" w:hAnsi="宋体" w:eastAsia="宋体" w:cs="宋体"/>
                <w:color w:val="auto"/>
                <w:spacing w:val="-6"/>
                <w:sz w:val="22"/>
                <w:szCs w:val="22"/>
                <w:highlight w:val="none"/>
              </w:rPr>
              <w:t>的价格分统一按</w:t>
            </w:r>
            <w:r>
              <w:rPr>
                <w:rFonts w:hint="eastAsia" w:ascii="宋体" w:hAnsi="宋体" w:eastAsia="宋体" w:cs="宋体"/>
                <w:color w:val="auto"/>
                <w:spacing w:val="-8"/>
                <w:sz w:val="22"/>
                <w:szCs w:val="22"/>
                <w:highlight w:val="none"/>
              </w:rPr>
              <w:t>照下列公式计算：</w:t>
            </w:r>
          </w:p>
          <w:p>
            <w:pPr>
              <w:pStyle w:val="30"/>
              <w:keepNext w:val="0"/>
              <w:keepLines w:val="0"/>
              <w:pageBreakBefore w:val="0"/>
              <w:kinsoku/>
              <w:wordWrap w:val="0"/>
              <w:overflowPunct/>
              <w:topLinePunct w:val="0"/>
              <w:bidi w:val="0"/>
              <w:spacing w:before="26" w:line="228" w:lineRule="auto"/>
              <w:ind w:left="111" w:right="103" w:firstLine="4"/>
              <w:jc w:val="left"/>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lang w:val="en-US" w:eastAsia="zh-CN"/>
              </w:rPr>
              <w:t>磋商</w:t>
            </w:r>
            <w:r>
              <w:rPr>
                <w:rFonts w:hint="eastAsia" w:ascii="宋体" w:hAnsi="宋体" w:eastAsia="宋体" w:cs="宋体"/>
                <w:color w:val="auto"/>
                <w:spacing w:val="7"/>
                <w:sz w:val="22"/>
                <w:szCs w:val="22"/>
                <w:highlight w:val="none"/>
              </w:rPr>
              <w:t>报价得分</w:t>
            </w:r>
            <w:r>
              <w:rPr>
                <w:rFonts w:hint="eastAsia" w:ascii="宋体" w:hAnsi="宋体" w:eastAsia="宋体" w:cs="宋体"/>
                <w:color w:val="auto"/>
                <w:spacing w:val="-8"/>
                <w:sz w:val="22"/>
                <w:szCs w:val="22"/>
                <w:highlight w:val="none"/>
              </w:rPr>
              <w:t>＝（</w:t>
            </w:r>
            <w:r>
              <w:rPr>
                <w:rFonts w:hint="eastAsia" w:ascii="宋体" w:hAnsi="宋体" w:eastAsia="宋体" w:cs="宋体"/>
                <w:color w:val="auto"/>
                <w:spacing w:val="7"/>
                <w:sz w:val="22"/>
                <w:szCs w:val="22"/>
                <w:highlight w:val="none"/>
              </w:rPr>
              <w:t>评标基准价/</w:t>
            </w:r>
            <w:r>
              <w:rPr>
                <w:rFonts w:hint="eastAsia" w:ascii="宋体" w:hAnsi="宋体" w:eastAsia="宋体" w:cs="宋体"/>
                <w:color w:val="auto"/>
                <w:spacing w:val="7"/>
                <w:sz w:val="22"/>
                <w:szCs w:val="22"/>
                <w:highlight w:val="none"/>
                <w:lang w:val="en-US" w:eastAsia="zh-CN"/>
              </w:rPr>
              <w:t>磋商</w:t>
            </w:r>
            <w:r>
              <w:rPr>
                <w:rFonts w:hint="eastAsia" w:ascii="宋体" w:hAnsi="宋体" w:eastAsia="宋体" w:cs="宋体"/>
                <w:color w:val="auto"/>
                <w:spacing w:val="-12"/>
                <w:sz w:val="22"/>
                <w:szCs w:val="22"/>
                <w:highlight w:val="none"/>
              </w:rPr>
              <w:t>报价）×</w:t>
            </w:r>
            <w:r>
              <w:rPr>
                <w:rFonts w:hint="eastAsia" w:ascii="宋体" w:hAnsi="宋体" w:eastAsia="宋体" w:cs="宋体"/>
                <w:color w:val="auto"/>
                <w:spacing w:val="-12"/>
                <w:sz w:val="22"/>
                <w:szCs w:val="22"/>
                <w:highlight w:val="none"/>
                <w:lang w:val="en-US" w:eastAsia="zh-CN"/>
              </w:rPr>
              <w:t>30</w:t>
            </w:r>
            <w:r>
              <w:rPr>
                <w:rFonts w:hint="eastAsia" w:ascii="宋体" w:hAnsi="宋体" w:eastAsia="宋体" w:cs="宋体"/>
                <w:color w:val="auto"/>
                <w:spacing w:val="-12"/>
                <w:sz w:val="22"/>
                <w:szCs w:val="22"/>
                <w:highlight w:val="none"/>
              </w:rPr>
              <w:t>。</w:t>
            </w:r>
          </w:p>
        </w:tc>
        <w:tc>
          <w:tcPr>
            <w:tcW w:w="4415" w:type="dxa"/>
            <w:vAlign w:val="center"/>
          </w:tcPr>
          <w:p>
            <w:pPr>
              <w:keepNext w:val="0"/>
              <w:keepLines w:val="0"/>
              <w:pageBreakBefore w:val="0"/>
              <w:kinsoku/>
              <w:wordWrap w:val="0"/>
              <w:overflowPunct/>
              <w:topLinePunct w:val="0"/>
              <w:bidi w:val="0"/>
              <w:spacing w:before="191" w:line="235" w:lineRule="auto"/>
              <w:ind w:left="113" w:right="103"/>
              <w:jc w:val="both"/>
              <w:rPr>
                <w:rFonts w:hint="eastAsia" w:ascii="宋体" w:hAnsi="宋体" w:eastAsia="宋体" w:cs="宋体"/>
                <w:color w:val="auto"/>
                <w:sz w:val="22"/>
                <w:szCs w:val="22"/>
                <w:highlight w:val="none"/>
              </w:rPr>
            </w:pPr>
            <w:r>
              <w:rPr>
                <w:rFonts w:hint="eastAsia" w:ascii="宋体" w:hAnsi="宋体" w:eastAsia="宋体" w:cs="宋体"/>
                <w:color w:val="auto"/>
                <w:spacing w:val="-13"/>
                <w:sz w:val="22"/>
                <w:szCs w:val="22"/>
                <w:highlight w:val="none"/>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w:t>
            </w:r>
            <w:r>
              <w:rPr>
                <w:rFonts w:hint="eastAsia" w:ascii="宋体" w:hAnsi="宋体" w:eastAsia="宋体" w:cs="宋体"/>
                <w:snapToGrid w:val="0"/>
                <w:color w:val="auto"/>
                <w:spacing w:val="-1"/>
                <w:kern w:val="0"/>
                <w:sz w:val="22"/>
                <w:szCs w:val="22"/>
                <w:highlight w:val="none"/>
                <w:lang w:val="en-US" w:eastAsia="zh-CN" w:bidi="ar-SA"/>
              </w:rPr>
              <w:t>响应</w:t>
            </w:r>
            <w:r>
              <w:rPr>
                <w:rFonts w:hint="eastAsia" w:ascii="宋体" w:hAnsi="宋体" w:eastAsia="宋体" w:cs="宋体"/>
                <w:color w:val="auto"/>
                <w:spacing w:val="-13"/>
                <w:sz w:val="22"/>
                <w:szCs w:val="22"/>
                <w:highlight w:val="none"/>
                <w:lang w:eastAsia="zh-CN"/>
              </w:rPr>
              <w:t>文件中提交了《</w:t>
            </w:r>
            <w:r>
              <w:rPr>
                <w:rFonts w:hint="eastAsia" w:ascii="宋体" w:hAnsi="宋体" w:eastAsia="宋体" w:cs="宋体"/>
                <w:color w:val="auto"/>
                <w:spacing w:val="2"/>
                <w:sz w:val="22"/>
                <w:szCs w:val="22"/>
                <w:highlight w:val="none"/>
              </w:rPr>
              <w:t>供应商</w:t>
            </w:r>
            <w:r>
              <w:rPr>
                <w:rFonts w:hint="eastAsia" w:ascii="宋体" w:hAnsi="宋体" w:eastAsia="宋体" w:cs="宋体"/>
                <w:color w:val="auto"/>
                <w:spacing w:val="-13"/>
                <w:sz w:val="22"/>
                <w:szCs w:val="22"/>
                <w:highlight w:val="none"/>
                <w:lang w:eastAsia="zh-CN"/>
              </w:rPr>
              <w:t>企业类型声明函》或《残疾人福利性单位声明函》或省级以上监狱管理局、戒毒管理局（含新疆生产建设兵团）出具的属于监狱企业的证明文件的</w:t>
            </w:r>
            <w:r>
              <w:rPr>
                <w:rFonts w:hint="eastAsia" w:ascii="宋体" w:hAnsi="宋体" w:eastAsia="宋体" w:cs="宋体"/>
                <w:color w:val="auto"/>
                <w:spacing w:val="2"/>
                <w:sz w:val="22"/>
                <w:szCs w:val="22"/>
                <w:highlight w:val="none"/>
              </w:rPr>
              <w:t>供应商</w:t>
            </w:r>
            <w:r>
              <w:rPr>
                <w:rFonts w:hint="eastAsia" w:ascii="宋体" w:hAnsi="宋体" w:eastAsia="宋体" w:cs="宋体"/>
                <w:color w:val="auto"/>
                <w:spacing w:val="-13"/>
                <w:sz w:val="22"/>
                <w:szCs w:val="22"/>
                <w:highlight w:val="none"/>
                <w:lang w:eastAsia="zh-CN"/>
              </w:rPr>
              <w:t>，其</w:t>
            </w:r>
            <w:r>
              <w:rPr>
                <w:rFonts w:hint="eastAsia" w:ascii="宋体" w:hAnsi="宋体" w:eastAsia="宋体" w:cs="宋体"/>
                <w:color w:val="auto"/>
                <w:spacing w:val="-13"/>
                <w:sz w:val="22"/>
                <w:szCs w:val="22"/>
                <w:highlight w:val="none"/>
                <w:lang w:val="en-US" w:eastAsia="zh-CN"/>
              </w:rPr>
              <w:t>磋商</w:t>
            </w:r>
            <w:r>
              <w:rPr>
                <w:rFonts w:hint="eastAsia" w:ascii="宋体" w:hAnsi="宋体" w:eastAsia="宋体" w:cs="宋体"/>
                <w:color w:val="auto"/>
                <w:spacing w:val="-13"/>
                <w:sz w:val="22"/>
                <w:szCs w:val="22"/>
                <w:highlight w:val="none"/>
                <w:lang w:eastAsia="zh-CN"/>
              </w:rPr>
              <w:t>报价扣除</w:t>
            </w:r>
            <w:r>
              <w:rPr>
                <w:rFonts w:hint="eastAsia" w:ascii="宋体" w:hAnsi="宋体" w:eastAsia="宋体" w:cs="宋体"/>
                <w:color w:val="auto"/>
                <w:spacing w:val="-13"/>
                <w:sz w:val="22"/>
                <w:szCs w:val="22"/>
                <w:highlight w:val="none"/>
                <w:u w:val="single"/>
                <w:lang w:val="en-US" w:eastAsia="zh-CN"/>
              </w:rPr>
              <w:t xml:space="preserve"> 20 </w:t>
            </w:r>
            <w:r>
              <w:rPr>
                <w:rFonts w:hint="eastAsia" w:ascii="宋体" w:hAnsi="宋体" w:eastAsia="宋体" w:cs="宋体"/>
                <w:color w:val="auto"/>
                <w:spacing w:val="-13"/>
                <w:sz w:val="22"/>
                <w:szCs w:val="22"/>
                <w:highlight w:val="none"/>
                <w:lang w:eastAsia="zh-CN"/>
              </w:rPr>
              <w:t>%后参与评审。对于同时属于小微企业、监狱企业或残疾人福利性单位的，不重复进行</w:t>
            </w:r>
            <w:r>
              <w:rPr>
                <w:rFonts w:hint="eastAsia" w:ascii="宋体" w:hAnsi="宋体" w:eastAsia="宋体" w:cs="宋体"/>
                <w:color w:val="auto"/>
                <w:spacing w:val="-13"/>
                <w:sz w:val="22"/>
                <w:szCs w:val="22"/>
                <w:highlight w:val="none"/>
                <w:lang w:val="en-US" w:eastAsia="zh-CN"/>
              </w:rPr>
              <w:t>磋商</w:t>
            </w:r>
            <w:r>
              <w:rPr>
                <w:rFonts w:hint="eastAsia" w:ascii="宋体" w:hAnsi="宋体" w:eastAsia="宋体" w:cs="宋体"/>
                <w:color w:val="auto"/>
                <w:spacing w:val="-13"/>
                <w:sz w:val="22"/>
                <w:szCs w:val="22"/>
                <w:highlight w:val="none"/>
                <w:lang w:eastAsia="zh-CN"/>
              </w:rPr>
              <w:t>报价扣除。（</w:t>
            </w:r>
            <w:r>
              <w:rPr>
                <w:rFonts w:hint="eastAsia" w:ascii="宋体" w:hAnsi="宋体" w:eastAsia="宋体" w:cs="宋体"/>
                <w:color w:val="auto"/>
                <w:spacing w:val="-13"/>
                <w:sz w:val="22"/>
                <w:szCs w:val="22"/>
                <w:highlight w:val="none"/>
                <w:lang w:val="en-US" w:eastAsia="zh-CN"/>
              </w:rPr>
              <w:t>专门面向中小企业的项目除外</w:t>
            </w:r>
            <w:r>
              <w:rPr>
                <w:rFonts w:hint="eastAsia" w:ascii="宋体" w:hAnsi="宋体" w:eastAsia="宋体" w:cs="宋体"/>
                <w:color w:val="auto"/>
                <w:spacing w:val="-13"/>
                <w:sz w:val="22"/>
                <w:szCs w:val="22"/>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restart"/>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2</w:t>
            </w:r>
          </w:p>
        </w:tc>
        <w:tc>
          <w:tcPr>
            <w:tcW w:w="1595" w:type="dxa"/>
            <w:vMerge w:val="restart"/>
            <w:vAlign w:val="center"/>
          </w:tcPr>
          <w:p>
            <w:pPr>
              <w:keepNext w:val="0"/>
              <w:keepLines w:val="0"/>
              <w:pageBreakBefore w:val="0"/>
              <w:kinsoku/>
              <w:wordWrap w:val="0"/>
              <w:overflowPunct/>
              <w:topLinePunct w:val="0"/>
              <w:bidi w:val="0"/>
              <w:spacing w:before="78" w:line="219" w:lineRule="auto"/>
              <w:ind w:firstLine="194" w:firstLineChars="10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技术标评分标准</w:t>
            </w:r>
          </w:p>
        </w:tc>
        <w:tc>
          <w:tcPr>
            <w:tcW w:w="883" w:type="dxa"/>
            <w:vAlign w:val="center"/>
          </w:tcPr>
          <w:p>
            <w:pPr>
              <w:pStyle w:val="30"/>
              <w:keepNext w:val="0"/>
              <w:keepLines w:val="0"/>
              <w:pageBreakBefore w:val="0"/>
              <w:kinsoku/>
              <w:wordWrap w:val="0"/>
              <w:overflowPunct/>
              <w:topLinePunct w:val="0"/>
              <w:bidi w:val="0"/>
              <w:jc w:val="center"/>
              <w:rPr>
                <w:rFonts w:hint="default"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10分</w:t>
            </w:r>
          </w:p>
        </w:tc>
        <w:tc>
          <w:tcPr>
            <w:tcW w:w="2018"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13"/>
                <w:kern w:val="0"/>
                <w:sz w:val="22"/>
                <w:szCs w:val="22"/>
                <w:highlight w:val="none"/>
                <w:lang w:val="en-US" w:eastAsia="zh-CN" w:bidi="ar-SA"/>
              </w:rPr>
              <w:t>对项目的理解</w:t>
            </w:r>
          </w:p>
        </w:tc>
        <w:tc>
          <w:tcPr>
            <w:tcW w:w="4415"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对项目的理解程度，特别是对本项目的特点、难点分析是否正确，对重点难点问题拟采取的措施的有效性和针对性。</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cs="宋体"/>
                <w:snapToGrid w:val="0"/>
                <w:color w:val="auto"/>
                <w:spacing w:val="0"/>
                <w:kern w:val="0"/>
                <w:sz w:val="22"/>
                <w:szCs w:val="22"/>
                <w:highlight w:val="none"/>
                <w:lang w:val="en-US" w:eastAsia="zh-CN" w:bidi="ar-SA"/>
              </w:rPr>
              <w:t>一档：</w:t>
            </w:r>
            <w:r>
              <w:rPr>
                <w:rFonts w:hint="eastAsia" w:ascii="宋体" w:hAnsi="宋体" w:eastAsia="宋体" w:cs="宋体"/>
                <w:snapToGrid w:val="0"/>
                <w:color w:val="auto"/>
                <w:spacing w:val="0"/>
                <w:kern w:val="0"/>
                <w:sz w:val="22"/>
                <w:szCs w:val="22"/>
                <w:highlight w:val="none"/>
                <w:lang w:val="en-US" w:eastAsia="en-US" w:bidi="ar-SA"/>
              </w:rPr>
              <w:t>对项目的理解透彻，对项目重点、难点理解准确、清晰，措施有针对性，且有效，得10分。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二档：对项目的理解比较透彻，对项目理解比较准确，措施有针对性，做事基本有效，得</w:t>
            </w:r>
            <w:r>
              <w:rPr>
                <w:rFonts w:hint="eastAsia" w:cs="宋体"/>
                <w:snapToGrid w:val="0"/>
                <w:color w:val="auto"/>
                <w:spacing w:val="0"/>
                <w:kern w:val="0"/>
                <w:sz w:val="22"/>
                <w:szCs w:val="22"/>
                <w:highlight w:val="none"/>
                <w:lang w:val="en-US" w:eastAsia="zh-CN" w:bidi="ar-SA"/>
              </w:rPr>
              <w:t>7</w:t>
            </w:r>
            <w:r>
              <w:rPr>
                <w:rFonts w:hint="eastAsia" w:ascii="宋体" w:hAnsi="宋体" w:eastAsia="宋体" w:cs="宋体"/>
                <w:snapToGrid w:val="0"/>
                <w:color w:val="auto"/>
                <w:spacing w:val="0"/>
                <w:kern w:val="0"/>
                <w:sz w:val="22"/>
                <w:szCs w:val="22"/>
                <w:highlight w:val="none"/>
                <w:lang w:val="en-US" w:eastAsia="en-US" w:bidi="ar-SA"/>
              </w:rPr>
              <w:t>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三档：</w:t>
            </w:r>
            <w:r>
              <w:rPr>
                <w:rFonts w:hint="eastAsia" w:ascii="宋体" w:hAnsi="宋体" w:eastAsia="宋体" w:cs="宋体"/>
                <w:snapToGrid w:val="0"/>
                <w:color w:val="auto"/>
                <w:spacing w:val="0"/>
                <w:kern w:val="0"/>
                <w:sz w:val="22"/>
                <w:szCs w:val="22"/>
                <w:highlight w:val="none"/>
                <w:lang w:val="en-US" w:eastAsia="en-US" w:bidi="ar-SA"/>
              </w:rPr>
              <w:t>对项目有一定的理解，对项目的重点、难点有一定的理解，能提出针对本项目的措施，得</w:t>
            </w:r>
            <w:r>
              <w:rPr>
                <w:rFonts w:hint="eastAsia" w:cs="宋体"/>
                <w:snapToGrid w:val="0"/>
                <w:color w:val="auto"/>
                <w:spacing w:val="0"/>
                <w:kern w:val="0"/>
                <w:sz w:val="22"/>
                <w:szCs w:val="22"/>
                <w:highlight w:val="none"/>
                <w:lang w:val="en-US" w:eastAsia="zh-CN" w:bidi="ar-SA"/>
              </w:rPr>
              <w:t>3</w:t>
            </w:r>
            <w:r>
              <w:rPr>
                <w:rFonts w:hint="eastAsia" w:ascii="宋体" w:hAnsi="宋体" w:eastAsia="宋体" w:cs="宋体"/>
                <w:snapToGrid w:val="0"/>
                <w:color w:val="auto"/>
                <w:spacing w:val="0"/>
                <w:kern w:val="0"/>
                <w:sz w:val="22"/>
                <w:szCs w:val="22"/>
                <w:highlight w:val="none"/>
                <w:lang w:val="en-US" w:eastAsia="en-US" w:bidi="ar-SA"/>
              </w:rPr>
              <w:t>分</w:t>
            </w:r>
            <w:r>
              <w:rPr>
                <w:rFonts w:hint="eastAsia" w:cs="宋体"/>
                <w:snapToGrid w:val="0"/>
                <w:color w:val="auto"/>
                <w:spacing w:val="0"/>
                <w:kern w:val="0"/>
                <w:sz w:val="22"/>
                <w:szCs w:val="22"/>
                <w:highlight w:val="none"/>
                <w:lang w:val="en-US" w:eastAsia="zh-CN" w:bidi="ar-SA"/>
              </w:rPr>
              <w:t>；</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color w:val="auto"/>
                <w:kern w:val="0"/>
                <w:sz w:val="22"/>
                <w:szCs w:val="20"/>
                <w:highlight w:val="none"/>
                <w:lang w:val="en-US" w:eastAsia="zh-CN" w:bidi="zh-CN"/>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auto"/>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10分</w:t>
            </w:r>
          </w:p>
        </w:tc>
        <w:tc>
          <w:tcPr>
            <w:tcW w:w="2018"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质量保证体系及措施</w:t>
            </w:r>
          </w:p>
        </w:tc>
        <w:tc>
          <w:tcPr>
            <w:tcW w:w="4415"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对本项目制定的质量保证体系及其措施情况。</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cs="宋体"/>
                <w:snapToGrid w:val="0"/>
                <w:color w:val="auto"/>
                <w:spacing w:val="0"/>
                <w:kern w:val="0"/>
                <w:sz w:val="22"/>
                <w:szCs w:val="22"/>
                <w:highlight w:val="none"/>
                <w:lang w:val="en-US" w:eastAsia="zh-CN" w:bidi="ar-SA"/>
              </w:rPr>
              <w:t>一档：</w:t>
            </w:r>
            <w:r>
              <w:rPr>
                <w:rFonts w:hint="eastAsia" w:ascii="宋体" w:hAnsi="宋体" w:eastAsia="宋体" w:cs="宋体"/>
                <w:snapToGrid w:val="0"/>
                <w:color w:val="auto"/>
                <w:spacing w:val="0"/>
                <w:kern w:val="0"/>
                <w:sz w:val="22"/>
                <w:szCs w:val="22"/>
                <w:highlight w:val="none"/>
                <w:lang w:val="en-US" w:eastAsia="en-US" w:bidi="ar-SA"/>
              </w:rPr>
              <w:t>质量保证体系健全，措施合理，得10分；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二档：</w:t>
            </w:r>
            <w:r>
              <w:rPr>
                <w:rFonts w:hint="eastAsia" w:ascii="宋体" w:hAnsi="宋体" w:eastAsia="宋体" w:cs="宋体"/>
                <w:snapToGrid w:val="0"/>
                <w:color w:val="auto"/>
                <w:spacing w:val="0"/>
                <w:kern w:val="0"/>
                <w:sz w:val="22"/>
                <w:szCs w:val="22"/>
                <w:highlight w:val="none"/>
                <w:lang w:val="en-US" w:eastAsia="en-US" w:bidi="ar-SA"/>
              </w:rPr>
              <w:t>质量保证体系较健全，措施一般，得</w:t>
            </w:r>
            <w:r>
              <w:rPr>
                <w:rFonts w:hint="eastAsia" w:cs="宋体"/>
                <w:snapToGrid w:val="0"/>
                <w:color w:val="auto"/>
                <w:spacing w:val="0"/>
                <w:kern w:val="0"/>
                <w:sz w:val="22"/>
                <w:szCs w:val="22"/>
                <w:highlight w:val="none"/>
                <w:lang w:val="en-US" w:eastAsia="zh-CN" w:bidi="ar-SA"/>
              </w:rPr>
              <w:t>7分；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三档：质量保证体系不够健全，措施较差，得3分；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default"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auto"/>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10分</w:t>
            </w:r>
          </w:p>
        </w:tc>
        <w:tc>
          <w:tcPr>
            <w:tcW w:w="2018"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进度计划和保证措施</w:t>
            </w:r>
          </w:p>
        </w:tc>
        <w:tc>
          <w:tcPr>
            <w:tcW w:w="4415"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对本项目制定的工作进度计划和保证措施的合理性。</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cs="宋体"/>
                <w:snapToGrid w:val="0"/>
                <w:color w:val="auto"/>
                <w:spacing w:val="0"/>
                <w:kern w:val="0"/>
                <w:sz w:val="22"/>
                <w:szCs w:val="22"/>
                <w:highlight w:val="none"/>
                <w:lang w:val="en-US" w:eastAsia="zh-CN" w:bidi="ar-SA"/>
              </w:rPr>
              <w:t>一档：</w:t>
            </w:r>
            <w:r>
              <w:rPr>
                <w:rFonts w:hint="eastAsia" w:ascii="宋体" w:hAnsi="宋体" w:eastAsia="宋体" w:cs="宋体"/>
                <w:snapToGrid w:val="0"/>
                <w:color w:val="auto"/>
                <w:spacing w:val="0"/>
                <w:kern w:val="0"/>
                <w:sz w:val="22"/>
                <w:szCs w:val="22"/>
                <w:highlight w:val="none"/>
                <w:lang w:val="en-US" w:eastAsia="en-US" w:bidi="ar-SA"/>
              </w:rPr>
              <w:t>进度计划和保证措施合理，得10分；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cs="宋体"/>
                <w:snapToGrid w:val="0"/>
                <w:color w:val="auto"/>
                <w:spacing w:val="0"/>
                <w:kern w:val="0"/>
                <w:sz w:val="22"/>
                <w:szCs w:val="22"/>
                <w:highlight w:val="none"/>
                <w:lang w:val="en-US" w:eastAsia="zh-CN" w:bidi="ar-SA"/>
              </w:rPr>
              <w:t>二档：</w:t>
            </w:r>
            <w:r>
              <w:rPr>
                <w:rFonts w:hint="eastAsia" w:ascii="宋体" w:hAnsi="宋体" w:eastAsia="宋体" w:cs="宋体"/>
                <w:snapToGrid w:val="0"/>
                <w:color w:val="auto"/>
                <w:spacing w:val="0"/>
                <w:kern w:val="0"/>
                <w:sz w:val="22"/>
                <w:szCs w:val="22"/>
                <w:highlight w:val="none"/>
                <w:lang w:val="en-US" w:eastAsia="en-US" w:bidi="ar-SA"/>
              </w:rPr>
              <w:t>进度计划和保证措施较为合理，得7分；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三档：进度计划和保证措施较为不够合理，得3分；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auto"/>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10分</w:t>
            </w:r>
          </w:p>
        </w:tc>
        <w:tc>
          <w:tcPr>
            <w:tcW w:w="2018"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主要工作思路及方法</w:t>
            </w:r>
          </w:p>
        </w:tc>
        <w:tc>
          <w:tcPr>
            <w:tcW w:w="4415"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en-US" w:bidi="ar-SA"/>
              </w:rPr>
            </w:pPr>
            <w:r>
              <w:rPr>
                <w:rFonts w:hint="eastAsia" w:cs="宋体"/>
                <w:snapToGrid w:val="0"/>
                <w:color w:val="auto"/>
                <w:spacing w:val="0"/>
                <w:kern w:val="0"/>
                <w:sz w:val="22"/>
                <w:szCs w:val="22"/>
                <w:highlight w:val="none"/>
                <w:lang w:val="en-US" w:eastAsia="zh-CN" w:bidi="ar-SA"/>
              </w:rPr>
              <w:t>对本项目的</w:t>
            </w:r>
            <w:r>
              <w:rPr>
                <w:rFonts w:hint="eastAsia" w:ascii="宋体" w:hAnsi="宋体" w:eastAsia="宋体" w:cs="宋体"/>
                <w:snapToGrid w:val="0"/>
                <w:color w:val="auto"/>
                <w:spacing w:val="0"/>
                <w:kern w:val="0"/>
                <w:sz w:val="22"/>
                <w:szCs w:val="22"/>
                <w:highlight w:val="none"/>
                <w:lang w:val="en-US" w:eastAsia="en-US" w:bidi="ar-SA"/>
              </w:rPr>
              <w:t>整体思路和方法是否清晰。</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一档：</w:t>
            </w:r>
            <w:r>
              <w:rPr>
                <w:rFonts w:hint="eastAsia" w:ascii="宋体" w:hAnsi="宋体" w:eastAsia="宋体" w:cs="宋体"/>
                <w:snapToGrid w:val="0"/>
                <w:color w:val="auto"/>
                <w:spacing w:val="0"/>
                <w:kern w:val="0"/>
                <w:sz w:val="22"/>
                <w:szCs w:val="22"/>
                <w:highlight w:val="none"/>
                <w:lang w:val="en-US" w:eastAsia="en-US" w:bidi="ar-SA"/>
              </w:rPr>
              <w:t>整体思路和方法清晰，得10分</w:t>
            </w:r>
            <w:r>
              <w:rPr>
                <w:rFonts w:hint="eastAsia" w:cs="宋体"/>
                <w:snapToGrid w:val="0"/>
                <w:color w:val="auto"/>
                <w:spacing w:val="0"/>
                <w:kern w:val="0"/>
                <w:sz w:val="22"/>
                <w:szCs w:val="22"/>
                <w:highlight w:val="none"/>
                <w:lang w:val="en-US" w:eastAsia="zh-CN" w:bidi="ar-SA"/>
              </w:rPr>
              <w:t>；</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二档</w:t>
            </w:r>
            <w:r>
              <w:rPr>
                <w:rFonts w:hint="eastAsia" w:ascii="宋体" w:hAnsi="宋体" w:eastAsia="宋体" w:cs="宋体"/>
                <w:snapToGrid w:val="0"/>
                <w:color w:val="auto"/>
                <w:spacing w:val="0"/>
                <w:kern w:val="0"/>
                <w:sz w:val="22"/>
                <w:szCs w:val="22"/>
                <w:highlight w:val="none"/>
                <w:lang w:val="en-US" w:eastAsia="en-US" w:bidi="ar-SA"/>
              </w:rPr>
              <w:t>：整体思路和方法基本清晰</w:t>
            </w:r>
            <w:r>
              <w:rPr>
                <w:rFonts w:hint="eastAsia" w:cs="宋体"/>
                <w:snapToGrid w:val="0"/>
                <w:color w:val="auto"/>
                <w:spacing w:val="0"/>
                <w:kern w:val="0"/>
                <w:sz w:val="22"/>
                <w:szCs w:val="22"/>
                <w:highlight w:val="none"/>
                <w:lang w:val="en-US" w:eastAsia="zh-CN" w:bidi="ar-SA"/>
              </w:rPr>
              <w:t>，</w:t>
            </w:r>
            <w:r>
              <w:rPr>
                <w:rFonts w:hint="eastAsia" w:ascii="宋体" w:hAnsi="宋体" w:eastAsia="宋体" w:cs="宋体"/>
                <w:snapToGrid w:val="0"/>
                <w:color w:val="auto"/>
                <w:spacing w:val="0"/>
                <w:kern w:val="0"/>
                <w:sz w:val="22"/>
                <w:szCs w:val="22"/>
                <w:highlight w:val="none"/>
                <w:lang w:val="en-US" w:eastAsia="en-US" w:bidi="ar-SA"/>
              </w:rPr>
              <w:t>得7分</w:t>
            </w:r>
            <w:r>
              <w:rPr>
                <w:rFonts w:hint="eastAsia" w:cs="宋体"/>
                <w:snapToGrid w:val="0"/>
                <w:color w:val="auto"/>
                <w:spacing w:val="0"/>
                <w:kern w:val="0"/>
                <w:sz w:val="22"/>
                <w:szCs w:val="22"/>
                <w:highlight w:val="none"/>
                <w:lang w:val="en-US" w:eastAsia="zh-CN" w:bidi="ar-SA"/>
              </w:rPr>
              <w:t>；</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en-US" w:bidi="ar-SA"/>
              </w:rPr>
              <w:t>三档：整体思路和方法不够清晰，得3分</w:t>
            </w:r>
            <w:r>
              <w:rPr>
                <w:rFonts w:hint="eastAsia" w:cs="宋体"/>
                <w:snapToGrid w:val="0"/>
                <w:color w:val="auto"/>
                <w:spacing w:val="0"/>
                <w:kern w:val="0"/>
                <w:sz w:val="22"/>
                <w:szCs w:val="22"/>
                <w:highlight w:val="none"/>
                <w:lang w:val="en-US" w:eastAsia="zh-CN" w:bidi="ar-SA"/>
              </w:rPr>
              <w:t>；</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cs="宋体"/>
                <w:snapToGrid w:val="0"/>
                <w:color w:val="auto"/>
                <w:spacing w:val="0"/>
                <w:kern w:val="0"/>
                <w:sz w:val="22"/>
                <w:szCs w:val="22"/>
                <w:highlight w:val="none"/>
                <w:lang w:val="en-US" w:eastAsia="zh-CN" w:bidi="ar-SA"/>
              </w:rPr>
            </w:pPr>
            <w:r>
              <w:rPr>
                <w:rFonts w:hint="eastAsia" w:cs="宋体"/>
                <w:snapToGrid w:val="0"/>
                <w:color w:val="auto"/>
                <w:spacing w:val="0"/>
                <w:kern w:val="0"/>
                <w:sz w:val="22"/>
                <w:szCs w:val="22"/>
                <w:highlight w:val="none"/>
                <w:lang w:val="en-US" w:eastAsia="zh-CN" w:bidi="ar-SA"/>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auto"/>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default"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5分</w:t>
            </w:r>
          </w:p>
        </w:tc>
        <w:tc>
          <w:tcPr>
            <w:tcW w:w="2018" w:type="dxa"/>
            <w:vAlign w:val="center"/>
          </w:tcPr>
          <w:p>
            <w:pPr>
              <w:pStyle w:val="24"/>
              <w:spacing w:line="240" w:lineRule="atLeast"/>
              <w:jc w:val="both"/>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与招标单位以及其他相关单位的协调配合措施</w:t>
            </w:r>
          </w:p>
        </w:tc>
        <w:tc>
          <w:tcPr>
            <w:tcW w:w="4415" w:type="dxa"/>
            <w:vAlign w:val="center"/>
          </w:tcPr>
          <w:p>
            <w:pPr>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本项目制定的组织协调方案的合理性。</w:t>
            </w:r>
          </w:p>
          <w:p>
            <w:pP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一档：</w:t>
            </w:r>
            <w:r>
              <w:rPr>
                <w:rFonts w:hint="eastAsia" w:ascii="宋体" w:hAnsi="宋体" w:eastAsia="宋体" w:cs="宋体"/>
                <w:snapToGrid w:val="0"/>
                <w:color w:val="auto"/>
                <w:spacing w:val="0"/>
                <w:kern w:val="0"/>
                <w:sz w:val="22"/>
                <w:szCs w:val="22"/>
                <w:highlight w:val="none"/>
                <w:lang w:val="en-US" w:eastAsia="en-US" w:bidi="ar-SA"/>
              </w:rPr>
              <w:t>组织协调方案合理，得5分</w:t>
            </w:r>
            <w:r>
              <w:rPr>
                <w:rFonts w:hint="eastAsia" w:ascii="宋体" w:hAnsi="宋体" w:eastAsia="宋体" w:cs="宋体"/>
                <w:snapToGrid w:val="0"/>
                <w:color w:val="auto"/>
                <w:spacing w:val="0"/>
                <w:kern w:val="0"/>
                <w:sz w:val="22"/>
                <w:szCs w:val="22"/>
                <w:highlight w:val="none"/>
                <w:lang w:val="en-US" w:eastAsia="zh-CN" w:bidi="ar-SA"/>
              </w:rPr>
              <w:t>；</w:t>
            </w:r>
          </w:p>
          <w:p>
            <w:pPr>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zh-CN" w:bidi="ar-SA"/>
              </w:rPr>
              <w:t>二档：</w:t>
            </w:r>
            <w:r>
              <w:rPr>
                <w:rFonts w:hint="eastAsia" w:ascii="宋体" w:hAnsi="宋体" w:eastAsia="宋体" w:cs="宋体"/>
                <w:snapToGrid w:val="0"/>
                <w:color w:val="auto"/>
                <w:spacing w:val="0"/>
                <w:kern w:val="0"/>
                <w:sz w:val="22"/>
                <w:szCs w:val="22"/>
                <w:highlight w:val="none"/>
                <w:lang w:val="en-US" w:eastAsia="en-US" w:bidi="ar-SA"/>
              </w:rPr>
              <w:t>组织协调方案较合理，得3分；</w:t>
            </w:r>
          </w:p>
          <w:p>
            <w:pPr>
              <w:pStyle w:val="2"/>
              <w:ind w:left="0" w:leftChars="0" w:firstLine="0" w:firstLineChars="0"/>
              <w:rPr>
                <w:rFonts w:hint="default" w:eastAsia="宋体"/>
                <w:color w:val="auto"/>
                <w:highlight w:val="none"/>
                <w:lang w:val="en-US" w:eastAsia="zh-CN"/>
              </w:rPr>
            </w:pPr>
            <w:r>
              <w:rPr>
                <w:rFonts w:hint="eastAsia" w:cs="宋体"/>
                <w:snapToGrid w:val="0"/>
                <w:color w:val="auto"/>
                <w:spacing w:val="0"/>
                <w:kern w:val="0"/>
                <w:sz w:val="22"/>
                <w:szCs w:val="22"/>
                <w:highlight w:val="none"/>
                <w:lang w:val="en-US" w:eastAsia="zh-CN" w:bidi="ar-SA"/>
              </w:rPr>
              <w:t>三档：</w:t>
            </w:r>
            <w:r>
              <w:rPr>
                <w:rFonts w:hint="eastAsia" w:ascii="宋体" w:hAnsi="宋体" w:eastAsia="宋体" w:cs="宋体"/>
                <w:snapToGrid w:val="0"/>
                <w:color w:val="auto"/>
                <w:spacing w:val="0"/>
                <w:kern w:val="0"/>
                <w:sz w:val="22"/>
                <w:szCs w:val="22"/>
                <w:highlight w:val="none"/>
                <w:lang w:val="en-US" w:eastAsia="en-US" w:bidi="ar-SA"/>
              </w:rPr>
              <w:t>组织协调方案</w:t>
            </w:r>
            <w:r>
              <w:rPr>
                <w:rFonts w:hint="eastAsia" w:cs="宋体"/>
                <w:snapToGrid w:val="0"/>
                <w:color w:val="auto"/>
                <w:spacing w:val="0"/>
                <w:kern w:val="0"/>
                <w:sz w:val="22"/>
                <w:szCs w:val="22"/>
                <w:highlight w:val="none"/>
                <w:lang w:val="en-US" w:eastAsia="zh-CN" w:bidi="ar-SA"/>
              </w:rPr>
              <w:t>欠合理，得1分；</w:t>
            </w:r>
          </w:p>
          <w:p>
            <w:pPr>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en-US" w:bidi="ar-SA"/>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auto"/>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default" w:ascii="宋体" w:hAnsi="宋体" w:eastAsia="宋体" w:cs="宋体"/>
                <w:color w:val="auto"/>
                <w:spacing w:val="0"/>
                <w:sz w:val="22"/>
                <w:szCs w:val="22"/>
                <w:highlight w:val="none"/>
                <w:lang w:val="en-US" w:eastAsia="zh-CN"/>
              </w:rPr>
            </w:pPr>
            <w:r>
              <w:rPr>
                <w:rFonts w:hint="eastAsia" w:ascii="宋体" w:hAnsi="宋体" w:eastAsia="宋体" w:cs="宋体"/>
                <w:color w:val="auto"/>
                <w:spacing w:val="0"/>
                <w:sz w:val="22"/>
                <w:szCs w:val="22"/>
                <w:highlight w:val="none"/>
                <w:lang w:val="en-US" w:eastAsia="zh-CN"/>
              </w:rPr>
              <w:t>5分</w:t>
            </w:r>
          </w:p>
        </w:tc>
        <w:tc>
          <w:tcPr>
            <w:tcW w:w="2018" w:type="dxa"/>
            <w:vAlign w:val="center"/>
          </w:tcPr>
          <w:p>
            <w:pPr>
              <w:pStyle w:val="24"/>
              <w:spacing w:line="240" w:lineRule="atLeast"/>
              <w:jc w:val="both"/>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其他合理化建议</w:t>
            </w:r>
          </w:p>
        </w:tc>
        <w:tc>
          <w:tcPr>
            <w:tcW w:w="4415" w:type="dxa"/>
            <w:vAlign w:val="center"/>
          </w:tcPr>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对本项目的建议是否可行。</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一档：建议方案清晰可行，得5分；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二档：建议方案基本可行，得3分；</w:t>
            </w:r>
          </w:p>
          <w:p>
            <w:pPr>
              <w:pStyle w:val="2"/>
              <w:ind w:left="0" w:leftChars="0" w:firstLine="0" w:firstLineChars="0"/>
              <w:rPr>
                <w:rFonts w:hint="default"/>
                <w:color w:val="auto"/>
                <w:highlight w:val="none"/>
                <w:lang w:val="en-US" w:eastAsia="zh-CN"/>
              </w:rPr>
            </w:pPr>
            <w:r>
              <w:rPr>
                <w:rFonts w:hint="eastAsia" w:cs="宋体"/>
                <w:color w:val="auto"/>
                <w:kern w:val="0"/>
                <w:sz w:val="22"/>
                <w:szCs w:val="20"/>
                <w:highlight w:val="none"/>
                <w:lang w:val="en-US" w:eastAsia="zh-CN" w:bidi="zh-CN"/>
              </w:rPr>
              <w:t>三</w:t>
            </w:r>
            <w:r>
              <w:rPr>
                <w:rFonts w:hint="eastAsia" w:cs="宋体"/>
                <w:snapToGrid w:val="0"/>
                <w:color w:val="auto"/>
                <w:spacing w:val="0"/>
                <w:kern w:val="0"/>
                <w:sz w:val="22"/>
                <w:szCs w:val="22"/>
                <w:highlight w:val="none"/>
                <w:lang w:val="en-US" w:eastAsia="zh-CN" w:bidi="ar-SA"/>
              </w:rPr>
              <w:t>档</w:t>
            </w:r>
            <w:r>
              <w:rPr>
                <w:rFonts w:hint="eastAsia" w:cs="宋体"/>
                <w:color w:val="auto"/>
                <w:kern w:val="0"/>
                <w:sz w:val="22"/>
                <w:szCs w:val="20"/>
                <w:highlight w:val="none"/>
                <w:lang w:val="en-US" w:eastAsia="zh-CN" w:bidi="zh-CN"/>
              </w:rPr>
              <w:t>：建议方案笼统，不可行，得1分。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没有得0分。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restart"/>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3</w:t>
            </w:r>
          </w:p>
        </w:tc>
        <w:tc>
          <w:tcPr>
            <w:tcW w:w="1595" w:type="dxa"/>
            <w:vMerge w:val="restart"/>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color w:val="auto"/>
                <w:kern w:val="0"/>
                <w:sz w:val="22"/>
                <w:szCs w:val="20"/>
                <w:highlight w:val="none"/>
                <w:lang w:val="en-US" w:eastAsia="zh-CN" w:bidi="zh-CN"/>
              </w:rPr>
              <w:t>综合标部分</w:t>
            </w: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snapToGrid w:val="0"/>
                <w:color w:val="auto"/>
                <w:spacing w:val="-13"/>
                <w:kern w:val="0"/>
                <w:sz w:val="22"/>
                <w:szCs w:val="22"/>
                <w:highlight w:val="none"/>
                <w:lang w:val="en-US" w:eastAsia="zh-CN" w:bidi="ar-SA"/>
              </w:rPr>
              <w:t>6分</w:t>
            </w:r>
          </w:p>
        </w:tc>
        <w:tc>
          <w:tcPr>
            <w:tcW w:w="2018" w:type="dxa"/>
            <w:vAlign w:val="center"/>
          </w:tcPr>
          <w:p>
            <w:pPr>
              <w:pStyle w:val="24"/>
              <w:spacing w:line="240" w:lineRule="atLeast"/>
              <w:jc w:val="left"/>
              <w:rPr>
                <w:rFonts w:hint="eastAsia" w:ascii="宋体" w:hAnsi="宋体" w:eastAsia="宋体" w:cs="宋体"/>
                <w:snapToGrid w:val="0"/>
                <w:color w:val="auto"/>
                <w:spacing w:val="-13"/>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企业业绩</w:t>
            </w:r>
          </w:p>
        </w:tc>
        <w:tc>
          <w:tcPr>
            <w:tcW w:w="4415" w:type="dxa"/>
            <w:vAlign w:val="center"/>
          </w:tcPr>
          <w:p>
            <w:pPr>
              <w:pStyle w:val="24"/>
              <w:keepNext w:val="0"/>
              <w:keepLines w:val="0"/>
              <w:pageBreakBefore w:val="0"/>
              <w:widowControl w:val="0"/>
              <w:kinsoku/>
              <w:wordWrap/>
              <w:overflowPunct/>
              <w:topLinePunct w:val="0"/>
              <w:autoSpaceDE w:val="0"/>
              <w:autoSpaceDN w:val="0"/>
              <w:bidi w:val="0"/>
              <w:adjustRightInd w:val="0"/>
              <w:snapToGrid/>
              <w:spacing w:after="0" w:line="240" w:lineRule="atLeast"/>
              <w:jc w:val="left"/>
              <w:textAlignment w:val="auto"/>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供应商提供2022年1月1日（合同签订时间）以来类似项目业绩的，每提供一个项目业绩得2分，最多得6分。否则不计分。</w:t>
            </w:r>
          </w:p>
          <w:p>
            <w:pPr>
              <w:pStyle w:val="24"/>
              <w:keepNext w:val="0"/>
              <w:keepLines w:val="0"/>
              <w:pageBreakBefore w:val="0"/>
              <w:widowControl w:val="0"/>
              <w:kinsoku/>
              <w:wordWrap/>
              <w:overflowPunct/>
              <w:topLinePunct w:val="0"/>
              <w:autoSpaceDE w:val="0"/>
              <w:autoSpaceDN w:val="0"/>
              <w:bidi w:val="0"/>
              <w:adjustRightInd w:val="0"/>
              <w:snapToGrid/>
              <w:spacing w:after="0" w:line="240" w:lineRule="atLeast"/>
              <w:jc w:val="left"/>
              <w:textAlignment w:val="auto"/>
              <w:rPr>
                <w:rFonts w:hint="eastAsia" w:ascii="宋体" w:hAnsi="宋体" w:eastAsia="宋体" w:cs="宋体"/>
                <w:snapToGrid w:val="0"/>
                <w:color w:val="auto"/>
                <w:spacing w:val="-13"/>
                <w:kern w:val="0"/>
                <w:sz w:val="22"/>
                <w:szCs w:val="22"/>
                <w:highlight w:val="none"/>
                <w:lang w:val="en-US" w:eastAsia="zh-CN" w:bidi="ar-SA"/>
              </w:rPr>
            </w:pPr>
            <w:r>
              <w:rPr>
                <w:rFonts w:hint="eastAsia" w:ascii="宋体" w:hAnsi="宋体" w:eastAsia="宋体" w:cs="宋体"/>
                <w:b/>
                <w:bCs/>
                <w:color w:val="auto"/>
                <w:kern w:val="0"/>
                <w:sz w:val="21"/>
                <w:szCs w:val="18"/>
                <w:highlight w:val="none"/>
                <w:lang w:val="en-US" w:eastAsia="zh-CN" w:bidi="zh-CN"/>
              </w:rPr>
              <w:t>注：需提供合同（响应文件中附扫描件）。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color w:val="auto"/>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color w:val="auto"/>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snapToGrid w:val="0"/>
                <w:color w:val="auto"/>
                <w:spacing w:val="0"/>
                <w:kern w:val="0"/>
                <w:sz w:val="22"/>
                <w:szCs w:val="22"/>
                <w:highlight w:val="none"/>
                <w:lang w:val="en-US" w:eastAsia="zh-CN" w:bidi="ar-SA"/>
              </w:rPr>
              <w:t>5分</w:t>
            </w:r>
          </w:p>
        </w:tc>
        <w:tc>
          <w:tcPr>
            <w:tcW w:w="2018" w:type="dxa"/>
            <w:vAlign w:val="center"/>
          </w:tcPr>
          <w:p>
            <w:pPr>
              <w:autoSpaceDE w:val="0"/>
              <w:autoSpaceDN w:val="0"/>
              <w:adjustRightInd w:val="0"/>
              <w:spacing w:line="320" w:lineRule="exact"/>
              <w:rPr>
                <w:rFonts w:hint="eastAsia" w:ascii="宋体" w:hAnsi="宋体" w:eastAsia="宋体" w:cs="宋体"/>
                <w:snapToGrid w:val="0"/>
                <w:color w:val="auto"/>
                <w:spacing w:val="0"/>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项目组成人员</w:t>
            </w:r>
          </w:p>
        </w:tc>
        <w:tc>
          <w:tcPr>
            <w:tcW w:w="4415" w:type="dxa"/>
            <w:vAlign w:val="center"/>
          </w:tcPr>
          <w:p>
            <w:pPr>
              <w:autoSpaceDE w:val="0"/>
              <w:autoSpaceDN w:val="0"/>
              <w:adjustRightInd w:val="0"/>
              <w:spacing w:line="320" w:lineRule="exact"/>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color w:val="auto"/>
                <w:kern w:val="0"/>
                <w:sz w:val="22"/>
                <w:szCs w:val="20"/>
                <w:highlight w:val="none"/>
                <w:lang w:val="en-US" w:eastAsia="zh-CN" w:bidi="zh-CN"/>
              </w:rPr>
              <w:t xml:space="preserve">项目组成人员：项目组成员（不包含项目负责人）具有工程师资格，每个得1分，最多5分；提供相关证明资料。没有得0分；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color w:val="auto"/>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color w:val="auto"/>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7分</w:t>
            </w:r>
          </w:p>
        </w:tc>
        <w:tc>
          <w:tcPr>
            <w:tcW w:w="2018"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软硬件设备</w:t>
            </w:r>
          </w:p>
        </w:tc>
        <w:tc>
          <w:tcPr>
            <w:tcW w:w="4415"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投标人用于本项目的软硬件设备情况：设备齐全，配备合理得7分；设备基本齐全，配备基本合理得3分；设备不齐全，配备不合理得1分；无设备配备情况的得0分。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5"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color w:val="auto"/>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color w:val="auto"/>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default"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2分</w:t>
            </w:r>
          </w:p>
        </w:tc>
        <w:tc>
          <w:tcPr>
            <w:tcW w:w="2018"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政府采购信用评价(2分)</w:t>
            </w:r>
          </w:p>
        </w:tc>
        <w:tc>
          <w:tcPr>
            <w:tcW w:w="4415"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spacing w:val="-2"/>
                <w:sz w:val="22"/>
                <w:szCs w:val="22"/>
              </w:rPr>
              <w:t>根据唐河县政府采购信用评价实施办法，诚信指数高的供应商，在参加唐河县的政府采购活动时，享受政策支持。本项目供应商诚信评价为满分的得2分,90-99 分(不含90分)之间得1分,90 分以下的不得分；供应商可在公告发布之日到投标截止期间，登录“唐河县政府采购信用管理系统”在线打印《唐河县政府采购供应商信用记录表》，作为投标</w:t>
            </w:r>
            <w:r>
              <w:rPr>
                <w:rFonts w:hint="eastAsia" w:ascii="宋体" w:hAnsi="宋体" w:eastAsia="宋体" w:cs="宋体"/>
                <w:spacing w:val="-2"/>
                <w:sz w:val="22"/>
                <w:szCs w:val="22"/>
                <w:lang w:eastAsia="zh-CN"/>
              </w:rPr>
              <w:t>（</w:t>
            </w:r>
            <w:r>
              <w:rPr>
                <w:rFonts w:hint="eastAsia" w:ascii="宋体" w:hAnsi="宋体" w:eastAsia="宋体" w:cs="宋体"/>
                <w:spacing w:val="-2"/>
                <w:sz w:val="22"/>
                <w:szCs w:val="22"/>
              </w:rPr>
              <w:t>响应</w:t>
            </w:r>
            <w:r>
              <w:rPr>
                <w:rFonts w:hint="eastAsia" w:ascii="宋体" w:hAnsi="宋体" w:eastAsia="宋体" w:cs="宋体"/>
                <w:spacing w:val="-2"/>
                <w:sz w:val="22"/>
                <w:szCs w:val="22"/>
                <w:lang w:eastAsia="zh-CN"/>
              </w:rPr>
              <w:t>）</w:t>
            </w:r>
            <w:r>
              <w:rPr>
                <w:rFonts w:hint="eastAsia" w:ascii="宋体" w:hAnsi="宋体" w:eastAsia="宋体" w:cs="宋体"/>
                <w:spacing w:val="-2"/>
                <w:sz w:val="22"/>
                <w:szCs w:val="22"/>
              </w:rPr>
              <w:t>文件的组成部分提交,评审时作为享受政策支持的依据。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434" w:type="dxa"/>
            <w:gridSpan w:val="2"/>
            <w:vAlign w:val="top"/>
          </w:tcPr>
          <w:p>
            <w:pPr>
              <w:keepNext w:val="0"/>
              <w:keepLines w:val="0"/>
              <w:pageBreakBefore w:val="0"/>
              <w:kinsoku/>
              <w:wordWrap w:val="0"/>
              <w:overflowPunct/>
              <w:topLinePunct w:val="0"/>
              <w:bidi w:val="0"/>
              <w:spacing w:before="42" w:line="206" w:lineRule="auto"/>
              <w:ind w:left="932"/>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合计</w:t>
            </w:r>
          </w:p>
        </w:tc>
        <w:tc>
          <w:tcPr>
            <w:tcW w:w="883" w:type="dxa"/>
            <w:vAlign w:val="top"/>
          </w:tcPr>
          <w:p>
            <w:pPr>
              <w:pStyle w:val="30"/>
              <w:keepNext w:val="0"/>
              <w:keepLines w:val="0"/>
              <w:pageBreakBefore w:val="0"/>
              <w:kinsoku/>
              <w:wordWrap w:val="0"/>
              <w:overflowPunct/>
              <w:topLinePunct w:val="0"/>
              <w:bidi w:val="0"/>
              <w:spacing w:before="59" w:line="202" w:lineRule="auto"/>
              <w:ind w:left="265"/>
              <w:jc w:val="both"/>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100</w:t>
            </w:r>
          </w:p>
        </w:tc>
        <w:tc>
          <w:tcPr>
            <w:tcW w:w="6433" w:type="dxa"/>
            <w:gridSpan w:val="2"/>
            <w:vAlign w:val="top"/>
          </w:tcPr>
          <w:p>
            <w:pPr>
              <w:pStyle w:val="30"/>
              <w:keepNext w:val="0"/>
              <w:keepLines w:val="0"/>
              <w:pageBreakBefore w:val="0"/>
              <w:kinsoku/>
              <w:wordWrap w:val="0"/>
              <w:overflowPunct/>
              <w:topLinePunct w:val="0"/>
              <w:bidi w:val="0"/>
              <w:jc w:val="both"/>
              <w:rPr>
                <w:rFonts w:hint="eastAsia" w:ascii="宋体" w:hAnsi="宋体" w:eastAsia="宋体" w:cs="宋体"/>
                <w:color w:val="auto"/>
                <w:sz w:val="20"/>
                <w:szCs w:val="20"/>
                <w:highlight w:val="none"/>
              </w:rPr>
            </w:pPr>
          </w:p>
        </w:tc>
      </w:tr>
    </w:tbl>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highlight w:val="none"/>
          <w:lang w:val="en-US" w:eastAsia="zh-CN" w:bidi="ar-SA"/>
        </w:rPr>
        <w:t>备注：严格执行《唐河县政府采购负面清单》，根据实际项目需要设置科学合理的评分因素及分值。</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11.</w:t>
      </w:r>
      <w:r>
        <w:rPr>
          <w:rFonts w:hint="eastAsia" w:ascii="宋体" w:hAnsi="宋体" w:eastAsia="宋体" w:cs="宋体"/>
          <w:snapToGrid w:val="0"/>
          <w:color w:val="auto"/>
          <w:kern w:val="0"/>
          <w:sz w:val="24"/>
          <w:szCs w:val="24"/>
          <w:highlight w:val="none"/>
          <w:lang w:val="en-US" w:eastAsia="en-US" w:bidi="ar-SA"/>
        </w:rPr>
        <w:t>有下列情况之一的，</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宣布本项目终止：</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11.1 </w:t>
      </w:r>
      <w:r>
        <w:rPr>
          <w:rFonts w:hint="eastAsia" w:ascii="宋体" w:hAnsi="宋体" w:eastAsia="宋体" w:cs="宋体"/>
          <w:snapToGrid w:val="0"/>
          <w:color w:val="auto"/>
          <w:kern w:val="0"/>
          <w:sz w:val="24"/>
          <w:szCs w:val="24"/>
          <w:highlight w:val="none"/>
          <w:lang w:val="en-US" w:eastAsia="en-US" w:bidi="ar-SA"/>
        </w:rPr>
        <w:t>因情况变化，不再符合规定的竞争性磋商采购方式适用情形的；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11.2 </w:t>
      </w:r>
      <w:r>
        <w:rPr>
          <w:rFonts w:hint="eastAsia" w:ascii="宋体" w:hAnsi="宋体" w:eastAsia="宋体" w:cs="宋体"/>
          <w:snapToGrid w:val="0"/>
          <w:color w:val="auto"/>
          <w:kern w:val="0"/>
          <w:sz w:val="24"/>
          <w:szCs w:val="24"/>
          <w:highlight w:val="none"/>
          <w:lang w:val="en-US" w:eastAsia="en-US" w:bidi="ar-SA"/>
        </w:rPr>
        <w:t>出现影响采购公正的违法、违规行为的；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11.3 </w:t>
      </w:r>
      <w:r>
        <w:rPr>
          <w:rFonts w:hint="eastAsia" w:ascii="宋体" w:hAnsi="宋体" w:eastAsia="宋体" w:cs="宋体"/>
          <w:snapToGrid w:val="0"/>
          <w:color w:val="auto"/>
          <w:kern w:val="0"/>
          <w:sz w:val="24"/>
          <w:szCs w:val="24"/>
          <w:highlight w:val="none"/>
          <w:lang w:val="en-US" w:eastAsia="en-US" w:bidi="ar-SA"/>
        </w:rPr>
        <w:t>法律法规规定的其他情况。</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仿宋_GB2312" w:eastAsia="仿宋_GB2312" w:cs="仿宋_GB2312"/>
          <w:b/>
          <w:color w:val="auto"/>
          <w:sz w:val="28"/>
          <w:szCs w:val="28"/>
          <w:highlight w:val="none"/>
          <w:lang w:val="en-US" w:eastAsia="zh-CN"/>
        </w:rPr>
      </w:pPr>
      <w:r>
        <w:rPr>
          <w:rFonts w:hint="eastAsia" w:ascii="宋体" w:hAnsi="宋体" w:eastAsia="宋体" w:cs="宋体"/>
          <w:snapToGrid w:val="0"/>
          <w:color w:val="auto"/>
          <w:kern w:val="0"/>
          <w:sz w:val="24"/>
          <w:szCs w:val="24"/>
          <w:highlight w:val="none"/>
          <w:lang w:val="en-US" w:eastAsia="zh-CN" w:bidi="ar-SA"/>
        </w:rPr>
        <w:t>12.</w:t>
      </w:r>
      <w:r>
        <w:rPr>
          <w:rFonts w:hint="eastAsia" w:ascii="宋体" w:hAnsi="宋体" w:eastAsia="宋体" w:cs="宋体"/>
          <w:snapToGrid w:val="0"/>
          <w:color w:val="auto"/>
          <w:kern w:val="0"/>
          <w:sz w:val="24"/>
          <w:szCs w:val="24"/>
          <w:highlight w:val="none"/>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color w:val="auto"/>
          <w:spacing w:val="-13"/>
          <w:sz w:val="24"/>
          <w:szCs w:val="24"/>
          <w:highlight w:val="none"/>
          <w:lang w:eastAsia="zh-CN"/>
        </w:rPr>
        <w:t>﹝20</w:t>
      </w:r>
      <w:r>
        <w:rPr>
          <w:rFonts w:hint="eastAsia" w:asciiTheme="minorEastAsia" w:hAnsiTheme="minorEastAsia" w:eastAsiaTheme="minorEastAsia" w:cstheme="minorEastAsia"/>
          <w:color w:val="auto"/>
          <w:spacing w:val="-13"/>
          <w:sz w:val="24"/>
          <w:szCs w:val="24"/>
          <w:highlight w:val="none"/>
          <w:lang w:val="en-US" w:eastAsia="zh-CN"/>
        </w:rPr>
        <w:t>15</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宋体" w:hAnsi="宋体" w:eastAsia="宋体" w:cs="宋体"/>
          <w:snapToGrid w:val="0"/>
          <w:color w:val="auto"/>
          <w:kern w:val="0"/>
          <w:sz w:val="24"/>
          <w:szCs w:val="24"/>
          <w:highlight w:val="none"/>
          <w:lang w:val="en-US" w:eastAsia="en-US" w:bidi="ar-SA"/>
        </w:rPr>
        <w:t>124号）等规定执行。</w:t>
      </w:r>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宋体" w:hAnsi="宋体" w:eastAsia="宋体" w:cs="宋体"/>
          <w:snapToGrid w:val="0"/>
          <w:color w:val="auto"/>
          <w:kern w:val="0"/>
          <w:sz w:val="24"/>
          <w:szCs w:val="24"/>
          <w:highlight w:val="none"/>
          <w:lang w:val="en-US" w:eastAsia="en-US" w:bidi="ar-SA"/>
        </w:rPr>
      </w:pPr>
      <w:bookmarkStart w:id="33" w:name="_Toc14600"/>
      <w:r>
        <w:rPr>
          <w:rFonts w:hint="eastAsia" w:ascii="宋体" w:hAnsi="宋体" w:eastAsia="宋体" w:cs="宋体"/>
          <w:b/>
          <w:bCs/>
          <w:snapToGrid w:val="0"/>
          <w:color w:val="auto"/>
          <w:kern w:val="0"/>
          <w:sz w:val="24"/>
          <w:szCs w:val="24"/>
          <w:highlight w:val="none"/>
          <w:lang w:val="en-US" w:eastAsia="zh-CN" w:bidi="ar-SA"/>
        </w:rPr>
        <w:t>六、</w:t>
      </w:r>
      <w:r>
        <w:rPr>
          <w:rFonts w:hint="eastAsia" w:ascii="宋体" w:hAnsi="宋体" w:eastAsia="宋体" w:cs="宋体"/>
          <w:b/>
          <w:bCs/>
          <w:snapToGrid w:val="0"/>
          <w:color w:val="auto"/>
          <w:kern w:val="0"/>
          <w:sz w:val="24"/>
          <w:szCs w:val="24"/>
          <w:highlight w:val="none"/>
          <w:lang w:val="en-US" w:eastAsia="en-US" w:bidi="ar-SA"/>
        </w:rPr>
        <w:t>成交</w:t>
      </w:r>
      <w:r>
        <w:rPr>
          <w:rFonts w:hint="eastAsia" w:ascii="宋体" w:hAnsi="宋体" w:eastAsia="宋体" w:cs="宋体"/>
          <w:b/>
          <w:bCs/>
          <w:snapToGrid w:val="0"/>
          <w:color w:val="auto"/>
          <w:kern w:val="0"/>
          <w:sz w:val="24"/>
          <w:szCs w:val="24"/>
          <w:highlight w:val="none"/>
          <w:lang w:val="en-US" w:eastAsia="zh-CN" w:bidi="ar-SA"/>
        </w:rPr>
        <w:t>通知及</w:t>
      </w:r>
      <w:r>
        <w:rPr>
          <w:rFonts w:hint="eastAsia" w:ascii="宋体" w:hAnsi="宋体" w:eastAsia="宋体" w:cs="宋体"/>
          <w:b/>
          <w:bCs/>
          <w:snapToGrid w:val="0"/>
          <w:color w:val="auto"/>
          <w:kern w:val="0"/>
          <w:sz w:val="24"/>
          <w:szCs w:val="24"/>
          <w:highlight w:val="none"/>
          <w:lang w:val="en-US" w:eastAsia="en-US" w:bidi="ar-SA"/>
        </w:rPr>
        <w:t>签订合同</w:t>
      </w:r>
      <w:bookmarkEnd w:id="33"/>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en-US" w:bidi="ar-SA"/>
        </w:rPr>
        <w:t>成交结果公布</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1.1 </w:t>
      </w:r>
      <w:r>
        <w:rPr>
          <w:rFonts w:hint="eastAsia" w:ascii="宋体" w:hAnsi="宋体" w:eastAsia="宋体" w:cs="宋体"/>
          <w:snapToGrid w:val="0"/>
          <w:color w:val="auto"/>
          <w:kern w:val="0"/>
          <w:sz w:val="24"/>
          <w:szCs w:val="24"/>
          <w:highlight w:val="none"/>
          <w:lang w:val="en-US" w:eastAsia="en-US" w:bidi="ar-SA"/>
        </w:rPr>
        <w:t>成交供应商确定后，</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将在“河南省政府采购网”和“</w:t>
      </w:r>
      <w:r>
        <w:rPr>
          <w:rFonts w:hint="eastAsia" w:ascii="宋体" w:hAnsi="宋体" w:eastAsia="宋体" w:cs="宋体"/>
          <w:snapToGrid w:val="0"/>
          <w:color w:val="auto"/>
          <w:kern w:val="0"/>
          <w:sz w:val="24"/>
          <w:szCs w:val="24"/>
          <w:highlight w:val="none"/>
          <w:lang w:val="en-US" w:eastAsia="zh-CN" w:bidi="ar-SA"/>
        </w:rPr>
        <w:t>唐河县</w:t>
      </w:r>
      <w:r>
        <w:rPr>
          <w:rFonts w:hint="eastAsia" w:ascii="宋体" w:hAnsi="宋体" w:eastAsia="宋体" w:cs="宋体"/>
          <w:snapToGrid w:val="0"/>
          <w:color w:val="auto"/>
          <w:kern w:val="0"/>
          <w:sz w:val="24"/>
          <w:szCs w:val="24"/>
          <w:highlight w:val="none"/>
          <w:lang w:val="en-US" w:eastAsia="en-US" w:bidi="ar-SA"/>
        </w:rPr>
        <w:t>公共资源交易中心网”上发布成交公告。</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1.2 </w:t>
      </w:r>
      <w:r>
        <w:rPr>
          <w:rFonts w:hint="eastAsia" w:ascii="宋体" w:hAnsi="宋体" w:eastAsia="宋体" w:cs="宋体"/>
          <w:snapToGrid w:val="0"/>
          <w:color w:val="auto"/>
          <w:kern w:val="0"/>
          <w:sz w:val="24"/>
          <w:szCs w:val="24"/>
          <w:highlight w:val="none"/>
          <w:lang w:val="en-US" w:eastAsia="en-US" w:bidi="ar-SA"/>
        </w:rPr>
        <w:t>如项目终止，成交结果公告以“河南省政府采购网”发布的为准。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发出成交通知书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2.1 </w:t>
      </w:r>
      <w:r>
        <w:rPr>
          <w:rFonts w:hint="eastAsia" w:ascii="宋体" w:hAnsi="宋体" w:eastAsia="宋体" w:cs="宋体"/>
          <w:snapToGrid w:val="0"/>
          <w:color w:val="auto"/>
          <w:kern w:val="0"/>
          <w:sz w:val="24"/>
          <w:szCs w:val="24"/>
          <w:highlight w:val="none"/>
          <w:lang w:val="en-US" w:eastAsia="en-US" w:bidi="ar-SA"/>
        </w:rPr>
        <w:t>根据成交结果，</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通过“</w:t>
      </w:r>
      <w:r>
        <w:rPr>
          <w:rFonts w:hint="eastAsia" w:ascii="宋体" w:hAnsi="宋体" w:eastAsia="宋体" w:cs="宋体"/>
          <w:snapToGrid w:val="0"/>
          <w:color w:val="auto"/>
          <w:kern w:val="0"/>
          <w:sz w:val="24"/>
          <w:szCs w:val="24"/>
          <w:highlight w:val="none"/>
          <w:lang w:val="en-US" w:eastAsia="zh-CN" w:bidi="ar-SA"/>
        </w:rPr>
        <w:t>唐河县</w:t>
      </w:r>
      <w:r>
        <w:rPr>
          <w:rFonts w:hint="eastAsia" w:ascii="宋体" w:hAnsi="宋体" w:eastAsia="宋体" w:cs="宋体"/>
          <w:snapToGrid w:val="0"/>
          <w:color w:val="auto"/>
          <w:kern w:val="0"/>
          <w:sz w:val="24"/>
          <w:szCs w:val="24"/>
          <w:highlight w:val="none"/>
          <w:lang w:val="en-US" w:eastAsia="en-US" w:bidi="ar-SA"/>
        </w:rPr>
        <w:t>公共资源交易中心</w:t>
      </w:r>
      <w:r>
        <w:rPr>
          <w:rFonts w:hint="eastAsia" w:ascii="宋体" w:hAnsi="宋体" w:eastAsia="宋体" w:cs="宋体"/>
          <w:snapToGrid w:val="0"/>
          <w:color w:val="auto"/>
          <w:kern w:val="0"/>
          <w:sz w:val="24"/>
          <w:szCs w:val="24"/>
          <w:highlight w:val="none"/>
          <w:lang w:val="en-US" w:eastAsia="zh-CN" w:bidi="ar-SA"/>
        </w:rPr>
        <w:t>公共服务平台</w:t>
      </w:r>
      <w:r>
        <w:rPr>
          <w:rFonts w:hint="eastAsia" w:ascii="宋体" w:hAnsi="宋体" w:eastAsia="宋体" w:cs="宋体"/>
          <w:snapToGrid w:val="0"/>
          <w:color w:val="auto"/>
          <w:kern w:val="0"/>
          <w:sz w:val="24"/>
          <w:szCs w:val="24"/>
          <w:highlight w:val="none"/>
          <w:lang w:val="en-US" w:eastAsia="en-US" w:bidi="ar-SA"/>
        </w:rPr>
        <w:t>”向成交供应商发出电子成交通知书，成交供应商可登陆</w:t>
      </w:r>
      <w:r>
        <w:rPr>
          <w:rFonts w:hint="eastAsia" w:ascii="宋体" w:hAnsi="宋体" w:eastAsia="宋体" w:cs="宋体"/>
          <w:snapToGrid w:val="0"/>
          <w:color w:val="auto"/>
          <w:kern w:val="0"/>
          <w:sz w:val="24"/>
          <w:szCs w:val="24"/>
          <w:highlight w:val="none"/>
          <w:lang w:val="en-US" w:eastAsia="zh-CN" w:bidi="ar-SA"/>
        </w:rPr>
        <w:t>唐河县公共资源交易平台会员系统</w:t>
      </w:r>
      <w:r>
        <w:rPr>
          <w:rFonts w:hint="eastAsia" w:ascii="宋体" w:hAnsi="宋体" w:eastAsia="宋体" w:cs="宋体"/>
          <w:snapToGrid w:val="0"/>
          <w:color w:val="auto"/>
          <w:kern w:val="0"/>
          <w:sz w:val="24"/>
          <w:szCs w:val="24"/>
          <w:highlight w:val="none"/>
          <w:lang w:val="en-US" w:eastAsia="en-US" w:bidi="ar-SA"/>
        </w:rPr>
        <w:t>，自行打印加盖电子签章的成交通知书。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2.2 </w:t>
      </w:r>
      <w:r>
        <w:rPr>
          <w:rFonts w:hint="eastAsia" w:ascii="宋体" w:hAnsi="宋体" w:eastAsia="宋体" w:cs="宋体"/>
          <w:snapToGrid w:val="0"/>
          <w:color w:val="auto"/>
          <w:kern w:val="0"/>
          <w:sz w:val="24"/>
          <w:szCs w:val="24"/>
          <w:highlight w:val="none"/>
          <w:lang w:val="en-US" w:eastAsia="en-US" w:bidi="ar-SA"/>
        </w:rPr>
        <w:t>《成交通知书》是签订政府采购合同的重要依据，对采购人与成交供应商具有法律效力。</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签订合同</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3.1 </w:t>
      </w:r>
      <w:r>
        <w:rPr>
          <w:rFonts w:hint="eastAsia" w:ascii="宋体" w:hAnsi="宋体" w:eastAsia="宋体" w:cs="宋体"/>
          <w:snapToGrid w:val="0"/>
          <w:color w:val="auto"/>
          <w:kern w:val="0"/>
          <w:sz w:val="24"/>
          <w:szCs w:val="24"/>
          <w:highlight w:val="none"/>
          <w:lang w:val="en-US" w:eastAsia="en-US" w:bidi="ar-SA"/>
        </w:rPr>
        <w:t>成交供应商和采购人应在《成交通知书》发出</w:t>
      </w:r>
      <w:r>
        <w:rPr>
          <w:rFonts w:hint="eastAsia" w:ascii="宋体" w:hAnsi="宋体" w:eastAsia="宋体" w:cs="宋体"/>
          <w:snapToGrid w:val="0"/>
          <w:color w:val="auto"/>
          <w:kern w:val="0"/>
          <w:sz w:val="24"/>
          <w:szCs w:val="24"/>
          <w:highlight w:val="none"/>
          <w:lang w:val="en-US" w:eastAsia="zh-CN" w:bidi="ar-SA"/>
        </w:rPr>
        <w:t>后一个工作日内签订</w:t>
      </w:r>
      <w:r>
        <w:rPr>
          <w:rFonts w:hint="eastAsia" w:ascii="宋体" w:hAnsi="宋体" w:eastAsia="宋体" w:cs="宋体"/>
          <w:snapToGrid w:val="0"/>
          <w:color w:val="auto"/>
          <w:kern w:val="0"/>
          <w:sz w:val="24"/>
          <w:szCs w:val="24"/>
          <w:highlight w:val="none"/>
          <w:lang w:val="en-US" w:eastAsia="en-US" w:bidi="ar-SA"/>
        </w:rPr>
        <w:t>政府采购合同，逾期无故不签订的，按《政府采购竞争性磋商采购方式管理暂行办法》及有关规定处理</w:t>
      </w:r>
      <w:r>
        <w:rPr>
          <w:rFonts w:hint="eastAsia" w:ascii="宋体" w:hAnsi="宋体" w:eastAsia="宋体" w:cs="宋体"/>
          <w:snapToGrid w:val="0"/>
          <w:color w:val="auto"/>
          <w:kern w:val="0"/>
          <w:sz w:val="24"/>
          <w:szCs w:val="24"/>
          <w:highlight w:val="none"/>
          <w:lang w:val="en-US" w:eastAsia="zh-CN" w:bidi="ar-SA"/>
        </w:rPr>
        <w:t>。合同签订后需在两个工作日内在河南省政府采购网进行备案，逾期未备案的按照政府采购法等有关规定处理</w:t>
      </w:r>
      <w:r>
        <w:rPr>
          <w:rFonts w:hint="eastAsia" w:ascii="宋体" w:hAnsi="宋体" w:eastAsia="宋体" w:cs="宋体"/>
          <w:snapToGrid w:val="0"/>
          <w:color w:val="auto"/>
          <w:kern w:val="0"/>
          <w:sz w:val="24"/>
          <w:szCs w:val="24"/>
          <w:highlight w:val="none"/>
          <w:lang w:val="en-US" w:eastAsia="en-US" w:bidi="ar-SA"/>
        </w:rPr>
        <w:t>。</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3.2 </w:t>
      </w:r>
      <w:r>
        <w:rPr>
          <w:rFonts w:hint="eastAsia" w:ascii="宋体" w:hAnsi="宋体" w:eastAsia="宋体" w:cs="宋体"/>
          <w:snapToGrid w:val="0"/>
          <w:color w:val="auto"/>
          <w:kern w:val="0"/>
          <w:sz w:val="24"/>
          <w:szCs w:val="24"/>
          <w:highlight w:val="none"/>
          <w:lang w:val="en-US" w:eastAsia="en-US" w:bidi="ar-SA"/>
        </w:rPr>
        <w:t>竞争性磋商文件、响应文件、供应商在磋商过程中的承诺以及确认材料，均为合同的有效组成部分。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3.3 </w:t>
      </w:r>
      <w:r>
        <w:rPr>
          <w:rFonts w:hint="eastAsia" w:ascii="宋体" w:hAnsi="宋体" w:eastAsia="宋体" w:cs="宋体"/>
          <w:snapToGrid w:val="0"/>
          <w:color w:val="auto"/>
          <w:kern w:val="0"/>
          <w:sz w:val="24"/>
          <w:szCs w:val="24"/>
          <w:highlight w:val="none"/>
          <w:lang w:val="en-US" w:eastAsia="en-US" w:bidi="ar-SA"/>
        </w:rPr>
        <w:t>如果成交供应商不按其响应文件承诺和竞争性磋商文件要求签订政府采购合同，采购人将取消其成交资格。</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auto"/>
          <w:kern w:val="0"/>
          <w:sz w:val="24"/>
          <w:szCs w:val="24"/>
          <w:highlight w:val="none"/>
          <w:lang w:val="en-US" w:eastAsia="en-US" w:bidi="ar-SA"/>
        </w:rPr>
      </w:pPr>
      <w:bookmarkStart w:id="34" w:name="_Toc32673"/>
      <w:r>
        <w:rPr>
          <w:rFonts w:hint="eastAsia" w:ascii="宋体" w:hAnsi="宋体" w:eastAsia="宋体" w:cs="宋体"/>
          <w:b/>
          <w:bCs/>
          <w:snapToGrid w:val="0"/>
          <w:color w:val="auto"/>
          <w:kern w:val="0"/>
          <w:sz w:val="24"/>
          <w:szCs w:val="24"/>
          <w:highlight w:val="none"/>
          <w:lang w:val="en-US" w:eastAsia="zh-CN" w:bidi="ar-SA"/>
        </w:rPr>
        <w:t>七、</w:t>
      </w:r>
      <w:r>
        <w:rPr>
          <w:rFonts w:hint="eastAsia" w:ascii="宋体" w:hAnsi="宋体" w:eastAsia="宋体" w:cs="宋体"/>
          <w:b/>
          <w:bCs/>
          <w:snapToGrid w:val="0"/>
          <w:color w:val="auto"/>
          <w:kern w:val="0"/>
          <w:sz w:val="24"/>
          <w:szCs w:val="24"/>
          <w:highlight w:val="none"/>
          <w:lang w:val="en-US" w:eastAsia="en-US" w:bidi="ar-SA"/>
        </w:rPr>
        <w:t>质疑与答复</w:t>
      </w:r>
      <w:bookmarkEnd w:id="34"/>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1.</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2.</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质疑函须按照财政</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部门</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发布的质疑函范本格式编制，质疑事项应具体、明确，并有必要的事实依据和法律依据。</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3.</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接收质疑的方式：</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书面提交，请质疑人将质疑函原件送达或邮寄至采购单位联系人和采购代理机构项目负责人，联系方式及地址详见采购公告。</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4.</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超出法定质疑期的、重复提出的、分次提出的或内容、形式不符合《政府采购质疑和投诉办法》的，采购人和采购代理机构可以拒收，质疑供应商将依法承担不利后果。</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5.</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采购人和采购代理机构在收到质疑函后7个工作日内作出答复，并以书面形式通知质疑供应商和其他有关供应商。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auto"/>
          <w:kern w:val="0"/>
          <w:sz w:val="24"/>
          <w:szCs w:val="24"/>
          <w:highlight w:val="none"/>
          <w:lang w:val="en-US" w:eastAsia="en-US" w:bidi="ar-SA"/>
        </w:rPr>
      </w:pPr>
      <w:bookmarkStart w:id="35" w:name="_Toc5287"/>
      <w:r>
        <w:rPr>
          <w:rFonts w:hint="eastAsia" w:ascii="宋体" w:hAnsi="宋体" w:eastAsia="宋体" w:cs="宋体"/>
          <w:b/>
          <w:bCs/>
          <w:snapToGrid w:val="0"/>
          <w:color w:val="auto"/>
          <w:kern w:val="0"/>
          <w:sz w:val="24"/>
          <w:szCs w:val="24"/>
          <w:highlight w:val="none"/>
          <w:lang w:val="en-US" w:eastAsia="zh-CN" w:bidi="ar-SA"/>
        </w:rPr>
        <w:t>八、</w:t>
      </w:r>
      <w:r>
        <w:rPr>
          <w:rFonts w:hint="eastAsia" w:ascii="宋体" w:hAnsi="宋体" w:eastAsia="宋体" w:cs="宋体"/>
          <w:b/>
          <w:bCs/>
          <w:snapToGrid w:val="0"/>
          <w:color w:val="auto"/>
          <w:kern w:val="0"/>
          <w:sz w:val="24"/>
          <w:szCs w:val="24"/>
          <w:highlight w:val="none"/>
          <w:lang w:val="en-US" w:eastAsia="en-US" w:bidi="ar-SA"/>
        </w:rPr>
        <w:t>注意事项</w:t>
      </w:r>
      <w:bookmarkEnd w:id="35"/>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en-US" w:bidi="ar-SA"/>
        </w:rPr>
        <w:t>如对竞争性磋商文件有疑问，应于响应文件递交截止时间前1工作日向</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提出。</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供应商必须由法定代表人或授权代表参加磋商，随时接受磋商小组的询问、质疑，并按照磋商小组的要求答复。</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供应商自行承担参加竞争性磋商的全部费用。</w:t>
      </w:r>
    </w:p>
    <w:p>
      <w:pPr>
        <w:keepNext w:val="0"/>
        <w:keepLines w:val="0"/>
        <w:pageBreakBefore w:val="0"/>
        <w:widowControl/>
        <w:kinsoku/>
        <w:wordWrap w:val="0"/>
        <w:overflowPunct/>
        <w:topLinePunct w:val="0"/>
        <w:autoSpaceDE w:val="0"/>
        <w:autoSpaceDN w:val="0"/>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en-US" w:bidi="ar-SA"/>
        </w:rPr>
        <w:t>本竞争性磋商文件最终解释权归</w:t>
      </w:r>
      <w:r>
        <w:rPr>
          <w:rFonts w:hint="eastAsia" w:ascii="宋体" w:hAnsi="宋体" w:eastAsia="宋体" w:cs="宋体"/>
          <w:snapToGrid w:val="0"/>
          <w:color w:val="auto"/>
          <w:kern w:val="0"/>
          <w:sz w:val="24"/>
          <w:szCs w:val="24"/>
          <w:highlight w:val="none"/>
          <w:lang w:val="en-US" w:eastAsia="zh-CN" w:bidi="ar-SA"/>
        </w:rPr>
        <w:t>采购代理机构</w:t>
      </w:r>
      <w:r>
        <w:rPr>
          <w:rFonts w:hint="eastAsia" w:ascii="宋体" w:hAnsi="宋体" w:eastAsia="宋体" w:cs="宋体"/>
          <w:snapToGrid w:val="0"/>
          <w:color w:val="auto"/>
          <w:kern w:val="0"/>
          <w:sz w:val="24"/>
          <w:szCs w:val="24"/>
          <w:highlight w:val="none"/>
          <w:lang w:val="en-US" w:eastAsia="en-US" w:bidi="ar-SA"/>
        </w:rPr>
        <w:t>。</w:t>
      </w:r>
      <w:bookmarkStart w:id="36" w:name="_Toc29335"/>
    </w:p>
    <w:p>
      <w:pPr>
        <w:rPr>
          <w:rFonts w:hint="eastAsia"/>
          <w:color w:val="auto"/>
          <w:highlight w:val="none"/>
          <w:lang w:val="en-US" w:eastAsia="zh-CN"/>
        </w:rPr>
      </w:pPr>
    </w:p>
    <w:p>
      <w:pPr>
        <w:pStyle w:val="2"/>
        <w:rPr>
          <w:rFonts w:hint="eastAsia"/>
          <w:color w:val="auto"/>
          <w:highlight w:val="none"/>
          <w:lang w:val="en-US" w:eastAsia="zh-CN"/>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2"/>
        <w:rPr>
          <w:rFonts w:hint="eastAsia"/>
          <w:color w:val="auto"/>
          <w:highlight w:val="none"/>
          <w:lang w:val="en-US" w:eastAsia="zh-CN"/>
        </w:rPr>
      </w:pPr>
    </w:p>
    <w:p>
      <w:pPr>
        <w:pStyle w:val="4"/>
        <w:rPr>
          <w:rFonts w:hint="eastAsia"/>
          <w:color w:val="auto"/>
          <w:highlight w:val="none"/>
          <w:lang w:val="en-US" w:eastAsia="zh-CN"/>
        </w:rPr>
      </w:pPr>
    </w:p>
    <w:p>
      <w:pPr>
        <w:rPr>
          <w:rFonts w:hint="eastAsia"/>
          <w:color w:val="auto"/>
          <w:highlight w:val="none"/>
          <w:lang w:val="en-US" w:eastAsia="zh-CN"/>
        </w:rPr>
      </w:pPr>
    </w:p>
    <w:p>
      <w:pPr>
        <w:pStyle w:val="2"/>
        <w:rPr>
          <w:rFonts w:hint="eastAsia"/>
          <w:color w:val="auto"/>
          <w:highlight w:val="none"/>
          <w:lang w:val="en-US" w:eastAsia="zh-CN"/>
        </w:rPr>
      </w:pPr>
    </w:p>
    <w:p>
      <w:pPr>
        <w:pStyle w:val="4"/>
        <w:rPr>
          <w:rFonts w:hint="eastAsia"/>
          <w:color w:val="auto"/>
          <w:highlight w:val="none"/>
          <w:lang w:val="en-US" w:eastAsia="zh-CN"/>
        </w:rPr>
      </w:pPr>
    </w:p>
    <w:p>
      <w:pPr>
        <w:rPr>
          <w:rFonts w:hint="eastAsia"/>
          <w:color w:val="auto"/>
          <w:highlight w:val="none"/>
          <w:lang w:val="en-US" w:eastAsia="zh-CN"/>
        </w:rPr>
      </w:pPr>
    </w:p>
    <w:p>
      <w:pPr>
        <w:pStyle w:val="2"/>
        <w:rPr>
          <w:rFonts w:hint="eastAsia"/>
          <w:color w:val="auto"/>
          <w:highlight w:val="none"/>
          <w:lang w:val="en-US" w:eastAsia="zh-CN"/>
        </w:rPr>
      </w:pPr>
    </w:p>
    <w:p>
      <w:pPr>
        <w:pStyle w:val="4"/>
        <w:rPr>
          <w:rFonts w:hint="eastAsia"/>
          <w:color w:val="auto"/>
          <w:highlight w:val="none"/>
          <w:lang w:val="en-US" w:eastAsia="zh-CN"/>
        </w:rPr>
      </w:pPr>
    </w:p>
    <w:p>
      <w:pPr>
        <w:rPr>
          <w:rFonts w:hint="eastAsia"/>
          <w:color w:val="auto"/>
          <w:highlight w:val="none"/>
          <w:lang w:val="en-US" w:eastAsia="zh-CN"/>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bookmarkStart w:id="37" w:name="_Toc29797"/>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2"/>
        <w:rPr>
          <w:rFonts w:hint="eastAsia"/>
          <w:lang w:val="en-US" w:eastAsia="zh-CN"/>
        </w:rPr>
      </w:pPr>
    </w:p>
    <w:p>
      <w:pPr>
        <w:pStyle w:val="2"/>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pStyle w:val="4"/>
        <w:rPr>
          <w:rFonts w:hint="eastAsia"/>
          <w:lang w:val="en-US" w:eastAsia="zh-CN"/>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snapToGrid w:val="0"/>
          <w:color w:val="auto"/>
          <w:spacing w:val="2"/>
          <w:kern w:val="0"/>
          <w:position w:val="17"/>
          <w:sz w:val="32"/>
          <w:szCs w:val="32"/>
          <w:highlight w:val="none"/>
          <w:lang w:val="en-US" w:eastAsia="zh-CN" w:bidi="ar-SA"/>
        </w:rPr>
      </w:pPr>
      <w:r>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t>唐河县政府采购合同融资政策告知函</w:t>
      </w:r>
      <w:bookmarkEnd w:id="36"/>
      <w:bookmarkEnd w:id="37"/>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各供应商：</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欢迎贵公司参与唐河县政府采购活动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贷款渠道和提供贷款的金融机构，可在河南省政府采购网“河南省政府采购合同融资平台”查询联系。</w:t>
      </w:r>
    </w:p>
    <w:p>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Theme="minorEastAsia" w:hAnsiTheme="minorEastAsia" w:eastAsiaTheme="minorEastAsia" w:cstheme="minorEastAsia"/>
          <w:b/>
          <w:bCs/>
          <w:color w:val="auto"/>
          <w:spacing w:val="-13"/>
          <w:sz w:val="24"/>
          <w:szCs w:val="24"/>
          <w:highlight w:val="none"/>
        </w:rPr>
        <w:t>为更大力度激发市场活力和社会创造力，增强发展动力</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进一步加强政府采购合同线上融资一站式服务（简称</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政采贷</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），有需求的供应商，可按上述通知要求办理政采贷。</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p>
    <w:p>
      <w:pPr>
        <w:keepNext w:val="0"/>
        <w:keepLines w:val="0"/>
        <w:pageBreakBefore w:val="0"/>
        <w:kinsoku/>
        <w:wordWrap w:val="0"/>
        <w:overflowPunct/>
        <w:topLinePunct w:val="0"/>
        <w:bidi w:val="0"/>
        <w:spacing w:after="0" w:line="360" w:lineRule="auto"/>
        <w:jc w:val="both"/>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pPr>
        <w:keepNext w:val="0"/>
        <w:keepLines w:val="0"/>
        <w:pageBreakBefore w:val="0"/>
        <w:kinsoku/>
        <w:wordWrap w:val="0"/>
        <w:overflowPunct/>
        <w:topLinePunct w:val="0"/>
        <w:bidi w:val="0"/>
        <w:spacing w:after="0" w:line="360" w:lineRule="auto"/>
        <w:jc w:val="both"/>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bookmarkStart w:id="38" w:name="_Toc15215"/>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pPr>
        <w:pStyle w:val="2"/>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pPr>
        <w:pStyle w:val="4"/>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pPr>
        <w:rPr>
          <w:rFonts w:hint="eastAsia"/>
          <w:color w:val="auto"/>
          <w:highlight w:val="none"/>
        </w:rPr>
      </w:pPr>
    </w:p>
    <w:p>
      <w:pPr>
        <w:pStyle w:val="4"/>
        <w:rPr>
          <w:rFonts w:hint="eastAsia"/>
          <w:color w:val="auto"/>
          <w:highlight w:val="none"/>
        </w:rPr>
      </w:pPr>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ascii="Arial"/>
          <w:color w:val="auto"/>
          <w:sz w:val="21"/>
          <w:highlight w:val="none"/>
        </w:rPr>
      </w:pPr>
      <w:bookmarkStart w:id="39" w:name="_Toc472"/>
      <w:r>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t>第五章</w:t>
      </w:r>
      <w:r>
        <w:rPr>
          <w:rFonts w:hint="eastAsia" w:ascii="宋体" w:hAnsi="宋体" w:eastAsia="宋体" w:cs="宋体"/>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t>合同草案条款</w:t>
      </w:r>
      <w:bookmarkEnd w:id="38"/>
      <w:bookmarkEnd w:id="3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center"/>
        <w:textAlignment w:val="auto"/>
        <w:rPr>
          <w:rFonts w:hint="eastAsia"/>
          <w:color w:val="auto"/>
          <w:sz w:val="24"/>
          <w:szCs w:val="24"/>
          <w:highlight w:val="none"/>
        </w:rPr>
      </w:pPr>
      <w:bookmarkStart w:id="40" w:name="_Toc22497_WPSOffice_Level2"/>
      <w:bookmarkStart w:id="41" w:name="_Toc25052_WPSOffice_Level1"/>
      <w:bookmarkStart w:id="42" w:name="_Toc30188_WPSOffice_Level2"/>
      <w:bookmarkStart w:id="43" w:name="_Toc23433_WPSOffice_Level2"/>
      <w:bookmarkStart w:id="44" w:name="_Toc2983_WPSOffice_Level2"/>
      <w:bookmarkStart w:id="45" w:name="_Toc23567_WPSOffice_Level2"/>
      <w:bookmarkStart w:id="46" w:name="_Toc15882"/>
      <w:bookmarkStart w:id="47" w:name="_Toc32620"/>
      <w:bookmarkStart w:id="48" w:name="_Toc30530_WPSOffice_Level2"/>
      <w:r>
        <w:rPr>
          <w:rFonts w:hint="eastAsia"/>
          <w:color w:val="auto"/>
          <w:sz w:val="24"/>
          <w:szCs w:val="24"/>
          <w:highlight w:val="none"/>
        </w:rPr>
        <w:t>（以签订正式合同时为准）</w:t>
      </w:r>
      <w:bookmarkEnd w:id="40"/>
      <w:bookmarkEnd w:id="41"/>
      <w:bookmarkEnd w:id="42"/>
      <w:bookmarkEnd w:id="43"/>
      <w:bookmarkEnd w:id="44"/>
      <w:bookmarkEnd w:id="45"/>
      <w:bookmarkEnd w:id="46"/>
      <w:bookmarkEnd w:id="47"/>
      <w:bookmarkEnd w:id="4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《中华人民共和国招标投标法》、《中华人民共和国政府采购法》和其他法律、法规的规定，并按照公正、平等、自愿、诚实信用的原则，同意按照以下条款和条件，签署本合同。</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49" w:name="_Toc22466_WPSOffice_Level2"/>
      <w:r>
        <w:rPr>
          <w:rFonts w:hint="eastAsia" w:eastAsia="宋体"/>
          <w:color w:val="auto"/>
          <w:sz w:val="24"/>
          <w:szCs w:val="24"/>
          <w:highlight w:val="none"/>
          <w:lang w:val="en-US" w:eastAsia="zh-CN"/>
        </w:rPr>
        <w:t>一、</w:t>
      </w:r>
      <w:r>
        <w:rPr>
          <w:rFonts w:hint="eastAsia"/>
          <w:color w:val="auto"/>
          <w:sz w:val="24"/>
          <w:szCs w:val="24"/>
          <w:highlight w:val="none"/>
        </w:rPr>
        <w:t>合同文件</w:t>
      </w:r>
      <w:bookmarkEnd w:id="4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0" w:name="_Toc20611"/>
      <w:bookmarkStart w:id="51" w:name="_Toc25689"/>
      <w:r>
        <w:rPr>
          <w:rFonts w:hint="eastAsia"/>
          <w:color w:val="auto"/>
          <w:sz w:val="24"/>
          <w:szCs w:val="24"/>
          <w:highlight w:val="none"/>
        </w:rPr>
        <w:t>本合同所附下列文件是构成本合同不可分割的部分：</w:t>
      </w:r>
      <w:bookmarkEnd w:id="50"/>
      <w:bookmarkEnd w:id="5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2" w:name="_Toc25255"/>
      <w:bookmarkStart w:id="53" w:name="_Toc12304"/>
      <w:r>
        <w:rPr>
          <w:rFonts w:hint="eastAsia"/>
          <w:color w:val="auto"/>
          <w:sz w:val="24"/>
          <w:szCs w:val="24"/>
          <w:highlight w:val="none"/>
        </w:rPr>
        <w:t>（一）本项目</w:t>
      </w:r>
      <w:r>
        <w:rPr>
          <w:rFonts w:hint="eastAsia"/>
          <w:color w:val="auto"/>
          <w:sz w:val="24"/>
          <w:szCs w:val="24"/>
          <w:highlight w:val="none"/>
          <w:lang w:val="en-US" w:eastAsia="zh-CN"/>
        </w:rPr>
        <w:t>磋商</w:t>
      </w:r>
      <w:r>
        <w:rPr>
          <w:rFonts w:hint="eastAsia"/>
          <w:color w:val="auto"/>
          <w:sz w:val="24"/>
          <w:szCs w:val="24"/>
          <w:highlight w:val="none"/>
        </w:rPr>
        <w:t>文件</w:t>
      </w:r>
      <w:bookmarkEnd w:id="52"/>
      <w:bookmarkEnd w:id="5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4" w:name="_Toc3310"/>
      <w:bookmarkStart w:id="55" w:name="_Toc8524"/>
      <w:r>
        <w:rPr>
          <w:rFonts w:hint="eastAsia"/>
          <w:color w:val="auto"/>
          <w:sz w:val="24"/>
          <w:szCs w:val="24"/>
          <w:highlight w:val="none"/>
        </w:rPr>
        <w:t>（二）</w:t>
      </w:r>
      <w:r>
        <w:rPr>
          <w:rFonts w:hint="eastAsia"/>
          <w:color w:val="auto"/>
          <w:sz w:val="24"/>
          <w:szCs w:val="24"/>
          <w:highlight w:val="none"/>
          <w:lang w:val="en-US" w:eastAsia="zh-CN"/>
        </w:rPr>
        <w:t>供应商</w:t>
      </w:r>
      <w:r>
        <w:rPr>
          <w:rFonts w:hint="eastAsia"/>
          <w:color w:val="auto"/>
          <w:sz w:val="24"/>
          <w:szCs w:val="24"/>
          <w:highlight w:val="none"/>
        </w:rPr>
        <w:t>的</w:t>
      </w:r>
      <w:r>
        <w:rPr>
          <w:rFonts w:hint="eastAsia"/>
          <w:color w:val="auto"/>
          <w:sz w:val="24"/>
          <w:szCs w:val="24"/>
          <w:highlight w:val="none"/>
          <w:lang w:val="en-US" w:eastAsia="zh-CN"/>
        </w:rPr>
        <w:t>响应</w:t>
      </w:r>
      <w:r>
        <w:rPr>
          <w:rFonts w:hint="eastAsia"/>
          <w:color w:val="auto"/>
          <w:sz w:val="24"/>
          <w:szCs w:val="24"/>
          <w:highlight w:val="none"/>
        </w:rPr>
        <w:t>文件</w:t>
      </w:r>
      <w:bookmarkEnd w:id="54"/>
      <w:bookmarkEnd w:id="5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6" w:name="_Toc11043"/>
      <w:bookmarkStart w:id="57" w:name="_Toc13552"/>
      <w:r>
        <w:rPr>
          <w:rFonts w:hint="eastAsia"/>
          <w:color w:val="auto"/>
          <w:sz w:val="24"/>
          <w:szCs w:val="24"/>
          <w:highlight w:val="none"/>
        </w:rPr>
        <w:t>（三）合同格式、合同条款</w:t>
      </w:r>
      <w:bookmarkEnd w:id="56"/>
      <w:bookmarkEnd w:id="5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8" w:name="_Toc3434"/>
      <w:bookmarkStart w:id="59" w:name="_Toc17684"/>
      <w:r>
        <w:rPr>
          <w:rFonts w:hint="eastAsia"/>
          <w:color w:val="auto"/>
          <w:sz w:val="24"/>
          <w:szCs w:val="24"/>
          <w:highlight w:val="none"/>
        </w:rPr>
        <w:t>（四）中标人在评标过程中做出的有关澄清、说明或者补正文件</w:t>
      </w:r>
      <w:bookmarkEnd w:id="58"/>
      <w:bookmarkEnd w:id="5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60" w:name="_Toc17949"/>
      <w:bookmarkStart w:id="61" w:name="_Toc24029"/>
      <w:r>
        <w:rPr>
          <w:rFonts w:hint="eastAsia"/>
          <w:color w:val="auto"/>
          <w:sz w:val="24"/>
          <w:szCs w:val="24"/>
          <w:highlight w:val="none"/>
        </w:rPr>
        <w:t>（五）</w:t>
      </w:r>
      <w:r>
        <w:rPr>
          <w:rFonts w:hint="eastAsia"/>
          <w:color w:val="auto"/>
          <w:sz w:val="24"/>
          <w:szCs w:val="24"/>
          <w:highlight w:val="none"/>
          <w:lang w:val="en-US" w:eastAsia="zh-CN"/>
        </w:rPr>
        <w:t>成交</w:t>
      </w:r>
      <w:r>
        <w:rPr>
          <w:rFonts w:hint="eastAsia"/>
          <w:color w:val="auto"/>
          <w:sz w:val="24"/>
          <w:szCs w:val="24"/>
          <w:highlight w:val="none"/>
        </w:rPr>
        <w:t>通知书</w:t>
      </w:r>
      <w:bookmarkEnd w:id="60"/>
      <w:bookmarkEnd w:id="6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62" w:name="_Toc4313"/>
      <w:bookmarkStart w:id="63" w:name="_Toc25248"/>
      <w:r>
        <w:rPr>
          <w:rFonts w:hint="eastAsia"/>
          <w:color w:val="auto"/>
          <w:sz w:val="24"/>
          <w:szCs w:val="24"/>
          <w:highlight w:val="none"/>
        </w:rPr>
        <w:t>（六）本合同附件</w:t>
      </w:r>
      <w:bookmarkEnd w:id="62"/>
      <w:bookmarkEnd w:id="6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color w:val="auto"/>
          <w:sz w:val="24"/>
          <w:szCs w:val="24"/>
          <w:highlight w:val="none"/>
        </w:rPr>
      </w:pPr>
      <w:bookmarkStart w:id="64" w:name="_Toc19424"/>
      <w:bookmarkStart w:id="65" w:name="_Toc24717"/>
      <w:bookmarkStart w:id="66" w:name="_Toc13630_WPSOffice_Level2"/>
      <w:bookmarkStart w:id="67" w:name="_Toc7727"/>
      <w:bookmarkStart w:id="68" w:name="_Toc11434"/>
      <w:r>
        <w:rPr>
          <w:rFonts w:hint="eastAsia"/>
          <w:color w:val="auto"/>
          <w:sz w:val="24"/>
          <w:szCs w:val="24"/>
          <w:highlight w:val="none"/>
        </w:rPr>
        <w:t>二、合同的范围和条件</w:t>
      </w:r>
      <w:bookmarkEnd w:id="64"/>
      <w:bookmarkEnd w:id="65"/>
      <w:bookmarkEnd w:id="66"/>
      <w:bookmarkEnd w:id="67"/>
      <w:bookmarkEnd w:id="6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本合同的范围和条件应与上述合同文件的规定相一致。</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color w:val="auto"/>
          <w:sz w:val="24"/>
          <w:szCs w:val="24"/>
          <w:highlight w:val="none"/>
        </w:rPr>
      </w:pPr>
      <w:r>
        <w:rPr>
          <w:rFonts w:hint="eastAsia"/>
          <w:color w:val="auto"/>
          <w:sz w:val="24"/>
          <w:szCs w:val="24"/>
          <w:highlight w:val="none"/>
        </w:rPr>
        <w:t xml:space="preserve"> </w:t>
      </w:r>
      <w:bookmarkStart w:id="69" w:name="_Toc2465"/>
      <w:bookmarkStart w:id="70" w:name="_Toc24787"/>
      <w:bookmarkStart w:id="71" w:name="_Toc18794"/>
      <w:bookmarkStart w:id="72" w:name="_Toc21864"/>
      <w:bookmarkStart w:id="73" w:name="_Toc15521_WPSOffice_Level2"/>
      <w:r>
        <w:rPr>
          <w:rFonts w:hint="eastAsia"/>
          <w:color w:val="auto"/>
          <w:sz w:val="24"/>
          <w:szCs w:val="24"/>
          <w:highlight w:val="none"/>
        </w:rPr>
        <w:t>三、合同金额</w:t>
      </w:r>
      <w:bookmarkEnd w:id="69"/>
      <w:bookmarkEnd w:id="70"/>
      <w:bookmarkEnd w:id="71"/>
      <w:bookmarkEnd w:id="72"/>
      <w:bookmarkEnd w:id="7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4" w:name="_Toc12265"/>
      <w:bookmarkStart w:id="75" w:name="_Toc15284"/>
      <w:r>
        <w:rPr>
          <w:rFonts w:hint="eastAsia"/>
          <w:color w:val="auto"/>
          <w:sz w:val="24"/>
          <w:szCs w:val="24"/>
          <w:highlight w:val="none"/>
        </w:rPr>
        <w:t xml:space="preserve">合同总金额：人民币： </w:t>
      </w:r>
      <w:r>
        <w:rPr>
          <w:rFonts w:hint="eastAsia"/>
          <w:color w:val="auto"/>
          <w:sz w:val="24"/>
          <w:szCs w:val="24"/>
          <w:highlight w:val="none"/>
        </w:rPr>
        <w:tab/>
      </w:r>
      <w:r>
        <w:rPr>
          <w:rFonts w:hint="eastAsia"/>
          <w:color w:val="auto"/>
          <w:sz w:val="24"/>
          <w:szCs w:val="24"/>
          <w:highlight w:val="none"/>
        </w:rPr>
        <w:t xml:space="preserve">元（大写） 人民币： </w:t>
      </w:r>
      <w:r>
        <w:rPr>
          <w:rFonts w:hint="eastAsia"/>
          <w:color w:val="auto"/>
          <w:sz w:val="24"/>
          <w:szCs w:val="24"/>
          <w:highlight w:val="none"/>
        </w:rPr>
        <w:tab/>
      </w:r>
      <w:r>
        <w:rPr>
          <w:rFonts w:hint="eastAsia"/>
          <w:color w:val="auto"/>
          <w:sz w:val="24"/>
          <w:szCs w:val="24"/>
          <w:highlight w:val="none"/>
        </w:rPr>
        <w:t>元（小写）</w:t>
      </w:r>
      <w:bookmarkEnd w:id="74"/>
      <w:bookmarkEnd w:id="7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6" w:name="_Toc26017_WPSOffice_Level2"/>
      <w:r>
        <w:rPr>
          <w:rFonts w:hint="eastAsia"/>
          <w:color w:val="auto"/>
          <w:sz w:val="24"/>
          <w:szCs w:val="24"/>
          <w:highlight w:val="none"/>
        </w:rPr>
        <w:t>质量要求：</w:t>
      </w:r>
      <w:bookmarkEnd w:id="7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lang w:val="en-US" w:eastAsia="zh-CN"/>
        </w:rPr>
      </w:pPr>
      <w:bookmarkStart w:id="77" w:name="_Toc4377_WPSOffice_Level2"/>
      <w:r>
        <w:rPr>
          <w:rFonts w:hint="eastAsia" w:eastAsia="宋体"/>
          <w:color w:val="auto"/>
          <w:sz w:val="24"/>
          <w:szCs w:val="24"/>
          <w:highlight w:val="none"/>
          <w:lang w:val="en-US" w:eastAsia="zh-CN"/>
        </w:rPr>
        <w:t>四、</w:t>
      </w:r>
      <w:r>
        <w:rPr>
          <w:rFonts w:hint="eastAsia"/>
          <w:color w:val="auto"/>
          <w:sz w:val="24"/>
          <w:szCs w:val="24"/>
          <w:highlight w:val="none"/>
        </w:rPr>
        <w:t>付款方式</w:t>
      </w:r>
      <w:bookmarkEnd w:id="7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lang w:val="en-US" w:eastAsia="zh-CN"/>
        </w:rPr>
      </w:pPr>
      <w:r>
        <w:rPr>
          <w:rFonts w:hint="eastAsia"/>
          <w:color w:val="auto"/>
          <w:sz w:val="24"/>
          <w:szCs w:val="24"/>
          <w:highlight w:val="none"/>
        </w:rPr>
        <w:t>付款方式：</w:t>
      </w:r>
      <w:r>
        <w:rPr>
          <w:rFonts w:hint="eastAsia"/>
          <w:color w:val="auto"/>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8" w:name="_Toc12155_WPSOffice_Level2"/>
      <w:r>
        <w:rPr>
          <w:rFonts w:hint="eastAsia" w:eastAsia="宋体"/>
          <w:color w:val="auto"/>
          <w:sz w:val="24"/>
          <w:szCs w:val="24"/>
          <w:highlight w:val="none"/>
          <w:lang w:val="en-US" w:eastAsia="zh-CN"/>
        </w:rPr>
        <w:t>五、</w:t>
      </w:r>
      <w:r>
        <w:rPr>
          <w:rFonts w:hint="eastAsia"/>
          <w:color w:val="auto"/>
          <w:sz w:val="24"/>
          <w:szCs w:val="24"/>
          <w:highlight w:val="none"/>
        </w:rPr>
        <w:t>服务日期、地点</w:t>
      </w:r>
      <w:bookmarkEnd w:id="7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 xml:space="preserve">服务时间：于 </w:t>
      </w:r>
      <w:r>
        <w:rPr>
          <w:rFonts w:hint="eastAsia"/>
          <w:color w:val="auto"/>
          <w:sz w:val="24"/>
          <w:szCs w:val="24"/>
          <w:highlight w:val="none"/>
        </w:rPr>
        <w:tab/>
      </w:r>
      <w:r>
        <w:rPr>
          <w:rFonts w:hint="eastAsia"/>
          <w:color w:val="auto"/>
          <w:sz w:val="24"/>
          <w:szCs w:val="24"/>
          <w:highlight w:val="none"/>
        </w:rPr>
        <w:t xml:space="preserve">年 </w:t>
      </w:r>
      <w:r>
        <w:rPr>
          <w:rFonts w:hint="eastAsia"/>
          <w:color w:val="auto"/>
          <w:sz w:val="24"/>
          <w:szCs w:val="24"/>
          <w:highlight w:val="none"/>
        </w:rPr>
        <w:tab/>
      </w:r>
      <w:r>
        <w:rPr>
          <w:rFonts w:hint="eastAsia"/>
          <w:color w:val="auto"/>
          <w:sz w:val="24"/>
          <w:szCs w:val="24"/>
          <w:highlight w:val="none"/>
        </w:rPr>
        <w:t xml:space="preserve">月 </w:t>
      </w:r>
      <w:r>
        <w:rPr>
          <w:rFonts w:hint="eastAsia"/>
          <w:color w:val="auto"/>
          <w:sz w:val="24"/>
          <w:szCs w:val="24"/>
          <w:highlight w:val="none"/>
        </w:rPr>
        <w:tab/>
      </w:r>
      <w:r>
        <w:rPr>
          <w:rFonts w:hint="eastAsia"/>
          <w:color w:val="auto"/>
          <w:sz w:val="24"/>
          <w:szCs w:val="24"/>
          <w:highlight w:val="none"/>
        </w:rPr>
        <w:t>日以前完成。</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地点：甲方指定地点。</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9" w:name="_Toc30055_WPSOffice_Level2"/>
      <w:r>
        <w:rPr>
          <w:rFonts w:hint="eastAsia" w:eastAsia="宋体"/>
          <w:color w:val="auto"/>
          <w:sz w:val="24"/>
          <w:szCs w:val="24"/>
          <w:highlight w:val="none"/>
          <w:lang w:val="en-US" w:eastAsia="zh-CN"/>
        </w:rPr>
        <w:t>六、</w:t>
      </w:r>
      <w:r>
        <w:rPr>
          <w:rFonts w:hint="eastAsia"/>
          <w:color w:val="auto"/>
          <w:sz w:val="24"/>
          <w:szCs w:val="24"/>
          <w:highlight w:val="none"/>
        </w:rPr>
        <w:t>合同保存</w:t>
      </w:r>
      <w:bookmarkEnd w:id="7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 xml:space="preserve">本合同一式 </w:t>
      </w:r>
      <w:r>
        <w:rPr>
          <w:rFonts w:hint="eastAsia"/>
          <w:color w:val="auto"/>
          <w:sz w:val="24"/>
          <w:szCs w:val="24"/>
          <w:highlight w:val="none"/>
        </w:rPr>
        <w:tab/>
      </w:r>
      <w:r>
        <w:rPr>
          <w:rFonts w:hint="eastAsia"/>
          <w:color w:val="auto"/>
          <w:sz w:val="24"/>
          <w:szCs w:val="24"/>
          <w:highlight w:val="none"/>
        </w:rPr>
        <w:t xml:space="preserve">份，甲方 </w:t>
      </w:r>
      <w:r>
        <w:rPr>
          <w:rFonts w:hint="eastAsia"/>
          <w:color w:val="auto"/>
          <w:sz w:val="24"/>
          <w:szCs w:val="24"/>
          <w:highlight w:val="none"/>
        </w:rPr>
        <w:tab/>
      </w:r>
      <w:r>
        <w:rPr>
          <w:rFonts w:hint="eastAsia"/>
          <w:color w:val="auto"/>
          <w:sz w:val="24"/>
          <w:szCs w:val="24"/>
          <w:highlight w:val="none"/>
        </w:rPr>
        <w:t xml:space="preserve">份，乙方 </w:t>
      </w:r>
      <w:r>
        <w:rPr>
          <w:rFonts w:hint="eastAsia"/>
          <w:color w:val="auto"/>
          <w:sz w:val="24"/>
          <w:szCs w:val="24"/>
          <w:highlight w:val="none"/>
        </w:rPr>
        <w:tab/>
      </w:r>
      <w:r>
        <w:rPr>
          <w:rFonts w:hint="eastAsia"/>
          <w:color w:val="auto"/>
          <w:sz w:val="24"/>
          <w:szCs w:val="24"/>
          <w:highlight w:val="none"/>
        </w:rPr>
        <w:t xml:space="preserve">份，采购代理机构 </w:t>
      </w:r>
      <w:r>
        <w:rPr>
          <w:rFonts w:hint="eastAsia"/>
          <w:color w:val="auto"/>
          <w:sz w:val="24"/>
          <w:szCs w:val="24"/>
          <w:highlight w:val="none"/>
        </w:rPr>
        <w:tab/>
      </w:r>
      <w:r>
        <w:rPr>
          <w:rFonts w:hint="eastAsia"/>
          <w:color w:val="auto"/>
          <w:sz w:val="24"/>
          <w:szCs w:val="24"/>
          <w:highlight w:val="none"/>
        </w:rPr>
        <w:t>份。</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0" w:name="_Toc30238_WPSOffice_Level2"/>
      <w:r>
        <w:rPr>
          <w:rFonts w:hint="eastAsia" w:eastAsia="宋体"/>
          <w:color w:val="auto"/>
          <w:sz w:val="24"/>
          <w:szCs w:val="24"/>
          <w:highlight w:val="none"/>
          <w:lang w:val="en-US" w:eastAsia="zh-CN"/>
        </w:rPr>
        <w:t>七、</w:t>
      </w:r>
      <w:r>
        <w:rPr>
          <w:rFonts w:hint="eastAsia"/>
          <w:color w:val="auto"/>
          <w:sz w:val="24"/>
          <w:szCs w:val="24"/>
          <w:highlight w:val="none"/>
        </w:rPr>
        <w:t>违约条款</w:t>
      </w:r>
      <w:bookmarkEnd w:id="8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（1）合同一方违约，违约方向对方支付违约金，违约金额为中标金额的 10%。乙方违约， 直接从进度款或履约保金中扣除；甲方违约，从合同款项中扣除。</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1" w:name="_Toc1630"/>
      <w:bookmarkStart w:id="82" w:name="_Toc8155"/>
      <w:r>
        <w:rPr>
          <w:rFonts w:hint="eastAsia"/>
          <w:color w:val="auto"/>
          <w:sz w:val="24"/>
          <w:szCs w:val="24"/>
          <w:highlight w:val="none"/>
        </w:rPr>
        <w:t>（2）乙方给用户造成的实际损失高于违约金的，乙方应给用户对高出违约金的部分予以赔偿。</w:t>
      </w:r>
      <w:bookmarkEnd w:id="81"/>
      <w:bookmarkEnd w:id="8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3" w:name="_Toc15751"/>
      <w:bookmarkStart w:id="84" w:name="_Toc23941"/>
      <w:r>
        <w:rPr>
          <w:rFonts w:hint="eastAsia"/>
          <w:color w:val="auto"/>
          <w:sz w:val="24"/>
          <w:szCs w:val="24"/>
          <w:highlight w:val="none"/>
        </w:rPr>
        <w:t>（3）乙方迟延履行合同、不完全履行合同或提供的服务不符合招标文件的要求，除支付违约金外，仍应实际履行合同或重新提供符合要求的服务。</w:t>
      </w:r>
      <w:bookmarkEnd w:id="83"/>
      <w:bookmarkEnd w:id="8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5" w:name="_Toc25387"/>
      <w:bookmarkStart w:id="86" w:name="_Toc21648"/>
      <w:r>
        <w:rPr>
          <w:rFonts w:hint="eastAsia"/>
          <w:color w:val="auto"/>
          <w:sz w:val="24"/>
          <w:szCs w:val="24"/>
          <w:highlight w:val="none"/>
        </w:rPr>
        <w:t>（4）由于乙方原因造成的延期，每延期一天，需支付甲方损失为合同总价款的 1‰。</w:t>
      </w:r>
      <w:bookmarkEnd w:id="85"/>
      <w:bookmarkEnd w:id="8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7" w:name="_Toc8408"/>
      <w:bookmarkStart w:id="88" w:name="_Toc5115"/>
      <w:r>
        <w:rPr>
          <w:rFonts w:hint="eastAsia"/>
          <w:color w:val="auto"/>
          <w:sz w:val="24"/>
          <w:szCs w:val="24"/>
          <w:highlight w:val="none"/>
        </w:rPr>
        <w:t>（5）甲方和乙方若需签订补充协议，补充协议与该合同具有同等法律效力。</w:t>
      </w:r>
      <w:bookmarkEnd w:id="87"/>
      <w:bookmarkEnd w:id="8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9" w:name="_Toc2579"/>
      <w:bookmarkStart w:id="90" w:name="_Toc27685"/>
      <w:r>
        <w:rPr>
          <w:rFonts w:hint="eastAsia"/>
          <w:color w:val="auto"/>
          <w:sz w:val="24"/>
          <w:szCs w:val="24"/>
          <w:highlight w:val="none"/>
        </w:rPr>
        <w:t xml:space="preserve">（6）其它未尽事宜，以《中华人民共和国合同法》规定为准。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eastAsia="宋体"/>
          <w:color w:val="auto"/>
          <w:sz w:val="24"/>
          <w:szCs w:val="24"/>
          <w:highlight w:val="none"/>
          <w:lang w:val="en-US" w:eastAsia="zh-CN"/>
        </w:rPr>
        <w:t>八</w:t>
      </w:r>
      <w:r>
        <w:rPr>
          <w:rFonts w:hint="eastAsia"/>
          <w:color w:val="auto"/>
          <w:sz w:val="24"/>
          <w:szCs w:val="24"/>
          <w:highlight w:val="none"/>
        </w:rPr>
        <w:t>、合同生效及其它</w:t>
      </w:r>
      <w:bookmarkEnd w:id="89"/>
      <w:bookmarkEnd w:id="9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1" w:name="_Toc27824"/>
      <w:bookmarkStart w:id="92" w:name="_Toc1264"/>
      <w:r>
        <w:rPr>
          <w:rFonts w:hint="eastAsia"/>
          <w:color w:val="auto"/>
          <w:sz w:val="24"/>
          <w:szCs w:val="24"/>
          <w:highlight w:val="none"/>
        </w:rPr>
        <w:t>（1）合同签订后供需双方即直接产生权利与义务的关系，合同执行过程中出现的问题应按照《合同法》的规定办理；在合同履行过程中，双方如有争议，经协商无效，任何一方可向需方所在地人民法院提起诉讼。</w:t>
      </w:r>
      <w:bookmarkEnd w:id="91"/>
      <w:bookmarkEnd w:id="9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3" w:name="_Toc13678"/>
      <w:bookmarkStart w:id="94" w:name="_Toc20058"/>
      <w:r>
        <w:rPr>
          <w:rFonts w:hint="eastAsia"/>
          <w:color w:val="auto"/>
          <w:sz w:val="24"/>
          <w:szCs w:val="24"/>
          <w:highlight w:val="none"/>
        </w:rPr>
        <w:t>（2）合同在执行过程中出现的未尽事宜，双方在不违背本合同和招标文件的原则下协商解决，协商结果以书面形式盖章记录在案，作为本合同的附件，与本合同具有同等效力。</w:t>
      </w:r>
      <w:bookmarkEnd w:id="93"/>
      <w:bookmarkEnd w:id="9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5" w:name="_Toc7032_WPSOffice_Level1"/>
      <w:bookmarkStart w:id="96" w:name="_Toc26378"/>
      <w:bookmarkStart w:id="97" w:name="_Toc4045"/>
      <w:bookmarkStart w:id="98" w:name="_Toc16421_WPSOffice_Level2"/>
      <w:bookmarkStart w:id="99" w:name="_Toc13056_WPSOffice_Level2"/>
      <w:bookmarkStart w:id="100" w:name="_Toc10619_WPSOffice_Level2"/>
      <w:bookmarkStart w:id="101" w:name="_Toc3081_WPSOffice_Level2"/>
      <w:bookmarkStart w:id="102" w:name="_Toc20805_WPSOffice_Level2"/>
      <w:bookmarkStart w:id="103" w:name="_Toc29610_WPSOffice_Level2"/>
      <w:r>
        <w:rPr>
          <w:rFonts w:hint="eastAsia"/>
          <w:color w:val="auto"/>
          <w:sz w:val="24"/>
          <w:szCs w:val="24"/>
          <w:highlight w:val="none"/>
        </w:rPr>
        <w:t>甲</w:t>
      </w:r>
      <w:r>
        <w:rPr>
          <w:rFonts w:hint="eastAsia"/>
          <w:color w:val="auto"/>
          <w:sz w:val="24"/>
          <w:szCs w:val="24"/>
          <w:highlight w:val="none"/>
        </w:rPr>
        <w:tab/>
      </w:r>
      <w:r>
        <w:rPr>
          <w:rFonts w:hint="eastAsia"/>
          <w:color w:val="auto"/>
          <w:sz w:val="24"/>
          <w:szCs w:val="24"/>
          <w:highlight w:val="none"/>
        </w:rPr>
        <w:t>方（公章）：</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乙</w:t>
      </w:r>
      <w:r>
        <w:rPr>
          <w:rFonts w:hint="eastAsia"/>
          <w:color w:val="auto"/>
          <w:sz w:val="24"/>
          <w:szCs w:val="24"/>
          <w:highlight w:val="none"/>
        </w:rPr>
        <w:tab/>
      </w:r>
      <w:r>
        <w:rPr>
          <w:rFonts w:hint="eastAsia"/>
          <w:color w:val="auto"/>
          <w:sz w:val="24"/>
          <w:szCs w:val="24"/>
          <w:highlight w:val="none"/>
        </w:rPr>
        <w:t>方（公章）：</w:t>
      </w:r>
      <w:bookmarkEnd w:id="95"/>
      <w:bookmarkEnd w:id="96"/>
      <w:bookmarkEnd w:id="97"/>
      <w:bookmarkEnd w:id="98"/>
      <w:bookmarkEnd w:id="99"/>
      <w:bookmarkEnd w:id="100"/>
      <w:bookmarkEnd w:id="101"/>
      <w:bookmarkEnd w:id="102"/>
      <w:bookmarkEnd w:id="10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lang w:val="en-US" w:eastAsia="zh-CN"/>
        </w:rPr>
      </w:pPr>
      <w:bookmarkStart w:id="104" w:name="_Toc11748"/>
      <w:bookmarkStart w:id="105" w:name="_Toc20300"/>
      <w:r>
        <w:rPr>
          <w:rFonts w:hint="eastAsia"/>
          <w:color w:val="auto"/>
          <w:sz w:val="24"/>
          <w:szCs w:val="24"/>
          <w:highlight w:val="none"/>
        </w:rPr>
        <w:t>法定代表人或授权代理人：（签字）</w:t>
      </w:r>
      <w:r>
        <w:rPr>
          <w:rFonts w:hint="eastAsia"/>
          <w:color w:val="auto"/>
          <w:sz w:val="24"/>
          <w:szCs w:val="24"/>
          <w:highlight w:val="none"/>
        </w:rPr>
        <w:tab/>
      </w:r>
      <w:r>
        <w:rPr>
          <w:rFonts w:hint="eastAsia"/>
          <w:color w:val="auto"/>
          <w:sz w:val="24"/>
          <w:szCs w:val="24"/>
          <w:highlight w:val="none"/>
        </w:rPr>
        <w:t>法定代表人或授权代理人：（签字）</w:t>
      </w:r>
      <w:bookmarkEnd w:id="104"/>
      <w:bookmarkEnd w:id="105"/>
      <w:r>
        <w:rPr>
          <w:rFonts w:hint="eastAsia"/>
          <w:color w:val="auto"/>
          <w:sz w:val="24"/>
          <w:szCs w:val="24"/>
          <w:highlight w:val="none"/>
        </w:rPr>
        <w:t xml:space="preserve"> </w:t>
      </w:r>
      <w:r>
        <w:rPr>
          <w:rFonts w:hint="eastAsia"/>
          <w:color w:val="auto"/>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06" w:name="_Toc11893"/>
      <w:bookmarkStart w:id="107" w:name="_Toc2236"/>
      <w:r>
        <w:rPr>
          <w:rFonts w:hint="eastAsia"/>
          <w:color w:val="auto"/>
          <w:sz w:val="24"/>
          <w:szCs w:val="24"/>
          <w:highlight w:val="none"/>
        </w:rPr>
        <w:t>开户单位：</w:t>
      </w:r>
      <w:r>
        <w:rPr>
          <w:rFonts w:hint="eastAsia"/>
          <w:color w:val="auto"/>
          <w:sz w:val="24"/>
          <w:szCs w:val="24"/>
          <w:highlight w:val="none"/>
          <w:lang w:val="en-US" w:eastAsia="zh-CN"/>
        </w:rPr>
        <w:t xml:space="preserve">                        </w:t>
      </w:r>
      <w:r>
        <w:rPr>
          <w:rFonts w:hint="eastAsia"/>
          <w:color w:val="auto"/>
          <w:sz w:val="24"/>
          <w:szCs w:val="24"/>
          <w:highlight w:val="none"/>
        </w:rPr>
        <w:t>开户单位：</w:t>
      </w:r>
      <w:bookmarkEnd w:id="106"/>
      <w:bookmarkEnd w:id="10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08" w:name="_Toc25263"/>
      <w:bookmarkStart w:id="109" w:name="_Toc31863"/>
      <w:r>
        <w:rPr>
          <w:rFonts w:hint="eastAsia"/>
          <w:color w:val="auto"/>
          <w:sz w:val="24"/>
          <w:szCs w:val="24"/>
          <w:highlight w:val="none"/>
        </w:rPr>
        <w:t>开户银行：</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开户银行：</w:t>
      </w:r>
      <w:bookmarkEnd w:id="108"/>
      <w:bookmarkEnd w:id="10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0" w:name="_Toc27472"/>
      <w:bookmarkStart w:id="111" w:name="_Toc17067"/>
      <w:r>
        <w:rPr>
          <w:rFonts w:hint="eastAsia"/>
          <w:color w:val="auto"/>
          <w:sz w:val="24"/>
          <w:szCs w:val="24"/>
          <w:highlight w:val="none"/>
        </w:rPr>
        <w:t>帐</w:t>
      </w:r>
      <w:r>
        <w:rPr>
          <w:rFonts w:hint="eastAsia"/>
          <w:color w:val="auto"/>
          <w:sz w:val="24"/>
          <w:szCs w:val="24"/>
          <w:highlight w:val="none"/>
        </w:rPr>
        <w:tab/>
      </w:r>
      <w:r>
        <w:rPr>
          <w:rFonts w:hint="eastAsia"/>
          <w:color w:val="auto"/>
          <w:sz w:val="24"/>
          <w:szCs w:val="24"/>
          <w:highlight w:val="none"/>
        </w:rPr>
        <w:t>号：</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帐</w:t>
      </w:r>
      <w:r>
        <w:rPr>
          <w:rFonts w:hint="eastAsia"/>
          <w:color w:val="auto"/>
          <w:sz w:val="24"/>
          <w:szCs w:val="24"/>
          <w:highlight w:val="none"/>
        </w:rPr>
        <w:tab/>
      </w:r>
      <w:r>
        <w:rPr>
          <w:rFonts w:hint="eastAsia"/>
          <w:color w:val="auto"/>
          <w:sz w:val="24"/>
          <w:szCs w:val="24"/>
          <w:highlight w:val="none"/>
        </w:rPr>
        <w:t>号：</w:t>
      </w:r>
      <w:bookmarkEnd w:id="110"/>
      <w:bookmarkEnd w:id="11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2" w:name="_Toc19503"/>
      <w:bookmarkStart w:id="113" w:name="_Toc18260"/>
      <w:r>
        <w:rPr>
          <w:rFonts w:hint="eastAsia"/>
          <w:color w:val="auto"/>
          <w:sz w:val="24"/>
          <w:szCs w:val="24"/>
          <w:highlight w:val="none"/>
        </w:rPr>
        <w:t>地</w:t>
      </w:r>
      <w:r>
        <w:rPr>
          <w:rFonts w:hint="eastAsia"/>
          <w:color w:val="auto"/>
          <w:sz w:val="24"/>
          <w:szCs w:val="24"/>
          <w:highlight w:val="none"/>
        </w:rPr>
        <w:tab/>
      </w:r>
      <w:r>
        <w:rPr>
          <w:rFonts w:hint="eastAsia"/>
          <w:color w:val="auto"/>
          <w:sz w:val="24"/>
          <w:szCs w:val="24"/>
          <w:highlight w:val="none"/>
        </w:rPr>
        <w:t>址：</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地</w:t>
      </w:r>
      <w:r>
        <w:rPr>
          <w:rFonts w:hint="eastAsia"/>
          <w:color w:val="auto"/>
          <w:sz w:val="24"/>
          <w:szCs w:val="24"/>
          <w:highlight w:val="none"/>
        </w:rPr>
        <w:tab/>
      </w:r>
      <w:r>
        <w:rPr>
          <w:rFonts w:hint="eastAsia"/>
          <w:color w:val="auto"/>
          <w:sz w:val="24"/>
          <w:szCs w:val="24"/>
          <w:highlight w:val="none"/>
        </w:rPr>
        <w:t>址：</w:t>
      </w:r>
      <w:bookmarkEnd w:id="112"/>
      <w:bookmarkEnd w:id="11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4" w:name="_Toc15291"/>
      <w:bookmarkStart w:id="115" w:name="_Toc16058"/>
      <w:r>
        <w:rPr>
          <w:rFonts w:hint="eastAsia"/>
          <w:color w:val="auto"/>
          <w:sz w:val="24"/>
          <w:szCs w:val="24"/>
          <w:highlight w:val="none"/>
        </w:rPr>
        <w:t>电</w:t>
      </w:r>
      <w:r>
        <w:rPr>
          <w:rFonts w:hint="eastAsia"/>
          <w:color w:val="auto"/>
          <w:sz w:val="24"/>
          <w:szCs w:val="24"/>
          <w:highlight w:val="none"/>
        </w:rPr>
        <w:tab/>
      </w:r>
      <w:r>
        <w:rPr>
          <w:rFonts w:hint="eastAsia"/>
          <w:color w:val="auto"/>
          <w:sz w:val="24"/>
          <w:szCs w:val="24"/>
          <w:highlight w:val="none"/>
        </w:rPr>
        <w:t>话：</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电</w:t>
      </w:r>
      <w:r>
        <w:rPr>
          <w:rFonts w:hint="eastAsia"/>
          <w:color w:val="auto"/>
          <w:sz w:val="24"/>
          <w:szCs w:val="24"/>
          <w:highlight w:val="none"/>
        </w:rPr>
        <w:tab/>
      </w:r>
      <w:r>
        <w:rPr>
          <w:rFonts w:hint="eastAsia"/>
          <w:color w:val="auto"/>
          <w:sz w:val="24"/>
          <w:szCs w:val="24"/>
          <w:highlight w:val="none"/>
        </w:rPr>
        <w:t>话：</w:t>
      </w:r>
      <w:bookmarkEnd w:id="114"/>
      <w:bookmarkEnd w:id="115"/>
    </w:p>
    <w:p>
      <w:pPr>
        <w:pStyle w:val="3"/>
        <w:keepNext w:val="0"/>
        <w:keepLines w:val="0"/>
        <w:pageBreakBefore w:val="0"/>
        <w:kinsoku/>
        <w:wordWrap w:val="0"/>
        <w:overflowPunct/>
        <w:topLinePunct w:val="0"/>
        <w:autoSpaceDE w:val="0"/>
        <w:autoSpaceDN w:val="0"/>
        <w:bidi w:val="0"/>
        <w:spacing w:before="0" w:beforeLines="1" w:after="0" w:afterLines="1" w:line="540" w:lineRule="exact"/>
        <w:ind w:left="237" w:leftChars="113" w:firstLine="223" w:firstLineChars="93"/>
        <w:jc w:val="both"/>
        <w:rPr>
          <w:rFonts w:hint="eastAsia"/>
          <w:color w:val="auto"/>
          <w:sz w:val="24"/>
          <w:szCs w:val="24"/>
          <w:highlight w:val="none"/>
          <w:lang w:eastAsia="zh-CN"/>
        </w:rPr>
      </w:pPr>
      <w:bookmarkStart w:id="116" w:name="_Toc32463"/>
      <w:bookmarkStart w:id="117" w:name="_Toc22352"/>
      <w:r>
        <w:rPr>
          <w:rFonts w:hint="eastAsia"/>
          <w:color w:val="auto"/>
          <w:sz w:val="24"/>
          <w:szCs w:val="24"/>
          <w:highlight w:val="none"/>
        </w:rPr>
        <w:t>签订时间：</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签订时间</w:t>
      </w:r>
      <w:r>
        <w:rPr>
          <w:rFonts w:hint="eastAsia"/>
          <w:color w:val="auto"/>
          <w:sz w:val="24"/>
          <w:szCs w:val="24"/>
          <w:highlight w:val="none"/>
          <w:lang w:eastAsia="zh-CN"/>
        </w:rPr>
        <w:t>：</w:t>
      </w:r>
      <w:bookmarkEnd w:id="116"/>
      <w:bookmarkEnd w:id="117"/>
    </w:p>
    <w:p>
      <w:pPr>
        <w:pStyle w:val="24"/>
        <w:rPr>
          <w:rFonts w:hint="eastAsia"/>
          <w:color w:val="auto"/>
          <w:sz w:val="24"/>
          <w:szCs w:val="24"/>
          <w:highlight w:val="none"/>
          <w:lang w:eastAsia="zh-CN"/>
        </w:rPr>
      </w:pPr>
    </w:p>
    <w:p>
      <w:pPr>
        <w:pStyle w:val="25"/>
        <w:rPr>
          <w:rFonts w:hint="eastAsia"/>
          <w:color w:val="auto"/>
          <w:sz w:val="24"/>
          <w:szCs w:val="24"/>
          <w:highlight w:val="none"/>
          <w:lang w:eastAsia="zh-CN"/>
        </w:rPr>
      </w:pPr>
    </w:p>
    <w:p>
      <w:pPr>
        <w:pStyle w:val="2"/>
        <w:ind w:left="0" w:leftChars="0" w:firstLine="0" w:firstLineChars="0"/>
        <w:rPr>
          <w:rFonts w:hint="eastAsia"/>
          <w:color w:val="auto"/>
          <w:sz w:val="24"/>
          <w:szCs w:val="24"/>
          <w:highlight w:val="none"/>
          <w:lang w:eastAsia="zh-CN"/>
        </w:rPr>
      </w:pPr>
    </w:p>
    <w:p>
      <w:pPr>
        <w:pStyle w:val="4"/>
        <w:rPr>
          <w:rFonts w:hint="eastAsia"/>
          <w:color w:val="auto"/>
          <w:sz w:val="24"/>
          <w:szCs w:val="24"/>
          <w:highlight w:val="none"/>
          <w:lang w:eastAsia="zh-CN"/>
        </w:rPr>
      </w:pPr>
    </w:p>
    <w:p>
      <w:pPr>
        <w:rPr>
          <w:rFonts w:hint="eastAsia"/>
          <w:color w:val="auto"/>
          <w:sz w:val="24"/>
          <w:szCs w:val="24"/>
          <w:highlight w:val="none"/>
          <w:lang w:eastAsia="zh-CN"/>
        </w:rPr>
      </w:pPr>
    </w:p>
    <w:p>
      <w:pPr>
        <w:pStyle w:val="2"/>
        <w:rPr>
          <w:rFonts w:hint="eastAsia"/>
          <w:color w:val="auto"/>
          <w:highlight w:val="none"/>
          <w:lang w:eastAsia="zh-CN"/>
        </w:rPr>
      </w:pPr>
    </w:p>
    <w:p>
      <w:pPr>
        <w:pStyle w:val="3"/>
        <w:keepNext w:val="0"/>
        <w:keepLines w:val="0"/>
        <w:pageBreakBefore w:val="0"/>
        <w:numPr>
          <w:ilvl w:val="0"/>
          <w:numId w:val="3"/>
        </w:numPr>
        <w:kinsoku/>
        <w:wordWrap w:val="0"/>
        <w:overflowPunct/>
        <w:topLinePunct w:val="0"/>
        <w:bidi w:val="0"/>
        <w:spacing w:before="353" w:line="360" w:lineRule="auto"/>
        <w:ind w:left="14" w:leftChars="0" w:hanging="14" w:firstLineChars="0"/>
        <w:jc w:val="center"/>
        <w:outlineLvl w:val="0"/>
        <w:rPr>
          <w:color w:val="auto"/>
          <w:spacing w:val="-5"/>
          <w:sz w:val="36"/>
          <w:szCs w:val="36"/>
          <w:highlight w:val="none"/>
          <w14:textOutline w14:w="2306" w14:cap="flat" w14:cmpd="sng">
            <w14:solidFill>
              <w14:srgbClr w14:val="000000"/>
            </w14:solidFill>
            <w14:prstDash w14:val="solid"/>
            <w14:miter w14:val="0"/>
          </w14:textOutline>
        </w:rPr>
      </w:pPr>
      <w:bookmarkStart w:id="118" w:name="_Toc17192"/>
      <w:bookmarkStart w:id="119" w:name="_Toc31124"/>
      <w:r>
        <w:rPr>
          <w:color w:val="auto"/>
          <w:spacing w:val="-5"/>
          <w:sz w:val="36"/>
          <w:szCs w:val="36"/>
          <w:highlight w:val="none"/>
          <w14:textOutline w14:w="2306" w14:cap="flat" w14:cmpd="sng">
            <w14:solidFill>
              <w14:srgbClr w14:val="000000"/>
            </w14:solidFill>
            <w14:prstDash w14:val="solid"/>
            <w14:miter w14:val="0"/>
          </w14:textOutline>
        </w:rPr>
        <w:t>响应文件格式</w:t>
      </w:r>
      <w:bookmarkEnd w:id="118"/>
      <w:bookmarkEnd w:id="119"/>
    </w:p>
    <w:p>
      <w:pPr>
        <w:pStyle w:val="23"/>
        <w:rPr>
          <w:color w:val="auto"/>
          <w:highlight w:val="none"/>
        </w:rPr>
      </w:pPr>
    </w:p>
    <w:p>
      <w:pPr>
        <w:rPr>
          <w:rFonts w:hint="eastAsia"/>
          <w:b/>
          <w:bCs/>
          <w:color w:val="auto"/>
          <w:sz w:val="28"/>
          <w:szCs w:val="28"/>
          <w:highlight w:val="none"/>
        </w:rPr>
      </w:pPr>
      <w:r>
        <w:rPr>
          <w:rFonts w:hint="eastAsia"/>
          <w:b/>
          <w:bCs/>
          <w:color w:val="auto"/>
          <w:sz w:val="28"/>
          <w:szCs w:val="28"/>
          <w:highlight w:val="none"/>
        </w:rPr>
        <w:t>供应商编制文件须知</w:t>
      </w:r>
    </w:p>
    <w:p>
      <w:pPr>
        <w:rPr>
          <w:rFonts w:hint="eastAsia"/>
          <w:b/>
          <w:bCs/>
          <w:color w:val="auto"/>
          <w:sz w:val="28"/>
          <w:szCs w:val="28"/>
          <w:highlight w:val="none"/>
        </w:rPr>
      </w:pPr>
      <w:r>
        <w:rPr>
          <w:rFonts w:hint="eastAsia"/>
          <w:b/>
          <w:bCs/>
          <w:color w:val="auto"/>
          <w:sz w:val="28"/>
          <w:szCs w:val="28"/>
          <w:highlight w:val="none"/>
        </w:rPr>
        <w:t>1.供应商按照本部分的顺序编制响应文件，编制中涉及格式资料的，应按照本部分提供的内容和格式（所有表格的格式可扩展）填写提交。</w:t>
      </w:r>
    </w:p>
    <w:p>
      <w:pPr>
        <w:rPr>
          <w:rFonts w:hint="eastAsia"/>
          <w:b/>
          <w:bCs/>
          <w:color w:val="auto"/>
          <w:sz w:val="28"/>
          <w:szCs w:val="28"/>
          <w:highlight w:val="none"/>
        </w:rPr>
      </w:pPr>
      <w:r>
        <w:rPr>
          <w:rFonts w:hint="eastAsia"/>
          <w:b/>
          <w:bCs/>
          <w:color w:val="auto"/>
          <w:sz w:val="28"/>
          <w:szCs w:val="28"/>
          <w:highlight w:val="none"/>
        </w:rPr>
        <w:t>2.全部声明和问题的回答及所附材料必须是真实的、准确的和完整的。</w:t>
      </w:r>
    </w:p>
    <w:p>
      <w:pPr>
        <w:rPr>
          <w:color w:val="auto"/>
          <w:highlight w:val="none"/>
        </w:rPr>
      </w:pPr>
    </w:p>
    <w:p>
      <w:pPr>
        <w:pStyle w:val="23"/>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pStyle w:val="2"/>
        <w:rPr>
          <w:color w:val="auto"/>
          <w:highlight w:val="none"/>
        </w:rPr>
      </w:pPr>
    </w:p>
    <w:p>
      <w:pPr>
        <w:rPr>
          <w:color w:val="auto"/>
          <w:highlight w:val="none"/>
        </w:rPr>
      </w:pPr>
    </w:p>
    <w:p>
      <w:pPr>
        <w:rPr>
          <w:color w:val="auto"/>
          <w:highlight w:val="none"/>
        </w:rPr>
      </w:pPr>
    </w:p>
    <w:p>
      <w:pPr>
        <w:rPr>
          <w:color w:val="auto"/>
          <w:highlight w:val="none"/>
        </w:rPr>
      </w:pPr>
    </w:p>
    <w:p>
      <w:pPr>
        <w:pStyle w:val="2"/>
        <w:rPr>
          <w:color w:val="auto"/>
          <w:highlight w:val="none"/>
        </w:rPr>
      </w:pPr>
    </w:p>
    <w:p>
      <w:pPr>
        <w:pStyle w:val="4"/>
        <w:rPr>
          <w:color w:val="auto"/>
          <w:highlight w:val="none"/>
        </w:rPr>
      </w:pPr>
    </w:p>
    <w:p>
      <w:pPr>
        <w:rPr>
          <w:color w:val="auto"/>
          <w:highlight w:val="none"/>
        </w:rPr>
      </w:pPr>
    </w:p>
    <w:p>
      <w:pPr>
        <w:spacing w:before="0"/>
        <w:ind w:left="220" w:right="0" w:firstLine="0"/>
        <w:jc w:val="left"/>
        <w:rPr>
          <w:b/>
          <w:bCs/>
          <w:color w:val="auto"/>
          <w:sz w:val="24"/>
          <w:highlight w:val="none"/>
        </w:rPr>
      </w:pPr>
      <w:bookmarkStart w:id="120" w:name="_Toc5802"/>
      <w:r>
        <w:rPr>
          <w:b/>
          <w:bCs/>
          <w:color w:val="auto"/>
          <w:sz w:val="24"/>
          <w:highlight w:val="none"/>
        </w:rPr>
        <w:t>响应文件封面格式</w:t>
      </w:r>
    </w:p>
    <w:p>
      <w:pPr>
        <w:pStyle w:val="3"/>
        <w:rPr>
          <w:color w:val="auto"/>
          <w:sz w:val="20"/>
          <w:highlight w:val="none"/>
        </w:rPr>
      </w:pPr>
    </w:p>
    <w:p>
      <w:pPr>
        <w:pStyle w:val="3"/>
        <w:rPr>
          <w:color w:val="auto"/>
          <w:sz w:val="20"/>
          <w:highlight w:val="none"/>
        </w:rPr>
      </w:pPr>
    </w:p>
    <w:p>
      <w:pPr>
        <w:pStyle w:val="3"/>
        <w:rPr>
          <w:color w:val="auto"/>
          <w:sz w:val="20"/>
          <w:highlight w:val="none"/>
        </w:rPr>
      </w:pPr>
    </w:p>
    <w:p>
      <w:pPr>
        <w:pStyle w:val="3"/>
        <w:spacing w:before="4"/>
        <w:rPr>
          <w:color w:val="auto"/>
          <w:sz w:val="16"/>
          <w:highlight w:val="none"/>
        </w:rPr>
      </w:pPr>
    </w:p>
    <w:p>
      <w:pPr>
        <w:tabs>
          <w:tab w:val="left" w:pos="4419"/>
        </w:tabs>
        <w:spacing w:before="57"/>
        <w:ind w:left="0" w:right="16" w:firstLine="0"/>
        <w:jc w:val="center"/>
        <w:rPr>
          <w:b/>
          <w:color w:val="auto"/>
          <w:sz w:val="40"/>
          <w:highlight w:val="none"/>
        </w:rPr>
      </w:pPr>
      <w:r>
        <w:rPr>
          <w:rFonts w:ascii="Times New Roman" w:eastAsia="Times New Roman"/>
          <w:b/>
          <w:color w:val="auto"/>
          <w:w w:val="100"/>
          <w:sz w:val="40"/>
          <w:highlight w:val="none"/>
          <w:u w:val="thick"/>
        </w:rPr>
        <w:t xml:space="preserve"> </w:t>
      </w:r>
      <w:r>
        <w:rPr>
          <w:rFonts w:ascii="Times New Roman" w:eastAsia="Times New Roman"/>
          <w:b/>
          <w:color w:val="auto"/>
          <w:sz w:val="40"/>
          <w:highlight w:val="none"/>
          <w:u w:val="thick"/>
        </w:rPr>
        <w:tab/>
      </w:r>
      <w:r>
        <w:rPr>
          <w:b/>
          <w:color w:val="auto"/>
          <w:sz w:val="40"/>
          <w:highlight w:val="none"/>
        </w:rPr>
        <w:t>项目</w:t>
      </w: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pStyle w:val="3"/>
        <w:rPr>
          <w:b/>
          <w:color w:val="auto"/>
          <w:sz w:val="20"/>
          <w:highlight w:val="none"/>
        </w:rPr>
      </w:pPr>
    </w:p>
    <w:p>
      <w:pPr>
        <w:spacing w:before="172"/>
        <w:ind w:left="0" w:right="18" w:firstLine="0"/>
        <w:jc w:val="center"/>
        <w:outlineLvl w:val="1"/>
        <w:rPr>
          <w:color w:val="auto"/>
          <w:sz w:val="72"/>
          <w:highlight w:val="none"/>
        </w:rPr>
      </w:pPr>
      <w:bookmarkStart w:id="121" w:name="_Toc11199"/>
      <w:bookmarkStart w:id="122" w:name="_Toc26935"/>
      <w:r>
        <w:rPr>
          <w:color w:val="auto"/>
          <w:sz w:val="72"/>
          <w:highlight w:val="none"/>
        </w:rPr>
        <w:t>响应文件</w:t>
      </w:r>
      <w:bookmarkEnd w:id="121"/>
      <w:bookmarkEnd w:id="122"/>
    </w:p>
    <w:p>
      <w:pPr>
        <w:spacing w:before="167"/>
        <w:ind w:left="0" w:right="18" w:firstLine="0"/>
        <w:jc w:val="center"/>
        <w:outlineLvl w:val="9"/>
        <w:rPr>
          <w:color w:val="auto"/>
          <w:sz w:val="24"/>
          <w:highlight w:val="none"/>
        </w:rPr>
      </w:pPr>
      <w:r>
        <w:rPr>
          <w:color w:val="auto"/>
          <w:sz w:val="24"/>
          <w:highlight w:val="none"/>
        </w:rPr>
        <w:t>采购编号：</w:t>
      </w:r>
    </w:p>
    <w:p>
      <w:pPr>
        <w:pStyle w:val="3"/>
        <w:rPr>
          <w:color w:val="auto"/>
          <w:sz w:val="24"/>
          <w:highlight w:val="none"/>
        </w:rPr>
      </w:pPr>
    </w:p>
    <w:p>
      <w:pPr>
        <w:pStyle w:val="3"/>
        <w:rPr>
          <w:color w:val="auto"/>
          <w:sz w:val="24"/>
          <w:highlight w:val="none"/>
        </w:rPr>
      </w:pPr>
    </w:p>
    <w:p>
      <w:pPr>
        <w:pStyle w:val="3"/>
        <w:rPr>
          <w:color w:val="auto"/>
          <w:sz w:val="24"/>
          <w:highlight w:val="none"/>
        </w:rPr>
      </w:pPr>
    </w:p>
    <w:p>
      <w:pPr>
        <w:pStyle w:val="3"/>
        <w:rPr>
          <w:color w:val="auto"/>
          <w:sz w:val="24"/>
          <w:highlight w:val="none"/>
        </w:rPr>
      </w:pPr>
    </w:p>
    <w:p>
      <w:pPr>
        <w:pStyle w:val="3"/>
        <w:rPr>
          <w:color w:val="auto"/>
          <w:sz w:val="24"/>
          <w:highlight w:val="none"/>
        </w:rPr>
      </w:pPr>
    </w:p>
    <w:p>
      <w:pPr>
        <w:pStyle w:val="3"/>
        <w:rPr>
          <w:color w:val="auto"/>
          <w:sz w:val="24"/>
          <w:highlight w:val="none"/>
        </w:rPr>
      </w:pPr>
    </w:p>
    <w:p>
      <w:pPr>
        <w:pStyle w:val="15"/>
        <w:rPr>
          <w:color w:val="auto"/>
          <w:highlight w:val="none"/>
        </w:rPr>
      </w:pPr>
    </w:p>
    <w:p>
      <w:pPr>
        <w:pStyle w:val="15"/>
        <w:rPr>
          <w:color w:val="auto"/>
          <w:highlight w:val="none"/>
        </w:rPr>
      </w:pP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供应商名称（公章）：</w:t>
      </w: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法定代表人或负责人或被授权人签名（或盖章）：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highlight w:val="none"/>
          <w:lang w:val="zh-CN" w:eastAsia="zh-CN" w:bidi="ar-SA"/>
        </w:rPr>
      </w:pP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pStyle w:val="2"/>
        <w:rPr>
          <w:color w:val="auto"/>
          <w:highlight w:val="none"/>
        </w:rPr>
      </w:pPr>
    </w:p>
    <w:p>
      <w:pPr>
        <w:jc w:val="center"/>
        <w:outlineLvl w:val="9"/>
        <w:rPr>
          <w:rFonts w:hint="eastAsia" w:eastAsia="宋体"/>
          <w:b/>
          <w:bCs/>
          <w:color w:val="auto"/>
          <w:w w:val="95"/>
          <w:sz w:val="36"/>
          <w:szCs w:val="36"/>
          <w:highlight w:val="none"/>
          <w:lang w:val="en-US" w:eastAsia="zh-CN"/>
        </w:rPr>
      </w:pPr>
    </w:p>
    <w:p>
      <w:pPr>
        <w:pStyle w:val="2"/>
        <w:rPr>
          <w:rFonts w:hint="eastAsia" w:eastAsia="宋体"/>
          <w:b/>
          <w:bCs/>
          <w:color w:val="auto"/>
          <w:w w:val="95"/>
          <w:sz w:val="36"/>
          <w:szCs w:val="36"/>
          <w:highlight w:val="none"/>
          <w:lang w:val="en-US" w:eastAsia="zh-CN"/>
        </w:rPr>
      </w:pPr>
    </w:p>
    <w:p>
      <w:pPr>
        <w:pStyle w:val="4"/>
        <w:rPr>
          <w:rFonts w:hint="eastAsia" w:eastAsia="宋体"/>
          <w:b/>
          <w:bCs/>
          <w:color w:val="auto"/>
          <w:w w:val="95"/>
          <w:sz w:val="36"/>
          <w:szCs w:val="36"/>
          <w:highlight w:val="none"/>
          <w:lang w:val="en-US" w:eastAsia="zh-CN"/>
        </w:rPr>
      </w:pPr>
    </w:p>
    <w:p>
      <w:pPr>
        <w:rPr>
          <w:rFonts w:hint="eastAsia"/>
          <w:color w:val="auto"/>
          <w:highlight w:val="none"/>
          <w:lang w:val="en-US" w:eastAsia="zh-CN"/>
        </w:rPr>
      </w:pPr>
    </w:p>
    <w:p>
      <w:pPr>
        <w:jc w:val="center"/>
        <w:outlineLvl w:val="9"/>
        <w:rPr>
          <w:rFonts w:hint="eastAsia" w:eastAsia="宋体"/>
          <w:b/>
          <w:bCs/>
          <w:color w:val="auto"/>
          <w:w w:val="95"/>
          <w:sz w:val="36"/>
          <w:szCs w:val="36"/>
          <w:highlight w:val="none"/>
          <w:lang w:val="en-US" w:eastAsia="zh-CN"/>
        </w:rPr>
      </w:pPr>
      <w:r>
        <w:rPr>
          <w:rFonts w:hint="eastAsia" w:eastAsia="宋体"/>
          <w:b/>
          <w:bCs/>
          <w:color w:val="auto"/>
          <w:w w:val="95"/>
          <w:sz w:val="36"/>
          <w:szCs w:val="36"/>
          <w:highlight w:val="none"/>
          <w:lang w:val="en-US" w:eastAsia="zh-CN"/>
        </w:rPr>
        <w:t>目  录</w:t>
      </w:r>
    </w:p>
    <w:p>
      <w:pPr>
        <w:jc w:val="center"/>
        <w:outlineLvl w:val="9"/>
        <w:rPr>
          <w:rFonts w:hint="eastAsia" w:eastAsia="宋体"/>
          <w:b/>
          <w:bCs/>
          <w:color w:val="auto"/>
          <w:w w:val="95"/>
          <w:sz w:val="36"/>
          <w:szCs w:val="36"/>
          <w:highlight w:val="none"/>
          <w:lang w:val="en-US" w:eastAsia="zh-CN"/>
        </w:rPr>
      </w:pPr>
    </w:p>
    <w:p>
      <w:pPr>
        <w:jc w:val="center"/>
        <w:outlineLvl w:val="9"/>
        <w:rPr>
          <w:rFonts w:hint="eastAsia" w:eastAsia="宋体"/>
          <w:b/>
          <w:bCs/>
          <w:color w:val="auto"/>
          <w:w w:val="95"/>
          <w:sz w:val="36"/>
          <w:szCs w:val="36"/>
          <w:highlight w:val="none"/>
          <w:lang w:val="en-US" w:eastAsia="zh-CN"/>
        </w:rPr>
      </w:pPr>
    </w:p>
    <w:p>
      <w:pPr>
        <w:jc w:val="center"/>
        <w:outlineLvl w:val="9"/>
        <w:rPr>
          <w:rFonts w:hint="eastAsia" w:eastAsia="宋体"/>
          <w:b/>
          <w:bCs/>
          <w:color w:val="auto"/>
          <w:w w:val="95"/>
          <w:sz w:val="32"/>
          <w:szCs w:val="32"/>
          <w:highlight w:val="none"/>
          <w:lang w:val="en-US" w:eastAsia="zh-CN"/>
        </w:rPr>
      </w:pPr>
      <w:r>
        <w:rPr>
          <w:rFonts w:hint="eastAsia" w:eastAsia="宋体"/>
          <w:b/>
          <w:bCs/>
          <w:color w:val="auto"/>
          <w:w w:val="95"/>
          <w:sz w:val="32"/>
          <w:szCs w:val="32"/>
          <w:highlight w:val="none"/>
          <w:lang w:val="en-US" w:eastAsia="zh-CN"/>
        </w:rPr>
        <w:t>（由供应商自行编制并设置页码）</w:t>
      </w: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pStyle w:val="2"/>
        <w:rPr>
          <w:b/>
          <w:bCs/>
          <w:color w:val="auto"/>
          <w:w w:val="95"/>
          <w:sz w:val="36"/>
          <w:szCs w:val="36"/>
          <w:highlight w:val="none"/>
        </w:rPr>
      </w:pPr>
    </w:p>
    <w:p>
      <w:pPr>
        <w:pStyle w:val="4"/>
        <w:rPr>
          <w:b/>
          <w:bCs/>
          <w:color w:val="auto"/>
          <w:w w:val="95"/>
          <w:sz w:val="36"/>
          <w:szCs w:val="36"/>
          <w:highlight w:val="none"/>
        </w:rPr>
      </w:pPr>
    </w:p>
    <w:p>
      <w:pPr>
        <w:rPr>
          <w:b/>
          <w:bCs/>
          <w:color w:val="auto"/>
          <w:w w:val="95"/>
          <w:sz w:val="36"/>
          <w:szCs w:val="36"/>
          <w:highlight w:val="none"/>
        </w:rPr>
      </w:pPr>
    </w:p>
    <w:p>
      <w:pPr>
        <w:pStyle w:val="2"/>
        <w:rPr>
          <w:b/>
          <w:bCs/>
          <w:color w:val="auto"/>
          <w:w w:val="95"/>
          <w:sz w:val="36"/>
          <w:szCs w:val="36"/>
          <w:highlight w:val="none"/>
        </w:rPr>
      </w:pPr>
    </w:p>
    <w:p>
      <w:pPr>
        <w:pStyle w:val="4"/>
        <w:rPr>
          <w:b/>
          <w:bCs/>
          <w:color w:val="auto"/>
          <w:w w:val="95"/>
          <w:sz w:val="36"/>
          <w:szCs w:val="36"/>
          <w:highlight w:val="none"/>
        </w:rPr>
      </w:pPr>
    </w:p>
    <w:p>
      <w:pPr>
        <w:rPr>
          <w:b/>
          <w:bCs/>
          <w:color w:val="auto"/>
          <w:w w:val="95"/>
          <w:sz w:val="36"/>
          <w:szCs w:val="36"/>
          <w:highlight w:val="none"/>
        </w:rPr>
      </w:pPr>
    </w:p>
    <w:p>
      <w:pPr>
        <w:pStyle w:val="2"/>
        <w:rPr>
          <w:b/>
          <w:bCs/>
          <w:color w:val="auto"/>
          <w:w w:val="95"/>
          <w:sz w:val="36"/>
          <w:szCs w:val="36"/>
          <w:highlight w:val="none"/>
        </w:rPr>
      </w:pPr>
    </w:p>
    <w:p>
      <w:pPr>
        <w:pStyle w:val="4"/>
        <w:rPr>
          <w:b/>
          <w:bCs/>
          <w:color w:val="auto"/>
          <w:w w:val="95"/>
          <w:sz w:val="36"/>
          <w:szCs w:val="36"/>
          <w:highlight w:val="none"/>
        </w:rPr>
      </w:pPr>
    </w:p>
    <w:p>
      <w:pPr>
        <w:rPr>
          <w:b/>
          <w:bCs/>
          <w:color w:val="auto"/>
          <w:w w:val="95"/>
          <w:sz w:val="36"/>
          <w:szCs w:val="36"/>
          <w:highlight w:val="none"/>
        </w:rPr>
      </w:pPr>
    </w:p>
    <w:p>
      <w:pPr>
        <w:pStyle w:val="2"/>
        <w:rPr>
          <w:b/>
          <w:bCs/>
          <w:color w:val="auto"/>
          <w:w w:val="95"/>
          <w:sz w:val="36"/>
          <w:szCs w:val="36"/>
          <w:highlight w:val="none"/>
        </w:rPr>
      </w:pPr>
    </w:p>
    <w:p>
      <w:pPr>
        <w:pStyle w:val="4"/>
        <w:rPr>
          <w:b/>
          <w:bCs/>
          <w:color w:val="auto"/>
          <w:w w:val="95"/>
          <w:sz w:val="36"/>
          <w:szCs w:val="36"/>
          <w:highlight w:val="none"/>
        </w:rPr>
      </w:pPr>
    </w:p>
    <w:p>
      <w:pPr>
        <w:rPr>
          <w:b/>
          <w:bCs/>
          <w:color w:val="auto"/>
          <w:w w:val="95"/>
          <w:sz w:val="36"/>
          <w:szCs w:val="36"/>
          <w:highlight w:val="none"/>
        </w:rPr>
      </w:pPr>
    </w:p>
    <w:p>
      <w:pPr>
        <w:pStyle w:val="2"/>
        <w:rPr>
          <w:color w:val="auto"/>
          <w:highlight w:val="none"/>
        </w:rPr>
      </w:pPr>
    </w:p>
    <w:p>
      <w:pPr>
        <w:pStyle w:val="4"/>
        <w:rPr>
          <w:b/>
          <w:bCs/>
          <w:color w:val="auto"/>
          <w:w w:val="95"/>
          <w:sz w:val="36"/>
          <w:szCs w:val="36"/>
          <w:highlight w:val="none"/>
        </w:rPr>
      </w:pPr>
    </w:p>
    <w:p>
      <w:pPr>
        <w:rPr>
          <w:b/>
          <w:bCs/>
          <w:color w:val="auto"/>
          <w:w w:val="95"/>
          <w:sz w:val="36"/>
          <w:szCs w:val="36"/>
          <w:highlight w:val="none"/>
        </w:rPr>
      </w:pPr>
    </w:p>
    <w:p>
      <w:pPr>
        <w:jc w:val="both"/>
        <w:outlineLvl w:val="9"/>
        <w:rPr>
          <w:b/>
          <w:bCs/>
          <w:color w:val="auto"/>
          <w:w w:val="95"/>
          <w:sz w:val="36"/>
          <w:szCs w:val="36"/>
          <w:highlight w:val="none"/>
        </w:rPr>
      </w:pPr>
    </w:p>
    <w:p>
      <w:pPr>
        <w:jc w:val="center"/>
        <w:outlineLvl w:val="9"/>
        <w:rPr>
          <w:b/>
          <w:bCs/>
          <w:color w:val="auto"/>
          <w:w w:val="95"/>
          <w:sz w:val="36"/>
          <w:szCs w:val="36"/>
          <w:highlight w:val="none"/>
        </w:rPr>
      </w:pPr>
    </w:p>
    <w:bookmarkEnd w:id="120"/>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snapToGrid/>
          <w:color w:val="auto"/>
          <w:spacing w:val="-3"/>
          <w:kern w:val="2"/>
          <w:sz w:val="32"/>
          <w:szCs w:val="32"/>
          <w:highlight w:val="none"/>
          <w:lang w:eastAsia="zh-CN"/>
        </w:rPr>
      </w:pPr>
      <w:r>
        <w:rPr>
          <w:rFonts w:hint="eastAsia" w:asciiTheme="majorEastAsia" w:hAnsiTheme="majorEastAsia" w:eastAsiaTheme="majorEastAsia" w:cstheme="majorEastAsia"/>
          <w:b/>
          <w:bCs/>
          <w:snapToGrid/>
          <w:color w:val="auto"/>
          <w:spacing w:val="-3"/>
          <w:kern w:val="2"/>
          <w:sz w:val="32"/>
          <w:szCs w:val="32"/>
          <w:highlight w:val="none"/>
          <w:lang w:eastAsia="zh-CN"/>
        </w:rPr>
        <w:t>一、响应函格式</w:t>
      </w:r>
    </w:p>
    <w:p>
      <w:pPr>
        <w:widowControl w:val="0"/>
        <w:kinsoku/>
        <w:autoSpaceDE/>
        <w:autoSpaceDN/>
        <w:adjustRightInd/>
        <w:snapToGrid/>
        <w:spacing w:line="360" w:lineRule="auto"/>
        <w:jc w:val="center"/>
        <w:textAlignment w:val="auto"/>
        <w:rPr>
          <w:rFonts w:ascii="宋体" w:hAnsi="宋体" w:eastAsia="宋体" w:cs="宋体"/>
          <w:b/>
          <w:bCs/>
          <w:snapToGrid/>
          <w:color w:val="auto"/>
          <w:spacing w:val="-3"/>
          <w:kern w:val="2"/>
          <w:sz w:val="28"/>
          <w:szCs w:val="28"/>
          <w:highlight w:val="none"/>
          <w:lang w:eastAsia="zh-CN"/>
        </w:rPr>
      </w:pPr>
    </w:p>
    <w:p>
      <w:pPr>
        <w:widowControl w:val="0"/>
        <w:kinsoku/>
        <w:autoSpaceDE/>
        <w:autoSpaceDN/>
        <w:adjustRightInd/>
        <w:snapToGrid/>
        <w:spacing w:line="360" w:lineRule="auto"/>
        <w:jc w:val="center"/>
        <w:textAlignment w:val="auto"/>
        <w:rPr>
          <w:rFonts w:ascii="宋体" w:hAnsi="宋体" w:eastAsia="宋体" w:cs="宋体"/>
          <w:b/>
          <w:bCs/>
          <w:snapToGrid/>
          <w:color w:val="auto"/>
          <w:spacing w:val="-3"/>
          <w:kern w:val="2"/>
          <w:sz w:val="28"/>
          <w:szCs w:val="28"/>
          <w:highlight w:val="none"/>
          <w:lang w:eastAsia="zh-CN"/>
        </w:rPr>
      </w:pPr>
      <w:r>
        <w:rPr>
          <w:rFonts w:hint="eastAsia" w:ascii="宋体" w:hAnsi="宋体" w:eastAsia="宋体" w:cs="宋体"/>
          <w:b/>
          <w:bCs/>
          <w:snapToGrid/>
          <w:color w:val="auto"/>
          <w:spacing w:val="-3"/>
          <w:kern w:val="2"/>
          <w:sz w:val="28"/>
          <w:szCs w:val="28"/>
          <w:highlight w:val="none"/>
          <w:lang w:eastAsia="zh-CN"/>
        </w:rPr>
        <w:t>响   应   函</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p>
    <w:p>
      <w:pPr>
        <w:widowControl w:val="0"/>
        <w:kinsoku/>
        <w:autoSpaceDE/>
        <w:autoSpaceDN/>
        <w:adjustRightInd/>
        <w:snapToGrid/>
        <w:spacing w:line="360" w:lineRule="auto"/>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致：</w:t>
      </w:r>
      <w:r>
        <w:rPr>
          <w:rFonts w:hint="eastAsia" w:ascii="宋体" w:hAnsi="宋体" w:eastAsia="宋体" w:cs="宋体"/>
          <w:snapToGrid/>
          <w:color w:val="auto"/>
          <w:kern w:val="2"/>
          <w:sz w:val="24"/>
          <w:szCs w:val="24"/>
          <w:highlight w:val="none"/>
          <w:lang w:eastAsia="zh-CN"/>
        </w:rPr>
        <w:t>采购人或采购代理机构</w:t>
      </w:r>
      <w:r>
        <w:rPr>
          <w:rFonts w:hint="eastAsia" w:ascii="宋体" w:hAnsi="宋体" w:eastAsia="宋体" w:cs="宋体"/>
          <w:snapToGrid/>
          <w:color w:val="auto"/>
          <w:spacing w:val="-3"/>
          <w:kern w:val="2"/>
          <w:sz w:val="24"/>
          <w:szCs w:val="24"/>
          <w:highlight w:val="none"/>
          <w:lang w:eastAsia="zh-CN"/>
        </w:rPr>
        <w:t>：</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根据贵方项目编号为____________的竞争性磋商文件要求，签字代表_________（全名、职务）经正式授权并代表_________（供应商名称、地址）提交包含响应文件组成第</w:t>
      </w:r>
      <w:r>
        <w:rPr>
          <w:rFonts w:hint="eastAsia" w:ascii="宋体" w:hAnsi="宋体" w:eastAsia="宋体" w:cs="宋体"/>
          <w:snapToGrid/>
          <w:color w:val="auto"/>
          <w:spacing w:val="-3"/>
          <w:kern w:val="2"/>
          <w:sz w:val="24"/>
          <w:szCs w:val="24"/>
          <w:highlight w:val="none"/>
          <w:u w:val="single"/>
          <w:lang w:eastAsia="zh-CN"/>
        </w:rPr>
        <w:t xml:space="preserve">一 </w:t>
      </w:r>
      <w:r>
        <w:rPr>
          <w:rFonts w:hint="eastAsia" w:ascii="宋体" w:hAnsi="宋体" w:eastAsia="宋体" w:cs="宋体"/>
          <w:snapToGrid/>
          <w:color w:val="auto"/>
          <w:spacing w:val="-3"/>
          <w:kern w:val="2"/>
          <w:sz w:val="24"/>
          <w:szCs w:val="24"/>
          <w:highlight w:val="none"/>
          <w:lang w:eastAsia="zh-CN"/>
        </w:rPr>
        <w:t>项至第</w:t>
      </w:r>
      <w:r>
        <w:rPr>
          <w:rFonts w:hint="eastAsia" w:ascii="宋体" w:hAnsi="宋体" w:eastAsia="宋体" w:cs="宋体"/>
          <w:snapToGrid/>
          <w:color w:val="auto"/>
          <w:spacing w:val="-3"/>
          <w:kern w:val="2"/>
          <w:sz w:val="24"/>
          <w:szCs w:val="24"/>
          <w:highlight w:val="none"/>
          <w:u w:val="single"/>
          <w:lang w:eastAsia="zh-CN"/>
        </w:rPr>
        <w:t xml:space="preserve">  </w:t>
      </w:r>
      <w:r>
        <w:rPr>
          <w:rFonts w:hint="eastAsia" w:ascii="宋体" w:hAnsi="宋体" w:eastAsia="宋体" w:cs="宋体"/>
          <w:snapToGrid/>
          <w:color w:val="auto"/>
          <w:spacing w:val="-3"/>
          <w:kern w:val="2"/>
          <w:sz w:val="24"/>
          <w:szCs w:val="24"/>
          <w:highlight w:val="none"/>
          <w:lang w:eastAsia="zh-CN"/>
        </w:rPr>
        <w:t>项的响应文件电子版本一份。</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据此函，签字代表宣布同意并郑重承诺如下：</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1、我方递交的响应文件中所有的资料均为真实的、准确的，无任何虚假内容。若存在有虚假内容，我方愿意承担法律责任。</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2、我方已详细审查全部竞争性磋商文件，包括修改文件（如有的话）以及全部参考资料和有关附件。我们完全理解并同意放弃对这方面有不明白及误解的权利。</w:t>
      </w:r>
    </w:p>
    <w:p>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3、若成交，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4、我方保证，严格遵守</w:t>
      </w:r>
      <w:r>
        <w:rPr>
          <w:rFonts w:hint="eastAsia" w:ascii="宋体" w:hAnsi="宋体" w:eastAsia="宋体" w:cs="宋体"/>
          <w:color w:val="auto"/>
          <w:kern w:val="2"/>
          <w:sz w:val="24"/>
          <w:szCs w:val="24"/>
          <w:highlight w:val="none"/>
          <w:lang w:val="en-US" w:eastAsia="zh-CN" w:bidi="ar-SA"/>
        </w:rPr>
        <w:t>《中华人民共和国政府采购法》《中华人民共和国政府采购法实施条例》</w:t>
      </w:r>
      <w:r>
        <w:rPr>
          <w:rFonts w:hint="eastAsia" w:ascii="Times New Roman" w:hAnsi="Times New Roman" w:eastAsia="宋体" w:cs="Times New Roman"/>
          <w:color w:val="auto"/>
          <w:kern w:val="2"/>
          <w:sz w:val="24"/>
          <w:szCs w:val="24"/>
          <w:highlight w:val="none"/>
          <w:lang w:val="en-US" w:eastAsia="zh-CN" w:bidi="ar-SA"/>
        </w:rPr>
        <w:t>《政府采购竞争性磋商采购方式管理暂行办法》</w:t>
      </w:r>
      <w:r>
        <w:rPr>
          <w:rFonts w:hint="eastAsia" w:ascii="宋体" w:hAnsi="宋体" w:eastAsia="宋体" w:cs="宋体"/>
          <w:color w:val="auto"/>
          <w:spacing w:val="-3"/>
          <w:kern w:val="2"/>
          <w:sz w:val="24"/>
          <w:szCs w:val="24"/>
          <w:highlight w:val="none"/>
          <w:lang w:val="en-US" w:eastAsia="zh-CN" w:bidi="ar-SA"/>
        </w:rPr>
        <w:t>及其他相关法律法规的规定，若有违反上述法律法规的行为，愿意接受处罚并承担相应的法律责任。</w:t>
      </w:r>
    </w:p>
    <w:p>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5、本承诺将成为合同不可分割的一部分，与合同具有同等的法律效力。</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 xml:space="preserve">供应商名称（公章）：                     </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法定代表人或负责人或被授权人签名（或盖章）：</w:t>
      </w:r>
    </w:p>
    <w:p>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日期：</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年</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月</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日</w:t>
      </w:r>
    </w:p>
    <w:p>
      <w:pPr>
        <w:jc w:val="center"/>
        <w:outlineLvl w:val="9"/>
        <w:rPr>
          <w:b/>
          <w:bCs/>
          <w:color w:val="auto"/>
          <w:w w:val="95"/>
          <w:sz w:val="36"/>
          <w:szCs w:val="36"/>
          <w:highlight w:val="none"/>
        </w:rPr>
      </w:pPr>
    </w:p>
    <w:p>
      <w:pPr>
        <w:pStyle w:val="34"/>
        <w:rPr>
          <w:b/>
          <w:bCs/>
          <w:color w:val="auto"/>
          <w:w w:val="95"/>
          <w:sz w:val="36"/>
          <w:szCs w:val="36"/>
          <w:highlight w:val="none"/>
        </w:rPr>
      </w:pPr>
    </w:p>
    <w:p>
      <w:pPr>
        <w:pStyle w:val="34"/>
        <w:rPr>
          <w:b/>
          <w:bCs/>
          <w:color w:val="auto"/>
          <w:w w:val="95"/>
          <w:sz w:val="36"/>
          <w:szCs w:val="36"/>
          <w:highlight w:val="none"/>
        </w:rPr>
      </w:pPr>
    </w:p>
    <w:p>
      <w:pPr>
        <w:pStyle w:val="34"/>
        <w:rPr>
          <w:b/>
          <w:bCs/>
          <w:color w:val="auto"/>
          <w:w w:val="95"/>
          <w:sz w:val="36"/>
          <w:szCs w:val="36"/>
          <w:highlight w:val="none"/>
        </w:rPr>
      </w:pPr>
    </w:p>
    <w:p>
      <w:pPr>
        <w:pStyle w:val="34"/>
        <w:rPr>
          <w:b/>
          <w:bCs/>
          <w:color w:val="auto"/>
          <w:w w:val="95"/>
          <w:sz w:val="36"/>
          <w:szCs w:val="36"/>
          <w:highlight w:val="none"/>
        </w:rPr>
      </w:pPr>
    </w:p>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color w:val="auto"/>
          <w:spacing w:val="-3"/>
          <w:kern w:val="2"/>
          <w:sz w:val="32"/>
          <w:szCs w:val="32"/>
          <w:highlight w:val="none"/>
          <w:lang w:eastAsia="zh-CN"/>
        </w:rPr>
      </w:pPr>
      <w:r>
        <w:rPr>
          <w:rFonts w:hint="eastAsia" w:asciiTheme="majorEastAsia" w:hAnsiTheme="majorEastAsia" w:eastAsiaTheme="majorEastAsia" w:cstheme="majorEastAsia"/>
          <w:b/>
          <w:bCs/>
          <w:snapToGrid/>
          <w:color w:val="auto"/>
          <w:spacing w:val="-3"/>
          <w:kern w:val="2"/>
          <w:sz w:val="32"/>
          <w:szCs w:val="32"/>
          <w:highlight w:val="none"/>
          <w:lang w:eastAsia="zh-CN"/>
        </w:rPr>
        <w:t>二、法定代表人或负责人授权委托书格式</w:t>
      </w:r>
    </w:p>
    <w:p>
      <w:pPr>
        <w:wordWrap w:val="0"/>
        <w:spacing w:line="360" w:lineRule="auto"/>
        <w:rPr>
          <w:rFonts w:ascii="宋体" w:hAnsi="宋体" w:cs="宋体"/>
          <w:color w:val="auto"/>
          <w:spacing w:val="-3"/>
          <w:sz w:val="24"/>
          <w:highlight w:val="none"/>
        </w:rPr>
      </w:pPr>
    </w:p>
    <w:p>
      <w:pPr>
        <w:wordWrap w:val="0"/>
        <w:spacing w:line="360" w:lineRule="auto"/>
        <w:jc w:val="center"/>
        <w:rPr>
          <w:rFonts w:ascii="宋体" w:hAnsi="宋体" w:cs="宋体"/>
          <w:color w:val="auto"/>
          <w:spacing w:val="-3"/>
          <w:sz w:val="24"/>
          <w:highlight w:val="none"/>
        </w:rPr>
      </w:pPr>
      <w:r>
        <w:rPr>
          <w:rFonts w:hint="eastAsia" w:ascii="宋体" w:hAnsi="宋体" w:cs="宋体"/>
          <w:b/>
          <w:bCs/>
          <w:color w:val="auto"/>
          <w:spacing w:val="-3"/>
          <w:sz w:val="28"/>
          <w:szCs w:val="22"/>
          <w:highlight w:val="none"/>
        </w:rPr>
        <w:t>法定代表人或负责人授权委托书</w:t>
      </w:r>
    </w:p>
    <w:p>
      <w:pPr>
        <w:wordWrap w:val="0"/>
        <w:spacing w:line="360" w:lineRule="auto"/>
        <w:rPr>
          <w:rFonts w:ascii="宋体" w:hAnsi="宋体" w:cs="宋体"/>
          <w:color w:val="auto"/>
          <w:spacing w:val="-3"/>
          <w:sz w:val="24"/>
          <w:highlight w:val="none"/>
        </w:rPr>
      </w:pPr>
    </w:p>
    <w:p>
      <w:pPr>
        <w:wordWrap w:val="0"/>
        <w:spacing w:line="360" w:lineRule="auto"/>
        <w:rPr>
          <w:rFonts w:ascii="宋体" w:hAnsi="宋体" w:cs="宋体"/>
          <w:color w:val="auto"/>
          <w:spacing w:val="-3"/>
          <w:sz w:val="24"/>
          <w:highlight w:val="none"/>
        </w:rPr>
      </w:pPr>
      <w:r>
        <w:rPr>
          <w:rFonts w:hint="eastAsia" w:ascii="宋体" w:hAnsi="宋体" w:cs="宋体"/>
          <w:color w:val="auto"/>
          <w:spacing w:val="-3"/>
          <w:sz w:val="24"/>
          <w:highlight w:val="none"/>
        </w:rPr>
        <w:t>致</w:t>
      </w:r>
      <w:r>
        <w:rPr>
          <w:rFonts w:hint="eastAsia" w:ascii="宋体" w:hAnsi="宋体" w:cs="宋体"/>
          <w:color w:val="auto"/>
          <w:sz w:val="24"/>
          <w:highlight w:val="none"/>
        </w:rPr>
        <w:t>采购人或采购代理机构</w:t>
      </w:r>
      <w:r>
        <w:rPr>
          <w:rFonts w:hint="eastAsia" w:ascii="宋体" w:hAnsi="宋体" w:cs="宋体"/>
          <w:color w:val="auto"/>
          <w:spacing w:val="-3"/>
          <w:sz w:val="24"/>
          <w:highlight w:val="none"/>
        </w:rPr>
        <w:t>：</w:t>
      </w:r>
    </w:p>
    <w:p>
      <w:pPr>
        <w:wordWrap w:val="0"/>
        <w:spacing w:line="360" w:lineRule="auto"/>
        <w:ind w:firstLine="702" w:firstLineChars="300"/>
        <w:rPr>
          <w:rFonts w:ascii="宋体" w:hAnsi="宋体" w:cs="宋体"/>
          <w:color w:val="auto"/>
          <w:spacing w:val="-3"/>
          <w:sz w:val="24"/>
          <w:highlight w:val="none"/>
        </w:rPr>
      </w:pPr>
      <w:r>
        <w:rPr>
          <w:rFonts w:hint="eastAsia" w:ascii="宋体" w:hAnsi="宋体" w:cs="宋体"/>
          <w:color w:val="auto"/>
          <w:spacing w:val="-3"/>
          <w:sz w:val="24"/>
          <w:highlight w:val="none"/>
        </w:rPr>
        <w:t>我_________（姓名）系_________（供应商名称）的法定代表人或负责人，现授权委托本单位在职职工</w:t>
      </w:r>
      <w:r>
        <w:rPr>
          <w:rFonts w:hint="eastAsia" w:ascii="宋体" w:hAnsi="宋体" w:cs="宋体"/>
          <w:color w:val="auto"/>
          <w:spacing w:val="-3"/>
          <w:sz w:val="24"/>
          <w:highlight w:val="none"/>
          <w:u w:val="single"/>
        </w:rPr>
        <w:t>（姓名）</w:t>
      </w:r>
      <w:r>
        <w:rPr>
          <w:rFonts w:hint="eastAsia" w:ascii="宋体" w:hAnsi="宋体" w:cs="宋体"/>
          <w:color w:val="auto"/>
          <w:spacing w:val="-3"/>
          <w:sz w:val="24"/>
          <w:highlight w:val="none"/>
        </w:rPr>
        <w:t>以我方的名义参加项目的竞争性磋商活动，并代表我方全权办理针对上述项目的具体事务和签署相关文件。我方对被授权人的签名事项负全部责任。</w:t>
      </w:r>
    </w:p>
    <w:p>
      <w:pPr>
        <w:wordWrap w:val="0"/>
        <w:spacing w:line="360" w:lineRule="auto"/>
        <w:ind w:firstLine="480"/>
        <w:rPr>
          <w:rFonts w:ascii="宋体" w:hAnsi="宋体" w:cs="宋体"/>
          <w:color w:val="auto"/>
          <w:spacing w:val="-3"/>
          <w:sz w:val="24"/>
          <w:highlight w:val="none"/>
        </w:rPr>
      </w:pPr>
      <w:r>
        <w:rPr>
          <w:rFonts w:hint="eastAsia" w:ascii="宋体" w:hAnsi="宋体" w:cs="宋体"/>
          <w:color w:val="auto"/>
          <w:spacing w:val="-3"/>
          <w:sz w:val="24"/>
          <w:highlight w:val="none"/>
        </w:rPr>
        <w:t>在撤销授权的书面通知以前，本授权书一直有效。被授权人在授权书有效期内签署的所有文件不因授权的撤销而失效。</w:t>
      </w:r>
    </w:p>
    <w:p>
      <w:pPr>
        <w:wordWrap w:val="0"/>
        <w:spacing w:line="360" w:lineRule="auto"/>
        <w:ind w:firstLine="480"/>
        <w:rPr>
          <w:rFonts w:ascii="宋体" w:hAnsi="宋体" w:cs="宋体"/>
          <w:color w:val="auto"/>
          <w:spacing w:val="-3"/>
          <w:sz w:val="24"/>
          <w:highlight w:val="none"/>
        </w:rPr>
      </w:pPr>
      <w:r>
        <w:rPr>
          <w:rFonts w:hint="eastAsia" w:ascii="宋体" w:hAnsi="宋体" w:cs="宋体"/>
          <w:color w:val="auto"/>
          <w:spacing w:val="-3"/>
          <w:sz w:val="24"/>
          <w:highlight w:val="none"/>
        </w:rPr>
        <w:t>被授权人无转委托权，特此委托。</w:t>
      </w:r>
    </w:p>
    <w:p>
      <w:pPr>
        <w:wordWrap w:val="0"/>
        <w:spacing w:line="360" w:lineRule="auto"/>
        <w:rPr>
          <w:rFonts w:ascii="宋体" w:hAnsi="宋体" w:cs="宋体"/>
          <w:color w:val="auto"/>
          <w:spacing w:val="-3"/>
          <w:sz w:val="24"/>
          <w:highlight w:val="none"/>
        </w:rPr>
      </w:pPr>
    </w:p>
    <w:p>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法定代表人或负责人签名（或盖章）：</w:t>
      </w:r>
    </w:p>
    <w:p>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被授权人签名（或盖章）：</w:t>
      </w:r>
    </w:p>
    <w:p>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职务：</w:t>
      </w:r>
    </w:p>
    <w:p>
      <w:pPr>
        <w:wordWrap w:val="0"/>
        <w:spacing w:line="360" w:lineRule="auto"/>
        <w:ind w:firstLine="2634" w:firstLineChars="1126"/>
        <w:rPr>
          <w:rFonts w:ascii="宋体" w:hAnsi="宋体" w:cs="宋体"/>
          <w:color w:val="auto"/>
          <w:spacing w:val="-3"/>
          <w:sz w:val="24"/>
          <w:highlight w:val="none"/>
        </w:rPr>
      </w:pPr>
      <w:r>
        <w:rPr>
          <w:rFonts w:hint="eastAsia" w:ascii="宋体" w:hAnsi="宋体" w:cs="宋体"/>
          <w:color w:val="auto"/>
          <w:spacing w:val="-3"/>
          <w:sz w:val="24"/>
          <w:highlight w:val="none"/>
        </w:rPr>
        <w:t>联系电话：</w:t>
      </w:r>
    </w:p>
    <w:p>
      <w:pPr>
        <w:wordWrap w:val="0"/>
        <w:spacing w:line="360" w:lineRule="auto"/>
        <w:rPr>
          <w:rFonts w:ascii="宋体" w:hAnsi="宋体" w:cs="宋体"/>
          <w:color w:val="auto"/>
          <w:spacing w:val="-3"/>
          <w:sz w:val="24"/>
          <w:highlight w:val="none"/>
        </w:rPr>
      </w:pPr>
    </w:p>
    <w:p>
      <w:pPr>
        <w:wordWrap w:val="0"/>
        <w:spacing w:line="360" w:lineRule="auto"/>
        <w:rPr>
          <w:rFonts w:ascii="宋体" w:hAnsi="宋体" w:cs="宋体"/>
          <w:color w:val="auto"/>
          <w:spacing w:val="-3"/>
          <w:sz w:val="24"/>
          <w:highlight w:val="none"/>
        </w:rPr>
      </w:pPr>
      <w:r>
        <w:rPr>
          <w:rFonts w:hint="eastAsia" w:ascii="宋体" w:hAnsi="宋体" w:cs="宋体"/>
          <w:color w:val="auto"/>
          <w:spacing w:val="-3"/>
          <w:sz w:val="24"/>
          <w:highlight w:val="none"/>
        </w:rPr>
        <w:t>法定代表人或负责人、被授权人身份证复印件</w:t>
      </w:r>
    </w:p>
    <w:p>
      <w:pPr>
        <w:wordWrap w:val="0"/>
        <w:spacing w:line="360" w:lineRule="auto"/>
        <w:rPr>
          <w:rFonts w:ascii="宋体" w:hAnsi="宋体" w:cs="宋体"/>
          <w:color w:val="auto"/>
          <w:spacing w:val="-3"/>
          <w:sz w:val="24"/>
          <w:highlight w:val="none"/>
        </w:rPr>
      </w:pPr>
    </w:p>
    <w:p>
      <w:pPr>
        <w:wordWrap w:val="0"/>
        <w:spacing w:line="360" w:lineRule="auto"/>
        <w:ind w:firstLine="6786" w:firstLineChars="2900"/>
        <w:rPr>
          <w:rFonts w:ascii="宋体" w:hAnsi="宋体" w:cs="宋体"/>
          <w:color w:val="auto"/>
          <w:spacing w:val="-3"/>
          <w:sz w:val="24"/>
          <w:highlight w:val="none"/>
        </w:rPr>
      </w:pPr>
    </w:p>
    <w:p>
      <w:pPr>
        <w:wordWrap w:val="0"/>
        <w:spacing w:line="360" w:lineRule="auto"/>
        <w:ind w:firstLine="5382" w:firstLineChars="2300"/>
        <w:rPr>
          <w:rFonts w:ascii="宋体" w:hAnsi="宋体" w:cs="宋体"/>
          <w:color w:val="auto"/>
          <w:spacing w:val="-3"/>
          <w:sz w:val="24"/>
          <w:highlight w:val="none"/>
        </w:rPr>
      </w:pPr>
      <w:r>
        <w:rPr>
          <w:rFonts w:hint="eastAsia" w:ascii="宋体" w:hAnsi="宋体" w:cs="宋体"/>
          <w:color w:val="auto"/>
          <w:spacing w:val="-3"/>
          <w:sz w:val="24"/>
          <w:highlight w:val="none"/>
        </w:rPr>
        <w:t>供应商公章：</w:t>
      </w:r>
    </w:p>
    <w:p>
      <w:pPr>
        <w:wordWrap w:val="0"/>
        <w:spacing w:line="360" w:lineRule="auto"/>
        <w:ind w:firstLine="5400" w:firstLineChars="2250"/>
        <w:rPr>
          <w:rFonts w:ascii="宋体" w:hAnsi="宋体" w:cs="宋体"/>
          <w:color w:val="auto"/>
          <w:sz w:val="24"/>
          <w:highlight w:val="none"/>
          <w:lang w:val="zh-CN"/>
        </w:rPr>
      </w:pPr>
      <w:r>
        <w:rPr>
          <w:rFonts w:hint="eastAsia" w:ascii="宋体" w:hAnsi="宋体" w:cs="宋体"/>
          <w:color w:val="auto"/>
          <w:sz w:val="24"/>
          <w:highlight w:val="none"/>
          <w:lang w:val="zh-CN"/>
        </w:rPr>
        <w:t>日期：</w:t>
      </w:r>
      <w:r>
        <w:rPr>
          <w:rFonts w:hint="eastAsia" w:ascii="宋体" w:hAnsi="宋体" w:eastAsia="宋体" w:cs="宋体"/>
          <w:color w:val="auto"/>
          <w:sz w:val="24"/>
          <w:highlight w:val="none"/>
          <w:lang w:val="en-US" w:eastAsia="zh-CN"/>
        </w:rPr>
        <w:t xml:space="preserve">   </w:t>
      </w:r>
      <w:r>
        <w:rPr>
          <w:rFonts w:hint="eastAsia" w:ascii="宋体" w:hAnsi="宋体" w:cs="宋体"/>
          <w:color w:val="auto"/>
          <w:spacing w:val="-8"/>
          <w:sz w:val="24"/>
          <w:highlight w:val="none"/>
        </w:rPr>
        <w:t>年</w:t>
      </w:r>
      <w:r>
        <w:rPr>
          <w:rFonts w:hint="eastAsia" w:ascii="宋体" w:hAnsi="宋体" w:eastAsia="宋体" w:cs="宋体"/>
          <w:color w:val="auto"/>
          <w:spacing w:val="-8"/>
          <w:sz w:val="24"/>
          <w:highlight w:val="none"/>
          <w:lang w:val="en-US" w:eastAsia="zh-CN"/>
        </w:rPr>
        <w:t xml:space="preserve">   </w:t>
      </w:r>
      <w:r>
        <w:rPr>
          <w:rFonts w:hint="eastAsia" w:ascii="宋体" w:hAnsi="宋体" w:cs="宋体"/>
          <w:color w:val="auto"/>
          <w:spacing w:val="-8"/>
          <w:sz w:val="24"/>
          <w:highlight w:val="none"/>
        </w:rPr>
        <w:t>月</w:t>
      </w:r>
      <w:r>
        <w:rPr>
          <w:rFonts w:hint="eastAsia" w:ascii="宋体" w:hAnsi="宋体" w:eastAsia="宋体" w:cs="宋体"/>
          <w:color w:val="auto"/>
          <w:spacing w:val="-8"/>
          <w:sz w:val="24"/>
          <w:highlight w:val="none"/>
          <w:lang w:val="en-US" w:eastAsia="zh-CN"/>
        </w:rPr>
        <w:t xml:space="preserve">   </w:t>
      </w:r>
      <w:r>
        <w:rPr>
          <w:rFonts w:hint="eastAsia" w:ascii="宋体" w:hAnsi="宋体" w:cs="宋体"/>
          <w:color w:val="auto"/>
          <w:spacing w:val="-8"/>
          <w:sz w:val="24"/>
          <w:highlight w:val="none"/>
        </w:rPr>
        <w:t>日</w:t>
      </w:r>
    </w:p>
    <w:p>
      <w:pPr>
        <w:pStyle w:val="34"/>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jc w:val="center"/>
        <w:outlineLvl w:val="9"/>
        <w:rPr>
          <w:b/>
          <w:bCs/>
          <w:color w:val="auto"/>
          <w:w w:val="95"/>
          <w:sz w:val="36"/>
          <w:szCs w:val="36"/>
          <w:highlight w:val="none"/>
        </w:rPr>
      </w:pPr>
    </w:p>
    <w:p>
      <w:pPr>
        <w:pStyle w:val="34"/>
        <w:rPr>
          <w:b/>
          <w:bCs/>
          <w:color w:val="auto"/>
          <w:w w:val="95"/>
          <w:sz w:val="36"/>
          <w:szCs w:val="36"/>
          <w:highlight w:val="none"/>
        </w:rPr>
      </w:pPr>
    </w:p>
    <w:p>
      <w:pPr>
        <w:pStyle w:val="34"/>
        <w:rPr>
          <w:b/>
          <w:bCs/>
          <w:color w:val="auto"/>
          <w:w w:val="95"/>
          <w:sz w:val="36"/>
          <w:szCs w:val="36"/>
          <w:highlight w:val="none"/>
        </w:rPr>
      </w:pPr>
    </w:p>
    <w:p>
      <w:pPr>
        <w:jc w:val="center"/>
        <w:outlineLvl w:val="9"/>
        <w:rPr>
          <w:b/>
          <w:bCs/>
          <w:color w:val="auto"/>
          <w:w w:val="95"/>
          <w:sz w:val="36"/>
          <w:szCs w:val="36"/>
          <w:highlight w:val="none"/>
        </w:rPr>
      </w:pPr>
    </w:p>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color w:val="auto"/>
          <w:spacing w:val="-3"/>
          <w:kern w:val="2"/>
          <w:sz w:val="32"/>
          <w:szCs w:val="32"/>
          <w:highlight w:val="none"/>
          <w:lang w:eastAsia="zh-CN"/>
        </w:rPr>
      </w:pPr>
      <w:bookmarkStart w:id="123" w:name="_Toc13448"/>
      <w:bookmarkStart w:id="124" w:name="_Toc31556"/>
      <w:r>
        <w:rPr>
          <w:rFonts w:hint="eastAsia" w:asciiTheme="majorEastAsia" w:hAnsiTheme="majorEastAsia" w:eastAsiaTheme="majorEastAsia" w:cstheme="majorEastAsia"/>
          <w:b/>
          <w:bCs/>
          <w:snapToGrid/>
          <w:color w:val="auto"/>
          <w:spacing w:val="-3"/>
          <w:kern w:val="2"/>
          <w:sz w:val="32"/>
          <w:szCs w:val="32"/>
          <w:highlight w:val="none"/>
          <w:lang w:val="en-US" w:eastAsia="zh-CN"/>
        </w:rPr>
        <w:t>三、</w:t>
      </w:r>
      <w:r>
        <w:rPr>
          <w:rFonts w:hint="eastAsia" w:asciiTheme="majorEastAsia" w:hAnsiTheme="majorEastAsia" w:eastAsiaTheme="majorEastAsia" w:cstheme="majorEastAsia"/>
          <w:b/>
          <w:bCs/>
          <w:snapToGrid/>
          <w:color w:val="auto"/>
          <w:spacing w:val="-3"/>
          <w:kern w:val="2"/>
          <w:sz w:val="32"/>
          <w:szCs w:val="32"/>
          <w:highlight w:val="none"/>
          <w:lang w:eastAsia="zh-CN"/>
        </w:rPr>
        <w:t>报价一览表格式</w:t>
      </w:r>
    </w:p>
    <w:tbl>
      <w:tblPr>
        <w:tblStyle w:val="17"/>
        <w:tblW w:w="46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6"/>
        <w:gridCol w:w="7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项目名称</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项目编号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投标人</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磋商报价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r>
              <w:rPr>
                <w:rFonts w:hint="eastAsia" w:ascii="宋体" w:hAnsi="宋体" w:cs="宋体"/>
                <w:color w:val="auto"/>
                <w:spacing w:val="-8"/>
                <w:sz w:val="24"/>
                <w:highlight w:val="none"/>
              </w:rPr>
              <w:t>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hint="default" w:ascii="宋体" w:hAnsi="宋体" w:eastAsia="宋体" w:cs="宋体"/>
                <w:b/>
                <w:bCs/>
                <w:color w:val="auto"/>
                <w:spacing w:val="-8"/>
                <w:sz w:val="24"/>
                <w:highlight w:val="none"/>
                <w:lang w:val="en-US" w:eastAsia="zh-CN"/>
              </w:rPr>
            </w:pPr>
            <w:r>
              <w:rPr>
                <w:rFonts w:hint="eastAsia" w:ascii="宋体" w:hAnsi="宋体" w:eastAsia="宋体" w:cs="宋体"/>
                <w:b/>
                <w:bCs/>
                <w:color w:val="auto"/>
                <w:spacing w:val="-8"/>
                <w:sz w:val="24"/>
                <w:highlight w:val="none"/>
                <w:lang w:val="en-US" w:eastAsia="zh-CN"/>
              </w:rPr>
              <w:t>服务期限</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hint="eastAsia" w:ascii="宋体" w:hAnsi="宋体" w:eastAsia="宋体" w:cs="宋体"/>
                <w:b/>
                <w:bCs/>
                <w:color w:val="auto"/>
                <w:spacing w:val="-8"/>
                <w:sz w:val="24"/>
                <w:highlight w:val="none"/>
                <w:lang w:val="en-US" w:eastAsia="zh-CN"/>
              </w:rPr>
            </w:pPr>
            <w:r>
              <w:rPr>
                <w:rFonts w:hint="eastAsia" w:ascii="宋体" w:hAnsi="宋体" w:cs="宋体"/>
                <w:b/>
                <w:bCs/>
                <w:color w:val="auto"/>
                <w:spacing w:val="-8"/>
                <w:sz w:val="24"/>
                <w:highlight w:val="none"/>
              </w:rPr>
              <w:t>质量</w:t>
            </w:r>
            <w:r>
              <w:rPr>
                <w:rFonts w:hint="eastAsia" w:ascii="宋体" w:hAnsi="宋体" w:eastAsia="宋体" w:cs="宋体"/>
                <w:b/>
                <w:bCs/>
                <w:color w:val="auto"/>
                <w:spacing w:val="-8"/>
                <w:sz w:val="24"/>
                <w:highlight w:val="none"/>
                <w:lang w:val="en-US" w:eastAsia="zh-CN"/>
              </w:rPr>
              <w:t>要求</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备注</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color w:val="auto"/>
                <w:spacing w:val="24"/>
                <w:sz w:val="24"/>
                <w:highlight w:val="none"/>
              </w:rPr>
            </w:pPr>
          </w:p>
          <w:p>
            <w:pPr>
              <w:wordWrap w:val="0"/>
              <w:spacing w:line="360" w:lineRule="auto"/>
              <w:rPr>
                <w:rFonts w:ascii="宋体" w:hAnsi="宋体" w:cs="宋体"/>
                <w:color w:val="auto"/>
                <w:spacing w:val="24"/>
                <w:sz w:val="24"/>
                <w:highlight w:val="none"/>
              </w:rPr>
            </w:pPr>
          </w:p>
        </w:tc>
      </w:tr>
    </w:tbl>
    <w:p>
      <w:pPr>
        <w:wordWrap w:val="0"/>
        <w:spacing w:line="360" w:lineRule="auto"/>
        <w:rPr>
          <w:rFonts w:hint="eastAsia" w:ascii="宋体" w:hAnsi="宋体" w:cs="宋体"/>
          <w:b/>
          <w:bCs/>
          <w:color w:val="auto"/>
          <w:spacing w:val="-8"/>
          <w:sz w:val="24"/>
          <w:highlight w:val="none"/>
        </w:rPr>
      </w:pPr>
    </w:p>
    <w:p>
      <w:pPr>
        <w:wordWrap w:val="0"/>
        <w:spacing w:line="360" w:lineRule="auto"/>
        <w:rPr>
          <w:rFonts w:hint="eastAsia" w:ascii="宋体" w:hAnsi="宋体" w:cs="宋体"/>
          <w:b/>
          <w:bCs/>
          <w:color w:val="auto"/>
          <w:spacing w:val="-8"/>
          <w:sz w:val="24"/>
          <w:highlight w:val="none"/>
        </w:rPr>
      </w:pPr>
      <w:r>
        <w:rPr>
          <w:rFonts w:hint="eastAsia" w:ascii="宋体" w:hAnsi="宋体" w:cs="宋体"/>
          <w:b/>
          <w:bCs/>
          <w:color w:val="auto"/>
          <w:spacing w:val="-8"/>
          <w:sz w:val="24"/>
          <w:highlight w:val="none"/>
        </w:rPr>
        <w:t>供应商（公章）：</w:t>
      </w:r>
    </w:p>
    <w:p>
      <w:pPr>
        <w:wordWrap w:val="0"/>
        <w:spacing w:line="360" w:lineRule="auto"/>
        <w:rPr>
          <w:rFonts w:ascii="宋体" w:hAnsi="宋体" w:cs="宋体"/>
          <w:b/>
          <w:bCs/>
          <w:color w:val="auto"/>
          <w:spacing w:val="-8"/>
          <w:sz w:val="24"/>
          <w:highlight w:val="none"/>
        </w:rPr>
      </w:pPr>
      <w:r>
        <w:rPr>
          <w:rFonts w:hint="eastAsia" w:ascii="宋体" w:hAnsi="宋体" w:cs="宋体"/>
          <w:b/>
          <w:bCs/>
          <w:color w:val="auto"/>
          <w:spacing w:val="-8"/>
          <w:sz w:val="24"/>
          <w:highlight w:val="none"/>
        </w:rPr>
        <w:t>法定代表人（负责人）或授权代表（签字）：</w:t>
      </w:r>
    </w:p>
    <w:p>
      <w:pPr>
        <w:wordWrap w:val="0"/>
        <w:spacing w:line="360" w:lineRule="auto"/>
        <w:rPr>
          <w:rFonts w:ascii="宋体" w:hAnsi="宋体" w:cs="宋体"/>
          <w:b/>
          <w:bCs/>
          <w:color w:val="auto"/>
          <w:spacing w:val="-8"/>
          <w:sz w:val="24"/>
          <w:highlight w:val="none"/>
          <w:lang w:val="zh-CN"/>
        </w:rPr>
      </w:pPr>
      <w:r>
        <w:rPr>
          <w:rFonts w:hint="eastAsia" w:ascii="宋体" w:hAnsi="宋体" w:cs="宋体"/>
          <w:b/>
          <w:bCs/>
          <w:color w:val="auto"/>
          <w:spacing w:val="-8"/>
          <w:sz w:val="24"/>
          <w:highlight w:val="none"/>
        </w:rPr>
        <w:t>日期：</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年</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月</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日</w:t>
      </w:r>
    </w:p>
    <w:p>
      <w:pPr>
        <w:spacing w:line="360" w:lineRule="auto"/>
        <w:rPr>
          <w:rFonts w:hint="eastAsia" w:ascii="宋体" w:hAnsi="宋体" w:cs="宋体"/>
          <w:color w:val="auto"/>
          <w:szCs w:val="21"/>
          <w:highlight w:val="none"/>
        </w:rPr>
      </w:pPr>
    </w:p>
    <w:bookmarkEnd w:id="123"/>
    <w:bookmarkEnd w:id="124"/>
    <w:p>
      <w:pPr>
        <w:jc w:val="center"/>
        <w:outlineLvl w:val="1"/>
        <w:rPr>
          <w:b/>
          <w:bCs/>
          <w:color w:val="auto"/>
          <w:w w:val="95"/>
          <w:sz w:val="36"/>
          <w:szCs w:val="36"/>
          <w:highlight w:val="none"/>
        </w:rPr>
      </w:pPr>
      <w:bookmarkStart w:id="125" w:name="_Toc27812"/>
      <w:bookmarkStart w:id="126" w:name="_Toc13223"/>
    </w:p>
    <w:p>
      <w:pPr>
        <w:wordWrap w:val="0"/>
        <w:spacing w:line="360" w:lineRule="auto"/>
        <w:rPr>
          <w:rFonts w:hint="eastAsia" w:ascii="宋体" w:hAnsi="宋体" w:cs="宋体"/>
          <w:b/>
          <w:bCs/>
          <w:color w:val="auto"/>
          <w:sz w:val="24"/>
          <w:highlight w:val="none"/>
        </w:rPr>
      </w:pPr>
    </w:p>
    <w:p>
      <w:pPr>
        <w:wordWrap w:val="0"/>
        <w:spacing w:line="360" w:lineRule="auto"/>
        <w:rPr>
          <w:rFonts w:hint="eastAsia" w:ascii="宋体" w:hAnsi="宋体" w:cs="宋体"/>
          <w:b/>
          <w:bCs/>
          <w:color w:val="auto"/>
          <w:sz w:val="24"/>
          <w:highlight w:val="none"/>
        </w:rPr>
      </w:pPr>
    </w:p>
    <w:p>
      <w:pPr>
        <w:wordWrap w:val="0"/>
        <w:spacing w:line="360" w:lineRule="auto"/>
        <w:rPr>
          <w:rFonts w:hint="eastAsia" w:ascii="宋体" w:hAnsi="宋体" w:cs="宋体"/>
          <w:b/>
          <w:bCs/>
          <w:color w:val="auto"/>
          <w:sz w:val="24"/>
          <w:highlight w:val="none"/>
        </w:rPr>
      </w:pPr>
    </w:p>
    <w:p>
      <w:pPr>
        <w:wordWrap w:val="0"/>
        <w:spacing w:line="360" w:lineRule="auto"/>
        <w:rPr>
          <w:rFonts w:hint="eastAsia" w:ascii="宋体" w:hAnsi="宋体" w:cs="宋体"/>
          <w:b/>
          <w:bCs/>
          <w:color w:val="auto"/>
          <w:sz w:val="24"/>
          <w:highlight w:val="none"/>
        </w:rPr>
      </w:pPr>
    </w:p>
    <w:p>
      <w:pPr>
        <w:wordWrap w:val="0"/>
        <w:spacing w:line="360" w:lineRule="auto"/>
        <w:rPr>
          <w:rFonts w:hint="eastAsia" w:ascii="宋体" w:hAnsi="宋体" w:cs="宋体"/>
          <w:b/>
          <w:bCs/>
          <w:color w:val="auto"/>
          <w:sz w:val="24"/>
          <w:highlight w:val="none"/>
        </w:rPr>
      </w:pPr>
    </w:p>
    <w:p>
      <w:pPr>
        <w:wordWrap w:val="0"/>
        <w:spacing w:line="360" w:lineRule="auto"/>
        <w:rPr>
          <w:rFonts w:hint="eastAsia" w:ascii="宋体" w:hAnsi="宋体" w:cs="宋体"/>
          <w:b/>
          <w:bCs/>
          <w:color w:val="auto"/>
          <w:sz w:val="24"/>
          <w:highlight w:val="none"/>
        </w:rPr>
      </w:pP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pP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snapToGrid w:val="0"/>
          <w:color w:val="auto"/>
          <w:spacing w:val="-3"/>
          <w:kern w:val="0"/>
          <w:sz w:val="28"/>
          <w:szCs w:val="28"/>
          <w:highlight w:val="none"/>
          <w:lang w:val="en-US" w:eastAsia="zh-CN" w:bidi="ar-SA"/>
        </w:rPr>
      </w:pPr>
      <w:r>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t>四、营业执照副本、依法缴纳税收和社会保障资金的缴费凭证、审计或财务报告、</w:t>
      </w:r>
      <w:r>
        <w:rPr>
          <w:rFonts w:hint="eastAsia" w:asciiTheme="minorEastAsia" w:hAnsiTheme="minorEastAsia" w:eastAsiaTheme="minorEastAsia" w:cstheme="minorEastAsia"/>
          <w:b/>
          <w:bCs/>
          <w:color w:val="auto"/>
          <w:sz w:val="28"/>
          <w:szCs w:val="28"/>
          <w:highlight w:val="none"/>
          <w:lang w:eastAsia="zh-CN"/>
        </w:rPr>
        <w:t>具有履行合同所必需的设备和专业技术能力的承诺、</w:t>
      </w:r>
      <w:r>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t>近三年内在经营活动中没有重大违法记录的声明等；</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审计或财务报告</w:t>
      </w:r>
      <w:r>
        <w:rPr>
          <w:rFonts w:hint="eastAsia" w:asciiTheme="minorEastAsia" w:hAnsiTheme="minorEastAsia" w:eastAsiaTheme="minorEastAsia" w:cstheme="minorEastAsia"/>
          <w:b w:val="0"/>
          <w:bCs w:val="0"/>
          <w:color w:val="auto"/>
          <w:sz w:val="28"/>
          <w:szCs w:val="28"/>
          <w:highlight w:val="none"/>
          <w:lang w:eastAsia="zh-CN"/>
        </w:rPr>
        <w:t>说明：</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1.</w:t>
      </w:r>
      <w:r>
        <w:rPr>
          <w:rFonts w:hint="eastAsia" w:asciiTheme="minorEastAsia" w:hAnsiTheme="minorEastAsia" w:eastAsiaTheme="minorEastAsia" w:cstheme="minorEastAsia"/>
          <w:b w:val="0"/>
          <w:bCs w:val="0"/>
          <w:color w:val="auto"/>
          <w:sz w:val="28"/>
          <w:szCs w:val="28"/>
          <w:highlight w:val="none"/>
          <w:lang w:eastAsia="zh-CN"/>
        </w:rPr>
        <w:t>提供本单位</w:t>
      </w:r>
      <w:r>
        <w:rPr>
          <w:rFonts w:hint="eastAsia" w:asciiTheme="minorEastAsia" w:hAnsiTheme="minorEastAsia" w:eastAsiaTheme="minorEastAsia" w:cstheme="minorEastAsia"/>
          <w:b w:val="0"/>
          <w:bCs w:val="0"/>
          <w:color w:val="auto"/>
          <w:sz w:val="28"/>
          <w:szCs w:val="28"/>
          <w:highlight w:val="none"/>
          <w:lang w:val="en-US" w:eastAsia="zh-CN"/>
        </w:rPr>
        <w:t>2023年、2024年、2025年年度</w:t>
      </w:r>
      <w:r>
        <w:rPr>
          <w:rFonts w:hint="eastAsia" w:asciiTheme="minorEastAsia" w:hAnsiTheme="minorEastAsia" w:eastAsiaTheme="minorEastAsia" w:cstheme="minorEastAsia"/>
          <w:b w:val="0"/>
          <w:bCs w:val="0"/>
          <w:color w:val="auto"/>
          <w:sz w:val="28"/>
          <w:szCs w:val="28"/>
          <w:highlight w:val="none"/>
          <w:lang w:eastAsia="zh-CN"/>
        </w:rPr>
        <w:t>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color w:val="auto"/>
          <w:spacing w:val="2"/>
          <w:sz w:val="28"/>
          <w:szCs w:val="28"/>
          <w:highlight w:val="none"/>
        </w:rPr>
        <w:t>供应商</w:t>
      </w:r>
      <w:r>
        <w:rPr>
          <w:rFonts w:hint="eastAsia" w:asciiTheme="minorEastAsia" w:hAnsiTheme="minorEastAsia" w:eastAsiaTheme="minorEastAsia" w:cstheme="minorEastAsia"/>
          <w:b w:val="0"/>
          <w:bCs w:val="0"/>
          <w:color w:val="auto"/>
          <w:sz w:val="28"/>
          <w:szCs w:val="28"/>
          <w:highlight w:val="none"/>
          <w:lang w:eastAsia="zh-CN"/>
        </w:rPr>
        <w:t>与银行之间业务往来正常，企业信誉良好等。</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2.</w:t>
      </w:r>
      <w:r>
        <w:rPr>
          <w:rFonts w:hint="eastAsia" w:asciiTheme="minorEastAsia" w:hAnsiTheme="minorEastAsia" w:eastAsiaTheme="minorEastAsia" w:cstheme="minorEastAsia"/>
          <w:color w:val="auto"/>
          <w:spacing w:val="2"/>
          <w:sz w:val="28"/>
          <w:szCs w:val="28"/>
          <w:highlight w:val="none"/>
        </w:rPr>
        <w:t>供应商</w:t>
      </w:r>
      <w:r>
        <w:rPr>
          <w:rFonts w:hint="eastAsia" w:asciiTheme="minorEastAsia" w:hAnsiTheme="minorEastAsia" w:eastAsiaTheme="minorEastAsia" w:cstheme="minorEastAsia"/>
          <w:b w:val="0"/>
          <w:bCs w:val="0"/>
          <w:color w:val="auto"/>
          <w:sz w:val="28"/>
          <w:szCs w:val="28"/>
          <w:highlight w:val="none"/>
          <w:lang w:eastAsia="zh-CN"/>
        </w:rPr>
        <w:t>提供企业有关财务会计制度。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highlight w:val="none"/>
          <w:lang w:eastAsia="zh-CN"/>
        </w:rPr>
      </w:pPr>
    </w:p>
    <w:p>
      <w:pPr>
        <w:pStyle w:val="2"/>
        <w:rPr>
          <w:rFonts w:hint="eastAsia" w:asciiTheme="minorEastAsia" w:hAnsiTheme="minorEastAsia" w:eastAsiaTheme="minorEastAsia" w:cstheme="minorEastAsia"/>
          <w:b w:val="0"/>
          <w:bCs w:val="0"/>
          <w:color w:val="auto"/>
          <w:sz w:val="24"/>
          <w:szCs w:val="24"/>
          <w:highlight w:val="none"/>
          <w:lang w:eastAsia="zh-CN"/>
        </w:rPr>
      </w:pPr>
    </w:p>
    <w:p>
      <w:pPr>
        <w:pStyle w:val="4"/>
        <w:rPr>
          <w:rFonts w:hint="eastAsia"/>
          <w:color w:val="auto"/>
          <w:highlight w:val="none"/>
          <w:lang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eastAsia="zh-CN"/>
        </w:rPr>
        <w:t>近三年内在经营活动中没有重大违法记录的声明（格式）</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8"/>
          <w:szCs w:val="28"/>
          <w:highlight w:val="none"/>
          <w:lang w:eastAsia="zh-CN"/>
        </w:rPr>
      </w:pPr>
      <w:r>
        <w:rPr>
          <w:rFonts w:hint="eastAsia" w:asciiTheme="minorEastAsia" w:hAnsiTheme="minorEastAsia" w:eastAsiaTheme="minorEastAsia" w:cstheme="minorEastAsia"/>
          <w:b/>
          <w:bCs/>
          <w:color w:val="auto"/>
          <w:sz w:val="28"/>
          <w:szCs w:val="28"/>
          <w:highlight w:val="none"/>
          <w:lang w:eastAsia="zh-CN"/>
        </w:rPr>
        <w:t>声明函</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（法定代表人或其授权代表）代表</w:t>
      </w:r>
      <w:r>
        <w:rPr>
          <w:rFonts w:hint="eastAsia" w:asciiTheme="minorEastAsia" w:hAnsiTheme="minorEastAsia" w:eastAsiaTheme="minorEastAsia" w:cstheme="minorEastAsia"/>
          <w:b w:val="0"/>
          <w:bCs w:val="0"/>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公司全称）向本项目的采购人和采购代理机构郑重声明如下：</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我公司近三年来的经营活动中，未因违法经营受到刑事处罚或者责令停产停业、吊销许可证或者执照、较大数额罚款等行政处罚。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特此声明。</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供应商（盖章）：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法定代表人或其授权代表（签字）：</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日期：</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pStyle w:val="34"/>
        <w:rPr>
          <w:color w:val="auto"/>
          <w:highlight w:val="none"/>
        </w:rPr>
      </w:pPr>
    </w:p>
    <w:p>
      <w:pPr>
        <w:pStyle w:val="34"/>
        <w:rPr>
          <w:color w:val="auto"/>
          <w:highlight w:val="none"/>
        </w:rPr>
      </w:pPr>
    </w:p>
    <w:p>
      <w:pPr>
        <w:jc w:val="center"/>
        <w:outlineLvl w:val="1"/>
        <w:rPr>
          <w:b/>
          <w:bCs/>
          <w:color w:val="auto"/>
          <w:w w:val="95"/>
          <w:sz w:val="36"/>
          <w:szCs w:val="36"/>
          <w:highlight w:val="none"/>
        </w:rPr>
      </w:pPr>
    </w:p>
    <w:p>
      <w:pPr>
        <w:rPr>
          <w:color w:val="auto"/>
          <w:highlight w:val="none"/>
        </w:rPr>
      </w:pPr>
    </w:p>
    <w:p>
      <w:pPr>
        <w:pStyle w:val="2"/>
        <w:rPr>
          <w:color w:val="auto"/>
          <w:highlight w:val="none"/>
        </w:rPr>
      </w:pPr>
    </w:p>
    <w:p>
      <w:pPr>
        <w:spacing w:before="125"/>
        <w:ind w:left="538" w:right="539" w:firstLine="0"/>
        <w:jc w:val="center"/>
        <w:outlineLvl w:val="0"/>
        <w:rPr>
          <w:b/>
          <w:color w:val="auto"/>
          <w:sz w:val="32"/>
          <w:highlight w:val="none"/>
        </w:rPr>
      </w:pPr>
      <w:bookmarkStart w:id="127" w:name="_Toc21983"/>
      <w:bookmarkStart w:id="128" w:name="_Toc4459"/>
      <w:r>
        <w:rPr>
          <w:b/>
          <w:color w:val="auto"/>
          <w:sz w:val="32"/>
          <w:highlight w:val="none"/>
        </w:rPr>
        <w:t>五、项目管理机构</w:t>
      </w:r>
      <w:bookmarkEnd w:id="127"/>
      <w:bookmarkEnd w:id="128"/>
    </w:p>
    <w:p>
      <w:pPr>
        <w:pStyle w:val="9"/>
        <w:spacing w:before="242"/>
        <w:ind w:right="536"/>
        <w:outlineLvl w:val="1"/>
        <w:rPr>
          <w:color w:val="auto"/>
          <w:highlight w:val="none"/>
        </w:rPr>
      </w:pPr>
      <w:bookmarkStart w:id="129" w:name="_Toc17662"/>
      <w:r>
        <w:rPr>
          <w:color w:val="auto"/>
          <w:highlight w:val="none"/>
        </w:rPr>
        <w:t>（一）项目人员组成表</w:t>
      </w:r>
      <w:bookmarkEnd w:id="129"/>
    </w:p>
    <w:p>
      <w:pPr>
        <w:pStyle w:val="3"/>
        <w:spacing w:before="4"/>
        <w:ind w:left="0"/>
        <w:rPr>
          <w:b/>
          <w:color w:val="auto"/>
          <w:sz w:val="10"/>
          <w:highlight w:val="none"/>
        </w:rPr>
      </w:pPr>
    </w:p>
    <w:tbl>
      <w:tblPr>
        <w:tblStyle w:val="17"/>
        <w:tblW w:w="9292"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
        <w:gridCol w:w="898"/>
        <w:gridCol w:w="903"/>
        <w:gridCol w:w="1498"/>
        <w:gridCol w:w="1302"/>
        <w:gridCol w:w="1417"/>
        <w:gridCol w:w="1475"/>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7"/>
              <w:rPr>
                <w:color w:val="auto"/>
                <w:sz w:val="22"/>
                <w:highlight w:val="none"/>
              </w:rPr>
            </w:pPr>
            <w:r>
              <w:rPr>
                <w:color w:val="auto"/>
                <w:sz w:val="22"/>
                <w:highlight w:val="none"/>
              </w:rPr>
              <w:t>职务</w:t>
            </w:r>
          </w:p>
        </w:tc>
        <w:tc>
          <w:tcPr>
            <w:tcW w:w="898"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7"/>
              <w:rPr>
                <w:color w:val="auto"/>
                <w:sz w:val="22"/>
                <w:highlight w:val="none"/>
              </w:rPr>
            </w:pPr>
            <w:r>
              <w:rPr>
                <w:color w:val="auto"/>
                <w:sz w:val="22"/>
                <w:highlight w:val="none"/>
              </w:rPr>
              <w:t>姓名</w:t>
            </w:r>
          </w:p>
        </w:tc>
        <w:tc>
          <w:tcPr>
            <w:tcW w:w="903"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6"/>
              <w:rPr>
                <w:color w:val="auto"/>
                <w:sz w:val="22"/>
                <w:highlight w:val="none"/>
              </w:rPr>
            </w:pPr>
            <w:r>
              <w:rPr>
                <w:color w:val="auto"/>
                <w:sz w:val="22"/>
                <w:highlight w:val="none"/>
              </w:rPr>
              <w:t>职称</w:t>
            </w:r>
          </w:p>
        </w:tc>
        <w:tc>
          <w:tcPr>
            <w:tcW w:w="5692" w:type="dxa"/>
            <w:gridSpan w:val="4"/>
            <w:vAlign w:val="top"/>
          </w:tcPr>
          <w:p>
            <w:pPr>
              <w:pStyle w:val="31"/>
              <w:spacing w:before="192"/>
              <w:ind w:left="1851"/>
              <w:rPr>
                <w:color w:val="auto"/>
                <w:sz w:val="22"/>
                <w:highlight w:val="none"/>
              </w:rPr>
            </w:pPr>
            <w:r>
              <w:rPr>
                <w:color w:val="auto"/>
                <w:sz w:val="22"/>
                <w:highlight w:val="none"/>
              </w:rPr>
              <w:t>执业或职业资格证明</w:t>
            </w:r>
          </w:p>
        </w:tc>
        <w:tc>
          <w:tcPr>
            <w:tcW w:w="901"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Merge w:val="continue"/>
            <w:tcBorders>
              <w:top w:val="nil"/>
            </w:tcBorders>
            <w:vAlign w:val="top"/>
          </w:tcPr>
          <w:p>
            <w:pPr>
              <w:rPr>
                <w:color w:val="auto"/>
                <w:sz w:val="2"/>
                <w:szCs w:val="2"/>
                <w:highlight w:val="none"/>
              </w:rPr>
            </w:pPr>
          </w:p>
        </w:tc>
        <w:tc>
          <w:tcPr>
            <w:tcW w:w="898" w:type="dxa"/>
            <w:vMerge w:val="continue"/>
            <w:tcBorders>
              <w:top w:val="nil"/>
            </w:tcBorders>
            <w:vAlign w:val="top"/>
          </w:tcPr>
          <w:p>
            <w:pPr>
              <w:rPr>
                <w:color w:val="auto"/>
                <w:sz w:val="2"/>
                <w:szCs w:val="2"/>
                <w:highlight w:val="none"/>
              </w:rPr>
            </w:pPr>
          </w:p>
        </w:tc>
        <w:tc>
          <w:tcPr>
            <w:tcW w:w="903" w:type="dxa"/>
            <w:vMerge w:val="continue"/>
            <w:tcBorders>
              <w:top w:val="nil"/>
            </w:tcBorders>
            <w:vAlign w:val="top"/>
          </w:tcPr>
          <w:p>
            <w:pPr>
              <w:rPr>
                <w:color w:val="auto"/>
                <w:sz w:val="2"/>
                <w:szCs w:val="2"/>
                <w:highlight w:val="none"/>
              </w:rPr>
            </w:pPr>
          </w:p>
        </w:tc>
        <w:tc>
          <w:tcPr>
            <w:tcW w:w="1498" w:type="dxa"/>
            <w:vAlign w:val="top"/>
          </w:tcPr>
          <w:p>
            <w:pPr>
              <w:pStyle w:val="31"/>
              <w:spacing w:before="192"/>
              <w:ind w:left="303"/>
              <w:rPr>
                <w:color w:val="auto"/>
                <w:sz w:val="22"/>
                <w:highlight w:val="none"/>
              </w:rPr>
            </w:pPr>
            <w:r>
              <w:rPr>
                <w:color w:val="auto"/>
                <w:sz w:val="22"/>
                <w:highlight w:val="none"/>
              </w:rPr>
              <w:t>证书名称</w:t>
            </w:r>
          </w:p>
        </w:tc>
        <w:tc>
          <w:tcPr>
            <w:tcW w:w="1302" w:type="dxa"/>
            <w:vAlign w:val="top"/>
          </w:tcPr>
          <w:p>
            <w:pPr>
              <w:pStyle w:val="31"/>
              <w:spacing w:before="192"/>
              <w:ind w:left="428"/>
              <w:rPr>
                <w:color w:val="auto"/>
                <w:sz w:val="22"/>
                <w:highlight w:val="none"/>
              </w:rPr>
            </w:pPr>
            <w:r>
              <w:rPr>
                <w:color w:val="auto"/>
                <w:sz w:val="22"/>
                <w:highlight w:val="none"/>
              </w:rPr>
              <w:t>级别</w:t>
            </w:r>
          </w:p>
        </w:tc>
        <w:tc>
          <w:tcPr>
            <w:tcW w:w="1417" w:type="dxa"/>
            <w:vAlign w:val="top"/>
          </w:tcPr>
          <w:p>
            <w:pPr>
              <w:pStyle w:val="31"/>
              <w:spacing w:before="192"/>
              <w:ind w:left="463" w:right="463"/>
              <w:jc w:val="center"/>
              <w:rPr>
                <w:color w:val="auto"/>
                <w:sz w:val="22"/>
                <w:highlight w:val="none"/>
              </w:rPr>
            </w:pPr>
            <w:r>
              <w:rPr>
                <w:color w:val="auto"/>
                <w:sz w:val="22"/>
                <w:highlight w:val="none"/>
              </w:rPr>
              <w:t>证号</w:t>
            </w:r>
          </w:p>
        </w:tc>
        <w:tc>
          <w:tcPr>
            <w:tcW w:w="1475" w:type="dxa"/>
            <w:vAlign w:val="top"/>
          </w:tcPr>
          <w:p>
            <w:pPr>
              <w:pStyle w:val="31"/>
              <w:spacing w:before="192"/>
              <w:ind w:left="496" w:right="488"/>
              <w:jc w:val="center"/>
              <w:rPr>
                <w:color w:val="auto"/>
                <w:sz w:val="22"/>
                <w:highlight w:val="none"/>
              </w:rPr>
            </w:pPr>
            <w:r>
              <w:rPr>
                <w:color w:val="auto"/>
                <w:sz w:val="22"/>
                <w:highlight w:val="none"/>
              </w:rPr>
              <w:t>专业</w:t>
            </w:r>
          </w:p>
        </w:tc>
        <w:tc>
          <w:tcPr>
            <w:tcW w:w="901" w:type="dxa"/>
            <w:vMerge w:val="continue"/>
            <w:tcBorders>
              <w:top w:val="nil"/>
            </w:tcBorders>
            <w:vAlign w:val="top"/>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bl>
    <w:p>
      <w:pPr>
        <w:spacing w:after="0"/>
        <w:rPr>
          <w:color w:val="auto"/>
          <w:highlight w:val="none"/>
        </w:rPr>
        <w:sectPr>
          <w:pgSz w:w="11910" w:h="16840"/>
          <w:pgMar w:top="980" w:right="950" w:bottom="740" w:left="1100" w:header="888" w:footer="910" w:gutter="0"/>
          <w:pgNumType w:fmt="decimal"/>
          <w:cols w:space="720" w:num="1"/>
        </w:sectPr>
      </w:pPr>
    </w:p>
    <w:p>
      <w:pPr>
        <w:pStyle w:val="9"/>
        <w:ind w:left="0" w:leftChars="0" w:firstLine="0" w:firstLineChars="0"/>
        <w:jc w:val="center"/>
        <w:outlineLvl w:val="1"/>
        <w:rPr>
          <w:color w:val="auto"/>
          <w:highlight w:val="none"/>
        </w:rPr>
      </w:pPr>
      <w:bookmarkStart w:id="130" w:name="_Toc24225"/>
      <w:r>
        <w:rPr>
          <w:color w:val="auto"/>
          <w:highlight w:val="none"/>
        </w:rPr>
        <w:t>（二）项目负责人简历表</w:t>
      </w:r>
      <w:bookmarkEnd w:id="130"/>
    </w:p>
    <w:p>
      <w:pPr>
        <w:pStyle w:val="3"/>
        <w:spacing w:before="4"/>
        <w:ind w:left="0"/>
        <w:rPr>
          <w:b/>
          <w:color w:val="auto"/>
          <w:sz w:val="10"/>
          <w:highlight w:val="none"/>
        </w:rPr>
      </w:pPr>
    </w:p>
    <w:tbl>
      <w:tblPr>
        <w:tblStyle w:val="17"/>
        <w:tblW w:w="9349" w:type="dxa"/>
        <w:tblInd w:w="4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780"/>
        <w:gridCol w:w="778"/>
        <w:gridCol w:w="1560"/>
        <w:gridCol w:w="1558"/>
        <w:gridCol w:w="780"/>
        <w:gridCol w:w="1071"/>
        <w:gridCol w:w="1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555" w:type="dxa"/>
            <w:vAlign w:val="top"/>
          </w:tcPr>
          <w:p>
            <w:pPr>
              <w:pStyle w:val="31"/>
              <w:spacing w:before="4"/>
              <w:rPr>
                <w:b/>
                <w:color w:val="auto"/>
                <w:sz w:val="19"/>
                <w:highlight w:val="none"/>
              </w:rPr>
            </w:pPr>
          </w:p>
          <w:p>
            <w:pPr>
              <w:pStyle w:val="31"/>
              <w:ind w:left="317" w:right="308"/>
              <w:jc w:val="center"/>
              <w:rPr>
                <w:color w:val="auto"/>
                <w:sz w:val="22"/>
                <w:highlight w:val="none"/>
              </w:rPr>
            </w:pPr>
            <w:r>
              <w:rPr>
                <w:color w:val="auto"/>
                <w:sz w:val="22"/>
                <w:highlight w:val="none"/>
              </w:rPr>
              <w:t>姓 名</w:t>
            </w:r>
          </w:p>
        </w:tc>
        <w:tc>
          <w:tcPr>
            <w:tcW w:w="1558" w:type="dxa"/>
            <w:gridSpan w:val="2"/>
            <w:vAlign w:val="top"/>
          </w:tcPr>
          <w:p>
            <w:pPr>
              <w:pStyle w:val="31"/>
              <w:rPr>
                <w:rFonts w:ascii="Times New Roman"/>
                <w:color w:val="auto"/>
                <w:sz w:val="22"/>
                <w:highlight w:val="none"/>
              </w:rPr>
            </w:pPr>
          </w:p>
        </w:tc>
        <w:tc>
          <w:tcPr>
            <w:tcW w:w="1560" w:type="dxa"/>
            <w:vAlign w:val="top"/>
          </w:tcPr>
          <w:p>
            <w:pPr>
              <w:pStyle w:val="31"/>
              <w:spacing w:before="4"/>
              <w:rPr>
                <w:b/>
                <w:color w:val="auto"/>
                <w:sz w:val="19"/>
                <w:highlight w:val="none"/>
              </w:rPr>
            </w:pPr>
          </w:p>
          <w:p>
            <w:pPr>
              <w:pStyle w:val="31"/>
              <w:ind w:left="485" w:right="475"/>
              <w:jc w:val="center"/>
              <w:rPr>
                <w:color w:val="auto"/>
                <w:sz w:val="22"/>
                <w:highlight w:val="none"/>
              </w:rPr>
            </w:pPr>
            <w:r>
              <w:rPr>
                <w:color w:val="auto"/>
                <w:sz w:val="22"/>
                <w:highlight w:val="none"/>
              </w:rPr>
              <w:t>年 龄</w:t>
            </w:r>
          </w:p>
        </w:tc>
        <w:tc>
          <w:tcPr>
            <w:tcW w:w="1558" w:type="dxa"/>
            <w:vAlign w:val="top"/>
          </w:tcPr>
          <w:p>
            <w:pPr>
              <w:pStyle w:val="31"/>
              <w:rPr>
                <w:rFonts w:ascii="Times New Roman"/>
                <w:color w:val="auto"/>
                <w:sz w:val="22"/>
                <w:highlight w:val="none"/>
              </w:rPr>
            </w:pPr>
          </w:p>
        </w:tc>
        <w:tc>
          <w:tcPr>
            <w:tcW w:w="1851" w:type="dxa"/>
            <w:gridSpan w:val="2"/>
            <w:vAlign w:val="top"/>
          </w:tcPr>
          <w:p>
            <w:pPr>
              <w:pStyle w:val="31"/>
              <w:spacing w:before="4"/>
              <w:rPr>
                <w:b/>
                <w:color w:val="auto"/>
                <w:sz w:val="19"/>
                <w:highlight w:val="none"/>
              </w:rPr>
            </w:pPr>
          </w:p>
          <w:p>
            <w:pPr>
              <w:pStyle w:val="31"/>
              <w:ind w:left="631" w:right="619"/>
              <w:jc w:val="center"/>
              <w:rPr>
                <w:color w:val="auto"/>
                <w:sz w:val="22"/>
                <w:highlight w:val="none"/>
              </w:rPr>
            </w:pPr>
            <w:r>
              <w:rPr>
                <w:color w:val="auto"/>
                <w:sz w:val="22"/>
                <w:highlight w:val="none"/>
              </w:rPr>
              <w:t>学 历</w:t>
            </w:r>
          </w:p>
        </w:tc>
        <w:tc>
          <w:tcPr>
            <w:tcW w:w="1267" w:type="dxa"/>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555" w:type="dxa"/>
            <w:vAlign w:val="top"/>
          </w:tcPr>
          <w:p>
            <w:pPr>
              <w:pStyle w:val="31"/>
              <w:rPr>
                <w:b/>
                <w:color w:val="auto"/>
                <w:sz w:val="18"/>
                <w:highlight w:val="none"/>
              </w:rPr>
            </w:pPr>
          </w:p>
          <w:p>
            <w:pPr>
              <w:pStyle w:val="31"/>
              <w:ind w:left="317" w:right="308"/>
              <w:jc w:val="center"/>
              <w:rPr>
                <w:color w:val="auto"/>
                <w:sz w:val="22"/>
                <w:highlight w:val="none"/>
              </w:rPr>
            </w:pPr>
            <w:r>
              <w:rPr>
                <w:color w:val="auto"/>
                <w:sz w:val="22"/>
                <w:highlight w:val="none"/>
              </w:rPr>
              <w:t>职 称</w:t>
            </w:r>
          </w:p>
        </w:tc>
        <w:tc>
          <w:tcPr>
            <w:tcW w:w="1558" w:type="dxa"/>
            <w:gridSpan w:val="2"/>
            <w:vAlign w:val="top"/>
          </w:tcPr>
          <w:p>
            <w:pPr>
              <w:pStyle w:val="31"/>
              <w:rPr>
                <w:rFonts w:ascii="Times New Roman"/>
                <w:color w:val="auto"/>
                <w:sz w:val="22"/>
                <w:highlight w:val="none"/>
              </w:rPr>
            </w:pPr>
          </w:p>
        </w:tc>
        <w:tc>
          <w:tcPr>
            <w:tcW w:w="1560" w:type="dxa"/>
            <w:vAlign w:val="top"/>
          </w:tcPr>
          <w:p>
            <w:pPr>
              <w:pStyle w:val="31"/>
              <w:rPr>
                <w:b/>
                <w:color w:val="auto"/>
                <w:sz w:val="18"/>
                <w:highlight w:val="none"/>
              </w:rPr>
            </w:pPr>
          </w:p>
          <w:p>
            <w:pPr>
              <w:pStyle w:val="31"/>
              <w:ind w:left="485" w:right="475"/>
              <w:jc w:val="center"/>
              <w:rPr>
                <w:color w:val="auto"/>
                <w:sz w:val="22"/>
                <w:highlight w:val="none"/>
              </w:rPr>
            </w:pPr>
            <w:r>
              <w:rPr>
                <w:color w:val="auto"/>
                <w:sz w:val="22"/>
                <w:highlight w:val="none"/>
              </w:rPr>
              <w:t>职 务</w:t>
            </w:r>
          </w:p>
        </w:tc>
        <w:tc>
          <w:tcPr>
            <w:tcW w:w="1558" w:type="dxa"/>
            <w:vAlign w:val="top"/>
          </w:tcPr>
          <w:p>
            <w:pPr>
              <w:pStyle w:val="31"/>
              <w:rPr>
                <w:rFonts w:ascii="Times New Roman"/>
                <w:color w:val="auto"/>
                <w:sz w:val="22"/>
                <w:highlight w:val="none"/>
              </w:rPr>
            </w:pPr>
          </w:p>
        </w:tc>
        <w:tc>
          <w:tcPr>
            <w:tcW w:w="1851" w:type="dxa"/>
            <w:gridSpan w:val="2"/>
            <w:vAlign w:val="top"/>
          </w:tcPr>
          <w:p>
            <w:pPr>
              <w:pStyle w:val="31"/>
              <w:rPr>
                <w:b/>
                <w:color w:val="auto"/>
                <w:sz w:val="18"/>
                <w:highlight w:val="none"/>
              </w:rPr>
            </w:pPr>
          </w:p>
          <w:p>
            <w:pPr>
              <w:pStyle w:val="31"/>
              <w:ind w:left="153"/>
              <w:rPr>
                <w:color w:val="auto"/>
                <w:sz w:val="22"/>
                <w:highlight w:val="none"/>
              </w:rPr>
            </w:pPr>
            <w:r>
              <w:rPr>
                <w:color w:val="auto"/>
                <w:sz w:val="22"/>
                <w:highlight w:val="none"/>
              </w:rPr>
              <w:t>拟在本合同任职</w:t>
            </w:r>
          </w:p>
        </w:tc>
        <w:tc>
          <w:tcPr>
            <w:tcW w:w="1267" w:type="dxa"/>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555" w:type="dxa"/>
            <w:vAlign w:val="top"/>
          </w:tcPr>
          <w:p>
            <w:pPr>
              <w:pStyle w:val="31"/>
              <w:spacing w:before="2"/>
              <w:rPr>
                <w:b/>
                <w:color w:val="auto"/>
                <w:sz w:val="21"/>
                <w:highlight w:val="none"/>
              </w:rPr>
            </w:pPr>
          </w:p>
          <w:p>
            <w:pPr>
              <w:pStyle w:val="31"/>
              <w:ind w:left="317" w:right="308"/>
              <w:jc w:val="center"/>
              <w:rPr>
                <w:color w:val="auto"/>
                <w:sz w:val="22"/>
                <w:highlight w:val="none"/>
              </w:rPr>
            </w:pPr>
            <w:r>
              <w:rPr>
                <w:color w:val="auto"/>
                <w:sz w:val="22"/>
                <w:highlight w:val="none"/>
              </w:rPr>
              <w:t>毕业学校</w:t>
            </w:r>
          </w:p>
        </w:tc>
        <w:tc>
          <w:tcPr>
            <w:tcW w:w="7794" w:type="dxa"/>
            <w:gridSpan w:val="7"/>
            <w:vAlign w:val="top"/>
          </w:tcPr>
          <w:p>
            <w:pPr>
              <w:pStyle w:val="31"/>
              <w:spacing w:before="2"/>
              <w:rPr>
                <w:b/>
                <w:color w:val="auto"/>
                <w:sz w:val="21"/>
                <w:highlight w:val="none"/>
              </w:rPr>
            </w:pPr>
          </w:p>
          <w:p>
            <w:pPr>
              <w:pStyle w:val="31"/>
              <w:tabs>
                <w:tab w:val="left" w:pos="1548"/>
                <w:tab w:val="left" w:pos="2758"/>
              </w:tabs>
              <w:ind w:left="7"/>
              <w:jc w:val="center"/>
              <w:rPr>
                <w:color w:val="auto"/>
                <w:sz w:val="22"/>
                <w:highlight w:val="none"/>
              </w:rPr>
            </w:pPr>
            <w:r>
              <w:rPr>
                <w:color w:val="auto"/>
                <w:sz w:val="22"/>
                <w:highlight w:val="none"/>
              </w:rPr>
              <w:t>年毕业于</w:t>
            </w:r>
            <w:r>
              <w:rPr>
                <w:color w:val="auto"/>
                <w:sz w:val="22"/>
                <w:highlight w:val="none"/>
              </w:rPr>
              <w:tab/>
            </w:r>
            <w:r>
              <w:rPr>
                <w:color w:val="auto"/>
                <w:sz w:val="22"/>
                <w:highlight w:val="none"/>
              </w:rPr>
              <w:t>学校</w:t>
            </w:r>
            <w:r>
              <w:rPr>
                <w:color w:val="auto"/>
                <w:sz w:val="22"/>
                <w:highlight w:val="none"/>
              </w:rPr>
              <w:tab/>
            </w:r>
            <w:r>
              <w:rPr>
                <w:color w:val="auto"/>
                <w:sz w:val="22"/>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9" w:type="dxa"/>
            <w:gridSpan w:val="8"/>
            <w:vAlign w:val="top"/>
          </w:tcPr>
          <w:p>
            <w:pPr>
              <w:pStyle w:val="31"/>
              <w:spacing w:before="11"/>
              <w:rPr>
                <w:b/>
                <w:color w:val="auto"/>
                <w:sz w:val="16"/>
                <w:highlight w:val="none"/>
              </w:rPr>
            </w:pPr>
          </w:p>
          <w:p>
            <w:pPr>
              <w:pStyle w:val="31"/>
              <w:ind w:left="3994" w:right="3985"/>
              <w:jc w:val="center"/>
              <w:rPr>
                <w:color w:val="auto"/>
                <w:sz w:val="22"/>
                <w:highlight w:val="none"/>
              </w:rPr>
            </w:pPr>
            <w:r>
              <w:rPr>
                <w:color w:val="auto"/>
                <w:sz w:val="22"/>
                <w:highlight w:val="none"/>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2335" w:type="dxa"/>
            <w:gridSpan w:val="2"/>
            <w:tcBorders>
              <w:right w:val="single" w:color="000000" w:sz="6" w:space="0"/>
            </w:tcBorders>
            <w:vAlign w:val="top"/>
          </w:tcPr>
          <w:p>
            <w:pPr>
              <w:pStyle w:val="31"/>
              <w:spacing w:before="11"/>
              <w:rPr>
                <w:b/>
                <w:color w:val="auto"/>
                <w:sz w:val="19"/>
                <w:highlight w:val="none"/>
              </w:rPr>
            </w:pPr>
          </w:p>
          <w:p>
            <w:pPr>
              <w:pStyle w:val="31"/>
              <w:ind w:left="873" w:right="859"/>
              <w:jc w:val="center"/>
              <w:rPr>
                <w:color w:val="auto"/>
                <w:sz w:val="22"/>
                <w:highlight w:val="none"/>
              </w:rPr>
            </w:pPr>
            <w:r>
              <w:rPr>
                <w:color w:val="auto"/>
                <w:sz w:val="22"/>
                <w:highlight w:val="none"/>
              </w:rPr>
              <w:t>时 间</w:t>
            </w:r>
          </w:p>
        </w:tc>
        <w:tc>
          <w:tcPr>
            <w:tcW w:w="2338" w:type="dxa"/>
            <w:gridSpan w:val="2"/>
            <w:tcBorders>
              <w:left w:val="single" w:color="000000" w:sz="6" w:space="0"/>
            </w:tcBorders>
            <w:vAlign w:val="top"/>
          </w:tcPr>
          <w:p>
            <w:pPr>
              <w:pStyle w:val="31"/>
              <w:spacing w:before="11"/>
              <w:rPr>
                <w:b/>
                <w:color w:val="auto"/>
                <w:sz w:val="19"/>
                <w:highlight w:val="none"/>
              </w:rPr>
            </w:pPr>
          </w:p>
          <w:p>
            <w:pPr>
              <w:pStyle w:val="31"/>
              <w:ind w:left="286"/>
              <w:rPr>
                <w:color w:val="auto"/>
                <w:sz w:val="22"/>
                <w:highlight w:val="none"/>
              </w:rPr>
            </w:pPr>
            <w:r>
              <w:rPr>
                <w:color w:val="auto"/>
                <w:sz w:val="22"/>
                <w:highlight w:val="none"/>
              </w:rPr>
              <w:t>参加过的类似项目</w:t>
            </w:r>
          </w:p>
        </w:tc>
        <w:tc>
          <w:tcPr>
            <w:tcW w:w="2338" w:type="dxa"/>
            <w:gridSpan w:val="2"/>
            <w:vAlign w:val="top"/>
          </w:tcPr>
          <w:p>
            <w:pPr>
              <w:pStyle w:val="31"/>
              <w:spacing w:before="11"/>
              <w:rPr>
                <w:b/>
                <w:color w:val="auto"/>
                <w:sz w:val="19"/>
                <w:highlight w:val="none"/>
              </w:rPr>
            </w:pPr>
          </w:p>
          <w:p>
            <w:pPr>
              <w:pStyle w:val="31"/>
              <w:ind w:left="727"/>
              <w:rPr>
                <w:color w:val="auto"/>
                <w:sz w:val="22"/>
                <w:highlight w:val="none"/>
              </w:rPr>
            </w:pPr>
            <w:r>
              <w:rPr>
                <w:color w:val="auto"/>
                <w:sz w:val="22"/>
                <w:highlight w:val="none"/>
              </w:rPr>
              <w:t>担任职务</w:t>
            </w:r>
          </w:p>
        </w:tc>
        <w:tc>
          <w:tcPr>
            <w:tcW w:w="2338" w:type="dxa"/>
            <w:gridSpan w:val="2"/>
            <w:vAlign w:val="top"/>
          </w:tcPr>
          <w:p>
            <w:pPr>
              <w:pStyle w:val="31"/>
              <w:spacing w:before="11"/>
              <w:rPr>
                <w:b/>
                <w:color w:val="auto"/>
                <w:sz w:val="19"/>
                <w:highlight w:val="none"/>
              </w:rPr>
            </w:pPr>
          </w:p>
          <w:p>
            <w:pPr>
              <w:pStyle w:val="31"/>
              <w:ind w:left="286"/>
              <w:rPr>
                <w:color w:val="auto"/>
                <w:sz w:val="22"/>
                <w:highlight w:val="none"/>
              </w:rPr>
            </w:pPr>
            <w:r>
              <w:rPr>
                <w:color w:val="auto"/>
                <w:sz w:val="22"/>
                <w:highlight w:val="none"/>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bl>
    <w:p>
      <w:pPr>
        <w:spacing w:after="0"/>
        <w:rPr>
          <w:color w:val="auto"/>
          <w:highlight w:val="none"/>
        </w:rPr>
        <w:sectPr>
          <w:pgSz w:w="11910" w:h="16840"/>
          <w:pgMar w:top="1380" w:right="880" w:bottom="1100" w:left="880" w:header="888" w:footer="910" w:gutter="0"/>
          <w:pgNumType w:fmt="decimal"/>
          <w:cols w:space="720" w:num="1"/>
        </w:sectPr>
      </w:pPr>
    </w:p>
    <w:p>
      <w:pPr>
        <w:spacing w:before="125"/>
        <w:ind w:left="538" w:right="539" w:firstLine="0"/>
        <w:jc w:val="center"/>
        <w:outlineLvl w:val="0"/>
        <w:rPr>
          <w:b/>
          <w:color w:val="auto"/>
          <w:sz w:val="32"/>
          <w:highlight w:val="none"/>
        </w:rPr>
      </w:pPr>
      <w:bookmarkStart w:id="131" w:name="_Toc15718"/>
      <w:bookmarkStart w:id="132" w:name="_Toc17022"/>
      <w:r>
        <w:rPr>
          <w:b/>
          <w:color w:val="auto"/>
          <w:sz w:val="32"/>
          <w:highlight w:val="none"/>
        </w:rPr>
        <w:t>六、类似项目业绩</w:t>
      </w:r>
      <w:bookmarkEnd w:id="131"/>
      <w:bookmarkEnd w:id="132"/>
    </w:p>
    <w:p>
      <w:pPr>
        <w:pStyle w:val="3"/>
        <w:spacing w:before="6"/>
        <w:ind w:left="0"/>
        <w:rPr>
          <w:b/>
          <w:color w:val="auto"/>
          <w:sz w:val="8"/>
          <w:highlight w:val="none"/>
        </w:rPr>
      </w:pPr>
    </w:p>
    <w:tbl>
      <w:tblPr>
        <w:tblStyle w:val="17"/>
        <w:tblW w:w="9040"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1"/>
        <w:gridCol w:w="65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511" w:type="dxa"/>
            <w:vAlign w:val="top"/>
          </w:tcPr>
          <w:p>
            <w:pPr>
              <w:pStyle w:val="31"/>
              <w:spacing w:before="180"/>
              <w:ind w:left="154" w:right="146"/>
              <w:jc w:val="center"/>
              <w:rPr>
                <w:color w:val="auto"/>
                <w:sz w:val="24"/>
                <w:highlight w:val="none"/>
              </w:rPr>
            </w:pPr>
            <w:r>
              <w:rPr>
                <w:color w:val="auto"/>
                <w:sz w:val="24"/>
                <w:highlight w:val="none"/>
              </w:rPr>
              <w:t>项目名称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项目所在地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511" w:type="dxa"/>
            <w:vAlign w:val="top"/>
          </w:tcPr>
          <w:p>
            <w:pPr>
              <w:pStyle w:val="31"/>
              <w:spacing w:before="151"/>
              <w:ind w:left="155" w:right="146"/>
              <w:jc w:val="center"/>
              <w:rPr>
                <w:color w:val="auto"/>
                <w:sz w:val="24"/>
                <w:highlight w:val="none"/>
              </w:rPr>
            </w:pPr>
            <w:r>
              <w:rPr>
                <w:color w:val="auto"/>
                <w:sz w:val="24"/>
                <w:highlight w:val="none"/>
              </w:rPr>
              <w:t>发包人名称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发包人地址</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pPr>
              <w:pStyle w:val="31"/>
              <w:spacing w:before="154"/>
              <w:ind w:left="155" w:right="146"/>
              <w:jc w:val="center"/>
              <w:rPr>
                <w:color w:val="auto"/>
                <w:sz w:val="24"/>
                <w:highlight w:val="none"/>
              </w:rPr>
            </w:pPr>
            <w:r>
              <w:rPr>
                <w:color w:val="auto"/>
                <w:sz w:val="24"/>
                <w:highlight w:val="none"/>
              </w:rPr>
              <w:t>发包人联系人及电话</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pPr>
              <w:pStyle w:val="31"/>
              <w:spacing w:before="148"/>
              <w:ind w:left="154" w:right="146"/>
              <w:jc w:val="center"/>
              <w:rPr>
                <w:color w:val="auto"/>
                <w:sz w:val="24"/>
                <w:highlight w:val="none"/>
              </w:rPr>
            </w:pPr>
            <w:r>
              <w:rPr>
                <w:color w:val="auto"/>
                <w:sz w:val="24"/>
                <w:highlight w:val="none"/>
              </w:rPr>
              <w:t>合同价格</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pPr>
              <w:pStyle w:val="31"/>
              <w:spacing w:before="146"/>
              <w:ind w:left="155" w:right="146"/>
              <w:jc w:val="center"/>
              <w:rPr>
                <w:color w:val="auto"/>
                <w:sz w:val="24"/>
                <w:highlight w:val="none"/>
              </w:rPr>
            </w:pPr>
            <w:r>
              <w:rPr>
                <w:color w:val="auto"/>
                <w:sz w:val="24"/>
                <w:highlight w:val="none"/>
              </w:rPr>
              <w:t>服务开始日期</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2511" w:type="dxa"/>
            <w:vAlign w:val="top"/>
          </w:tcPr>
          <w:p>
            <w:pPr>
              <w:pStyle w:val="31"/>
              <w:spacing w:before="158"/>
              <w:ind w:left="155" w:right="146"/>
              <w:jc w:val="center"/>
              <w:rPr>
                <w:color w:val="auto"/>
                <w:sz w:val="24"/>
                <w:highlight w:val="none"/>
              </w:rPr>
            </w:pPr>
            <w:r>
              <w:rPr>
                <w:color w:val="auto"/>
                <w:sz w:val="24"/>
                <w:highlight w:val="none"/>
              </w:rPr>
              <w:t>服务结束日期</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6"/>
              <w:ind w:left="155" w:right="146"/>
              <w:jc w:val="center"/>
              <w:rPr>
                <w:color w:val="auto"/>
                <w:sz w:val="24"/>
                <w:highlight w:val="none"/>
              </w:rPr>
            </w:pPr>
            <w:r>
              <w:rPr>
                <w:color w:val="auto"/>
                <w:sz w:val="24"/>
                <w:highlight w:val="none"/>
              </w:rPr>
              <w:t>承担的工作</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511" w:type="dxa"/>
            <w:vAlign w:val="top"/>
          </w:tcPr>
          <w:p>
            <w:pPr>
              <w:pStyle w:val="31"/>
              <w:spacing w:before="151"/>
              <w:ind w:left="154" w:right="146"/>
              <w:jc w:val="center"/>
              <w:rPr>
                <w:color w:val="auto"/>
                <w:sz w:val="24"/>
                <w:highlight w:val="none"/>
              </w:rPr>
            </w:pPr>
            <w:r>
              <w:rPr>
                <w:color w:val="auto"/>
                <w:sz w:val="24"/>
                <w:highlight w:val="none"/>
              </w:rPr>
              <w:t>质量要求</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项目负责人</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pPr>
              <w:pStyle w:val="31"/>
              <w:spacing w:before="153"/>
              <w:ind w:left="155" w:right="146"/>
              <w:jc w:val="center"/>
              <w:rPr>
                <w:color w:val="auto"/>
                <w:sz w:val="24"/>
                <w:highlight w:val="none"/>
              </w:rPr>
            </w:pPr>
            <w:r>
              <w:rPr>
                <w:color w:val="auto"/>
                <w:sz w:val="24"/>
                <w:highlight w:val="none"/>
              </w:rPr>
              <w:t>其他项目人员</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2511" w:type="dxa"/>
            <w:vAlign w:val="top"/>
          </w:tcPr>
          <w:p>
            <w:pPr>
              <w:pStyle w:val="31"/>
              <w:spacing w:before="151"/>
              <w:ind w:left="155" w:right="146"/>
              <w:jc w:val="center"/>
              <w:rPr>
                <w:color w:val="auto"/>
                <w:sz w:val="24"/>
                <w:highlight w:val="none"/>
              </w:rPr>
            </w:pPr>
            <w:r>
              <w:rPr>
                <w:color w:val="auto"/>
                <w:sz w:val="24"/>
                <w:highlight w:val="none"/>
              </w:rPr>
              <w:t>业主代表及电话</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9" w:hRule="atLeast"/>
        </w:trPr>
        <w:tc>
          <w:tcPr>
            <w:tcW w:w="2511" w:type="dxa"/>
            <w:vAlign w:val="top"/>
          </w:tcPr>
          <w:p>
            <w:pPr>
              <w:pStyle w:val="31"/>
              <w:rPr>
                <w:b/>
                <w:color w:val="auto"/>
                <w:sz w:val="24"/>
                <w:highlight w:val="none"/>
              </w:rPr>
            </w:pPr>
          </w:p>
          <w:p>
            <w:pPr>
              <w:pStyle w:val="31"/>
              <w:rPr>
                <w:b/>
                <w:color w:val="auto"/>
                <w:sz w:val="24"/>
                <w:highlight w:val="none"/>
              </w:rPr>
            </w:pPr>
          </w:p>
          <w:p>
            <w:pPr>
              <w:pStyle w:val="31"/>
              <w:rPr>
                <w:b/>
                <w:color w:val="auto"/>
                <w:sz w:val="24"/>
                <w:highlight w:val="none"/>
              </w:rPr>
            </w:pPr>
          </w:p>
          <w:p>
            <w:pPr>
              <w:pStyle w:val="31"/>
              <w:spacing w:before="6"/>
              <w:rPr>
                <w:b/>
                <w:color w:val="auto"/>
                <w:sz w:val="21"/>
                <w:highlight w:val="none"/>
              </w:rPr>
            </w:pPr>
          </w:p>
          <w:p>
            <w:pPr>
              <w:pStyle w:val="31"/>
              <w:ind w:left="154" w:right="146"/>
              <w:jc w:val="center"/>
              <w:rPr>
                <w:color w:val="auto"/>
                <w:sz w:val="24"/>
                <w:highlight w:val="none"/>
              </w:rPr>
            </w:pPr>
            <w:r>
              <w:rPr>
                <w:color w:val="auto"/>
                <w:sz w:val="24"/>
                <w:highlight w:val="none"/>
              </w:rPr>
              <w:t>项目描述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pPr>
              <w:pStyle w:val="31"/>
              <w:spacing w:before="194"/>
              <w:ind w:left="154" w:right="146"/>
              <w:jc w:val="center"/>
              <w:rPr>
                <w:color w:val="auto"/>
                <w:sz w:val="24"/>
                <w:highlight w:val="none"/>
              </w:rPr>
            </w:pPr>
            <w:r>
              <w:rPr>
                <w:color w:val="auto"/>
                <w:sz w:val="24"/>
                <w:highlight w:val="none"/>
              </w:rPr>
              <w:t>备注</w:t>
            </w:r>
          </w:p>
        </w:tc>
        <w:tc>
          <w:tcPr>
            <w:tcW w:w="6529" w:type="dxa"/>
            <w:vAlign w:val="top"/>
          </w:tcPr>
          <w:p>
            <w:pPr>
              <w:pStyle w:val="31"/>
              <w:rPr>
                <w:rFonts w:ascii="Times New Roman"/>
                <w:color w:val="auto"/>
                <w:sz w:val="24"/>
                <w:highlight w:val="none"/>
              </w:rPr>
            </w:pPr>
          </w:p>
        </w:tc>
      </w:tr>
    </w:tbl>
    <w:p>
      <w:pPr>
        <w:spacing w:after="0"/>
        <w:rPr>
          <w:color w:val="auto"/>
          <w:highlight w:val="none"/>
        </w:rPr>
        <w:sectPr>
          <w:pgSz w:w="11910" w:h="16840"/>
          <w:pgMar w:top="1380" w:right="880" w:bottom="1100" w:left="880" w:header="888" w:footer="910" w:gutter="0"/>
          <w:pgNumType w:fmt="decimal"/>
          <w:cols w:space="720" w:num="1"/>
        </w:sectPr>
      </w:pPr>
    </w:p>
    <w:p>
      <w:pPr>
        <w:pStyle w:val="3"/>
        <w:spacing w:before="188" w:line="364" w:lineRule="auto"/>
        <w:ind w:right="472"/>
        <w:jc w:val="center"/>
        <w:rPr>
          <w:rFonts w:ascii="宋体" w:hAnsi="宋体" w:eastAsia="宋体" w:cs="宋体"/>
          <w:b/>
          <w:color w:val="auto"/>
          <w:sz w:val="32"/>
          <w:szCs w:val="22"/>
          <w:highlight w:val="none"/>
          <w:lang w:val="zh-CN" w:eastAsia="zh-CN" w:bidi="zh-CN"/>
        </w:rPr>
      </w:pPr>
      <w:bookmarkStart w:id="133" w:name="_Toc9317"/>
      <w:bookmarkStart w:id="134" w:name="_Toc15355"/>
      <w:r>
        <w:rPr>
          <w:b/>
          <w:color w:val="auto"/>
          <w:sz w:val="32"/>
          <w:highlight w:val="none"/>
        </w:rPr>
        <w:t>七、</w:t>
      </w:r>
      <w:bookmarkEnd w:id="133"/>
      <w:bookmarkEnd w:id="134"/>
      <w:r>
        <w:rPr>
          <w:rFonts w:hint="eastAsia"/>
          <w:b/>
          <w:color w:val="auto"/>
          <w:sz w:val="32"/>
          <w:highlight w:val="none"/>
        </w:rPr>
        <w:t>技术部分（根据评审标准进行编制，格式自拟）</w:t>
      </w: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spacing w:before="1"/>
        <w:ind w:left="0"/>
        <w:rPr>
          <w:color w:val="auto"/>
          <w:sz w:val="34"/>
          <w:highlight w:val="none"/>
        </w:rPr>
      </w:pPr>
    </w:p>
    <w:p>
      <w:pPr>
        <w:rPr>
          <w:b/>
          <w:color w:val="auto"/>
          <w:sz w:val="32"/>
          <w:highlight w:val="none"/>
        </w:rPr>
      </w:pPr>
      <w:bookmarkStart w:id="135" w:name="_Toc21953"/>
      <w:r>
        <w:rPr>
          <w:b/>
          <w:color w:val="auto"/>
          <w:sz w:val="32"/>
          <w:highlight w:val="none"/>
        </w:rPr>
        <w:br w:type="page"/>
      </w:r>
    </w:p>
    <w:p>
      <w:pPr>
        <w:spacing w:before="0"/>
        <w:ind w:left="538" w:right="541" w:firstLine="0"/>
        <w:jc w:val="center"/>
        <w:outlineLvl w:val="0"/>
        <w:rPr>
          <w:b/>
          <w:color w:val="auto"/>
          <w:sz w:val="32"/>
          <w:highlight w:val="none"/>
        </w:rPr>
      </w:pPr>
      <w:bookmarkStart w:id="136" w:name="_Toc1340"/>
      <w:r>
        <w:rPr>
          <w:b/>
          <w:color w:val="auto"/>
          <w:sz w:val="32"/>
          <w:highlight w:val="none"/>
        </w:rPr>
        <w:t>八、</w:t>
      </w:r>
      <w:bookmarkEnd w:id="135"/>
      <w:bookmarkEnd w:id="136"/>
      <w:r>
        <w:rPr>
          <w:rFonts w:hint="eastAsia"/>
          <w:b/>
          <w:color w:val="auto"/>
          <w:sz w:val="32"/>
          <w:highlight w:val="none"/>
          <w:lang w:val="en-US" w:eastAsia="zh-CN"/>
        </w:rPr>
        <w:t>供应商认为需提交的其他材料</w:t>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default"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九、投标人出具信用记录查询结果网页截图（加盖单位公章）</w:t>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rPr>
          <w:rFonts w:hint="eastAsia"/>
          <w:color w:val="auto"/>
          <w:highlight w:val="none"/>
          <w:lang w:val="en-US" w:eastAsia="zh-CN"/>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十、供应商诚信承诺书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2"/>
          <w:szCs w:val="32"/>
          <w:highlight w:val="none"/>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32"/>
          <w:szCs w:val="32"/>
          <w:highlight w:val="none"/>
          <w:lang w:val="en-US" w:eastAsia="zh-CN"/>
          <w14:textOutline w14:w="2306" w14:cap="flat" w14:cmpd="sng">
            <w14:solidFill>
              <w14:srgbClr w14:val="000000"/>
            </w14:solidFill>
            <w14:prstDash w14:val="solid"/>
            <w14:miter w14:val="0"/>
          </w14:textOutline>
        </w:rPr>
        <w:t>诚信承诺书</w:t>
      </w:r>
    </w:p>
    <w:p>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为维护市场公平竞争，营造诚实守信的公共资源交易环境，本公司郑重承诺：</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1、本次</w:t>
      </w:r>
      <w:r>
        <w:rPr>
          <w:rFonts w:hint="eastAsia" w:asciiTheme="minorEastAsia" w:hAnsiTheme="minorEastAsia" w:eastAsiaTheme="minorEastAsia" w:cstheme="minorEastAsia"/>
          <w:b w:val="0"/>
          <w:bCs w:val="0"/>
          <w:color w:val="auto"/>
          <w:sz w:val="24"/>
          <w:szCs w:val="24"/>
          <w:highlight w:val="none"/>
          <w:lang w:val="en-US" w:eastAsia="zh-CN"/>
        </w:rPr>
        <w:t>采购</w:t>
      </w:r>
      <w:r>
        <w:rPr>
          <w:rFonts w:hint="eastAsia" w:asciiTheme="minorEastAsia" w:hAnsiTheme="minorEastAsia" w:eastAsiaTheme="minorEastAsia" w:cstheme="minorEastAsia"/>
          <w:b w:val="0"/>
          <w:bCs w:val="0"/>
          <w:color w:val="auto"/>
          <w:sz w:val="24"/>
          <w:szCs w:val="24"/>
          <w:highlight w:val="none"/>
          <w:lang w:eastAsia="zh-CN"/>
        </w:rPr>
        <w:t>在电子</w:t>
      </w:r>
      <w:r>
        <w:rPr>
          <w:rFonts w:hint="eastAsia" w:asciiTheme="minorEastAsia" w:hAnsiTheme="minorEastAsia" w:eastAsiaTheme="minorEastAsia" w:cstheme="minorEastAsia"/>
          <w:b w:val="0"/>
          <w:bCs w:val="0"/>
          <w:color w:val="auto"/>
          <w:sz w:val="24"/>
          <w:szCs w:val="24"/>
          <w:highlight w:val="none"/>
          <w:lang w:val="en-US" w:eastAsia="zh-CN"/>
        </w:rPr>
        <w:t>响应</w:t>
      </w:r>
      <w:r>
        <w:rPr>
          <w:rFonts w:hint="eastAsia" w:asciiTheme="minorEastAsia" w:hAnsiTheme="minorEastAsia" w:eastAsiaTheme="minorEastAsia" w:cstheme="minorEastAsia"/>
          <w:b w:val="0"/>
          <w:bCs w:val="0"/>
          <w:color w:val="auto"/>
          <w:sz w:val="24"/>
          <w:szCs w:val="24"/>
          <w:highlight w:val="none"/>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2、本公司在参加本项目过程中严格遵守各项诚信廉洁规定，如有违反，自愿按规定接受处罚。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pPr>
        <w:keepNext w:val="0"/>
        <w:keepLines w:val="0"/>
        <w:pageBreakBefore w:val="0"/>
        <w:kinsoku/>
        <w:wordWrap w:val="0"/>
        <w:overflowPunct/>
        <w:topLinePunct w:val="0"/>
        <w:bidi w:val="0"/>
        <w:spacing w:line="360" w:lineRule="auto"/>
        <w:ind w:firstLine="1562" w:firstLineChars="651"/>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承诺人法定名称（盖章）：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承诺人法定地址：</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授权代表（签字或盖章）：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电话：</w:t>
      </w:r>
    </w:p>
    <w:p>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auto"/>
          <w:spacing w:val="-8"/>
          <w:kern w:val="0"/>
          <w:sz w:val="24"/>
          <w:szCs w:val="24"/>
          <w:highlight w:val="none"/>
          <w:lang w:val="zh-CN" w:eastAsia="zh-CN" w:bidi="ar-SA"/>
        </w:rPr>
      </w:pP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日期：</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rPr>
          <w:color w:val="auto"/>
          <w:highlight w:val="none"/>
        </w:rPr>
      </w:pPr>
      <w:r>
        <w:rPr>
          <w:color w:val="auto"/>
          <w:highlight w:val="none"/>
        </w:rPr>
        <w:br w:type="page"/>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十一、信用承诺书（投标人范本）</w:t>
      </w:r>
    </w:p>
    <w:p>
      <w:pPr>
        <w:pStyle w:val="3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宋体" w:hAnsi="宋体" w:eastAsia="宋体" w:cs="宋体"/>
          <w:b/>
          <w:bCs/>
          <w:color w:val="auto"/>
          <w:spacing w:val="0"/>
          <w:w w:val="100"/>
          <w:kern w:val="0"/>
          <w:position w:val="0"/>
          <w:sz w:val="40"/>
          <w:szCs w:val="40"/>
          <w:highlight w:val="none"/>
          <w:lang w:eastAsia="zh-CN"/>
        </w:rPr>
      </w:pPr>
      <w:r>
        <w:rPr>
          <w:rFonts w:hint="eastAsia" w:ascii="宋体" w:hAnsi="宋体" w:eastAsia="宋体" w:cs="宋体"/>
          <w:b/>
          <w:bCs/>
          <w:color w:val="auto"/>
          <w:spacing w:val="0"/>
          <w:w w:val="100"/>
          <w:kern w:val="0"/>
          <w:position w:val="0"/>
          <w:sz w:val="40"/>
          <w:szCs w:val="40"/>
          <w:highlight w:val="none"/>
          <w:lang w:eastAsia="zh-CN"/>
        </w:rPr>
        <w:t>信用承诺书</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依据宛发改公管〔2022〕125号文件要求：为营造公开、公平、公正、诚实守信的公共资源交易环境，树立诚信守法的投标人形象，本人代表本单位作出以下承诺;</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一）本单位对所提交的企（事）业单位基本信息、企（事）业负责人、项目负责人、技术负责人、从业资质和资格、业绩、财务状况、信誉等所有资料，均合法、真实、准确、有效，无任何伪造、修改、虚假成份，并对所提供资料的真实性负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（二）严格依照国家和河南省关于招标投标的法律、法规、规章、规范性文件，参加公共资源招标投标活动，不挂靠、借用、出租、出借、转让资质，积极履行社会责任，促进廉政建设。</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（三）自我约束、自我管理，守合同、重信用，不参与围标串标、弄虚作假、骗取中标、干扰评标、胁迫他人投标（放弃中标）、恶意投诉、违约毁约等行为，自觉维护公共资源招标投标的良好秩序。</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（四）本单位及项目经办人员信用状况良好，未被列为失信惩戒对象或"老赖""，符合参与公共资源交易活动的相关要求。</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五）本单位不存在被人力资源和社会保障部门列入拖欠农民工工资"黑名单"或因拖欠农民工工资被县级及以上有关行政主管部门限制投标资格之情形，若中标，本单位将自觉落实农民工工资保障的有关措施，及时交纳农民工工资保证金，切实维护农民工权益。</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（六）若中标，本单位将在规定的时间内与招标人签订合同并自觉履行合同义务，不转包或违法分包中标项目。</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（七）自觉接受政府、行业组织、社会公众、新闻舆论的监督。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（八）本单位自愿接受招标投标综合监督管理机构和</w:t>
      </w:r>
      <w:r>
        <w:rPr>
          <w:rFonts w:hint="eastAsia" w:ascii="宋体" w:hAnsi="宋体" w:eastAsia="宋体" w:cs="宋体"/>
          <w:color w:val="auto"/>
          <w:spacing w:val="0"/>
          <w:w w:val="100"/>
          <w:kern w:val="0"/>
          <w:position w:val="0"/>
          <w:sz w:val="28"/>
          <w:szCs w:val="28"/>
          <w:highlight w:val="none"/>
          <w:u w:val="none"/>
          <w:shd w:val="clear" w:color="auto" w:fill="auto"/>
          <w:lang w:val="en-US" w:eastAsia="zh-CN" w:bidi="zh-TW"/>
        </w:rPr>
        <w:t>有关行政监督部门依法开展的监督检查，积极配合行政监督部门的投诉处理;本单位及项目经办人员如发生违法违规或不良行为，自愿接受招</w:t>
      </w:r>
      <w:r>
        <w:rPr>
          <w:rFonts w:hint="eastAsia" w:ascii="宋体" w:hAnsi="宋体" w:eastAsia="宋体" w:cs="宋体"/>
          <w:color w:val="auto"/>
          <w:kern w:val="0"/>
          <w:sz w:val="28"/>
          <w:szCs w:val="28"/>
          <w:highlight w:val="none"/>
          <w:u w:val="none"/>
          <w:shd w:val="clear" w:color="auto" w:fill="auto"/>
          <w:lang w:val="en-US" w:eastAsia="zh-CN" w:bidi="zh-TW"/>
        </w:rPr>
        <w:t>标投标综合监督管理机构和有关行政监督部门依法给予的行政处罚（处理），依法承担赔偿责任和刑事责任，并同意按照相关规定记入本单位及项目经办人员诚信档案或不良行为（信用）记录。</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（九）本人已认真阅读了上述承诺，并向本单位员工作了宣传教育。</w:t>
      </w:r>
    </w:p>
    <w:p>
      <w:pPr>
        <w:autoSpaceDE/>
        <w:autoSpaceDN/>
        <w:spacing w:before="0" w:after="0" w:line="240" w:lineRule="auto"/>
        <w:ind w:left="0" w:right="0" w:firstLine="1120" w:firstLineChars="4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法定代表人或（委托代理人）签字∶</w:t>
      </w:r>
    </w:p>
    <w:p>
      <w:pPr>
        <w:autoSpaceDE/>
        <w:autoSpaceDN/>
        <w:spacing w:before="0" w:after="0" w:line="240" w:lineRule="auto"/>
        <w:ind w:left="0" w:right="0" w:firstLine="3080" w:firstLineChars="11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企业名称（盖章）∶ </w:t>
      </w:r>
    </w:p>
    <w:p>
      <w:pPr>
        <w:autoSpaceDE/>
        <w:autoSpaceDN/>
        <w:spacing w:before="0" w:after="0" w:line="240" w:lineRule="auto"/>
        <w:ind w:left="0" w:right="0" w:firstLine="2800" w:firstLineChars="10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项目负责人（签字）∶</w:t>
      </w:r>
    </w:p>
    <w:p>
      <w:pPr>
        <w:autoSpaceDE/>
        <w:autoSpaceDN/>
        <w:spacing w:before="0" w:after="0" w:line="240" w:lineRule="auto"/>
        <w:ind w:left="0" w:right="0"/>
        <w:jc w:val="right"/>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 年   月   日</w:t>
      </w:r>
    </w:p>
    <w:p>
      <w:pPr>
        <w:jc w:val="center"/>
        <w:outlineLvl w:val="1"/>
        <w:rPr>
          <w:b/>
          <w:bCs/>
          <w:color w:val="auto"/>
          <w:w w:val="95"/>
          <w:sz w:val="36"/>
          <w:szCs w:val="36"/>
          <w:highlight w:val="none"/>
        </w:rPr>
      </w:pPr>
    </w:p>
    <w:p>
      <w:pPr>
        <w:jc w:val="center"/>
        <w:outlineLvl w:val="1"/>
        <w:rPr>
          <w:b/>
          <w:bCs/>
          <w:color w:val="auto"/>
          <w:w w:val="95"/>
          <w:sz w:val="36"/>
          <w:szCs w:val="36"/>
          <w:highlight w:val="none"/>
        </w:rPr>
      </w:pPr>
    </w:p>
    <w:p>
      <w:pPr>
        <w:pStyle w:val="2"/>
        <w:rPr>
          <w:color w:val="auto"/>
          <w:highlight w:val="none"/>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zh-CN"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十二、投标承诺函</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投标承诺函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致（采购人及采购代理机构）：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我公司作为本次采购项目的供应商，严格遵守政府采购相关法律法规的规定，根据竞争性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磋商文件要求，现郑重承诺如下：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一、具备《中华人民共和国政府采购法》第二十二条第一款和本项目规定的条件：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（一）具有独立承担民事责任的能力；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（二）具有良好的商业信誉和健全的财务会计制度；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（三）具有履行合同所必需的设备和专业技术能力；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（四）有依法缴纳税收和社会保障资金的良好记录；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（五）参加政府采购活动前三年内，在经营活动中没有重大违法记录；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（六）法律、行政法规规定的其他条件；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（七）根据采购项目提出的特殊条件。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二、完全接受和满足本项目竞争性磋商文件中规定的实质性要求，如对竞争性磋商文件有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异议，已经在投标截止时间届满前依法进行维权救济，不存在对竞争性磋商文件有异议的同时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又参加投标以求侥幸中标或者为实现其他非法目的的行为。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三、参加本次招标采购活动，不存在与单位负责人为同一人或者存在直接控股、管理关系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的其他供应商参与同一合同项下的政府采购活动的行为。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四、参加本次招标采购活动，不存在为采购项目提供整体设计、规范编制或者项目管理、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监理、检测等服务的行为。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五、参加本次招标采购活动，不存在和其他供应商在同一合同项下的采购项目中，同时委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托同一个自然人、同一家庭的人员、同一单位的人员作为代理人的行为。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六、参加本次政府采购活动要求在近三年内供应商和其法定代表人没有行贿犯罪行为。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七、参加本次招标采购活动，不存在联合体投标。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八、投标文件中提供的能够给予我公司带来优惠、好处的任何材料资料和技术、服务、商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务等响应承诺情况都是真实的、有效的、合法的。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九、如本项目评标过程中需要提供样品，则我公司提供的样品即为中标后将要提供的中标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产品，我公司对提供样品的性能和质量负责，因样品存在缺陷或者不符合竞争性磋商文件要求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导致未能中标的，我公司愿意承担相应不利后果。（如提供样品）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十、存在以下行为之一的愿意接受相关部门的处理：</w:t>
      </w:r>
      <w:r>
        <w:rPr>
          <w:rFonts w:hint="eastAsia" w:ascii="宋体" w:hAnsi="宋体" w:eastAsia="宋体" w:cs="宋体"/>
          <w:b/>
          <w:bCs/>
          <w:snapToGrid/>
          <w:color w:val="auto"/>
          <w:kern w:val="0"/>
          <w:sz w:val="24"/>
          <w:szCs w:val="24"/>
          <w:highlight w:val="none"/>
          <w:lang w:val="en-US" w:eastAsia="zh-CN" w:bidi="ar"/>
        </w:rPr>
        <w:t xml:space="preserve">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（一）投标有效期内撤销投标文件的；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（二）在采购人确定中标人以前放弃中标候选资格的；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（三）由于中标人的原因未能按照竞争性磋商文件的规定与采购人签订合同；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（四）在响应文件中提供虚假材料谋取中标；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（五）采取不正当手段诋毁、排挤其他供应商；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（六）与采购人、其他供应商或者采购代理机构恶意串通的；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（七）投标有效期内，供应商在政府采购活动中有违法、违规、违纪行为。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由此产生的一切法律后果和责任由我公司承担。我公司声明放弃对此提出任何异议和追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索的权利。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本公司对上述承诺的内容事项真实性负责。如经查实上述承诺的内容事项存在虚假，我公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司愿意接受以提供虚假材料谋取中标追究法律责任。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供应商名称：（电子签章）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法定代表人或授权代表：（电子签章） </w:t>
      </w:r>
    </w:p>
    <w:p>
      <w:pPr>
        <w:keepNext w:val="0"/>
        <w:keepLines w:val="0"/>
        <w:widowControl/>
        <w:suppressLineNumbers w:val="0"/>
        <w:kinsoku/>
        <w:adjustRightInd/>
        <w:snapToGrid/>
        <w:spacing w:before="0" w:after="0"/>
        <w:ind w:left="0" w:right="0"/>
        <w:jc w:val="left"/>
        <w:textAlignment w:val="auto"/>
        <w:rPr>
          <w:b/>
          <w:bCs/>
          <w:color w:val="auto"/>
          <w:w w:val="95"/>
          <w:sz w:val="36"/>
          <w:szCs w:val="36"/>
          <w:highlight w:val="none"/>
        </w:rPr>
      </w:pPr>
      <w:r>
        <w:rPr>
          <w:rFonts w:hint="eastAsia" w:ascii="宋体" w:hAnsi="宋体" w:eastAsia="宋体" w:cs="宋体"/>
          <w:snapToGrid/>
          <w:color w:val="auto"/>
          <w:kern w:val="0"/>
          <w:sz w:val="24"/>
          <w:szCs w:val="24"/>
          <w:highlight w:val="none"/>
          <w:lang w:val="en-US" w:eastAsia="zh-CN" w:bidi="ar"/>
        </w:rPr>
        <w:t>日期：</w:t>
      </w:r>
      <w:r>
        <w:rPr>
          <w:rFonts w:hint="eastAsia" w:ascii="新宋体" w:hAnsi="新宋体" w:eastAsia="新宋体" w:cs="新宋体"/>
          <w:snapToGrid/>
          <w:color w:val="auto"/>
          <w:kern w:val="0"/>
          <w:sz w:val="24"/>
          <w:szCs w:val="24"/>
          <w:highlight w:val="none"/>
          <w:lang w:val="en-US" w:eastAsia="zh-CN" w:bidi="ar"/>
        </w:rPr>
        <w:t xml:space="preserve"> </w:t>
      </w:r>
    </w:p>
    <w:bookmarkEnd w:id="125"/>
    <w:bookmarkEnd w:id="126"/>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bookmarkStart w:id="137" w:name="_Toc16799"/>
      <w:bookmarkStart w:id="138" w:name="_Toc12153"/>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十三、</w:t>
      </w:r>
      <w:bookmarkEnd w:id="137"/>
      <w:bookmarkEnd w:id="138"/>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供应商认为需要的其他文件资料</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pacing w:val="-3"/>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pacing w:val="-2"/>
          <w:sz w:val="36"/>
          <w:szCs w:val="36"/>
          <w:highlight w:val="none"/>
          <w14:textOutline w14:w="2306" w14:cap="flat" w14:cmpd="sng">
            <w14:solidFill>
              <w14:srgbClr w14:val="000000"/>
            </w14:solidFill>
            <w14:prstDash w14:val="solid"/>
            <w14:miter w14:val="0"/>
          </w14:textOutline>
        </w:rPr>
        <w:t>中小企业声明函（工程、服务）格式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本公司（联合体）郑重声明，根据《政府采购促进中小企业发展管理办法》（财</w:t>
      </w:r>
      <w:r>
        <w:rPr>
          <w:rFonts w:hint="eastAsia" w:asciiTheme="minorEastAsia" w:hAnsiTheme="minorEastAsia" w:eastAsiaTheme="minorEastAsia" w:cstheme="minorEastAsia"/>
          <w:color w:val="auto"/>
          <w:spacing w:val="13"/>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库﹝2020﹞46 号）</w:t>
      </w:r>
      <w:r>
        <w:rPr>
          <w:rFonts w:hint="eastAsia" w:asciiTheme="minorEastAsia" w:hAnsiTheme="minorEastAsia" w:eastAsiaTheme="minorEastAsia" w:cstheme="minorEastAsia"/>
          <w:color w:val="auto"/>
          <w:spacing w:val="-66"/>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的规定，本公司（联合体）参加（单位名称）</w:t>
      </w:r>
      <w:r>
        <w:rPr>
          <w:rFonts w:hint="eastAsia" w:asciiTheme="minorEastAsia" w:hAnsiTheme="minorEastAsia" w:eastAsiaTheme="minorEastAsia" w:cstheme="minorEastAsia"/>
          <w:color w:val="auto"/>
          <w:spacing w:val="-67"/>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的（项目</w:t>
      </w:r>
      <w:r>
        <w:rPr>
          <w:rFonts w:hint="eastAsia" w:asciiTheme="minorEastAsia" w:hAnsiTheme="minorEastAsia" w:eastAsiaTheme="minorEastAsia" w:cstheme="minorEastAsia"/>
          <w:color w:val="auto"/>
          <w:spacing w:val="9"/>
          <w:sz w:val="24"/>
          <w:szCs w:val="24"/>
          <w:highlight w:val="none"/>
        </w:rPr>
        <w:t>名称）</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12"/>
          <w:sz w:val="24"/>
          <w:szCs w:val="24"/>
          <w:highlight w:val="none"/>
        </w:rPr>
        <w:t>采购活动，工程的施工单位全部为符合政策要求</w:t>
      </w:r>
      <w:r>
        <w:rPr>
          <w:rFonts w:hint="eastAsia" w:asciiTheme="minorEastAsia" w:hAnsiTheme="minorEastAsia" w:eastAsiaTheme="minorEastAsia" w:cstheme="minorEastAsia"/>
          <w:color w:val="auto"/>
          <w:spacing w:val="11"/>
          <w:sz w:val="24"/>
          <w:szCs w:val="24"/>
          <w:highlight w:val="none"/>
        </w:rPr>
        <w:t>的中小企业（或者：服务全部由符</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合政策要求的中小企业承接）。相关企业（含联合体中的中小企业</w:t>
      </w:r>
      <w:r>
        <w:rPr>
          <w:rFonts w:hint="eastAsia" w:asciiTheme="minorEastAsia" w:hAnsiTheme="minorEastAsia" w:eastAsiaTheme="minorEastAsia" w:cstheme="minorEastAsia"/>
          <w:color w:val="auto"/>
          <w:spacing w:val="4"/>
          <w:sz w:val="24"/>
          <w:szCs w:val="24"/>
          <w:highlight w:val="none"/>
        </w:rPr>
        <w:t>、签订分包意向协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议的中小企业）</w:t>
      </w:r>
      <w:r>
        <w:rPr>
          <w:rFonts w:hint="eastAsia" w:asciiTheme="minorEastAsia" w:hAnsiTheme="minorEastAsia" w:eastAsiaTheme="minorEastAsia" w:cstheme="minorEastAsia"/>
          <w:color w:val="auto"/>
          <w:spacing w:val="-65"/>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的具体情况如下：</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w:t>
      </w:r>
      <w:r>
        <w:rPr>
          <w:rFonts w:hint="eastAsia" w:asciiTheme="minorEastAsia" w:hAnsiTheme="minorEastAsia" w:eastAsiaTheme="minorEastAsia" w:cstheme="minorEastAsia"/>
          <w:color w:val="auto"/>
          <w:spacing w:val="8"/>
          <w:sz w:val="24"/>
          <w:szCs w:val="24"/>
          <w:highlight w:val="none"/>
          <w:u w:val="single" w:color="auto"/>
        </w:rPr>
        <w:t>（标的名称</w:t>
      </w:r>
      <w:r>
        <w:rPr>
          <w:rFonts w:hint="eastAsia" w:asciiTheme="minorEastAsia" w:hAnsiTheme="minorEastAsia" w:eastAsiaTheme="minorEastAsia" w:cstheme="minorEastAsia"/>
          <w:color w:val="auto"/>
          <w:spacing w:val="-48"/>
          <w:sz w:val="24"/>
          <w:szCs w:val="24"/>
          <w:highlight w:val="none"/>
          <w:u w:val="single" w:color="auto"/>
        </w:rPr>
        <w:t>）</w:t>
      </w:r>
      <w:r>
        <w:rPr>
          <w:rFonts w:hint="eastAsia" w:asciiTheme="minorEastAsia" w:hAnsiTheme="minorEastAsia" w:eastAsiaTheme="minorEastAsia" w:cstheme="minorEastAsia"/>
          <w:color w:val="auto"/>
          <w:spacing w:val="-48"/>
          <w:sz w:val="24"/>
          <w:szCs w:val="24"/>
          <w:highlight w:val="none"/>
        </w:rPr>
        <w:t>，</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（采购文件中明确的所属行业）</w:t>
      </w:r>
      <w:r>
        <w:rPr>
          <w:rFonts w:hint="eastAsia" w:asciiTheme="minorEastAsia" w:hAnsiTheme="minorEastAsia" w:eastAsiaTheme="minorEastAsia" w:cstheme="minorEastAsia"/>
          <w:color w:val="auto"/>
          <w:spacing w:val="8"/>
          <w:sz w:val="24"/>
          <w:szCs w:val="24"/>
          <w:highlight w:val="none"/>
        </w:rPr>
        <w:t>行业；承建</w:t>
      </w:r>
      <w:r>
        <w:rPr>
          <w:rFonts w:hint="eastAsia" w:asciiTheme="minorEastAsia" w:hAnsiTheme="minorEastAsia" w:eastAsiaTheme="minorEastAsia" w:cstheme="minorEastAsia"/>
          <w:color w:val="auto"/>
          <w:spacing w:val="7"/>
          <w:sz w:val="24"/>
          <w:szCs w:val="24"/>
          <w:highlight w:val="none"/>
        </w:rPr>
        <w:t>（承接）企业</w:t>
      </w:r>
      <w:r>
        <w:rPr>
          <w:rFonts w:hint="eastAsia" w:asciiTheme="minorEastAsia" w:hAnsiTheme="minorEastAsia" w:eastAsiaTheme="minorEastAsia" w:cstheme="minorEastAsia"/>
          <w:color w:val="auto"/>
          <w:spacing w:val="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为</w:t>
      </w:r>
      <w:r>
        <w:rPr>
          <w:rFonts w:hint="eastAsia" w:asciiTheme="minorEastAsia" w:hAnsiTheme="minorEastAsia" w:eastAsiaTheme="minorEastAsia" w:cstheme="minorEastAsia"/>
          <w:color w:val="auto"/>
          <w:spacing w:val="7"/>
          <w:sz w:val="24"/>
          <w:szCs w:val="24"/>
          <w:highlight w:val="none"/>
          <w:u w:val="single" w:color="auto"/>
        </w:rPr>
        <w:t>（企业名称</w:t>
      </w:r>
      <w:r>
        <w:rPr>
          <w:rFonts w:hint="eastAsia" w:asciiTheme="minorEastAsia" w:hAnsiTheme="minorEastAsia" w:eastAsiaTheme="minorEastAsia" w:cstheme="minorEastAsia"/>
          <w:color w:val="auto"/>
          <w:spacing w:val="-25"/>
          <w:sz w:val="24"/>
          <w:szCs w:val="24"/>
          <w:highlight w:val="none"/>
          <w:u w:val="single" w:color="auto"/>
        </w:rPr>
        <w:t>）</w:t>
      </w:r>
      <w:r>
        <w:rPr>
          <w:rFonts w:hint="eastAsia" w:asciiTheme="minorEastAsia" w:hAnsiTheme="minorEastAsia" w:eastAsiaTheme="minorEastAsia" w:cstheme="minorEastAsia"/>
          <w:color w:val="auto"/>
          <w:spacing w:val="-25"/>
          <w:sz w:val="24"/>
          <w:szCs w:val="24"/>
          <w:highlight w:val="none"/>
        </w:rPr>
        <w:t>，</w:t>
      </w:r>
      <w:r>
        <w:rPr>
          <w:rFonts w:hint="eastAsia" w:asciiTheme="minorEastAsia" w:hAnsiTheme="minorEastAsia" w:eastAsiaTheme="minorEastAsia" w:cstheme="minorEastAsia"/>
          <w:color w:val="auto"/>
          <w:spacing w:val="7"/>
          <w:sz w:val="24"/>
          <w:szCs w:val="24"/>
          <w:highlight w:val="none"/>
        </w:rPr>
        <w:t>从业人员</w:t>
      </w:r>
      <w:r>
        <w:rPr>
          <w:rFonts w:hint="eastAsia" w:asciiTheme="minorEastAsia" w:hAnsiTheme="minorEastAsia" w:eastAsiaTheme="minorEastAsia" w:cstheme="minorEastAsia"/>
          <w:color w:val="auto"/>
          <w:spacing w:val="-105"/>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人，</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营业收入为</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万元，</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资产总额为</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rPr>
        <w:t>万元</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8"/>
          <w:position w:val="6"/>
          <w:sz w:val="16"/>
          <w:szCs w:val="16"/>
          <w:highlight w:val="none"/>
        </w:rPr>
        <w:t>1</w:t>
      </w:r>
      <w:r>
        <w:rPr>
          <w:rFonts w:hint="eastAsia" w:asciiTheme="minorEastAsia" w:hAnsiTheme="minorEastAsia" w:eastAsiaTheme="minorEastAsia" w:cstheme="minorEastAsia"/>
          <w:color w:val="auto"/>
          <w:spacing w:val="-12"/>
          <w:position w:val="6"/>
          <w:sz w:val="16"/>
          <w:szCs w:val="16"/>
          <w:highlight w:val="none"/>
        </w:rPr>
        <w:t xml:space="preserve"> </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（中型企业、小型企业、微型企业</w:t>
      </w:r>
      <w:r>
        <w:rPr>
          <w:rFonts w:hint="eastAsia" w:asciiTheme="minorEastAsia" w:hAnsiTheme="minorEastAsia" w:eastAsiaTheme="minorEastAsia" w:cstheme="minorEastAsia"/>
          <w:color w:val="auto"/>
          <w:spacing w:val="-50"/>
          <w:sz w:val="24"/>
          <w:szCs w:val="24"/>
          <w:highlight w:val="none"/>
          <w:u w:val="single" w:color="auto"/>
        </w:rPr>
        <w:t>）</w:t>
      </w:r>
      <w:r>
        <w:rPr>
          <w:rFonts w:hint="eastAsia" w:asciiTheme="minorEastAsia" w:hAnsiTheme="minorEastAsia" w:eastAsiaTheme="minorEastAsia" w:cstheme="minorEastAsia"/>
          <w:color w:val="auto"/>
          <w:spacing w:val="-50"/>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2.</w:t>
      </w:r>
      <w:r>
        <w:rPr>
          <w:rFonts w:hint="eastAsia" w:asciiTheme="minorEastAsia" w:hAnsiTheme="minorEastAsia" w:eastAsiaTheme="minorEastAsia" w:cstheme="minorEastAsia"/>
          <w:color w:val="auto"/>
          <w:spacing w:val="8"/>
          <w:sz w:val="24"/>
          <w:szCs w:val="24"/>
          <w:highlight w:val="none"/>
          <w:u w:val="single" w:color="auto"/>
        </w:rPr>
        <w:t>（标的名称</w:t>
      </w:r>
      <w:r>
        <w:rPr>
          <w:rFonts w:hint="eastAsia" w:asciiTheme="minorEastAsia" w:hAnsiTheme="minorEastAsia" w:eastAsiaTheme="minorEastAsia" w:cstheme="minorEastAsia"/>
          <w:color w:val="auto"/>
          <w:spacing w:val="-46"/>
          <w:sz w:val="24"/>
          <w:szCs w:val="24"/>
          <w:highlight w:val="none"/>
          <w:u w:val="single" w:color="auto"/>
        </w:rPr>
        <w:t>）</w:t>
      </w:r>
      <w:r>
        <w:rPr>
          <w:rFonts w:hint="eastAsia" w:asciiTheme="minorEastAsia" w:hAnsiTheme="minorEastAsia" w:eastAsiaTheme="minorEastAsia" w:cstheme="minorEastAsia"/>
          <w:color w:val="auto"/>
          <w:spacing w:val="-46"/>
          <w:sz w:val="24"/>
          <w:szCs w:val="24"/>
          <w:highlight w:val="none"/>
        </w:rPr>
        <w:t>，</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（采购文件中明确的所属行业）</w:t>
      </w:r>
      <w:r>
        <w:rPr>
          <w:rFonts w:hint="eastAsia" w:asciiTheme="minorEastAsia" w:hAnsiTheme="minorEastAsia" w:eastAsiaTheme="minorEastAsia" w:cstheme="minorEastAsia"/>
          <w:color w:val="auto"/>
          <w:spacing w:val="8"/>
          <w:sz w:val="24"/>
          <w:szCs w:val="24"/>
          <w:highlight w:val="none"/>
        </w:rPr>
        <w:t>行业；承建（承接）企业</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为</w:t>
      </w:r>
      <w:r>
        <w:rPr>
          <w:rFonts w:hint="eastAsia" w:asciiTheme="minorEastAsia" w:hAnsiTheme="minorEastAsia" w:eastAsiaTheme="minorEastAsia" w:cstheme="minorEastAsia"/>
          <w:color w:val="auto"/>
          <w:spacing w:val="7"/>
          <w:sz w:val="24"/>
          <w:szCs w:val="24"/>
          <w:highlight w:val="none"/>
          <w:u w:val="single" w:color="auto"/>
        </w:rPr>
        <w:t>（企业名称</w:t>
      </w:r>
      <w:r>
        <w:rPr>
          <w:rFonts w:hint="eastAsia" w:asciiTheme="minorEastAsia" w:hAnsiTheme="minorEastAsia" w:eastAsiaTheme="minorEastAsia" w:cstheme="minorEastAsia"/>
          <w:color w:val="auto"/>
          <w:spacing w:val="-25"/>
          <w:sz w:val="24"/>
          <w:szCs w:val="24"/>
          <w:highlight w:val="none"/>
          <w:u w:val="single" w:color="auto"/>
        </w:rPr>
        <w:t>）</w:t>
      </w:r>
      <w:r>
        <w:rPr>
          <w:rFonts w:hint="eastAsia" w:asciiTheme="minorEastAsia" w:hAnsiTheme="minorEastAsia" w:eastAsiaTheme="minorEastAsia" w:cstheme="minorEastAsia"/>
          <w:color w:val="auto"/>
          <w:spacing w:val="-25"/>
          <w:sz w:val="24"/>
          <w:szCs w:val="24"/>
          <w:highlight w:val="none"/>
        </w:rPr>
        <w:t>，</w:t>
      </w:r>
      <w:r>
        <w:rPr>
          <w:rFonts w:hint="eastAsia" w:asciiTheme="minorEastAsia" w:hAnsiTheme="minorEastAsia" w:eastAsiaTheme="minorEastAsia" w:cstheme="minorEastAsia"/>
          <w:color w:val="auto"/>
          <w:spacing w:val="7"/>
          <w:sz w:val="24"/>
          <w:szCs w:val="24"/>
          <w:highlight w:val="none"/>
        </w:rPr>
        <w:t>从业人员</w:t>
      </w:r>
      <w:r>
        <w:rPr>
          <w:rFonts w:hint="eastAsia" w:asciiTheme="minorEastAsia" w:hAnsiTheme="minorEastAsia" w:eastAsiaTheme="minorEastAsia" w:cstheme="minorEastAsia"/>
          <w:color w:val="auto"/>
          <w:spacing w:val="-105"/>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人，</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营业收入为</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万元，</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资产总额为</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10"/>
          <w:sz w:val="24"/>
          <w:szCs w:val="24"/>
          <w:highlight w:val="none"/>
        </w:rPr>
        <w:t>万元，属于</w:t>
      </w:r>
      <w:r>
        <w:rPr>
          <w:rFonts w:hint="eastAsia" w:asciiTheme="minorEastAsia" w:hAnsiTheme="minorEastAsia" w:eastAsiaTheme="minorEastAsia" w:cstheme="minorEastAsia"/>
          <w:color w:val="auto"/>
          <w:spacing w:val="10"/>
          <w:sz w:val="24"/>
          <w:szCs w:val="24"/>
          <w:highlight w:val="none"/>
          <w:u w:val="single" w:color="auto"/>
        </w:rPr>
        <w:t>（中型企业、小型企业、微型企业</w:t>
      </w:r>
      <w:r>
        <w:rPr>
          <w:rFonts w:hint="eastAsia" w:asciiTheme="minorEastAsia" w:hAnsiTheme="minorEastAsia" w:eastAsiaTheme="minorEastAsia" w:cstheme="minorEastAsia"/>
          <w:color w:val="auto"/>
          <w:spacing w:val="-46"/>
          <w:sz w:val="24"/>
          <w:szCs w:val="24"/>
          <w:highlight w:val="none"/>
          <w:u w:val="single" w:color="auto"/>
        </w:rPr>
        <w:t>）</w:t>
      </w:r>
      <w:r>
        <w:rPr>
          <w:rFonts w:hint="eastAsia" w:asciiTheme="minorEastAsia" w:hAnsiTheme="minorEastAsia" w:eastAsiaTheme="minorEastAsia" w:cstheme="minorEastAsia"/>
          <w:color w:val="auto"/>
          <w:spacing w:val="-46"/>
          <w:sz w:val="24"/>
          <w:szCs w:val="24"/>
          <w:highlight w:val="none"/>
        </w:rPr>
        <w:t>；</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position w:val="1"/>
          <w:sz w:val="24"/>
          <w:szCs w:val="24"/>
          <w:highlight w:val="none"/>
        </w:rPr>
        <w:t>……</w:t>
      </w:r>
    </w:p>
    <w:p>
      <w:pPr>
        <w:pStyle w:val="3"/>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position w:val="17"/>
          <w:sz w:val="24"/>
          <w:szCs w:val="24"/>
          <w:highlight w:val="none"/>
        </w:rPr>
        <w:t>以上企业，不属于大企业的分支机构，不存在控股股东</w:t>
      </w:r>
      <w:r>
        <w:rPr>
          <w:rFonts w:hint="eastAsia" w:asciiTheme="minorEastAsia" w:hAnsiTheme="minorEastAsia" w:eastAsiaTheme="minorEastAsia" w:cstheme="minorEastAsia"/>
          <w:color w:val="auto"/>
          <w:spacing w:val="10"/>
          <w:position w:val="17"/>
          <w:sz w:val="24"/>
          <w:szCs w:val="24"/>
          <w:highlight w:val="none"/>
        </w:rPr>
        <w:t>为大企业的情形，也不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0"/>
          <w:sz w:val="24"/>
          <w:szCs w:val="24"/>
          <w:highlight w:val="none"/>
        </w:rPr>
        <w:t>存在与大企业的负责人为同一人的情形。</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本企业对上述声明内容的真实性负责。如有虚假，将依法承担相应责任。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9"/>
          <w:sz w:val="24"/>
          <w:szCs w:val="24"/>
          <w:highlight w:val="none"/>
        </w:rPr>
        <w:t>企业名称（盖章</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z w:val="24"/>
          <w:szCs w:val="24"/>
          <w:highlight w:val="none"/>
          <w:u w:val="single" w:color="auto"/>
        </w:rPr>
        <w:t xml:space="preserve">         </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pacing w:val="9"/>
          <w:position w:val="5"/>
          <w:sz w:val="24"/>
          <w:szCs w:val="24"/>
          <w:highlight w:val="none"/>
          <w:lang w:val="en-US" w:eastAsia="zh-CN"/>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position w:val="5"/>
          <w:sz w:val="24"/>
          <w:szCs w:val="24"/>
          <w:highlight w:val="none"/>
          <w:lang w:val="en-US" w:eastAsia="zh-CN"/>
        </w:rPr>
        <w:t>备注：</w:t>
      </w:r>
      <w:r>
        <w:rPr>
          <w:rFonts w:hint="eastAsia" w:asciiTheme="minorEastAsia" w:hAnsiTheme="minorEastAsia" w:eastAsiaTheme="minorEastAsia" w:cstheme="minorEastAsia"/>
          <w:color w:val="auto"/>
          <w:spacing w:val="9"/>
          <w:sz w:val="24"/>
          <w:szCs w:val="24"/>
          <w:highlight w:val="none"/>
        </w:rPr>
        <w:t>从业人员、营业收入、资产总额填报上一年度数据，无上一年度数据的新成立企业可不填报。</w:t>
      </w:r>
    </w:p>
    <w:p>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color w:val="auto"/>
          <w:spacing w:val="0"/>
          <w:sz w:val="24"/>
          <w:szCs w:val="24"/>
          <w:highlight w:val="none"/>
        </w:rPr>
      </w:pPr>
    </w:p>
    <w:p>
      <w:pPr>
        <w:pStyle w:val="15"/>
        <w:rPr>
          <w:rFonts w:ascii="新宋体"/>
          <w:color w:val="auto"/>
          <w:sz w:val="20"/>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z w:val="36"/>
          <w:szCs w:val="36"/>
          <w:highlight w:val="none"/>
          <w14:textOutline w14:w="2306" w14:cap="flat" w14:cmpd="sng">
            <w14:solidFill>
              <w14:srgbClr w14:val="000000"/>
            </w14:solidFill>
            <w14:prstDash w14:val="solid"/>
            <w14:miter w14:val="0"/>
          </w14:textOutline>
        </w:rPr>
        <w:t>残疾人福利性单位声明函格式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position w:val="26"/>
          <w:sz w:val="24"/>
          <w:szCs w:val="24"/>
          <w:highlight w:val="none"/>
        </w:rPr>
        <w:t>本单位郑重声明，根据《财政部民政部中国残疾人联合会关于促进残疾人就</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业政府采购政策的通知》（财库〔2017〕141号）的规定，本单位</w:t>
      </w:r>
      <w:r>
        <w:rPr>
          <w:rFonts w:hint="eastAsia" w:asciiTheme="minorEastAsia" w:hAnsiTheme="minorEastAsia" w:eastAsiaTheme="minorEastAsia" w:cstheme="minorEastAsia"/>
          <w:color w:val="auto"/>
          <w:spacing w:val="3"/>
          <w:sz w:val="24"/>
          <w:szCs w:val="24"/>
          <w:highlight w:val="none"/>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color w:val="auto"/>
          <w:spacing w:val="-46"/>
          <w:sz w:val="24"/>
          <w:szCs w:val="24"/>
          <w:highlight w:val="none"/>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46"/>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14:textOutline w14:w="1537" w14:cap="flat" w14:cmpd="sng">
            <w14:solidFill>
              <w14:srgbClr w14:val="000000"/>
            </w14:solidFill>
            <w14:prstDash w14:val="solid"/>
            <w14:miter w14:val="0"/>
          </w14:textOutline>
        </w:rPr>
        <w:t>不属于符合条件的残疾人福利性单位。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color w:val="auto"/>
          <w:spacing w:val="10"/>
          <w:sz w:val="24"/>
          <w:szCs w:val="24"/>
          <w:highlight w:val="none"/>
        </w:rPr>
        <w:t>且本单位参加</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8"/>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单位的</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项目</w:t>
      </w:r>
      <w:r>
        <w:rPr>
          <w:rFonts w:hint="eastAsia" w:asciiTheme="minorEastAsia" w:hAnsiTheme="minorEastAsia" w:eastAsiaTheme="minorEastAsia" w:cstheme="minorEastAsia"/>
          <w:color w:val="auto"/>
          <w:spacing w:val="21"/>
          <w:sz w:val="24"/>
          <w:szCs w:val="24"/>
          <w:highlight w:val="none"/>
        </w:rPr>
        <w:t>采购活动</w:t>
      </w:r>
      <w:r>
        <w:rPr>
          <w:rFonts w:hint="eastAsia" w:asciiTheme="minorEastAsia" w:hAnsiTheme="minorEastAsia" w:eastAsiaTheme="minorEastAsia" w:cstheme="minorEastAsia"/>
          <w:color w:val="auto"/>
          <w:spacing w:val="21"/>
          <w:sz w:val="24"/>
          <w:szCs w:val="24"/>
          <w:highlight w:val="none"/>
          <w:lang w:val="en-US" w:eastAsia="zh-CN"/>
        </w:rPr>
        <w:t>提</w:t>
      </w:r>
      <w:r>
        <w:rPr>
          <w:rFonts w:hint="eastAsia" w:asciiTheme="minorEastAsia" w:hAnsiTheme="minorEastAsia" w:eastAsiaTheme="minorEastAsia" w:cstheme="minorEastAsia"/>
          <w:color w:val="auto"/>
          <w:spacing w:val="21"/>
          <w:sz w:val="24"/>
          <w:szCs w:val="24"/>
          <w:highlight w:val="none"/>
        </w:rPr>
        <w:t>供本单位制造的货物（由本单位承担工程/</w:t>
      </w:r>
      <w:r>
        <w:rPr>
          <w:rFonts w:hint="eastAsia" w:asciiTheme="minorEastAsia" w:hAnsiTheme="minorEastAsia" w:eastAsiaTheme="minorEastAsia" w:cstheme="minorEastAsia"/>
          <w:color w:val="auto"/>
          <w:spacing w:val="21"/>
          <w:sz w:val="24"/>
          <w:szCs w:val="24"/>
          <w:highlight w:val="none"/>
          <w:lang w:eastAsia="zh-CN"/>
        </w:rPr>
        <w:t>提</w:t>
      </w:r>
      <w:r>
        <w:rPr>
          <w:rFonts w:hint="eastAsia" w:asciiTheme="minorEastAsia" w:hAnsiTheme="minorEastAsia" w:eastAsiaTheme="minorEastAsia" w:cstheme="minorEastAsia"/>
          <w:color w:val="auto"/>
          <w:spacing w:val="21"/>
          <w:sz w:val="24"/>
          <w:szCs w:val="24"/>
          <w:highlight w:val="none"/>
        </w:rPr>
        <w:t>供服务</w:t>
      </w:r>
      <w:r>
        <w:rPr>
          <w:rFonts w:hint="eastAsia" w:asciiTheme="minorEastAsia" w:hAnsiTheme="minorEastAsia" w:eastAsiaTheme="minorEastAsia" w:cstheme="minorEastAsia"/>
          <w:color w:val="auto"/>
          <w:spacing w:val="-62"/>
          <w:sz w:val="24"/>
          <w:szCs w:val="24"/>
          <w:highlight w:val="none"/>
        </w:rPr>
        <w:t>），</w:t>
      </w:r>
      <w:r>
        <w:rPr>
          <w:rFonts w:hint="eastAsia" w:asciiTheme="minorEastAsia" w:hAnsiTheme="minorEastAsia" w:eastAsiaTheme="minorEastAsia" w:cstheme="minorEastAsia"/>
          <w:color w:val="auto"/>
          <w:spacing w:val="-71"/>
          <w:sz w:val="24"/>
          <w:szCs w:val="24"/>
          <w:highlight w:val="none"/>
        </w:rPr>
        <w:t xml:space="preserve"> </w:t>
      </w:r>
      <w:r>
        <w:rPr>
          <w:rFonts w:hint="eastAsia" w:asciiTheme="minorEastAsia" w:hAnsiTheme="minorEastAsia" w:eastAsiaTheme="minorEastAsia" w:cstheme="minorEastAsia"/>
          <w:color w:val="auto"/>
          <w:spacing w:val="21"/>
          <w:sz w:val="24"/>
          <w:szCs w:val="24"/>
          <w:highlight w:val="none"/>
        </w:rPr>
        <w:t>或者</w:t>
      </w:r>
      <w:r>
        <w:rPr>
          <w:rFonts w:hint="eastAsia" w:asciiTheme="minorEastAsia" w:hAnsiTheme="minorEastAsia" w:eastAsiaTheme="minorEastAsia" w:cstheme="minorEastAsia"/>
          <w:color w:val="auto"/>
          <w:spacing w:val="21"/>
          <w:sz w:val="24"/>
          <w:szCs w:val="24"/>
          <w:highlight w:val="none"/>
          <w:lang w:eastAsia="zh-CN"/>
        </w:rPr>
        <w:t>提</w:t>
      </w:r>
      <w:r>
        <w:rPr>
          <w:rFonts w:hint="eastAsia" w:asciiTheme="minorEastAsia" w:hAnsiTheme="minorEastAsia" w:eastAsiaTheme="minorEastAsia" w:cstheme="minorEastAsia"/>
          <w:color w:val="auto"/>
          <w:spacing w:val="21"/>
          <w:sz w:val="24"/>
          <w:szCs w:val="24"/>
          <w:highlight w:val="none"/>
        </w:rPr>
        <w:t>供其他残</w:t>
      </w:r>
      <w:r>
        <w:rPr>
          <w:rFonts w:hint="eastAsia" w:asciiTheme="minorEastAsia" w:hAnsiTheme="minorEastAsia" w:eastAsiaTheme="minorEastAsia" w:cstheme="minorEastAsia"/>
          <w:color w:val="auto"/>
          <w:spacing w:val="7"/>
          <w:sz w:val="24"/>
          <w:szCs w:val="24"/>
          <w:highlight w:val="none"/>
        </w:rPr>
        <w:t>疾人福利性单位制造的货物（不包括使用非残疾人福利性单位注册商标的货物）。</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color w:val="auto"/>
          <w:spacing w:val="11"/>
          <w:sz w:val="24"/>
          <w:szCs w:val="24"/>
          <w:highlight w:val="none"/>
          <w14:textOutline w14:w="1537" w14:cap="flat" w14:cmpd="sng">
            <w14:solidFill>
              <w14:srgbClr w14:val="000000"/>
            </w14:solidFill>
            <w14:prstDash w14:val="solid"/>
            <w14:miter w14:val="0"/>
          </w14:textOutline>
        </w:rPr>
        <w:t>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position w:val="26"/>
          <w:sz w:val="24"/>
          <w:szCs w:val="24"/>
          <w:highlight w:val="none"/>
        </w:rPr>
        <w:t>单位名称（盖章</w:t>
      </w:r>
      <w:r>
        <w:rPr>
          <w:rFonts w:hint="eastAsia" w:asciiTheme="minorEastAsia" w:hAnsiTheme="minorEastAsia" w:eastAsiaTheme="minorEastAsia" w:cstheme="minorEastAsia"/>
          <w:color w:val="auto"/>
          <w:spacing w:val="-60"/>
          <w:position w:val="26"/>
          <w:sz w:val="24"/>
          <w:szCs w:val="24"/>
          <w:highlight w:val="none"/>
        </w:rPr>
        <w:t>）：</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color w:val="auto"/>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2"/>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4"/>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2"/>
        <w:rPr>
          <w:rFonts w:hint="eastAsia"/>
          <w:color w:val="auto"/>
          <w:highlight w:val="none"/>
          <w:lang w:val="en-US"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color w:val="auto"/>
          <w:sz w:val="28"/>
          <w:szCs w:val="28"/>
          <w:highlight w:val="none"/>
          <w:lang w:val="en-US" w:eastAsia="zh-CN"/>
        </w:rPr>
      </w:pPr>
      <w:r>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t>监狱企业声明函格式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本企业对上述声明的真实性负责。如有虚假，将依法承担相应责任。</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企业名称（盖章）：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w:t>
      </w: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pPr>
        <w:rPr>
          <w:color w:val="auto"/>
          <w:sz w:val="24"/>
          <w:szCs w:val="24"/>
          <w:highlight w:val="none"/>
        </w:rPr>
        <w:sectPr>
          <w:footerReference r:id="rId7" w:type="default"/>
          <w:pgSz w:w="11910" w:h="16840"/>
          <w:pgMar w:top="1420" w:right="840" w:bottom="1000" w:left="860" w:header="1151" w:footer="805" w:gutter="0"/>
          <w:pgNumType w:fmt="decimal"/>
          <w:cols w:space="720" w:num="1"/>
        </w:sectPr>
      </w:pPr>
      <w:bookmarkStart w:id="139" w:name="_bookmark22"/>
      <w:bookmarkEnd w:id="139"/>
    </w:p>
    <w:p>
      <w:pPr>
        <w:pStyle w:val="8"/>
        <w:bidi w:val="0"/>
        <w:jc w:val="center"/>
        <w:outlineLvl w:val="0"/>
        <w:rPr>
          <w:rFonts w:hint="eastAsia"/>
          <w:color w:val="auto"/>
          <w:sz w:val="48"/>
          <w:szCs w:val="48"/>
          <w:highlight w:val="none"/>
          <w:lang w:val="en-US" w:eastAsia="zh-CN"/>
        </w:rPr>
      </w:pPr>
      <w:bookmarkStart w:id="140" w:name="_Toc17438"/>
      <w:bookmarkStart w:id="141" w:name="_Toc31290"/>
      <w:bookmarkStart w:id="142" w:name="_Toc23871"/>
      <w:r>
        <w:rPr>
          <w:rFonts w:hint="eastAsia"/>
          <w:color w:val="auto"/>
          <w:sz w:val="48"/>
          <w:szCs w:val="48"/>
          <w:highlight w:val="none"/>
          <w:lang w:val="en-US" w:eastAsia="zh-CN"/>
        </w:rPr>
        <w:t>告知函</w:t>
      </w:r>
      <w:bookmarkEnd w:id="140"/>
      <w:bookmarkEnd w:id="141"/>
      <w:bookmarkEnd w:id="142"/>
    </w:p>
    <w:tbl>
      <w:tblPr>
        <w:tblStyle w:val="18"/>
        <w:tblpPr w:leftFromText="180" w:rightFromText="180" w:vertAnchor="text" w:horzAnchor="page" w:tblpX="1255" w:tblpY="606"/>
        <w:tblOverlap w:val="never"/>
        <w:tblW w:w="9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237"/>
        <w:gridCol w:w="6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事项</w:t>
            </w:r>
          </w:p>
        </w:tc>
        <w:tc>
          <w:tcPr>
            <w:tcW w:w="2237" w:type="dxa"/>
          </w:tcPr>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时限 </w:t>
            </w:r>
          </w:p>
        </w:tc>
        <w:tc>
          <w:tcPr>
            <w:tcW w:w="6221" w:type="dxa"/>
          </w:tcPr>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1199" w:type="dxa"/>
          </w:tcPr>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合同签订</w:t>
            </w:r>
          </w:p>
        </w:tc>
        <w:tc>
          <w:tcPr>
            <w:tcW w:w="2237" w:type="dxa"/>
          </w:tcPr>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中标(成交)通知书发出之日起</w:t>
            </w:r>
            <w:r>
              <w:rPr>
                <w:rFonts w:hint="eastAsia"/>
                <w:color w:val="auto"/>
                <w:sz w:val="24"/>
                <w:szCs w:val="24"/>
                <w:highlight w:val="none"/>
                <w:vertAlign w:val="baseline"/>
                <w:lang w:val="en-US" w:eastAsia="zh-CN"/>
              </w:rPr>
              <w:t>1</w:t>
            </w:r>
            <w:r>
              <w:rPr>
                <w:rFonts w:hint="default"/>
                <w:color w:val="auto"/>
                <w:sz w:val="24"/>
                <w:szCs w:val="24"/>
                <w:highlight w:val="none"/>
                <w:vertAlign w:val="baseline"/>
                <w:lang w:val="en-US" w:eastAsia="zh-CN"/>
              </w:rPr>
              <w:t>个工作日内采购人与供应商签订政府采购合同。</w:t>
            </w:r>
          </w:p>
        </w:tc>
        <w:tc>
          <w:tcPr>
            <w:tcW w:w="6221" w:type="dxa"/>
          </w:tcPr>
          <w:p>
            <w:pPr>
              <w:widowControl w:val="0"/>
              <w:ind w:firstLine="420" w:firstLineChars="200"/>
              <w:rPr>
                <w:rFonts w:hint="eastAsia"/>
                <w:color w:val="auto"/>
                <w:highlight w:val="none"/>
              </w:rPr>
            </w:pPr>
          </w:p>
          <w:p>
            <w:pPr>
              <w:widowControl w:val="0"/>
              <w:ind w:firstLine="480" w:firstLineChars="200"/>
              <w:rPr>
                <w:rFonts w:hint="eastAsia"/>
                <w:color w:val="auto"/>
                <w:sz w:val="24"/>
                <w:szCs w:val="24"/>
                <w:highlight w:val="none"/>
              </w:rPr>
            </w:pPr>
            <w:r>
              <w:rPr>
                <w:rFonts w:hint="eastAsia"/>
                <w:color w:val="auto"/>
                <w:sz w:val="24"/>
                <w:szCs w:val="24"/>
                <w:highlight w:val="none"/>
              </w:rPr>
              <w:t>采购人应当按照采购文件要求，拟制符合采购项目通知书特点的技术要求，包括采购人与供应商权利义务、验收程序和要求、合同内容、交付时间、付款程序和条件、签订日期、供应商账户信息、违约赔偿和处罚程序、争议处理等内容的合同文本， 经本单位法制审查或集体决策后与供应商签订政府采购合同。</w:t>
            </w:r>
          </w:p>
          <w:p>
            <w:pPr>
              <w:widowControl w:val="0"/>
              <w:rPr>
                <w:rFonts w:hint="default"/>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1199" w:type="dxa"/>
          </w:tcPr>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合同备案</w:t>
            </w:r>
          </w:p>
        </w:tc>
        <w:tc>
          <w:tcPr>
            <w:tcW w:w="2237" w:type="dxa"/>
          </w:tcPr>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政府采购合同签订之日起</w:t>
            </w:r>
            <w:r>
              <w:rPr>
                <w:rFonts w:hint="eastAsia"/>
                <w:color w:val="auto"/>
                <w:sz w:val="24"/>
                <w:szCs w:val="24"/>
                <w:highlight w:val="none"/>
                <w:vertAlign w:val="baseline"/>
                <w:lang w:val="en-US" w:eastAsia="zh-CN"/>
              </w:rPr>
              <w:t>1</w:t>
            </w:r>
            <w:r>
              <w:rPr>
                <w:rFonts w:hint="default"/>
                <w:color w:val="auto"/>
                <w:sz w:val="24"/>
                <w:szCs w:val="24"/>
                <w:highlight w:val="none"/>
                <w:vertAlign w:val="baseline"/>
                <w:lang w:val="en-US" w:eastAsia="zh-CN"/>
              </w:rPr>
              <w:t>个工作日内，合同备案并公示。</w:t>
            </w:r>
          </w:p>
        </w:tc>
        <w:tc>
          <w:tcPr>
            <w:tcW w:w="6221" w:type="dxa"/>
          </w:tcPr>
          <w:p>
            <w:pPr>
              <w:widowControl w:val="0"/>
              <w:rPr>
                <w:rFonts w:hint="eastAsia" w:ascii="宋体" w:hAnsi="宋体" w:eastAsia="宋体" w:cs="宋体"/>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政府采购合同公告备案是法定要求，采购人应及时履行备案手续。采购人应当自政府采购合同签订之日起1个工作日内，登录河南省电子化政府采购系统“合同管理”模块，填写合同基本信息，并上传政府采购合同、中标(成交)通知书、中标结果和成交确认书。政府采购监督管理部门对采购人提交的合同基本信息及上传资料进行审核，审核通过后完成合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trPr>
        <w:tc>
          <w:tcPr>
            <w:tcW w:w="1199" w:type="dxa"/>
          </w:tcPr>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履约验收</w:t>
            </w:r>
          </w:p>
        </w:tc>
        <w:tc>
          <w:tcPr>
            <w:tcW w:w="2237" w:type="dxa"/>
          </w:tcPr>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采购人应该在供应商提出验收申请之日起</w:t>
            </w:r>
            <w:r>
              <w:rPr>
                <w:rFonts w:hint="eastAsia"/>
                <w:color w:val="auto"/>
                <w:sz w:val="24"/>
                <w:szCs w:val="24"/>
                <w:highlight w:val="none"/>
                <w:vertAlign w:val="baseline"/>
                <w:lang w:val="en-US" w:eastAsia="zh-CN"/>
              </w:rPr>
              <w:t>3</w:t>
            </w:r>
            <w:r>
              <w:rPr>
                <w:rFonts w:hint="default"/>
                <w:color w:val="auto"/>
                <w:sz w:val="24"/>
                <w:szCs w:val="24"/>
                <w:highlight w:val="none"/>
                <w:vertAlign w:val="baseline"/>
                <w:lang w:val="en-US" w:eastAsia="zh-CN"/>
              </w:rPr>
              <w:t>个工作日内完成验收，验收完成之日起</w:t>
            </w:r>
            <w:r>
              <w:rPr>
                <w:rFonts w:hint="eastAsia"/>
                <w:color w:val="auto"/>
                <w:sz w:val="24"/>
                <w:szCs w:val="24"/>
                <w:highlight w:val="none"/>
                <w:vertAlign w:val="baseline"/>
                <w:lang w:val="en-US" w:eastAsia="zh-CN"/>
              </w:rPr>
              <w:t>2</w:t>
            </w:r>
            <w:r>
              <w:rPr>
                <w:rFonts w:hint="default"/>
                <w:color w:val="auto"/>
                <w:sz w:val="24"/>
                <w:szCs w:val="24"/>
                <w:highlight w:val="none"/>
                <w:vertAlign w:val="baseline"/>
                <w:lang w:val="en-US" w:eastAsia="zh-CN"/>
              </w:rPr>
              <w:t>个工作日内，合同履约验收公示。</w:t>
            </w:r>
          </w:p>
        </w:tc>
        <w:tc>
          <w:tcPr>
            <w:tcW w:w="6221" w:type="dxa"/>
          </w:tcPr>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政府采购项目供应商履约完成后，应及时向采购人提出验收申请。验收合格的项目，采购人应在验收完成之日起</w:t>
            </w:r>
            <w:r>
              <w:rPr>
                <w:rFonts w:hint="eastAsia"/>
                <w:color w:val="auto"/>
                <w:sz w:val="24"/>
                <w:szCs w:val="24"/>
                <w:highlight w:val="none"/>
                <w:vertAlign w:val="baseline"/>
                <w:lang w:val="en-US" w:eastAsia="zh-CN"/>
              </w:rPr>
              <w:t>2</w:t>
            </w:r>
            <w:r>
              <w:rPr>
                <w:rFonts w:hint="default"/>
                <w:color w:val="auto"/>
                <w:sz w:val="24"/>
                <w:szCs w:val="24"/>
                <w:highlight w:val="none"/>
                <w:vertAlign w:val="baseline"/>
                <w:lang w:val="en-US" w:eastAsia="zh-CN"/>
              </w:rPr>
              <w:t>个工作日内，登录河南省电子化政府采购系统“合同管理”模块下的“合同履约验收”，填写合同、验收基本情况，并上传验收报告和发票在扫描件，保存并提交。 提交合同履约验收后， 打印《唐河县政府采购资金申请表》到政府采购办理支付手续。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1199" w:type="dxa"/>
          </w:tcPr>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eastAsia"/>
                <w:color w:val="auto"/>
                <w:sz w:val="24"/>
                <w:szCs w:val="24"/>
                <w:highlight w:val="none"/>
                <w:vertAlign w:val="baseline"/>
                <w:lang w:val="en-US" w:eastAsia="zh-CN"/>
              </w:rPr>
            </w:pPr>
          </w:p>
          <w:p>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资金支付</w:t>
            </w:r>
          </w:p>
        </w:tc>
        <w:tc>
          <w:tcPr>
            <w:tcW w:w="2237" w:type="dxa"/>
          </w:tcPr>
          <w:p>
            <w:pPr>
              <w:widowControl w:val="0"/>
              <w:ind w:firstLine="480" w:firstLineChars="200"/>
              <w:rPr>
                <w:rFonts w:hint="default"/>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验收合格具备付款条件的项目， 采购人应在</w:t>
            </w:r>
            <w:r>
              <w:rPr>
                <w:rFonts w:hint="eastAsia"/>
                <w:color w:val="auto"/>
                <w:sz w:val="24"/>
                <w:szCs w:val="24"/>
                <w:highlight w:val="none"/>
                <w:vertAlign w:val="baseline"/>
                <w:lang w:val="en-US" w:eastAsia="zh-CN"/>
              </w:rPr>
              <w:t>3</w:t>
            </w:r>
            <w:r>
              <w:rPr>
                <w:rFonts w:hint="default"/>
                <w:color w:val="auto"/>
                <w:sz w:val="24"/>
                <w:szCs w:val="24"/>
                <w:highlight w:val="none"/>
                <w:vertAlign w:val="baseline"/>
                <w:lang w:val="en-US" w:eastAsia="zh-CN"/>
              </w:rPr>
              <w:t>个工作日内将资金支付到采购合同约定的供应商账户。</w:t>
            </w:r>
          </w:p>
        </w:tc>
        <w:tc>
          <w:tcPr>
            <w:tcW w:w="6221" w:type="dxa"/>
          </w:tcPr>
          <w:p>
            <w:pPr>
              <w:widowControl w:val="0"/>
              <w:ind w:firstLine="480" w:firstLineChars="200"/>
              <w:rPr>
                <w:rFonts w:hint="eastAsia"/>
                <w:color w:val="auto"/>
                <w:sz w:val="24"/>
                <w:szCs w:val="24"/>
                <w:highlight w:val="none"/>
                <w:vertAlign w:val="baseline"/>
                <w:lang w:val="en-US" w:eastAsia="zh-CN"/>
              </w:rPr>
            </w:pPr>
          </w:p>
          <w:p>
            <w:pPr>
              <w:widowControl w:val="0"/>
              <w:ind w:firstLine="480" w:firstLineChars="20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人持《唐河县政府采购资金申请表》，按照政府采购合同约定的支付方式、支付时间，及时支付政府采购资金。验收合格具备付款条件的项目，采购人应在3个工作日内将资金支付到采购合同约定的供应商账户</w:t>
            </w:r>
          </w:p>
        </w:tc>
      </w:tr>
    </w:tbl>
    <w:p>
      <w:pPr>
        <w:jc w:val="left"/>
        <w:rPr>
          <w:rFonts w:hint="eastAsia"/>
          <w:color w:val="auto"/>
          <w:sz w:val="24"/>
          <w:szCs w:val="24"/>
          <w:highlight w:val="none"/>
          <w:lang w:val="en-US" w:eastAsia="zh-CN"/>
        </w:rPr>
      </w:pPr>
    </w:p>
    <w:p>
      <w:pPr>
        <w:ind w:firstLine="240" w:firstLineChars="100"/>
        <w:jc w:val="left"/>
        <w:rPr>
          <w:rFonts w:hint="default"/>
          <w:color w:val="auto"/>
          <w:sz w:val="24"/>
          <w:szCs w:val="32"/>
          <w:highlight w:val="none"/>
          <w:lang w:val="en-US" w:eastAsia="zh-CN"/>
        </w:rPr>
      </w:pPr>
    </w:p>
    <w:p>
      <w:pPr>
        <w:jc w:val="right"/>
        <w:rPr>
          <w:rFonts w:hint="eastAsia"/>
          <w:color w:val="auto"/>
          <w:sz w:val="24"/>
          <w:szCs w:val="24"/>
          <w:highlight w:val="none"/>
          <w:lang w:val="en-US" w:eastAsia="zh-CN"/>
        </w:rPr>
      </w:pPr>
      <w:r>
        <w:rPr>
          <w:rFonts w:hint="eastAsia"/>
          <w:color w:val="auto"/>
          <w:sz w:val="28"/>
          <w:szCs w:val="28"/>
          <w:highlight w:val="none"/>
          <w:lang w:val="en-US" w:eastAsia="zh-CN"/>
        </w:rPr>
        <w:t xml:space="preserve">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68"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p>
    <w:sectPr>
      <w:headerReference r:id="rId8" w:type="default"/>
      <w:footerReference r:id="rId9" w:type="default"/>
      <w:pgSz w:w="11907" w:h="16840"/>
      <w:pgMar w:top="1440" w:right="1080" w:bottom="1440" w:left="108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3"/>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eastAsia="宋体"/>
        <w:lang w:val="en-US" w:eastAsia="zh-CN"/>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24</w:t>
                    </w:r>
                    <w:r>
                      <w:fldChar w:fldCharType="end"/>
                    </w:r>
                  </w:p>
                </w:txbxContent>
              </v:textbox>
            </v:shape>
          </w:pict>
        </mc:Fallback>
      </mc:AlternateContent>
    </w:r>
    <w:r>
      <w:rPr>
        <w:rFonts w:hint="eastAsia"/>
        <w:sz w:val="18"/>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left"/>
      <w:rPr>
        <w:rFonts w:hint="default" w:ascii="仿宋" w:hAnsi="仿宋" w:eastAsia="仿宋" w:cs="仿宋"/>
        <w:b/>
        <w:bCs/>
        <w:sz w:val="18"/>
        <w:szCs w:val="18"/>
        <w:highlight w:val="none"/>
        <w:lang w:val="en-US" w:eastAsia="zh-CN"/>
      </w:rPr>
    </w:pPr>
    <w:r>
      <w:rPr>
        <w:rFonts w:hint="eastAsia" w:ascii="仿宋" w:hAnsi="仿宋" w:eastAsia="仿宋" w:cs="仿宋"/>
        <w:b/>
        <w:bCs/>
        <w:sz w:val="18"/>
        <w:szCs w:val="18"/>
        <w:highlight w:val="none"/>
        <w:lang w:val="en-US" w:eastAsia="zh-CN"/>
      </w:rPr>
      <w:t>唐河县2026年度地下水超采综合治理项目施工图及预算编制采购项目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8689E2"/>
    <w:multiLevelType w:val="singleLevel"/>
    <w:tmpl w:val="CC8689E2"/>
    <w:lvl w:ilvl="0" w:tentative="0">
      <w:start w:val="5"/>
      <w:numFmt w:val="decimal"/>
      <w:lvlText w:val="%1."/>
      <w:lvlJc w:val="left"/>
      <w:pPr>
        <w:tabs>
          <w:tab w:val="left" w:pos="312"/>
        </w:tabs>
      </w:pPr>
    </w:lvl>
  </w:abstractNum>
  <w:abstractNum w:abstractNumId="1">
    <w:nsid w:val="FF46236F"/>
    <w:multiLevelType w:val="singleLevel"/>
    <w:tmpl w:val="FF46236F"/>
    <w:lvl w:ilvl="0" w:tentative="0">
      <w:start w:val="1"/>
      <w:numFmt w:val="decimal"/>
      <w:suff w:val="nothing"/>
      <w:lvlText w:val="（%1）"/>
      <w:lvlJc w:val="left"/>
      <w:pPr>
        <w:ind w:left="-112"/>
      </w:pPr>
    </w:lvl>
  </w:abstractNum>
  <w:abstractNum w:abstractNumId="2">
    <w:nsid w:val="01DF6793"/>
    <w:multiLevelType w:val="singleLevel"/>
    <w:tmpl w:val="01DF6793"/>
    <w:lvl w:ilvl="0" w:tentative="0">
      <w:start w:val="6"/>
      <w:numFmt w:val="chineseCounting"/>
      <w:suff w:val="space"/>
      <w:lvlText w:val="第%1章"/>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WZlYjRjZTk4YzIyZThjZDdiZWIzOTRiZmM4ZmM1MzcifQ=="/>
  </w:docVars>
  <w:rsids>
    <w:rsidRoot w:val="00000000"/>
    <w:rsid w:val="00172E78"/>
    <w:rsid w:val="00E60A9C"/>
    <w:rsid w:val="00F93B85"/>
    <w:rsid w:val="012A1668"/>
    <w:rsid w:val="01A324E9"/>
    <w:rsid w:val="01C42395"/>
    <w:rsid w:val="01D34B7C"/>
    <w:rsid w:val="02067DD7"/>
    <w:rsid w:val="022C6431"/>
    <w:rsid w:val="02454F1C"/>
    <w:rsid w:val="02477318"/>
    <w:rsid w:val="02980B47"/>
    <w:rsid w:val="03035935"/>
    <w:rsid w:val="0304627B"/>
    <w:rsid w:val="0313167D"/>
    <w:rsid w:val="032D29B2"/>
    <w:rsid w:val="03A46EC5"/>
    <w:rsid w:val="03B63E3A"/>
    <w:rsid w:val="03F005BF"/>
    <w:rsid w:val="041D2A27"/>
    <w:rsid w:val="049308F0"/>
    <w:rsid w:val="04F220C4"/>
    <w:rsid w:val="05017C52"/>
    <w:rsid w:val="05685F23"/>
    <w:rsid w:val="05704DD8"/>
    <w:rsid w:val="05882122"/>
    <w:rsid w:val="05C0628F"/>
    <w:rsid w:val="05C661DF"/>
    <w:rsid w:val="05C82C12"/>
    <w:rsid w:val="05D046DB"/>
    <w:rsid w:val="05EB6017"/>
    <w:rsid w:val="060C68AF"/>
    <w:rsid w:val="06344057"/>
    <w:rsid w:val="064B2778"/>
    <w:rsid w:val="06731CDB"/>
    <w:rsid w:val="0684097A"/>
    <w:rsid w:val="06976AC0"/>
    <w:rsid w:val="06BD7DF4"/>
    <w:rsid w:val="06C74ECC"/>
    <w:rsid w:val="072C3108"/>
    <w:rsid w:val="073F4A62"/>
    <w:rsid w:val="07654CC1"/>
    <w:rsid w:val="07660F14"/>
    <w:rsid w:val="0797664C"/>
    <w:rsid w:val="07B54D24"/>
    <w:rsid w:val="084C47B3"/>
    <w:rsid w:val="08743EB7"/>
    <w:rsid w:val="08766BA9"/>
    <w:rsid w:val="08896F10"/>
    <w:rsid w:val="08AC6127"/>
    <w:rsid w:val="08DF64FD"/>
    <w:rsid w:val="092D54BA"/>
    <w:rsid w:val="0931410B"/>
    <w:rsid w:val="095962AF"/>
    <w:rsid w:val="098F0954"/>
    <w:rsid w:val="09A960A9"/>
    <w:rsid w:val="09D7624E"/>
    <w:rsid w:val="0A081A83"/>
    <w:rsid w:val="0A2175C7"/>
    <w:rsid w:val="0A4E3858"/>
    <w:rsid w:val="0A530F50"/>
    <w:rsid w:val="0ADC6029"/>
    <w:rsid w:val="0B0F2156"/>
    <w:rsid w:val="0B1376B2"/>
    <w:rsid w:val="0B9B4146"/>
    <w:rsid w:val="0BA457DB"/>
    <w:rsid w:val="0BFA1EF8"/>
    <w:rsid w:val="0BFC6D02"/>
    <w:rsid w:val="0C272EF4"/>
    <w:rsid w:val="0C3E178C"/>
    <w:rsid w:val="0C450913"/>
    <w:rsid w:val="0C692CAD"/>
    <w:rsid w:val="0CE85EBA"/>
    <w:rsid w:val="0CF167FE"/>
    <w:rsid w:val="0D753432"/>
    <w:rsid w:val="0D892EDB"/>
    <w:rsid w:val="0D894C89"/>
    <w:rsid w:val="0DD203DE"/>
    <w:rsid w:val="0E3E7CBD"/>
    <w:rsid w:val="0E5E2DBA"/>
    <w:rsid w:val="0EBB5316"/>
    <w:rsid w:val="0EC03DD0"/>
    <w:rsid w:val="0EE83C0B"/>
    <w:rsid w:val="0F130CAE"/>
    <w:rsid w:val="0F3A26DF"/>
    <w:rsid w:val="0F917A88"/>
    <w:rsid w:val="0FCC67CC"/>
    <w:rsid w:val="0FE42AE8"/>
    <w:rsid w:val="0FF95996"/>
    <w:rsid w:val="0FFC5BE6"/>
    <w:rsid w:val="0FFF7484"/>
    <w:rsid w:val="100E2A9F"/>
    <w:rsid w:val="10832DEB"/>
    <w:rsid w:val="108D4A90"/>
    <w:rsid w:val="10926BF6"/>
    <w:rsid w:val="10AC2B00"/>
    <w:rsid w:val="10AC760C"/>
    <w:rsid w:val="10E67402"/>
    <w:rsid w:val="110F7B9B"/>
    <w:rsid w:val="1198193E"/>
    <w:rsid w:val="11AB2A4D"/>
    <w:rsid w:val="11E54B27"/>
    <w:rsid w:val="11E903EC"/>
    <w:rsid w:val="11F10D0E"/>
    <w:rsid w:val="11FF1BCE"/>
    <w:rsid w:val="122B3912"/>
    <w:rsid w:val="12372F05"/>
    <w:rsid w:val="12374CB3"/>
    <w:rsid w:val="13070B2A"/>
    <w:rsid w:val="13255454"/>
    <w:rsid w:val="13497394"/>
    <w:rsid w:val="13504EE3"/>
    <w:rsid w:val="13581385"/>
    <w:rsid w:val="135E4018"/>
    <w:rsid w:val="139B1B3C"/>
    <w:rsid w:val="139F5206"/>
    <w:rsid w:val="13D318D3"/>
    <w:rsid w:val="13DC0956"/>
    <w:rsid w:val="14184102"/>
    <w:rsid w:val="143516C6"/>
    <w:rsid w:val="1438259B"/>
    <w:rsid w:val="144C443C"/>
    <w:rsid w:val="146A4EE4"/>
    <w:rsid w:val="147A2410"/>
    <w:rsid w:val="14B05372"/>
    <w:rsid w:val="14D64C58"/>
    <w:rsid w:val="15567B46"/>
    <w:rsid w:val="155D688F"/>
    <w:rsid w:val="156F62EF"/>
    <w:rsid w:val="157C47AB"/>
    <w:rsid w:val="157C7479"/>
    <w:rsid w:val="157F52EF"/>
    <w:rsid w:val="158F480C"/>
    <w:rsid w:val="15BB5765"/>
    <w:rsid w:val="15C27640"/>
    <w:rsid w:val="15C70A44"/>
    <w:rsid w:val="15E66C52"/>
    <w:rsid w:val="15FC3460"/>
    <w:rsid w:val="162F2547"/>
    <w:rsid w:val="16534914"/>
    <w:rsid w:val="16655340"/>
    <w:rsid w:val="1673652E"/>
    <w:rsid w:val="16882EF5"/>
    <w:rsid w:val="16BC673F"/>
    <w:rsid w:val="16F5513D"/>
    <w:rsid w:val="16FD3ABE"/>
    <w:rsid w:val="16FF3AA5"/>
    <w:rsid w:val="172C0981"/>
    <w:rsid w:val="172F0E42"/>
    <w:rsid w:val="17CE60BA"/>
    <w:rsid w:val="1857259B"/>
    <w:rsid w:val="196A0814"/>
    <w:rsid w:val="197C71DB"/>
    <w:rsid w:val="1A420699"/>
    <w:rsid w:val="1AB85163"/>
    <w:rsid w:val="1AC30D0A"/>
    <w:rsid w:val="1AD32689"/>
    <w:rsid w:val="1B1E2EB4"/>
    <w:rsid w:val="1B356450"/>
    <w:rsid w:val="1B4346C9"/>
    <w:rsid w:val="1B4E29D7"/>
    <w:rsid w:val="1B526017"/>
    <w:rsid w:val="1B611EEC"/>
    <w:rsid w:val="1BD4716C"/>
    <w:rsid w:val="1BF65BDF"/>
    <w:rsid w:val="1BFF6021"/>
    <w:rsid w:val="1C587110"/>
    <w:rsid w:val="1C863229"/>
    <w:rsid w:val="1C9378D2"/>
    <w:rsid w:val="1CB3754B"/>
    <w:rsid w:val="1CC05665"/>
    <w:rsid w:val="1CDA2E0B"/>
    <w:rsid w:val="1CED6FE2"/>
    <w:rsid w:val="1D2A5785"/>
    <w:rsid w:val="1D7F2147"/>
    <w:rsid w:val="1D941A61"/>
    <w:rsid w:val="1D996CC8"/>
    <w:rsid w:val="1DA01659"/>
    <w:rsid w:val="1DC6338F"/>
    <w:rsid w:val="1DD12460"/>
    <w:rsid w:val="1DD2442A"/>
    <w:rsid w:val="1DE877F1"/>
    <w:rsid w:val="1DF4614E"/>
    <w:rsid w:val="1E3B5E6B"/>
    <w:rsid w:val="1E6454A8"/>
    <w:rsid w:val="1E7D4396"/>
    <w:rsid w:val="1EBB4EBE"/>
    <w:rsid w:val="1ECA0914"/>
    <w:rsid w:val="1EF83A1C"/>
    <w:rsid w:val="1F0D1E5C"/>
    <w:rsid w:val="1FCD677B"/>
    <w:rsid w:val="1FCF1E87"/>
    <w:rsid w:val="208C08C0"/>
    <w:rsid w:val="208E4164"/>
    <w:rsid w:val="21095A4E"/>
    <w:rsid w:val="212C3E51"/>
    <w:rsid w:val="21310B45"/>
    <w:rsid w:val="21722EA9"/>
    <w:rsid w:val="2188552B"/>
    <w:rsid w:val="21A07893"/>
    <w:rsid w:val="21BF4CC5"/>
    <w:rsid w:val="21D044C0"/>
    <w:rsid w:val="21F11323"/>
    <w:rsid w:val="22673393"/>
    <w:rsid w:val="22737F8A"/>
    <w:rsid w:val="22827F45"/>
    <w:rsid w:val="2288698E"/>
    <w:rsid w:val="22AE720D"/>
    <w:rsid w:val="23036D5B"/>
    <w:rsid w:val="234B6811"/>
    <w:rsid w:val="23554AEF"/>
    <w:rsid w:val="23645F64"/>
    <w:rsid w:val="23D32E6A"/>
    <w:rsid w:val="23F5677C"/>
    <w:rsid w:val="23FB5E39"/>
    <w:rsid w:val="241A61E3"/>
    <w:rsid w:val="24494B22"/>
    <w:rsid w:val="244A2A1D"/>
    <w:rsid w:val="24561911"/>
    <w:rsid w:val="245C4A4D"/>
    <w:rsid w:val="24C0322E"/>
    <w:rsid w:val="24F84776"/>
    <w:rsid w:val="251159F1"/>
    <w:rsid w:val="2553686D"/>
    <w:rsid w:val="2564491D"/>
    <w:rsid w:val="257858B7"/>
    <w:rsid w:val="25B06DFF"/>
    <w:rsid w:val="25B57849"/>
    <w:rsid w:val="25B83A87"/>
    <w:rsid w:val="25C97751"/>
    <w:rsid w:val="26073DBE"/>
    <w:rsid w:val="26217CFD"/>
    <w:rsid w:val="266463E7"/>
    <w:rsid w:val="26D66D39"/>
    <w:rsid w:val="26E9311B"/>
    <w:rsid w:val="270C1682"/>
    <w:rsid w:val="27982240"/>
    <w:rsid w:val="27B26F9B"/>
    <w:rsid w:val="27B953ED"/>
    <w:rsid w:val="27C93253"/>
    <w:rsid w:val="27CA507F"/>
    <w:rsid w:val="28032F0B"/>
    <w:rsid w:val="282B18E0"/>
    <w:rsid w:val="285A05DC"/>
    <w:rsid w:val="28706D19"/>
    <w:rsid w:val="28732DC2"/>
    <w:rsid w:val="29413AEE"/>
    <w:rsid w:val="294D2BB7"/>
    <w:rsid w:val="295A20EA"/>
    <w:rsid w:val="29946A38"/>
    <w:rsid w:val="29A44ECD"/>
    <w:rsid w:val="29B669AE"/>
    <w:rsid w:val="29F800B9"/>
    <w:rsid w:val="2A1C7CF7"/>
    <w:rsid w:val="2A3D0E7D"/>
    <w:rsid w:val="2A5E32CD"/>
    <w:rsid w:val="2A61691A"/>
    <w:rsid w:val="2A6E552C"/>
    <w:rsid w:val="2A775ABA"/>
    <w:rsid w:val="2A924A38"/>
    <w:rsid w:val="2AAA4765"/>
    <w:rsid w:val="2AB13D32"/>
    <w:rsid w:val="2AB51923"/>
    <w:rsid w:val="2AE32E31"/>
    <w:rsid w:val="2B0F6376"/>
    <w:rsid w:val="2B177920"/>
    <w:rsid w:val="2B3139FD"/>
    <w:rsid w:val="2B31567B"/>
    <w:rsid w:val="2B591CE7"/>
    <w:rsid w:val="2BDD46C6"/>
    <w:rsid w:val="2C255C52"/>
    <w:rsid w:val="2CBE44F7"/>
    <w:rsid w:val="2CD208B5"/>
    <w:rsid w:val="2D095047"/>
    <w:rsid w:val="2D4824EE"/>
    <w:rsid w:val="2D8D3ECA"/>
    <w:rsid w:val="2DEE4890"/>
    <w:rsid w:val="2E584CD9"/>
    <w:rsid w:val="2E6C7ED8"/>
    <w:rsid w:val="2E8D537C"/>
    <w:rsid w:val="2EA57FA1"/>
    <w:rsid w:val="2EA9088F"/>
    <w:rsid w:val="2EBE2E38"/>
    <w:rsid w:val="2EC67E8B"/>
    <w:rsid w:val="2EC92CDF"/>
    <w:rsid w:val="2ECE4C64"/>
    <w:rsid w:val="2ED342D1"/>
    <w:rsid w:val="2EF243BC"/>
    <w:rsid w:val="2F5702EB"/>
    <w:rsid w:val="2F5916FF"/>
    <w:rsid w:val="2F87457E"/>
    <w:rsid w:val="2FB87F35"/>
    <w:rsid w:val="2FCD3E7E"/>
    <w:rsid w:val="30161F54"/>
    <w:rsid w:val="302C1778"/>
    <w:rsid w:val="30BF5CF1"/>
    <w:rsid w:val="30D977BA"/>
    <w:rsid w:val="30EB010A"/>
    <w:rsid w:val="30EF0857"/>
    <w:rsid w:val="31142AAC"/>
    <w:rsid w:val="3140197F"/>
    <w:rsid w:val="318D2D70"/>
    <w:rsid w:val="319475D5"/>
    <w:rsid w:val="31E05F1C"/>
    <w:rsid w:val="32020057"/>
    <w:rsid w:val="32052280"/>
    <w:rsid w:val="320C16C0"/>
    <w:rsid w:val="322272D6"/>
    <w:rsid w:val="32672625"/>
    <w:rsid w:val="32765151"/>
    <w:rsid w:val="32831B16"/>
    <w:rsid w:val="329B61C3"/>
    <w:rsid w:val="32D41324"/>
    <w:rsid w:val="32DC55F7"/>
    <w:rsid w:val="32F6583E"/>
    <w:rsid w:val="331C5AD4"/>
    <w:rsid w:val="333A48FA"/>
    <w:rsid w:val="334A1323"/>
    <w:rsid w:val="334F40FB"/>
    <w:rsid w:val="338C4E79"/>
    <w:rsid w:val="339E473B"/>
    <w:rsid w:val="33D92F7A"/>
    <w:rsid w:val="33F64577"/>
    <w:rsid w:val="340824FC"/>
    <w:rsid w:val="342310E4"/>
    <w:rsid w:val="34724980"/>
    <w:rsid w:val="34796F56"/>
    <w:rsid w:val="34A85211"/>
    <w:rsid w:val="34B2130C"/>
    <w:rsid w:val="34B87A7E"/>
    <w:rsid w:val="350E12EA"/>
    <w:rsid w:val="35393492"/>
    <w:rsid w:val="354173ED"/>
    <w:rsid w:val="35527ED3"/>
    <w:rsid w:val="356E2833"/>
    <w:rsid w:val="358636D8"/>
    <w:rsid w:val="35935C5C"/>
    <w:rsid w:val="35992C99"/>
    <w:rsid w:val="35BC359E"/>
    <w:rsid w:val="35C44201"/>
    <w:rsid w:val="360F3354"/>
    <w:rsid w:val="3618395E"/>
    <w:rsid w:val="363870C8"/>
    <w:rsid w:val="364041CF"/>
    <w:rsid w:val="36486409"/>
    <w:rsid w:val="36617CA1"/>
    <w:rsid w:val="3699568D"/>
    <w:rsid w:val="36AF4EB1"/>
    <w:rsid w:val="372E3757"/>
    <w:rsid w:val="376B527C"/>
    <w:rsid w:val="37BD0585"/>
    <w:rsid w:val="37CA6352"/>
    <w:rsid w:val="37D369EE"/>
    <w:rsid w:val="38533A18"/>
    <w:rsid w:val="389C7FFD"/>
    <w:rsid w:val="38B814EC"/>
    <w:rsid w:val="38C74734"/>
    <w:rsid w:val="39472B23"/>
    <w:rsid w:val="395D6E46"/>
    <w:rsid w:val="396226AE"/>
    <w:rsid w:val="397C0D2D"/>
    <w:rsid w:val="39B774C6"/>
    <w:rsid w:val="39E82BB3"/>
    <w:rsid w:val="3A47088A"/>
    <w:rsid w:val="3AB900AC"/>
    <w:rsid w:val="3B223EA3"/>
    <w:rsid w:val="3B424488"/>
    <w:rsid w:val="3B4C0F20"/>
    <w:rsid w:val="3B8B7C9A"/>
    <w:rsid w:val="3BA7571E"/>
    <w:rsid w:val="3BAF7174"/>
    <w:rsid w:val="3C033CD5"/>
    <w:rsid w:val="3C274470"/>
    <w:rsid w:val="3C8666B4"/>
    <w:rsid w:val="3C987E0C"/>
    <w:rsid w:val="3CD25455"/>
    <w:rsid w:val="3D660BE0"/>
    <w:rsid w:val="3DBA03C3"/>
    <w:rsid w:val="3DCB60EE"/>
    <w:rsid w:val="3DE05E3E"/>
    <w:rsid w:val="3E043D34"/>
    <w:rsid w:val="3E8310FD"/>
    <w:rsid w:val="3EAC5E57"/>
    <w:rsid w:val="3EB41E07"/>
    <w:rsid w:val="3EDC6A5F"/>
    <w:rsid w:val="3F1271D0"/>
    <w:rsid w:val="3F171845"/>
    <w:rsid w:val="3F424B14"/>
    <w:rsid w:val="3F566811"/>
    <w:rsid w:val="3FD61700"/>
    <w:rsid w:val="3FE200A5"/>
    <w:rsid w:val="40026051"/>
    <w:rsid w:val="404623E2"/>
    <w:rsid w:val="40541BA5"/>
    <w:rsid w:val="40664832"/>
    <w:rsid w:val="409C46F8"/>
    <w:rsid w:val="40A430BB"/>
    <w:rsid w:val="41006A35"/>
    <w:rsid w:val="41051F57"/>
    <w:rsid w:val="410858E9"/>
    <w:rsid w:val="410D1152"/>
    <w:rsid w:val="410D73A4"/>
    <w:rsid w:val="41314E40"/>
    <w:rsid w:val="41320BB8"/>
    <w:rsid w:val="41354204"/>
    <w:rsid w:val="41452699"/>
    <w:rsid w:val="417116E0"/>
    <w:rsid w:val="419158DF"/>
    <w:rsid w:val="41A00C96"/>
    <w:rsid w:val="41A575DC"/>
    <w:rsid w:val="41D465E9"/>
    <w:rsid w:val="41F66AB4"/>
    <w:rsid w:val="4214206C"/>
    <w:rsid w:val="42A21C64"/>
    <w:rsid w:val="42ED123B"/>
    <w:rsid w:val="43056584"/>
    <w:rsid w:val="435C016E"/>
    <w:rsid w:val="43D372D6"/>
    <w:rsid w:val="43DB5537"/>
    <w:rsid w:val="43DB72E5"/>
    <w:rsid w:val="440529C7"/>
    <w:rsid w:val="440700DA"/>
    <w:rsid w:val="449A0F4E"/>
    <w:rsid w:val="44A26055"/>
    <w:rsid w:val="44B74AB0"/>
    <w:rsid w:val="44C27AD5"/>
    <w:rsid w:val="45300AE7"/>
    <w:rsid w:val="453942C3"/>
    <w:rsid w:val="455C26A8"/>
    <w:rsid w:val="45684BA8"/>
    <w:rsid w:val="45B95404"/>
    <w:rsid w:val="45D61B06"/>
    <w:rsid w:val="463F4C16"/>
    <w:rsid w:val="465F41FD"/>
    <w:rsid w:val="46832AB5"/>
    <w:rsid w:val="46942B8F"/>
    <w:rsid w:val="46A20D0C"/>
    <w:rsid w:val="46AB76CA"/>
    <w:rsid w:val="46C04C97"/>
    <w:rsid w:val="46D3770F"/>
    <w:rsid w:val="47086643"/>
    <w:rsid w:val="47332F94"/>
    <w:rsid w:val="47490A0A"/>
    <w:rsid w:val="47717886"/>
    <w:rsid w:val="47FB7F56"/>
    <w:rsid w:val="48435459"/>
    <w:rsid w:val="486A6E89"/>
    <w:rsid w:val="48B85E47"/>
    <w:rsid w:val="48EC56CE"/>
    <w:rsid w:val="49301E81"/>
    <w:rsid w:val="496C52F4"/>
    <w:rsid w:val="497C0C22"/>
    <w:rsid w:val="498A3D49"/>
    <w:rsid w:val="49D62A28"/>
    <w:rsid w:val="4A122688"/>
    <w:rsid w:val="4A435844"/>
    <w:rsid w:val="4ACA3C0F"/>
    <w:rsid w:val="4ADC3792"/>
    <w:rsid w:val="4AE4014A"/>
    <w:rsid w:val="4B4B11F4"/>
    <w:rsid w:val="4B515E20"/>
    <w:rsid w:val="4B6C4D31"/>
    <w:rsid w:val="4B6D116B"/>
    <w:rsid w:val="4B6F2602"/>
    <w:rsid w:val="4B743FB4"/>
    <w:rsid w:val="4B7B2DFC"/>
    <w:rsid w:val="4B7C315C"/>
    <w:rsid w:val="4BBB7B8C"/>
    <w:rsid w:val="4C15535E"/>
    <w:rsid w:val="4C453E95"/>
    <w:rsid w:val="4C602A7D"/>
    <w:rsid w:val="4C650094"/>
    <w:rsid w:val="4C806C7C"/>
    <w:rsid w:val="4C9425BB"/>
    <w:rsid w:val="4C997D3D"/>
    <w:rsid w:val="4CB93F3C"/>
    <w:rsid w:val="4CB97E79"/>
    <w:rsid w:val="4CBA2C7D"/>
    <w:rsid w:val="4D2770F7"/>
    <w:rsid w:val="4D422183"/>
    <w:rsid w:val="4D673998"/>
    <w:rsid w:val="4DC94652"/>
    <w:rsid w:val="4DE35714"/>
    <w:rsid w:val="4E0C4B21"/>
    <w:rsid w:val="4E0F044D"/>
    <w:rsid w:val="4E215ED6"/>
    <w:rsid w:val="4E28581D"/>
    <w:rsid w:val="4E5C03B2"/>
    <w:rsid w:val="4E816CDB"/>
    <w:rsid w:val="4E8753F1"/>
    <w:rsid w:val="4EC15329"/>
    <w:rsid w:val="4EC43E4A"/>
    <w:rsid w:val="4EE12991"/>
    <w:rsid w:val="4F6A776F"/>
    <w:rsid w:val="4F7D2ED6"/>
    <w:rsid w:val="4F8922EB"/>
    <w:rsid w:val="4FA36E2B"/>
    <w:rsid w:val="4FE94B38"/>
    <w:rsid w:val="501A2F43"/>
    <w:rsid w:val="503F0BFC"/>
    <w:rsid w:val="506568B4"/>
    <w:rsid w:val="50A56CB1"/>
    <w:rsid w:val="50CD1D3A"/>
    <w:rsid w:val="50D41344"/>
    <w:rsid w:val="50D63967"/>
    <w:rsid w:val="50D92DFE"/>
    <w:rsid w:val="50DF62FA"/>
    <w:rsid w:val="513444D8"/>
    <w:rsid w:val="517A49D3"/>
    <w:rsid w:val="51840FBC"/>
    <w:rsid w:val="51943136"/>
    <w:rsid w:val="51C92E73"/>
    <w:rsid w:val="51E101BC"/>
    <w:rsid w:val="51ED4DB3"/>
    <w:rsid w:val="51F611AD"/>
    <w:rsid w:val="5201085F"/>
    <w:rsid w:val="522900FE"/>
    <w:rsid w:val="528079D5"/>
    <w:rsid w:val="529C6026"/>
    <w:rsid w:val="52AF2069"/>
    <w:rsid w:val="52B21B59"/>
    <w:rsid w:val="531B5950"/>
    <w:rsid w:val="533D7674"/>
    <w:rsid w:val="53413F99"/>
    <w:rsid w:val="534F55FA"/>
    <w:rsid w:val="536015B5"/>
    <w:rsid w:val="5362532D"/>
    <w:rsid w:val="53634C01"/>
    <w:rsid w:val="53747BAB"/>
    <w:rsid w:val="538452A3"/>
    <w:rsid w:val="5394125E"/>
    <w:rsid w:val="53E67D0C"/>
    <w:rsid w:val="543C1ADB"/>
    <w:rsid w:val="544444A0"/>
    <w:rsid w:val="55417A63"/>
    <w:rsid w:val="554A067A"/>
    <w:rsid w:val="55B55BE8"/>
    <w:rsid w:val="55C73B6D"/>
    <w:rsid w:val="55EA7902"/>
    <w:rsid w:val="55F92CC0"/>
    <w:rsid w:val="55FB55C5"/>
    <w:rsid w:val="56090B56"/>
    <w:rsid w:val="561843C9"/>
    <w:rsid w:val="562B2D19"/>
    <w:rsid w:val="566F2249"/>
    <w:rsid w:val="56C500AD"/>
    <w:rsid w:val="56C72EAD"/>
    <w:rsid w:val="571C70F4"/>
    <w:rsid w:val="572E090C"/>
    <w:rsid w:val="577D745D"/>
    <w:rsid w:val="578C1E3F"/>
    <w:rsid w:val="57A203EE"/>
    <w:rsid w:val="57B10631"/>
    <w:rsid w:val="57FD3876"/>
    <w:rsid w:val="57FD40DE"/>
    <w:rsid w:val="58122B18"/>
    <w:rsid w:val="582157B7"/>
    <w:rsid w:val="583737A8"/>
    <w:rsid w:val="584A5D0C"/>
    <w:rsid w:val="58695A64"/>
    <w:rsid w:val="586A64C1"/>
    <w:rsid w:val="58BE6FB9"/>
    <w:rsid w:val="58DE5456"/>
    <w:rsid w:val="59791FCF"/>
    <w:rsid w:val="59C70462"/>
    <w:rsid w:val="59DF6FA4"/>
    <w:rsid w:val="59F45FB0"/>
    <w:rsid w:val="5A246C8E"/>
    <w:rsid w:val="5A4C5BDD"/>
    <w:rsid w:val="5A6B0D18"/>
    <w:rsid w:val="5A715E56"/>
    <w:rsid w:val="5A736072"/>
    <w:rsid w:val="5A771EDB"/>
    <w:rsid w:val="5A811D38"/>
    <w:rsid w:val="5AA43D90"/>
    <w:rsid w:val="5ABA5A4E"/>
    <w:rsid w:val="5B01542B"/>
    <w:rsid w:val="5B942EAB"/>
    <w:rsid w:val="5BCF552A"/>
    <w:rsid w:val="5BFB1656"/>
    <w:rsid w:val="5C1C5FBB"/>
    <w:rsid w:val="5C2E432A"/>
    <w:rsid w:val="5C805C3A"/>
    <w:rsid w:val="5CD05A19"/>
    <w:rsid w:val="5CE172C2"/>
    <w:rsid w:val="5CED210B"/>
    <w:rsid w:val="5D1818CA"/>
    <w:rsid w:val="5D437F7D"/>
    <w:rsid w:val="5D4D6706"/>
    <w:rsid w:val="5DD33159"/>
    <w:rsid w:val="5DDC056D"/>
    <w:rsid w:val="5E1622DB"/>
    <w:rsid w:val="5E2B65A4"/>
    <w:rsid w:val="5E36363E"/>
    <w:rsid w:val="5E401EE1"/>
    <w:rsid w:val="5E862024"/>
    <w:rsid w:val="5E9F11E3"/>
    <w:rsid w:val="5F9A60AB"/>
    <w:rsid w:val="5FA840ED"/>
    <w:rsid w:val="5FAB5E71"/>
    <w:rsid w:val="5FE54AEF"/>
    <w:rsid w:val="5FE62E42"/>
    <w:rsid w:val="5FF02A61"/>
    <w:rsid w:val="5FF150C3"/>
    <w:rsid w:val="5FF42991"/>
    <w:rsid w:val="5FF84E71"/>
    <w:rsid w:val="6007735B"/>
    <w:rsid w:val="60353D5B"/>
    <w:rsid w:val="604F0C94"/>
    <w:rsid w:val="60811390"/>
    <w:rsid w:val="60913EE6"/>
    <w:rsid w:val="60A048FE"/>
    <w:rsid w:val="60B02030"/>
    <w:rsid w:val="60E7023C"/>
    <w:rsid w:val="60E905BC"/>
    <w:rsid w:val="611C486A"/>
    <w:rsid w:val="612C3317"/>
    <w:rsid w:val="613320B7"/>
    <w:rsid w:val="61A766DF"/>
    <w:rsid w:val="61CE13EF"/>
    <w:rsid w:val="62287742"/>
    <w:rsid w:val="625E13B5"/>
    <w:rsid w:val="627A589A"/>
    <w:rsid w:val="629D12A0"/>
    <w:rsid w:val="62F6339C"/>
    <w:rsid w:val="631A352E"/>
    <w:rsid w:val="6372766B"/>
    <w:rsid w:val="639037F0"/>
    <w:rsid w:val="63BC45E5"/>
    <w:rsid w:val="63CB6D8C"/>
    <w:rsid w:val="643B0528"/>
    <w:rsid w:val="648A46E4"/>
    <w:rsid w:val="64B4350F"/>
    <w:rsid w:val="64C17C5F"/>
    <w:rsid w:val="64E32222"/>
    <w:rsid w:val="65474383"/>
    <w:rsid w:val="65817895"/>
    <w:rsid w:val="659C4F24"/>
    <w:rsid w:val="65BA2DA7"/>
    <w:rsid w:val="65DE4CE7"/>
    <w:rsid w:val="66065FEC"/>
    <w:rsid w:val="660C0310"/>
    <w:rsid w:val="66F81DD8"/>
    <w:rsid w:val="670C4793"/>
    <w:rsid w:val="674A54CB"/>
    <w:rsid w:val="67503E05"/>
    <w:rsid w:val="678E44EB"/>
    <w:rsid w:val="679B09B6"/>
    <w:rsid w:val="67C16F0D"/>
    <w:rsid w:val="68185924"/>
    <w:rsid w:val="68740EAF"/>
    <w:rsid w:val="68F3778A"/>
    <w:rsid w:val="68F62348"/>
    <w:rsid w:val="69112200"/>
    <w:rsid w:val="691A37DC"/>
    <w:rsid w:val="693C3AD3"/>
    <w:rsid w:val="694C34A2"/>
    <w:rsid w:val="6953779A"/>
    <w:rsid w:val="695F7E2D"/>
    <w:rsid w:val="69DF0ECC"/>
    <w:rsid w:val="6A443604"/>
    <w:rsid w:val="6ACC2E0B"/>
    <w:rsid w:val="6ADF0295"/>
    <w:rsid w:val="6B0C5A52"/>
    <w:rsid w:val="6B0F552C"/>
    <w:rsid w:val="6B3B245C"/>
    <w:rsid w:val="6B3E3B32"/>
    <w:rsid w:val="6B6B37C9"/>
    <w:rsid w:val="6B7961AB"/>
    <w:rsid w:val="6B95409A"/>
    <w:rsid w:val="6B9F656F"/>
    <w:rsid w:val="6BC20991"/>
    <w:rsid w:val="6BFB5EC7"/>
    <w:rsid w:val="6D6104EF"/>
    <w:rsid w:val="6DAF0580"/>
    <w:rsid w:val="6DAF51BB"/>
    <w:rsid w:val="6DD02520"/>
    <w:rsid w:val="6DE17F47"/>
    <w:rsid w:val="6E1128F7"/>
    <w:rsid w:val="6E1B1D16"/>
    <w:rsid w:val="6E1F5E9D"/>
    <w:rsid w:val="6E326DB1"/>
    <w:rsid w:val="6E6B7F83"/>
    <w:rsid w:val="6E837F94"/>
    <w:rsid w:val="6EAF69AF"/>
    <w:rsid w:val="6EE2110B"/>
    <w:rsid w:val="6F3A0AB4"/>
    <w:rsid w:val="6F7C2E7B"/>
    <w:rsid w:val="6FB40867"/>
    <w:rsid w:val="6FEE48CC"/>
    <w:rsid w:val="70090BB2"/>
    <w:rsid w:val="70411D13"/>
    <w:rsid w:val="705B6F34"/>
    <w:rsid w:val="70787AE6"/>
    <w:rsid w:val="70B07280"/>
    <w:rsid w:val="70C1148D"/>
    <w:rsid w:val="713C6D66"/>
    <w:rsid w:val="716562BC"/>
    <w:rsid w:val="718B602C"/>
    <w:rsid w:val="71A52235"/>
    <w:rsid w:val="71C8627B"/>
    <w:rsid w:val="71EF3599"/>
    <w:rsid w:val="72074E98"/>
    <w:rsid w:val="7222612A"/>
    <w:rsid w:val="722A439F"/>
    <w:rsid w:val="724335AB"/>
    <w:rsid w:val="724D17AB"/>
    <w:rsid w:val="726447C6"/>
    <w:rsid w:val="727B3E78"/>
    <w:rsid w:val="727D45B0"/>
    <w:rsid w:val="727F5D14"/>
    <w:rsid w:val="72874010"/>
    <w:rsid w:val="72A11576"/>
    <w:rsid w:val="731A1328"/>
    <w:rsid w:val="73682094"/>
    <w:rsid w:val="73EC4A73"/>
    <w:rsid w:val="74116287"/>
    <w:rsid w:val="74143D3D"/>
    <w:rsid w:val="74267540"/>
    <w:rsid w:val="743401C8"/>
    <w:rsid w:val="7443665D"/>
    <w:rsid w:val="74604500"/>
    <w:rsid w:val="74A90F89"/>
    <w:rsid w:val="74DA48CB"/>
    <w:rsid w:val="75427F45"/>
    <w:rsid w:val="7571756C"/>
    <w:rsid w:val="75CE5F39"/>
    <w:rsid w:val="76102BC1"/>
    <w:rsid w:val="76143E0D"/>
    <w:rsid w:val="766E2B9C"/>
    <w:rsid w:val="766F3739"/>
    <w:rsid w:val="76721112"/>
    <w:rsid w:val="76851B5E"/>
    <w:rsid w:val="76887DFB"/>
    <w:rsid w:val="768D73E4"/>
    <w:rsid w:val="769253FB"/>
    <w:rsid w:val="778B45A3"/>
    <w:rsid w:val="77AC443F"/>
    <w:rsid w:val="77E936DB"/>
    <w:rsid w:val="781B5927"/>
    <w:rsid w:val="786749F3"/>
    <w:rsid w:val="7870237F"/>
    <w:rsid w:val="78C35701"/>
    <w:rsid w:val="78F607B2"/>
    <w:rsid w:val="79052D68"/>
    <w:rsid w:val="791660EE"/>
    <w:rsid w:val="795A422D"/>
    <w:rsid w:val="795B10B3"/>
    <w:rsid w:val="79A15AC2"/>
    <w:rsid w:val="79F031FB"/>
    <w:rsid w:val="79F73666"/>
    <w:rsid w:val="7A831F22"/>
    <w:rsid w:val="7B2E073F"/>
    <w:rsid w:val="7B2E771F"/>
    <w:rsid w:val="7B4F3823"/>
    <w:rsid w:val="7B890DF9"/>
    <w:rsid w:val="7B897B86"/>
    <w:rsid w:val="7B8B2141"/>
    <w:rsid w:val="7BC65611"/>
    <w:rsid w:val="7BC77B74"/>
    <w:rsid w:val="7C010F27"/>
    <w:rsid w:val="7C2C76E7"/>
    <w:rsid w:val="7C4A1361"/>
    <w:rsid w:val="7CC61BD9"/>
    <w:rsid w:val="7D0B3271"/>
    <w:rsid w:val="7D31799A"/>
    <w:rsid w:val="7DAB214F"/>
    <w:rsid w:val="7DB163E5"/>
    <w:rsid w:val="7DCA74A7"/>
    <w:rsid w:val="7DE70059"/>
    <w:rsid w:val="7E357BE9"/>
    <w:rsid w:val="7E417769"/>
    <w:rsid w:val="7E611BB9"/>
    <w:rsid w:val="7E702F91"/>
    <w:rsid w:val="7E851D4C"/>
    <w:rsid w:val="7EB20667"/>
    <w:rsid w:val="7EC32874"/>
    <w:rsid w:val="7ED16A8E"/>
    <w:rsid w:val="7EDC1B88"/>
    <w:rsid w:val="7F590AE3"/>
    <w:rsid w:val="7FC93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7">
    <w:name w:val="heading 1"/>
    <w:basedOn w:val="1"/>
    <w:next w:val="1"/>
    <w:qFormat/>
    <w:uiPriority w:val="0"/>
    <w:pPr>
      <w:keepNext/>
      <w:keepLines/>
      <w:snapToGrid w:val="0"/>
      <w:spacing w:beforeLines="0" w:beforeAutospacing="0" w:afterLines="0" w:afterAutospacing="0" w:line="240" w:lineRule="auto"/>
      <w:jc w:val="center"/>
      <w:outlineLvl w:val="0"/>
    </w:pPr>
    <w:rPr>
      <w:rFonts w:ascii="Times New Roman" w:hAnsi="Times New Roman" w:eastAsia="宋体" w:cs="Times New Roman"/>
      <w:b/>
      <w:kern w:val="44"/>
      <w:sz w:val="44"/>
    </w:rPr>
  </w:style>
  <w:style w:type="paragraph" w:styleId="8">
    <w:name w:val="heading 2"/>
    <w:basedOn w:val="1"/>
    <w:next w:val="1"/>
    <w:qFormat/>
    <w:uiPriority w:val="1"/>
    <w:pPr>
      <w:spacing w:before="55"/>
      <w:jc w:val="center"/>
      <w:outlineLvl w:val="2"/>
    </w:pPr>
    <w:rPr>
      <w:rFonts w:ascii="宋体" w:hAnsi="宋体" w:eastAsia="宋体" w:cs="宋体"/>
      <w:b/>
      <w:bCs/>
      <w:sz w:val="32"/>
      <w:szCs w:val="32"/>
      <w:lang w:val="en-US" w:eastAsia="zh-CN" w:bidi="ar-SA"/>
    </w:rPr>
  </w:style>
  <w:style w:type="paragraph" w:styleId="9">
    <w:name w:val="heading 4"/>
    <w:basedOn w:val="1"/>
    <w:next w:val="1"/>
    <w:qFormat/>
    <w:uiPriority w:val="0"/>
    <w:pPr>
      <w:spacing w:before="153"/>
      <w:ind w:left="538" w:right="542"/>
      <w:jc w:val="center"/>
      <w:outlineLvl w:val="4"/>
    </w:pPr>
    <w:rPr>
      <w:rFonts w:ascii="仿宋" w:hAnsi="仿宋" w:eastAsia="仿宋" w:cs="仿宋"/>
      <w:b/>
      <w:bCs/>
      <w:sz w:val="28"/>
      <w:szCs w:val="28"/>
      <w:lang w:val="zh-CN" w:eastAsia="zh-CN" w:bidi="zh-CN"/>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1"/>
    <w:qFormat/>
    <w:uiPriority w:val="0"/>
    <w:rPr>
      <w:rFonts w:ascii="宋体" w:hAnsi="宋体" w:eastAsia="宋体" w:cs="宋体"/>
      <w:sz w:val="31"/>
      <w:szCs w:val="31"/>
      <w:lang w:val="en-US" w:eastAsia="en-US" w:bidi="ar-SA"/>
    </w:rPr>
  </w:style>
  <w:style w:type="paragraph" w:styleId="4">
    <w:name w:val="Body Text First Indent 2"/>
    <w:basedOn w:val="5"/>
    <w:next w:val="1"/>
    <w:unhideWhenUsed/>
    <w:qFormat/>
    <w:uiPriority w:val="99"/>
    <w:pPr>
      <w:tabs>
        <w:tab w:val="left" w:pos="0"/>
      </w:tabs>
      <w:spacing w:after="120"/>
      <w:ind w:left="420" w:leftChars="200" w:firstLine="420" w:firstLineChars="200"/>
    </w:pPr>
    <w:rPr>
      <w:rFonts w:ascii="宋体" w:hAnsi="Courier New"/>
      <w:spacing w:val="-4"/>
      <w:kern w:val="2"/>
      <w:sz w:val="21"/>
      <w:szCs w:val="24"/>
    </w:rPr>
  </w:style>
  <w:style w:type="paragraph" w:styleId="5">
    <w:name w:val="Body Text Indent"/>
    <w:basedOn w:val="1"/>
    <w:next w:val="6"/>
    <w:qFormat/>
    <w:uiPriority w:val="0"/>
    <w:pPr>
      <w:tabs>
        <w:tab w:val="left" w:pos="0"/>
      </w:tabs>
      <w:ind w:firstLine="538" w:firstLineChars="192"/>
    </w:pPr>
    <w:rPr>
      <w:rFonts w:ascii="Tahoma" w:hAnsi="Tahoma"/>
      <w:kern w:val="2"/>
      <w:sz w:val="28"/>
      <w:szCs w:val="24"/>
    </w:rPr>
  </w:style>
  <w:style w:type="paragraph" w:styleId="6">
    <w:name w:val="envelope return"/>
    <w:basedOn w:val="1"/>
    <w:qFormat/>
    <w:uiPriority w:val="0"/>
    <w:pPr>
      <w:snapToGrid w:val="0"/>
    </w:pPr>
    <w:rPr>
      <w:rFonts w:ascii="Arial" w:hAnsi="Arial"/>
    </w:rPr>
  </w:style>
  <w:style w:type="paragraph" w:styleId="10">
    <w:name w:val="annotation text"/>
    <w:basedOn w:val="1"/>
    <w:qFormat/>
    <w:uiPriority w:val="0"/>
    <w:pPr>
      <w:jc w:val="left"/>
    </w:pPr>
  </w:style>
  <w:style w:type="paragraph" w:styleId="11">
    <w:name w:val="Date"/>
    <w:next w:val="1"/>
    <w:qFormat/>
    <w:uiPriority w:val="0"/>
    <w:pPr>
      <w:widowControl w:val="0"/>
      <w:jc w:val="both"/>
    </w:pPr>
    <w:rPr>
      <w:rFonts w:ascii="Times New Roman" w:hAnsi="Times New Roman" w:eastAsia="宋体" w:cs="Times New Roman"/>
      <w:kern w:val="2"/>
      <w:sz w:val="24"/>
      <w:szCs w:val="20"/>
      <w:lang w:val="en-US" w:eastAsia="zh-CN" w:bidi="ar-SA"/>
    </w:rPr>
  </w:style>
  <w:style w:type="paragraph" w:styleId="12">
    <w:name w:val="footer"/>
    <w:basedOn w:val="1"/>
    <w:qFormat/>
    <w:uiPriority w:val="99"/>
    <w:pPr>
      <w:tabs>
        <w:tab w:val="center" w:pos="4153"/>
        <w:tab w:val="right" w:pos="8306"/>
      </w:tabs>
      <w:snapToGrid w:val="0"/>
      <w:jc w:val="left"/>
    </w:pPr>
    <w:rPr>
      <w:rFonts w:ascii="Tahoma" w:hAnsi="Tahoma"/>
      <w:kern w:val="2"/>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4">
    <w:name w:val="toc 1"/>
    <w:basedOn w:val="1"/>
    <w:next w:val="1"/>
    <w:qFormat/>
    <w:uiPriority w:val="0"/>
  </w:style>
  <w:style w:type="paragraph" w:styleId="15">
    <w:name w:val="Body Text 2"/>
    <w:basedOn w:val="1"/>
    <w:qFormat/>
    <w:uiPriority w:val="0"/>
    <w:pPr>
      <w:spacing w:after="120" w:line="480" w:lineRule="auto"/>
    </w:pPr>
  </w:style>
  <w:style w:type="paragraph" w:styleId="1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333333"/>
      <w:u w:val="none"/>
    </w:rPr>
  </w:style>
  <w:style w:type="character" w:styleId="21">
    <w:name w:val="Hyperlink"/>
    <w:basedOn w:val="19"/>
    <w:qFormat/>
    <w:uiPriority w:val="0"/>
    <w:rPr>
      <w:color w:val="333333"/>
      <w:u w:val="none"/>
    </w:rPr>
  </w:style>
  <w:style w:type="paragraph" w:customStyle="1" w:styleId="22">
    <w:name w:val="style4"/>
    <w:basedOn w:val="1"/>
    <w:next w:val="23"/>
    <w:qFormat/>
    <w:uiPriority w:val="0"/>
    <w:pPr>
      <w:widowControl/>
      <w:spacing w:before="100" w:beforeAutospacing="1" w:after="100" w:afterAutospacing="1"/>
      <w:jc w:val="left"/>
    </w:pPr>
    <w:rPr>
      <w:rFonts w:hint="eastAsia" w:ascii="宋体" w:hAnsi="宋体"/>
      <w:kern w:val="0"/>
      <w:sz w:val="18"/>
    </w:rPr>
  </w:style>
  <w:style w:type="paragraph" w:customStyle="1" w:styleId="23">
    <w:name w:val="2"/>
    <w:next w:val="1"/>
    <w:qFormat/>
    <w:uiPriority w:val="0"/>
    <w:pPr>
      <w:widowControl w:val="0"/>
      <w:jc w:val="both"/>
    </w:pPr>
    <w:rPr>
      <w:rFonts w:ascii="Times New Roman" w:hAnsi="Times New Roman" w:eastAsia="宋体" w:cs="Times New Roman"/>
      <w:sz w:val="21"/>
      <w:lang w:val="en-US" w:eastAsia="zh-CN" w:bidi="ar-SA"/>
    </w:rPr>
  </w:style>
  <w:style w:type="paragraph" w:customStyle="1" w:styleId="24">
    <w:name w:val="Default"/>
    <w:next w:val="25"/>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25">
    <w:name w:val="Char Char10 Char Char Char Char"/>
    <w:next w:val="26"/>
    <w:qFormat/>
    <w:uiPriority w:val="0"/>
    <w:pPr>
      <w:widowControl w:val="0"/>
      <w:jc w:val="both"/>
    </w:pPr>
    <w:rPr>
      <w:rFonts w:ascii="Calibri" w:hAnsi="Calibri" w:eastAsia="宋体" w:cs="Times New Roman"/>
      <w:kern w:val="0"/>
      <w:sz w:val="21"/>
      <w:szCs w:val="24"/>
      <w:lang w:val="en-US" w:eastAsia="zh-CN" w:bidi="ar-SA"/>
    </w:rPr>
  </w:style>
  <w:style w:type="paragraph" w:customStyle="1" w:styleId="26">
    <w:name w:val="xl87"/>
    <w:next w:val="27"/>
    <w:qFormat/>
    <w:uiPriority w:val="0"/>
    <w:pPr>
      <w:widowControl w:val="0"/>
      <w:pBdr>
        <w:top w:val="single" w:color="auto" w:sz="8"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eastAsia="仿宋_GB2312" w:cs="宋体"/>
      <w:kern w:val="0"/>
      <w:sz w:val="24"/>
      <w:szCs w:val="24"/>
      <w:lang w:val="en-US" w:eastAsia="zh-CN" w:bidi="ar-SA"/>
    </w:rPr>
  </w:style>
  <w:style w:type="paragraph" w:customStyle="1" w:styleId="27">
    <w:name w:val="xl72"/>
    <w:next w:val="1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仿宋_GB2312" w:cs="宋体"/>
      <w:kern w:val="0"/>
      <w:sz w:val="24"/>
      <w:szCs w:val="24"/>
      <w:lang w:val="en-US" w:eastAsia="zh-CN" w:bidi="ar-SA"/>
    </w:rPr>
  </w:style>
  <w:style w:type="paragraph" w:customStyle="1" w:styleId="28">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29">
    <w:name w:val="Table Normal"/>
    <w:semiHidden/>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Arial" w:hAnsi="Arial" w:eastAsia="Arial" w:cs="Arial"/>
      <w:sz w:val="21"/>
      <w:szCs w:val="21"/>
      <w:lang w:val="en-US" w:eastAsia="en-US" w:bidi="ar-SA"/>
    </w:rPr>
  </w:style>
  <w:style w:type="paragraph" w:customStyle="1" w:styleId="31">
    <w:name w:val="Table Paragraph"/>
    <w:basedOn w:val="1"/>
    <w:qFormat/>
    <w:uiPriority w:val="1"/>
    <w:rPr>
      <w:rFonts w:ascii="宋体" w:hAnsi="宋体" w:eastAsia="宋体" w:cs="宋体"/>
      <w:lang w:val="en-US" w:eastAsia="zh-CN" w:bidi="ar-SA"/>
    </w:rPr>
  </w:style>
  <w:style w:type="paragraph" w:customStyle="1" w:styleId="32">
    <w:name w:val="无间隔1"/>
    <w:basedOn w:val="1"/>
    <w:qFormat/>
    <w:uiPriority w:val="99"/>
    <w:pPr>
      <w:spacing w:line="400" w:lineRule="exact"/>
    </w:pPr>
  </w:style>
  <w:style w:type="paragraph" w:styleId="33">
    <w:name w:val="List Paragraph"/>
    <w:basedOn w:val="1"/>
    <w:qFormat/>
    <w:uiPriority w:val="1"/>
    <w:pPr>
      <w:ind w:left="220" w:firstLine="420"/>
    </w:pPr>
    <w:rPr>
      <w:rFonts w:ascii="宋体" w:hAnsi="宋体" w:eastAsia="宋体" w:cs="宋体"/>
      <w:lang w:val="en-US" w:eastAsia="zh-CN" w:bidi="ar-SA"/>
    </w:rPr>
  </w:style>
  <w:style w:type="paragraph" w:customStyle="1" w:styleId="34">
    <w:name w:val="列出段落1"/>
    <w:basedOn w:val="1"/>
    <w:unhideWhenUsed/>
    <w:qFormat/>
    <w:uiPriority w:val="99"/>
    <w:pPr>
      <w:ind w:firstLine="420" w:firstLineChars="200"/>
    </w:p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Body text|2"/>
    <w:basedOn w:val="1"/>
    <w:qFormat/>
    <w:uiPriority w:val="0"/>
    <w:pPr>
      <w:widowControl w:val="0"/>
      <w:shd w:val="clear" w:color="auto" w:fill="auto"/>
      <w:spacing w:after="420" w:line="393" w:lineRule="exact"/>
      <w:jc w:val="center"/>
    </w:pPr>
    <w:rPr>
      <w:rFonts w:ascii="MingLiU" w:hAnsi="MingLiU" w:eastAsia="MingLiU" w:cs="MingLiU"/>
      <w:u w:val="none"/>
      <w:shd w:val="clear" w:color="auto" w:fill="auto"/>
      <w:lang w:val="zh-TW" w:eastAsia="zh-TW" w:bidi="zh-TW"/>
    </w:rPr>
  </w:style>
  <w:style w:type="character" w:customStyle="1" w:styleId="38">
    <w:name w:val="toolbarlabel2"/>
    <w:basedOn w:val="19"/>
    <w:qFormat/>
    <w:uiPriority w:val="0"/>
  </w:style>
  <w:style w:type="character" w:customStyle="1" w:styleId="39">
    <w:name w:val="toolbarlabel"/>
    <w:basedOn w:val="19"/>
    <w:qFormat/>
    <w:uiPriority w:val="0"/>
    <w:rPr>
      <w:color w:val="333333"/>
      <w:sz w:val="18"/>
      <w:szCs w:val="18"/>
    </w:rPr>
  </w:style>
  <w:style w:type="character" w:customStyle="1" w:styleId="40">
    <w:name w:val="layui-layer-tabnow"/>
    <w:basedOn w:val="19"/>
    <w:qFormat/>
    <w:uiPriority w:val="0"/>
    <w:rPr>
      <w:bdr w:val="single" w:color="CCCCCC" w:sz="6" w:space="0"/>
      <w:shd w:val="clear" w:fill="FFFFFF"/>
    </w:rPr>
  </w:style>
  <w:style w:type="character" w:customStyle="1" w:styleId="41">
    <w:name w:val="first-child"/>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9504</Words>
  <Characters>10351</Characters>
  <TotalTime>62</TotalTime>
  <ScaleCrop>false</ScaleCrop>
  <LinksUpToDate>false</LinksUpToDate>
  <CharactersWithSpaces>10647</CharactersWithSpaces>
  <Application>WPS Office_11.1.0.10700_F1E327BC-269C-435d-A152-05C5408002CA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Administrator</cp:lastModifiedBy>
  <cp:lastPrinted>2026-06-30T08:57:00Z</cp:lastPrinted>
  <dcterms:modified xsi:type="dcterms:W3CDTF">2026-10-13T10:18:48Z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2052-11.1.0.10700</vt:lpwstr>
  </property>
  <property fmtid="{D5CDD505-2E9C-101B-9397-08002B2CF9AE}" pid="5" name="ICV">
    <vt:lpwstr>6103EAE3ADB8406AB9360E7E7ACD50F2</vt:lpwstr>
  </property>
  <property fmtid="{D5CDD505-2E9C-101B-9397-08002B2CF9AE}" pid="6" name="KSOTemplateDocerSaveRecord">
    <vt:lpwstr>eyJoZGlkIjoiMDkyOWFhY2UyZmUzYTNlODJjOWZiMDc3Y2MwNGEwOTAiLCJ1c2VySWQiOiIxMjA3MzQ3MjY1In0=</vt:lpwstr>
  </property>
</Properties>
</file>